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22-TA-1112: Noteikumu projekts (Jauns)</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Kārtība, kādā publisko informāciju par Eiropas Komisijas apstiprinātajām Interreg programmām Latvijas Republikā un to ietvaros apstiprinātajiem projektiem ar Latvijas Republikā reģistrētiem finansējuma saņēmējiem, kā arī sniedzamās informācijas apjomu</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Nacionālā atbildīgā iestāde nodrošina informācijas publiskošanu tās pārvaldībā esošā tīmekļvietnē </w:t>
            </w:r>
            <w:r w:rsidR="00000000" w:rsidRPr="00000000" w:rsidDel="00000000">
              <w:rPr>
                <w:rtl w:val="0"/>
              </w:rPr>
              <w:t xml:space="preserve">www.interreg.lv</w:t>
            </w:r>
            <w:r w:rsidR="00000000" w:rsidRPr="00000000" w:rsidDel="00000000">
              <w:rPr>
                <w:rtl w:val="0"/>
              </w:rPr>
              <w:t xml:space="preserve"> , sociālajos tīklos, kā arī citos plašsaziņas līdzekļos, tai skaitā Finanšu ministrijas pārvaldībā esošā tīmekļvietnē </w:t>
            </w:r>
            <w:r w:rsidR="00000000" w:rsidRPr="00000000" w:rsidDel="00000000">
              <w:rPr>
                <w:rtl w:val="0"/>
              </w:rPr>
              <w:t xml:space="preserve">www.esfondi.lv</w:t>
            </w:r>
            <w:r w:rsidR="00000000" w:rsidRPr="00000000" w:rsidDel="00000000">
              <w:rPr>
                <w:rtl w:val="0"/>
              </w:rPr>
              <w:t xml:space="preserve"> un Vides aizsardzības un reģionālās attīstības ministrijas pārvaldībā esošā tīmekļvietnē </w:t>
            </w:r>
            <w:r w:rsidR="00000000" w:rsidRPr="00000000" w:rsidDel="00000000">
              <w:rPr>
                <w:rtl w:val="0"/>
              </w:rPr>
              <w:t xml:space="preserve">www.varam.gov.lv</w:t>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(LM - 16.05.2022.)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izvērtēt nepieciešamību papildināt noteikumu projekta 3. punktu vai anotāciju ar norādi, ka nacionālā atbildīgā iestāde nodrošina informācijas izplatīšanu par aktuālajiem projektu konkursiem un iespēju pieteikt projektu, nosūtot informāciju nacionālās apakškomitejas pārstāvjiem vai attiecīgajām nozares ministrijām, pašvaldībām, plānošanās reģioniem un nevalstiskām organizācijām.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Tika anotācija tika papildināta ar ierosināto teikumu.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Nacionālā atbildīgā iestāde nodrošina informācijas publiskošanu tās pārvaldībā esošā tīmekļvietnē </w:t>
            </w:r>
            <w:r w:rsidR="00000000" w:rsidRPr="00000000" w:rsidDel="00000000">
              <w:rPr>
                <w:rtl w:val="0"/>
              </w:rPr>
              <w:t xml:space="preserve">www.interreg.lv</w:t>
            </w:r>
            <w:r w:rsidR="00000000" w:rsidRPr="00000000" w:rsidDel="00000000">
              <w:rPr>
                <w:rtl w:val="0"/>
              </w:rPr>
              <w:t xml:space="preserve"> , sociālajos tīklos, kā arī citos plašsaziņas līdzekļos, tai skaitā Finanšu ministrijas pārvaldībā esošā tīmekļvietnē </w:t>
            </w:r>
            <w:r w:rsidR="00000000" w:rsidRPr="00000000" w:rsidDel="00000000">
              <w:rPr>
                <w:rtl w:val="0"/>
              </w:rPr>
              <w:t xml:space="preserve">www.esfondi.lv</w:t>
            </w:r>
            <w:r w:rsidR="00000000" w:rsidRPr="00000000" w:rsidDel="00000000">
              <w:rPr>
                <w:rtl w:val="0"/>
              </w:rPr>
              <w:t xml:space="preserve"> un Vides aizsardzības un reģionālās attīstības ministrijas pārvaldībā esošā tīmekļvietnē </w:t>
            </w:r>
            <w:r w:rsidR="00000000" w:rsidRPr="00000000" w:rsidDel="00000000">
              <w:rPr>
                <w:rtl w:val="0"/>
              </w:rPr>
              <w:t xml:space="preserve">www.varam.gov.lv</w:t>
            </w:r>
            <w:r w:rsidR="00000000" w:rsidRPr="00000000" w:rsidDel="00000000">
              <w:rPr>
                <w:rtl w:val="0"/>
              </w:rPr>
              <w:t xml:space="preserve"> .</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22-TA-1112</w:t>
    </w:r>
    <w:r>
      <w:br/>
    </w:r>
    <w:r w:rsidR="00000000" w:rsidRPr="00000000" w:rsidDel="00000000">
      <w:rPr>
        <w:rtl w:val="0"/>
      </w:rPr>
      <w:t xml:space="preserve">28.06.2022. 15.05</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22-TA-1112</w:t>
    </w:r>
    <w:r>
      <w:br/>
    </w:r>
    <w:r w:rsidR="00000000" w:rsidRPr="00000000" w:rsidDel="00000000">
      <w:rPr>
        <w:rtl w:val="0"/>
      </w:rPr>
      <w:t xml:space="preserve">28.06.2022. 15.05</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Izziņa_22-TA-1112.docx</dc:title>
</cp:coreProperties>
</file>

<file path=docProps/custom.xml><?xml version="1.0" encoding="utf-8"?>
<Properties xmlns="http://schemas.openxmlformats.org/officeDocument/2006/custom-properties" xmlns:vt="http://schemas.openxmlformats.org/officeDocument/2006/docPropsVTypes"/>
</file>