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24-TA-1681: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2022. gada 14. jūlija noteikumos Nr. 435 "Eiropas Savienības Atveseļošanas un noturības mehānisma plāna 2. komponentes "Digitālā transformācija" 2.1. reformu un investīciju virziena "Valsts pārvaldes, tai skaitā pašvaldību, digitālā transformācija"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(14.03.2024.)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2022. gada 14. jūlija noteikumos Nr. 435 "Eiropas Savienības Atveseļošanas un noturības mehānisma plāna 2. komponentes "Digitālā transformācija" 2.1. reformu un investīciju virziena "Valsts pārvaldes, tai skaitā pašvaldību, digitālā transformācija" īstenošanas noteikumi" (Latvijas Vēstnesis, 2022, 136. nr.; 2024, 52.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- 24.10.2024.)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2024.gada 7.jūnija rīkojumu Nr. 446 “Par Vides aizsardzības un reģionālās attīstības ministrijas reorganizāciju”, Klimata un enerģētikas ministrija (turpmāk – KEM) pārņem nozares ministrijas pienākumus un funkcijas par Atveseļošanas fonda 2.1.3.1.i. investīcijas “Datu pieejamība, koplietošana un analītika” projektu “VVD APUS – Atkritumu pārvadājumu uzskaites sistēmas transformācija par kompleksu atkritumu aprites uzskaites un kontroles informācijas sistēmu”. Ņemot vērā, ka minētā projekta uzraudzības funkcijas nodrošinās Centrālā finanšu un līgumu aģentūra (turpmāk – CFLA), lūdzam papildināt noteikumu projektu ar nepieciešamajiem grozījumiem, lai nodrošinātu CFLA veikt pilnvērtīgu īstenošanas uzraudzības funkciju minētajam projektam 2.1.3.1.i. investīcijas “Datu pieejamība, koplietošana un analītika”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secīgi pēc attiecīgo grozījumu apstiprināšanas/spēkā stāšanās, KEM sadarbībā ar CFLA veiks arī nepieciešamos grozījumus 2024.gada 29.janvārī starp KEM un CFLA noslēgtajā starpresoru vienošanās par sadarbību Eiropas Savienības Atveseļošanas un noturības mehānisma plānā noteikto investīciju īstenošanā un uzraudzībā.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skaidro, ka papildināta anotācija un panākta vienošanās ar KEM par anotācijas papildināšanu.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anotācija ir papildināta ar tekstu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to, ka KEM ir pārņēmusi nozares ministrijas pienākumus un funkcijas projektam “VVD APUS – Atkritumu pārvadājumu uzskaites sistēmas transformācija par kompleksu atkritumu aprites uzskaites un kontroles informācijas sistēmu”, lai nodrošinātu MK noteikumos Nr. 435 noteiktās  uzraudzības darbības minētajam projektam,  KEM un CFLA ir iespējams atrunāt starpresoru vienošanās par sadarbību Eiropas Savienības Atveseļošanas un noturības mehānisma plānā noteikto investīciju īstenošanā un uzraudzībā."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anotācijā nepieciešams skaidrot visas noteikumu projektā paredzētās izmaiņas Ministru kabineta 2022. gada 14. jūlija noteikumos Nr. 435 "Eiropas Savienības Atveseļošanas un noturības mehānisma plāna 2. komponentes "Digitālā transformācija" 2.1. reformu un investīciju virziena "Valsts pārvaldes, tai skaitā pašvaldību, digitālā transformācija" īstenošanas noteikumi" (turpmāk - noteikumi), sniedzot </w:t>
            </w:r>
            <w:r w:rsidR="00000000" w:rsidRPr="00000000" w:rsidDel="00000000">
              <w:rPr>
                <w:u w:val="single"/>
                <w:rtl w:val="0"/>
              </w:rPr>
              <w:t xml:space="preserve">pamatojumu pēc būtības</w:t>
            </w:r>
            <w:r w:rsidR="00000000" w:rsidRPr="00000000" w:rsidDel="00000000">
              <w:rPr>
                <w:rtl w:val="0"/>
              </w:rPr>
              <w:t xml:space="preserve">, kādēļ attiecīgi grozījumi ir nepieciešami (proti, kādas ir konstatētās problēmas) un kā tieši konkrētie grozījumi risina konstatētās problēmas. Attiecīgi lūdzam papildināt anotāciju, sniedzot pamatojumu pēc būtības arī noteikumu projekta 1.-5. punkta, kas noteikumu projektā ietverti uz atkārtoto saskaņošanu nodotajā redakcijā, nepieciešamībai. Norādām, ka anotācijā ietvertā informācija pārsvarā norāda secinājumus, pie kuriem ir nonākts, kā arī citē paredzētos grozījumus, bet nesniedz pamatojumu, kāda ir problēma un kādēļ izvēlēts tieši šāds risinājums (piemēram: "</w:t>
            </w:r>
            <w:r w:rsidR="00000000" w:rsidRPr="00000000" w:rsidDel="00000000">
              <w:rPr>
                <w:i w:val="1"/>
                <w:rtl w:val="0"/>
              </w:rPr>
              <w:t xml:space="preserve">CFLA attiecībā uz investīcijas 2.1.2.1.i. nolūka "Pašvaldību pakalpojumu digitālā transformācija un pašvaldību atbalsta procesu modernizācija un centralizācija" projektiem neveiks visas 18.1.apakšpunktā minētās darbības, minēto nepieciešams precizēt</w:t>
            </w:r>
            <w:r w:rsidR="00000000" w:rsidRPr="00000000" w:rsidDel="00000000">
              <w:rPr>
                <w:rtl w:val="0"/>
              </w:rPr>
              <w:t xml:space="preserve">."). Lūdzam arī skaidrot anotācijā grozījumu ietekmi uz finansējuma saņēmējiem, sadarbības partneriem un jau uzsāktajiem projektiem un noslēgtajiem līgumiem, tostarp sadarbības līgumiem, norādot arī to, vai grozījumi negatīvi neietekmēs attiecīgo personu jau iegūtās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izvērtēt un precizēt anotācijā ietvertos skaidrojumus par noteikumu projekta 5.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anotācijā norādīts: "</w:t>
            </w:r>
            <w:r w:rsidR="00000000" w:rsidRPr="00000000" w:rsidDel="00000000">
              <w:rPr>
                <w:i w:val="1"/>
                <w:u w:val="single"/>
                <w:rtl w:val="0"/>
              </w:rPr>
              <w:t xml:space="preserve">Sadarbības partneriem projektos, kurus īsteno MK noteikumu Nr. 435 11.2., 11.3., 11.4., 11.5. un 11.6. apakšpunktā minētie finansējuma saņēmēji, precizēta avansa piešķiršanas kārtība</w:t>
            </w:r>
            <w:r w:rsidR="00000000" w:rsidRPr="00000000" w:rsidDel="00000000">
              <w:rPr>
                <w:i w:val="1"/>
                <w:rtl w:val="0"/>
              </w:rPr>
              <w:t xml:space="preserve">, nosakot, ka šajos projektos finansējuma saņēmējs sadarbības līgumā var iekļaut nosacījumu par avansa maksājumu finansējuma saņēmēja sadarbības partneriem, kura apmēru nosaka finansējuma saņēmējs un kas nedrīkst pārsniegt 30 % no sadarbības partnerim plānotā maksājuma kopējā apmēra.</w:t>
            </w:r>
            <w:r w:rsidR="00000000" w:rsidRPr="00000000" w:rsidDel="00000000">
              <w:rPr>
                <w:rtl w:val="0"/>
              </w:rPr>
              <w:t xml:space="preserve">" Tomēr minētais neatbilst noteikumu projektā ietvertajam regulējumam. Proti, attiecībā uz sadarbības partneriem projektos, kurus īsteno noteikumu 11.2.-11.6. apakšpunktā minētie finansējuma saņēmēji, avansa piešķiršanas kārtība netiek precizēta, jo noteikumu 29. punkta otrais teikums jau pašreizējā redakcijā pirmšķietami attiecas uz iepriekš minētajiem sadarbības partneriem;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saistībā ar minēto aicinām precizēt anotācijā norādīto, ka "</w:t>
            </w:r>
            <w:r w:rsidR="00000000" w:rsidRPr="00000000" w:rsidDel="00000000">
              <w:rPr>
                <w:i w:val="1"/>
                <w:rtl w:val="0"/>
              </w:rPr>
              <w:t xml:space="preserve">MK noteikumu Nr. 435 </w:t>
            </w:r>
            <w:r w:rsidR="00000000" w:rsidRPr="00000000" w:rsidDel="00000000">
              <w:rPr>
                <w:i w:val="1"/>
                <w:u w:val="single"/>
                <w:rtl w:val="0"/>
              </w:rPr>
              <w:t xml:space="preserve">netika nepārprotami noteikts</w:t>
            </w:r>
            <w:r w:rsidR="00000000" w:rsidRPr="00000000" w:rsidDel="00000000">
              <w:rPr>
                <w:i w:val="1"/>
                <w:rtl w:val="0"/>
              </w:rPr>
              <w:t xml:space="preserve"> sadarbības partneru loks, kuriem var tikt piemērots avansa maksājums</w:t>
            </w:r>
            <w:r w:rsidR="00000000" w:rsidRPr="00000000" w:rsidDel="00000000">
              <w:rPr>
                <w:rtl w:val="0"/>
              </w:rPr>
              <w:t xml:space="preserve">", precizitātes labad norādot, ka sadarbības partneru loks, nevis netika nepārprotami noteikts (tas faktiski ir ticis noteikts - proti, visi sadarbības partneri), bet gan </w:t>
            </w:r>
            <w:r w:rsidR="00000000" w:rsidRPr="00000000" w:rsidDel="00000000">
              <w:rPr>
                <w:u w:val="single"/>
                <w:rtl w:val="0"/>
              </w:rPr>
              <w:t xml:space="preserve">netika ierobežots</w:t>
            </w:r>
            <w:r w:rsidR="00000000" w:rsidRPr="00000000" w:rsidDel="00000000">
              <w:rPr>
                <w:rtl w:val="0"/>
              </w:rPr>
              <w:t xml:space="preserve"> v.tml.;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anotācijā minēts: "</w:t>
            </w:r>
            <w:r w:rsidR="00000000" w:rsidRPr="00000000" w:rsidDel="00000000">
              <w:rPr>
                <w:i w:val="1"/>
                <w:u w:val="single"/>
                <w:rtl w:val="0"/>
              </w:rPr>
              <w:t xml:space="preserve">Savukārt MK noteikumu Nr. 435 11.1. finansējuma saņēmēju īstenotajos projektos, kuriem nozares ministrija ir pieprasījusi projekta īstenošanai nepieciešamo finansējumu no budžeta programmas atbilstoši Likuma par budžetu un finanšu vadību 17. un 18.pantā noteiktajam</w:t>
            </w:r>
            <w:r w:rsidR="00000000" w:rsidRPr="00000000" w:rsidDel="00000000">
              <w:rPr>
                <w:i w:val="1"/>
                <w:rtl w:val="0"/>
              </w:rPr>
              <w:t xml:space="preserve">, finansējuma saņēmējs, plānojot daļu projekta finansējumu piešķirt sadarbības partnerim, sadarbības līgumā nosaka pušu pienākumus un tiesības, un maksāšanas kārtību (ja attiecināms).</w:t>
            </w:r>
            <w:r w:rsidR="00000000" w:rsidRPr="00000000" w:rsidDel="00000000">
              <w:rPr>
                <w:rtl w:val="0"/>
              </w:rPr>
              <w:t xml:space="preserve">" Tomēr noteikumu projekta 5. punktā izteiktajā noteikumu 29. punkta 1. teikumā nav norādīts, ka tas piemērojams tikai noteikumu 11.1. apakšpunktā minēto finansējuma saņēmēju īstenotajiem projektiem, attiecīgi lūdzam precizēt anotāciju.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sniegts skaidrojums visām noteikumu projektā paredzētajām izmaiņām Ministru kabineta 2022. gada 14. jūlija noteikumos Nr. 435 "Eiropas Savienības Atveseļošanas un noturības mehānisma plāna 2. komponentes "Digitālā transformācija" 2.1. reformu un investīciju virziena "Valsts pārvaldes, tai skaitā pašvaldību, digitālā transformācija" īstenošanas noteikumi" , sniedzot pamatojumu pēc būtības. Lūgums skatīt gan noteikumu projekta, gan anotācijas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(KNAB - 30.07.2024.)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2022. gada 14. jūlija noteikumi Nr. 435 "Eiropas Savienības Atveseļošanas un noturības mehānisma plāna 2. komponentes "Digitālā transformācija" 2.1. reformu un investīciju virziena "Valsts pārvaldes, tai skaitā pašvaldību, digitālā transformācija" īstenošanas noteikumi" stājās spēkā 2022.gada 19.jūlijā. Ar noteikumu projektu tiek paplašināts tvērums attiecībā par projekta attiecināmajām izmaksām. Tomēr minēto noteikumu grozījumu projekts neparedz atsevišķu spēkā stāšanās datumu, līdz ar to lūdzam vērtēt noteikumu grozījumu ietekmi uz valsts un pašvaldību budžetiem, proti, vai tiks veiks atlīdzības pārrēķins projektu attiecināmajām izmaksām attiecībā uz  projekta vadības un īstenošanas personāla atlīdzības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minētais grozījums ir tehnisks precizējums, lai nodrošinātu juridiski korektu formulējumu, tieši ņemot vērā, ka jau sākotnēji projektos ir plānotas un līdz ar projektu pasi Ministru kabinetā apstiprinātas projektu vadības un administrēšanas izmaksas, kas jau ietver atlīdzības izmaksas atbilstoši Valsts un pašvaldību institūciju amatpersonu un darbinieku atlīdzības likuma nosacījumiem un to apmērs grozījumu dēļ netiek mainīts. Līdz ar to šim grozījumam nav ietekmes uz valsts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aktualizēt anotācijā ietverto skaidrojumu ar noteikumu projekta 6. punktā izteikto noteikumu Nr. 435 18.1. apakšpunktu. Proti, minētais noteikumu punkts paredz, ka: "</w:t>
            </w:r>
            <w:r w:rsidR="00000000" w:rsidRPr="00000000" w:rsidDel="00000000">
              <w:rPr>
                <w:i w:val="1"/>
                <w:rtl w:val="0"/>
              </w:rPr>
              <w:t xml:space="preserve">Aģentūra papildus normatīvajos aktos par Atveseļošanas fonda īstenošanu un uzraudzību noteiktajam veic šādas darbības [..] attiecībā uz šo noteikumu 11.2., 11.3., 11.4., 11.5. un 11.6. apakšpunktā minēto </w:t>
            </w:r>
            <w:r w:rsidR="00000000" w:rsidRPr="00000000" w:rsidDel="00000000">
              <w:rPr>
                <w:i w:val="1"/>
                <w:u w:val="single"/>
                <w:rtl w:val="0"/>
              </w:rPr>
              <w:t xml:space="preserve">un investīcijas 2.1.2.1.i. nolūka "Pašvaldību pakalpojumu digitālā transformācija un pašvaldību atbalsta procesu modernizācija un centralizācija" finansējuma saņēmēju projektiem</w:t>
            </w:r>
            <w:r w:rsidR="00000000" w:rsidRPr="00000000" w:rsidDel="00000000">
              <w:rPr>
                <w:i w:val="1"/>
                <w:rtl w:val="0"/>
              </w:rPr>
              <w:t xml:space="preserve"> veic šādas darbības [..]</w:t>
            </w:r>
            <w:r w:rsidR="00000000" w:rsidRPr="00000000" w:rsidDel="00000000">
              <w:rPr>
                <w:rtl w:val="0"/>
              </w:rPr>
              <w:t xml:space="preserve">." Savukārt anotācijā minēts: "</w:t>
            </w:r>
            <w:r w:rsidR="00000000" w:rsidRPr="00000000" w:rsidDel="00000000">
              <w:rPr>
                <w:i w:val="1"/>
                <w:rtl w:val="0"/>
              </w:rPr>
              <w:t xml:space="preserve">CFLA </w:t>
            </w:r>
            <w:r w:rsidR="00000000" w:rsidRPr="00000000" w:rsidDel="00000000">
              <w:rPr>
                <w:i w:val="1"/>
                <w:u w:val="single"/>
                <w:rtl w:val="0"/>
              </w:rPr>
              <w:t xml:space="preserve">attiecībā uz investīcijas 2.1.2.1.i. nolūka "Pašvaldību pakalpojumu digitālā transformācija un pašvaldību atbalsta procesu modernizācija un centralizācija" projektiem neveic</w:t>
            </w:r>
            <w:r w:rsidR="00000000" w:rsidRPr="00000000" w:rsidDel="00000000">
              <w:rPr>
                <w:i w:val="1"/>
                <w:rtl w:val="0"/>
              </w:rPr>
              <w:t xml:space="preserve"> MK noteikumu Nr.435 18.1. apakšpunktā minētās darbības, MK noteikumos Nr.435 nepieciešams precizēt CFLA veicamās darbības attiecībā uz investīcijas 2.1.2.1.i. nolūku "Pašvaldību pakalpojumu digitālā transformācija un pašvaldību atbalsta procesu modernizācija un centralizācija</w:t>
            </w:r>
            <w:r w:rsidR="00000000" w:rsidRPr="00000000" w:rsidDel="00000000">
              <w:rPr>
                <w:rtl w:val="0"/>
              </w:rPr>
              <w:t xml:space="preserve">." Attiecīgi aicinām anotācijā ietverto skaidrojumu precizēt un nepieciešamības gadījumā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lūgums skatīt anotācijas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anotācijas 1.3. sadaļu ar izvērtējumu par ierosināto grozījumu ietekmi uz finansējuma saņēmēju un īstenošanā esošajiem projektiem, vienlaikus skaidrojot, vai būs nepieciešami grozījumi noslēgtajā līgumā vai vienošanās par projekta īstenošanu. Vienlaikus lūdzam minētajā anotācijas sadaļā skaidrot, vai plānotie grozījumi tiek uzskatīti par būtiskiem un ietekmē projekta ietvaros veicamo darbību veidu, projekta mērķus vai īstenošanas nosacījumus.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informē, ka minētie grozījumi MK noteikumos Nr.435 neietekmē projekta ietvaros veicamo darbību veidu, projekta mērķus vai īstenošanas nosacījumus, nerada ietekmi uz finansējuma saņēmēja un tā sadarbības partneru īstenotajiem un jau uzsāktajiem projektiem un noslēgtajiem līgumiem, tostarp sadarbības līgumiem, negatīvi neietekmē attiecīgo personu jau iegūtās tiesības, kā arī to rezultātā nav nepieciešams veikt grozījumus noslēgtajā līgumā vai vienošanās par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- 26.07.2024.)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anotācijas sadaļu "Pašreizējā situācija", lai tajā neatkārtotu tiesību akta projekta izstrādes pamatojuma aprakstā minēto.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izvērtēt vārda "neveiksmīgs" lietojumu, jo attiecināmajos normatīvajos aktos termini "atalgojums" un "atlīdzība" ir skaidri definēti.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lūgums skatīt anotācijas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- 26.07.2024.)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anotāciju ar atsauci uz Ministru kabineta 2005. gada 27. decembra noteikumiem Nr.1031 "Noteikumi par budžetu izdevumu klasifikāciju atbilstoši ekonomiskajām kategorijām" (turpmāk - noteikumi Nr.1031). Noteikumi Nr. 1031 ir izdoti saskaņā ar Likumu par budžetu un finanšu vadību un nosaka budžetu izdevumu klasifikāciju atbilstoši ekonomiskajām kategorijām, kuru piemēro normatīvajos aktos budžeta un finanšu vadības jomā noteikto budžetu plānošanā, uzskaitē (atbilstoši naudas plūsmas un uzkrājuma principam) un pārskatu sagatavošanā.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kādi apvienojas izdevumu kategorijās "atalgojums" un "atlīdzība" noteikumu Nr. 1031 pielikumā ir noteikti nepārprotami.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lūgums skatīt anotācijas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- 24.07.2024.)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anotāciju ar informāciju par to, kā projektu īstenotāji tiks informēti par minēto grozījumu.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saskaņā ar Oficiālo publikāciju un tiesiskās informācijas likuma 2. panta pirmo daļu, oficiālais izdevums “Latvijas Vēstnesis” (turpmāk — oficiālais izdevums) ir Latvijas Republikas oficiālais izdevums, un tajā publicētā informācija ir oficiāla publikācija. Minētā likuma 2. panta otrā daļa noteic, ka oficiālā publikācija ir publiski ticama un saistoša. Neviens nevar aizbildināties ar oficiālajā izdevumā publicēto tiesību aktu vai oficiālo paziņojumu nezināšanu. Līdz ar to aicinām sekot aktuālajām publikācijām oficiālajā izdevumā.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- 26.07.2024.)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6. punktā aizstāt vārdus "politiskās iniciatīvas" ar vārdiem "politikas iniciatīvas".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lūgums skatīt anotācijas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II. Reformu un investīciju virziena īstenošanā un uzraudzībā iesaistīto institūciju pienākumi un atbildība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noteikumu projektā iekļauti visi nosacījumi, kas, īstenojot projektus, ir jāievēro īstenošanā un uzraudzībā iesaistītajām institūcijām, aicinām izvērtēt iespēju papildināt noteikumu projektu ar nosacījumu, ka projekta ietvaros izstrādātos un/vai pilnveidotos IKT risinājumus, kas tiek izmantoti tādu funkciju vai pārvaldes uzdevumu nodrošināšanai, kuri nav saistīti ar saimniecisko darbību, ieguldījumu nolietojuma periodā ir pieļaujams izmantot papildinošu saimniecisku darbību veikšanai 20 % apmērā no IKT risinājuma gada jaudas laika vai finanšu izteiksmē, nodrošinot, ka atbalsts pasākuma ietvaros netiktu kvalificēts kā komercdarbības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papildinošu saimniecisko darbību saprot darbības, kas ir tieši saistītas ar IKT risinājuma galveno ar saimniecisko darbību nesaistīto izmantojumu, patērējot tādu pašu resursu (piemēram, materiālus, aprīkojumu, darbaspēku un pamatkapitālu) kā ar saimniecisko darbību nesaistītām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atbalsta pasākums tiek papildināts ar papildinošas saimnieciskas darbības veikšanas iespēju, jāparedz arī, protams, uzraudzības pasākumi. Un papildus lūdzam papildināt arī noteikumu projekta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projektā tiek plānota papildinoša saimnieciskā darbība, kas nepārsniedz 20% apmēru no IKT risinājuma gada jaudas laika vai finanšu izteiksmē, informācija par to tiek iekļauta Ministru kabineta rīkojuma projektā par projekta īstenošanu (anotācijā un projekta pasē).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skaidro, ka 2022. gada 14. jūlija noteikumos Nr. 435 "Eiropas Savienības Atveseļošanas un noturības mehānisma plāna 2. komponentes "Digitālā transformācija" 2.1. reformu un investīciju virziena "Valsts pārvaldes, tai skaitā pašvaldību, digitālā transformācija" īstenošanas noteikumi" komercdarbības atbalsts nav paredzēts, līdz ar to noteikumu projekts nav papildināms ar ierosināto priekšlikumu.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II. Reformu un investīciju virziena īstenošanā un uzraudzībā iesaistīto institūciju pienākumi un atbildība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 attiecībā uz šo noteikumu 11.2., 11.3., 11.4., 11.5. un 11.6. apakšpunktā minēto un investīcijas 2.1.2.1.i. nolūka "Pašvaldību pakalpojumu digitālā transformācija un pašvaldību atbalsta procesu modernizācija un centralizācija" finansējuma saņēmēju projektiem veic šādas darbības: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- 15.11.2024.)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anotācijā par grozījumiem 18.1. apakšpunktā teikts: "precizēts MK noteikumu Nr. 435 18.1. apakšpunkts un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 attiecībā uz šo noteikumu 11.2., 11.3., 11.4., 11.5. un 11.6. apakšpunktā minēto finansējuma saņēmēju projektiem veic šādas darbības:”;", kas neatbilst grozījumu projektam.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lūgums skatīt anotācijas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 attiecībā uz investīcijas 2.1.2.1.i. nolūka "Pašvaldību pakalpojumu digitālā transformācija un pašvaldību atbalsta procesu modernizācija un centralizācija" projektiem, kā arī uz 11.2., 11.3., 11.4., 11.5. un 11.6. apakšpunktā minēto finansējuma saņēmēju projektiem veic šādas darbības: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18.1.1. ja tas noteikts projekta īstenošanas līgumā, – pamatojoties uz finansējuma saņēmēja rakstisku avansa pieprasījumu, piešķir avansa maksājumus ne vairāk kā 30 % apmērā, ko finansējuma saņēmējs apgūst sešu mēnešu laikā saimnieciskā gada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skaidrus samaksas nosacījumus, aicinām papildināt 18.1.1.apakšpunktu, ka avansa un starpposma maksājumu kopsumma nevar pārsniegt 90% no kopējā projekta finansējuma, ņemot vērā Vadlīniju informatīvā ziņojuma vai Ministru kabineta noteikumu izstrādei par Eiropas Savienības Atveseļošanas un noturības mehānisma plāna reformas vai investīcijas ieviešanu 71.punktu.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18.1.1. apakšpunkts precizēts, lūgums skatīt noteikumu projekta precizēto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18.1.1. ja tas noteikts projekta īstenošanas līgumā, – pamatojoties uz finansējuma saņēmēja rakstisku avansa pieprasījumu, piešķir avansa maksājumus ne vairāk kā 30 % apmērā, ko finansējuma saņēmējs apgūst sešu mēnešu laikā saimnieciskā gada ietvaros, ievērojot nosacījumu, ka avansa un starpposma maksājumu kopsumma nepārsniedz 90% no kopējā projekta finansējuma;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w:t>
            </w:r>
            <w:r w:rsidR="00000000" w:rsidRPr="00000000" w:rsidDel="00000000">
              <w:rPr>
                <w:vertAlign w:val="superscript"/>
                <w:rtl w:val="0"/>
              </w:rPr>
              <w:t xml:space="preserve">1</w:t>
            </w:r>
            <w:r w:rsidR="00000000" w:rsidRPr="00000000" w:rsidDel="00000000">
              <w:rPr>
                <w:rtl w:val="0"/>
              </w:rPr>
              <w:t xml:space="preserve"> attiecībā uz investīcijas 2.1.2.1.i. nolūka "Pašvaldību pakalpojumu digitālā transformācija un pašvaldību atbalsta procesu modernizācija un centralizācija" projektiem veic šādas darbības: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Ministru kabineta 2009. gada 3. februāra noteikumu Nr.108 „Normatīvo aktu projektu sagatavošanas noteikumi” 3.2. apakšpunkts paredz, ka normatīvā akta projektā neietver normas, kas dublē augstāka vai tāda paša spēka normatīvā akta tiesību normās ietverto normatīvo regulējumu. Ievērojot minēto, lūdzam izvērtēt MK noteikumu Nr.435 plānoto 18.1.</w:t>
            </w:r>
            <w:r w:rsidR="00000000" w:rsidRPr="00000000" w:rsidDel="00000000">
              <w:rPr>
                <w:vertAlign w:val="superscript"/>
                <w:rtl w:val="0"/>
              </w:rPr>
              <w:t xml:space="preserve">1</w:t>
            </w:r>
            <w:r w:rsidR="00000000" w:rsidRPr="00000000" w:rsidDel="00000000">
              <w:rPr>
                <w:rtl w:val="0"/>
              </w:rPr>
              <w:t xml:space="preserve"> 1.apakšpunktu, jo tas dublē noteikumu Nr.435 26.punkta regulējumu. Tāpat aicinām neiekļaut 18.1.</w:t>
            </w:r>
            <w:r w:rsidR="00000000" w:rsidRPr="00000000" w:rsidDel="00000000">
              <w:rPr>
                <w:vertAlign w:val="superscript"/>
                <w:rtl w:val="0"/>
              </w:rPr>
              <w:t xml:space="preserve">1</w:t>
            </w:r>
            <w:r w:rsidR="00000000" w:rsidRPr="00000000" w:rsidDel="00000000">
              <w:rPr>
                <w:rtl w:val="0"/>
              </w:rPr>
              <w:t xml:space="preserve"> 2.apakšpunktu, jo 18.punkts šajos noteikumos paredz papildu CFLA darbības, bet daļa no 16.3.3. -16.3.8. apakšpunktā minētajām funkcijām dublē AF horizontālo MKN Nr.621 9.punktu, kas jau paredz CFLA funkcijas AF projektu uzraudzībā;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pamatot/skaidrot, kāpēc 18.1.</w:t>
            </w:r>
            <w:r w:rsidR="00000000" w:rsidRPr="00000000" w:rsidDel="00000000">
              <w:rPr>
                <w:vertAlign w:val="superscript"/>
                <w:rtl w:val="0"/>
              </w:rPr>
              <w:t xml:space="preserve">1</w:t>
            </w:r>
            <w:r w:rsidR="00000000" w:rsidRPr="00000000" w:rsidDel="00000000">
              <w:rPr>
                <w:rtl w:val="0"/>
              </w:rPr>
              <w:t xml:space="preserve"> 2.apakšpunktā CFLA paredzēta  papildu apliecinājuma iesniegšana, kas ministrijām ir paredzēta ar šiem MK noteikumiem, jo tehniski nav iespējama KPVIS trīspusējo līgumu gadījumā, bet CFLA kā līgumslēdzējs veic sasniegto rādītāju apliecināšanu KPVIS.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izkļaujot no noteikumu projekta 18.1.</w:t>
            </w:r>
            <w:r w:rsidR="00000000" w:rsidRPr="00000000" w:rsidDel="00000000">
              <w:rPr>
                <w:vertAlign w:val="superscript"/>
                <w:rtl w:val="0"/>
              </w:rPr>
              <w:t xml:space="preserve">1</w:t>
            </w:r>
            <w:r w:rsidR="00000000" w:rsidRPr="00000000" w:rsidDel="00000000">
              <w:rPr>
                <w:rtl w:val="0"/>
              </w:rPr>
              <w:t xml:space="preserve"> apakšpunktu. Lūgums skatīt noteikumu projekta precizēto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Ja projekta īstenošanā tiek iesaistīts sadarbības partneris, finansējuma saņēmējs triju mēnešu laikā pēc sadarbības partnera iesaistīšanās projektā noslēdz sadarbības līgumu, kurā noteikti pušu pienākumi un tiesības, un maksāšanas kārtība (ja attiecināms), tai skaitā sadarbības partneriem, kas veic arī komercdarbību, iekļaujot nosacījumu, ka projekta finansējums netiek izmantots komercdarbības atbalstam. Šo noteikumu 11.2., 11.3., 11.4., 11.5. un 11.6. apakšpunktā minētie finansējuma saņēmēji sadarbības līgumā var iekļaut nosacījumu par avansa maksājumu finansējuma saņēmēja sadarbības partneriem, kura apmēru nosaka finansējuma saņēmējs un kas nedrīkst pārsniegt 30 % no sadarbības partnerim plānotā maksājuma kopējā apmēra.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iekļaut anotācijā skaidrojumu par sadarbības partneru avansēšanu. Nepārprotamai interpretācijai, ka šo noteikumu 11.1.apakšpunktā paredzēto finansējuma saņēmēju sadarbības līgumos tiek paredzēti avansa maksājumi, piedāvājam noteikumu 29.punkta šādu redakciju: “29. Ja projekta īstenošanā tiek iesaistīts sadarbības partneris, finansējuma saņēmējs triju mēnešu laikā pēc sadarbības partnera iesaistīšanās projektā noslēdz sadarbības līgumu, kurā noteikti pušu pienākumi un tiesības, maksāšanas kārtību (ja attiecināms), tai skaitā sadarbības partneriem, kas veic arī komercdarbību, iekļaujot nosacījumu, ka projekta finansējums netiek izmantots komercdarbības atbalstam. Finansējuma saņēmēji sadarbības līgumā var iekļaut nosacījumu par avansa maksājumu finansējuma saņēmēja sadarbības partneriem, kura apmēru nosaka finansējuma saņēmējs. Šo noteikumu 11.2., 11.3., 11.4., 11.5. un 11.6. apakšpunktā minēto finansējuma saņēmēju sadarbības partneriem avansa maksājums nedrīkst pārsniegt 30 % no sadarbības partnerim plānotā maksājuma kopējā apmēra.”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lūgums skatīt anotācijas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Ja projekta īstenošanā tiek iesaistīts sadarbības partneris, finansējuma saņēmējs triju mēnešu laikā pēc sadarbības partnera iesaistīšanās projektā noslēdz sadarbības līgumu, kurā noteikti pušu pienākumi un tiesības, un maksāšanas kārtība (ja attiecināms), tai skaitā sadarbības partneriem, kas veic arī komercdarbību, iekļaujot nosacījumu, ka projekta finansējums netiek izmantots komercdarbības atbalstam. Finansējuma saņēmēji sadarbības līgumā var iekļaut nosacījumu par avansa maksājumu finansējuma saņēmēja sadarbības partneriem, kura apmēru nosaka finansējuma saņēmējs. Šo noteikumu 11.2., 11.3., 11.4., 11.5. un 11.6. apakšpunktā minēto finansējuma saņēmēju sadarbības partneriem avansa maksājums nedrīkst pārsniegt 30 % no sadarbības partnerim plānotā maksājuma kopējā apmēra.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24-TA-1681</w:t>
    </w:r>
    <w:r>
      <w:br/>
    </w:r>
    <w:r w:rsidR="00000000" w:rsidRPr="00000000" w:rsidDel="00000000">
      <w:rPr>
        <w:rtl w:val="0"/>
      </w:rPr>
      <w:t xml:space="preserve">22.11.2024. 09.21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24-TA-1681</w:t>
    </w:r>
    <w:r>
      <w:br/>
    </w:r>
    <w:r w:rsidR="00000000" w:rsidRPr="00000000" w:rsidDel="00000000">
      <w:rPr>
        <w:rtl w:val="0"/>
      </w:rPr>
      <w:t xml:space="preserve">22.11.2024. 09.21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Izziņa_24-TA-1681.docx</dc:title>
</cp:coreProperties>
</file>

<file path=docProps/custom.xml><?xml version="1.0" encoding="utf-8"?>
<Properties xmlns="http://schemas.openxmlformats.org/officeDocument/2006/custom-properties" xmlns:vt="http://schemas.openxmlformats.org/officeDocument/2006/docPropsVTypes"/>
</file>