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98" w:rsidRDefault="00266298" w:rsidP="00266298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BVKB pasts &lt;pasts@bvkb.gov.lv&gt;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Wednesday, September 8, 2021 12:18 PM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Pasts &lt;Pasts@em.gov.lv&gt;; Ilze Margeviča &lt;Ilze.Margevica@em.gov.lv&gt;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Par MK </w:t>
      </w:r>
      <w:proofErr w:type="spellStart"/>
      <w:r>
        <w:rPr>
          <w:rFonts w:eastAsia="Times New Roman"/>
          <w:lang w:val="en-US" w:eastAsia="lv-LV"/>
        </w:rPr>
        <w:t>noteikumu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projekta</w:t>
      </w:r>
      <w:proofErr w:type="spellEnd"/>
      <w:r>
        <w:rPr>
          <w:rFonts w:eastAsia="Times New Roman"/>
          <w:lang w:val="en-US" w:eastAsia="lv-LV"/>
        </w:rPr>
        <w:t xml:space="preserve"> "</w:t>
      </w:r>
      <w:proofErr w:type="spellStart"/>
      <w:r>
        <w:rPr>
          <w:rFonts w:eastAsia="Times New Roman"/>
          <w:lang w:val="en-US" w:eastAsia="lv-LV"/>
        </w:rPr>
        <w:t>Noteikumi</w:t>
      </w:r>
      <w:proofErr w:type="spellEnd"/>
      <w:r>
        <w:rPr>
          <w:rFonts w:eastAsia="Times New Roman"/>
          <w:lang w:val="en-US" w:eastAsia="lv-LV"/>
        </w:rPr>
        <w:t xml:space="preserve"> par </w:t>
      </w:r>
      <w:proofErr w:type="spellStart"/>
      <w:r>
        <w:rPr>
          <w:rFonts w:eastAsia="Times New Roman"/>
          <w:lang w:val="en-US" w:eastAsia="lv-LV"/>
        </w:rPr>
        <w:t>hidroelektrostaciju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hidrotehnisko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būvju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drošuma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programmām</w:t>
      </w:r>
      <w:proofErr w:type="spellEnd"/>
      <w:r>
        <w:rPr>
          <w:rFonts w:eastAsia="Times New Roman"/>
          <w:lang w:val="en-US" w:eastAsia="lv-LV"/>
        </w:rPr>
        <w:t xml:space="preserve"> un </w:t>
      </w:r>
      <w:proofErr w:type="spellStart"/>
      <w:r>
        <w:rPr>
          <w:rFonts w:eastAsia="Times New Roman"/>
          <w:lang w:val="en-US" w:eastAsia="lv-LV"/>
        </w:rPr>
        <w:t>deklarācijām</w:t>
      </w:r>
      <w:proofErr w:type="spellEnd"/>
      <w:r>
        <w:rPr>
          <w:rFonts w:eastAsia="Times New Roman"/>
          <w:lang w:val="en-US" w:eastAsia="lv-LV"/>
        </w:rPr>
        <w:t xml:space="preserve">" un </w:t>
      </w:r>
      <w:proofErr w:type="spellStart"/>
      <w:r>
        <w:rPr>
          <w:rFonts w:eastAsia="Times New Roman"/>
          <w:lang w:val="en-US" w:eastAsia="lv-LV"/>
        </w:rPr>
        <w:t>grozījumu</w:t>
      </w:r>
      <w:proofErr w:type="spellEnd"/>
      <w:r>
        <w:rPr>
          <w:rFonts w:eastAsia="Times New Roman"/>
          <w:lang w:val="en-US" w:eastAsia="lv-LV"/>
        </w:rPr>
        <w:t xml:space="preserve"> MK 2006.gada 25.aprīļa </w:t>
      </w:r>
      <w:proofErr w:type="spellStart"/>
      <w:r>
        <w:rPr>
          <w:rFonts w:eastAsia="Times New Roman"/>
          <w:lang w:val="en-US" w:eastAsia="lv-LV"/>
        </w:rPr>
        <w:t>noteikumos</w:t>
      </w:r>
      <w:proofErr w:type="spellEnd"/>
      <w:r>
        <w:rPr>
          <w:rFonts w:eastAsia="Times New Roman"/>
          <w:lang w:val="en-US" w:eastAsia="lv-LV"/>
        </w:rPr>
        <w:t xml:space="preserve"> Nr.319 </w:t>
      </w:r>
      <w:proofErr w:type="spellStart"/>
      <w:r>
        <w:rPr>
          <w:rFonts w:eastAsia="Times New Roman"/>
          <w:lang w:val="en-US" w:eastAsia="lv-LV"/>
        </w:rPr>
        <w:t>saskaņošanu</w:t>
      </w:r>
      <w:proofErr w:type="spellEnd"/>
      <w:r>
        <w:rPr>
          <w:rFonts w:eastAsia="Times New Roman"/>
          <w:lang w:val="en-US" w:eastAsia="lv-LV"/>
        </w:rPr>
        <w:t xml:space="preserve"> (</w:t>
      </w:r>
      <w:proofErr w:type="spellStart"/>
      <w:r>
        <w:rPr>
          <w:rFonts w:eastAsia="Times New Roman"/>
          <w:lang w:val="en-US" w:eastAsia="lv-LV"/>
        </w:rPr>
        <w:t>Dokumenta</w:t>
      </w:r>
      <w:proofErr w:type="spellEnd"/>
      <w:r>
        <w:rPr>
          <w:rFonts w:eastAsia="Times New Roman"/>
          <w:lang w:val="en-US" w:eastAsia="lv-LV"/>
        </w:rPr>
        <w:t xml:space="preserve"> datums 08.09.2021. Nr.1-7.2/2021/2521-nd)</w:t>
      </w:r>
    </w:p>
    <w:p w:rsidR="00266298" w:rsidRDefault="00266298" w:rsidP="00266298"/>
    <w:p w:rsidR="00266298" w:rsidRDefault="00266298" w:rsidP="00266298">
      <w:pPr>
        <w:rPr>
          <w:color w:val="323E4F"/>
        </w:rPr>
      </w:pPr>
      <w:r>
        <w:rPr>
          <w:color w:val="323E4F"/>
        </w:rPr>
        <w:t>Labdien!</w:t>
      </w:r>
    </w:p>
    <w:p w:rsidR="00266298" w:rsidRDefault="00266298" w:rsidP="00266298">
      <w:pPr>
        <w:rPr>
          <w:color w:val="323E4F"/>
        </w:rPr>
      </w:pPr>
    </w:p>
    <w:p w:rsidR="00266298" w:rsidRDefault="00266298" w:rsidP="00266298">
      <w:pPr>
        <w:rPr>
          <w:color w:val="323E4F"/>
        </w:rPr>
      </w:pPr>
      <w:r>
        <w:rPr>
          <w:color w:val="323E4F"/>
        </w:rPr>
        <w:t xml:space="preserve">Būvniecības valsts kontroles birojs (turpmāk – Birojs) savas kompetences ietvaros ir izvērtējis 2021.gada 2.septembrī saņemto precizēto Ministru kabineta noteikumu projektu “Noteikumi par hidroelektrostaciju hidrotehnisko būvju drošuma programmām un deklarācijām” (turpmāk – noteikumu projekts) un noteikumu grozījumu projektu “Grozījumi Ministru kabineta 2006.gada 25.aprīļa noteikumos Nr.319 “Noteikumi par hidroelektrostaciju hidrotehnisko būvju valdītāja civiltiesiskās atbildības obligāto apdrošināšanu”” (turpmāk - noteikumu grozījumu projekts), kā arī noteikumu projekta un noteikumu grozījuma projekta sākotnējās ietekmes novērtējuma ziņojumu (anotācija) un izziņas par atzinumos sniegtajiem iebildumiem par noteikumu projektu un noteikumu grozījumu projektu (Biroja </w:t>
      </w:r>
      <w:proofErr w:type="spellStart"/>
      <w:r>
        <w:rPr>
          <w:color w:val="323E4F"/>
        </w:rPr>
        <w:t>reģ</w:t>
      </w:r>
      <w:proofErr w:type="spellEnd"/>
      <w:r>
        <w:rPr>
          <w:color w:val="323E4F"/>
        </w:rPr>
        <w:t xml:space="preserve">. Nr.1-7.2/2021/4544-sd) un informē, ka pašreiz </w:t>
      </w:r>
      <w:r>
        <w:rPr>
          <w:b/>
          <w:bCs/>
          <w:color w:val="323E4F"/>
        </w:rPr>
        <w:t>Birojam par minētajiem projektiem iebildumu un priekšlikumu nav</w:t>
      </w:r>
      <w:r>
        <w:rPr>
          <w:color w:val="323E4F"/>
        </w:rPr>
        <w:t>.</w:t>
      </w:r>
    </w:p>
    <w:p w:rsidR="00266298" w:rsidRDefault="00266298" w:rsidP="00266298">
      <w:pPr>
        <w:rPr>
          <w:color w:val="323E4F"/>
        </w:rPr>
      </w:pPr>
    </w:p>
    <w:p w:rsidR="00266298" w:rsidRDefault="00266298" w:rsidP="00266298">
      <w:r>
        <w:rPr>
          <w:noProof/>
        </w:rPr>
        <w:drawing>
          <wp:inline distT="0" distB="0" distL="0" distR="0">
            <wp:extent cx="5274310" cy="169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191"/>
      </w:tblGrid>
      <w:tr w:rsidR="00266298" w:rsidTr="00266298"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859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98" w:rsidRDefault="00266298">
            <w:pPr>
              <w:spacing w:line="252" w:lineRule="auto"/>
              <w:rPr>
                <w:rFonts w:ascii="Verdana" w:hAnsi="Verdana"/>
                <w:b/>
                <w:bCs/>
                <w:color w:val="1F497D"/>
                <w:sz w:val="20"/>
                <w:szCs w:val="20"/>
                <w:lang w:eastAsia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-33020</wp:posOffset>
                  </wp:positionV>
                  <wp:extent cx="1038225" cy="1059815"/>
                  <wp:effectExtent l="0" t="0" r="9525" b="698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98" w:rsidRDefault="00266298">
            <w:pPr>
              <w:spacing w:line="252" w:lineRule="auto"/>
              <w:rPr>
                <w:rFonts w:ascii="Verdana" w:hAnsi="Verdana"/>
                <w:color w:val="1F497D"/>
                <w:sz w:val="18"/>
                <w:szCs w:val="18"/>
                <w:lang w:eastAsia="lv-LV"/>
              </w:rPr>
            </w:pPr>
          </w:p>
          <w:p w:rsidR="00266298" w:rsidRDefault="00266298">
            <w:pPr>
              <w:spacing w:line="252" w:lineRule="auto"/>
              <w:rPr>
                <w:rFonts w:ascii="Verdana" w:hAnsi="Verdana"/>
                <w:b/>
                <w:bCs/>
                <w:color w:val="00859B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color w:val="00859B"/>
                <w:sz w:val="18"/>
                <w:szCs w:val="18"/>
                <w:lang w:eastAsia="lv-LV"/>
              </w:rPr>
              <w:t>BŪVNIECĪBAS VALSTS KONTROLES BIROJS</w:t>
            </w:r>
          </w:p>
          <w:p w:rsidR="00266298" w:rsidRDefault="00266298">
            <w:pPr>
              <w:spacing w:line="252" w:lineRule="auto"/>
              <w:rPr>
                <w:rFonts w:ascii="Verdana" w:hAnsi="Verdana"/>
                <w:color w:val="000000"/>
                <w:sz w:val="18"/>
                <w:szCs w:val="18"/>
                <w:lang w:val="en-AU" w:eastAsia="lv-LV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lv-LV"/>
              </w:rPr>
              <w:t>K.Valdemāra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lv-LV"/>
              </w:rPr>
              <w:t xml:space="preserve"> iela </w:t>
            </w:r>
            <w:r>
              <w:rPr>
                <w:rFonts w:ascii="Verdana" w:hAnsi="Verdana"/>
                <w:color w:val="000000"/>
                <w:sz w:val="18"/>
                <w:szCs w:val="18"/>
                <w:lang w:val="en-AU" w:eastAsia="lv-LV"/>
              </w:rPr>
              <w:t xml:space="preserve">157,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AU" w:eastAsia="lv-LV"/>
              </w:rPr>
              <w:t>Rīga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AU" w:eastAsia="lv-LV"/>
              </w:rPr>
              <w:t xml:space="preserve">, LV-1013,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AU" w:eastAsia="lv-LV"/>
              </w:rPr>
              <w:t>Latvija</w:t>
            </w:r>
            <w:proofErr w:type="spellEnd"/>
          </w:p>
          <w:p w:rsidR="00266298" w:rsidRDefault="00266298">
            <w:pPr>
              <w:spacing w:line="252" w:lineRule="auto"/>
              <w:rPr>
                <w:rFonts w:ascii="Verdana" w:hAnsi="Verdana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lv-LV"/>
              </w:rPr>
              <w:t>Tālrunis: +371 67013302</w:t>
            </w:r>
          </w:p>
          <w:p w:rsidR="00266298" w:rsidRDefault="00266298">
            <w:pPr>
              <w:spacing w:line="252" w:lineRule="auto"/>
              <w:rPr>
                <w:color w:val="4472C4"/>
                <w:u w:val="single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lv-LV"/>
              </w:rPr>
              <w:t>E-pasts:</w:t>
            </w:r>
            <w:r>
              <w:rPr>
                <w:rFonts w:ascii="Verdana" w:hAnsi="Verdana"/>
                <w:color w:val="1F497D"/>
                <w:sz w:val="18"/>
                <w:szCs w:val="18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color w:val="4472C4"/>
                  <w:lang w:eastAsia="lv-LV"/>
                </w:rPr>
                <w:t>pasts</w:t>
              </w:r>
              <w:r>
                <w:rPr>
                  <w:rStyle w:val="Hyperlink"/>
                  <w:rFonts w:ascii="Verdana" w:hAnsi="Verdana"/>
                  <w:color w:val="4472C4"/>
                  <w:sz w:val="18"/>
                  <w:szCs w:val="18"/>
                  <w:lang w:eastAsia="lv-LV"/>
                </w:rPr>
                <w:t>@bvkb.gov.lv</w:t>
              </w:r>
            </w:hyperlink>
          </w:p>
          <w:p w:rsidR="00266298" w:rsidRDefault="00266298">
            <w:pPr>
              <w:spacing w:before="60" w:line="252" w:lineRule="auto"/>
              <w:rPr>
                <w:rFonts w:ascii="Verdana" w:hAnsi="Verdana"/>
                <w:color w:val="00859B"/>
                <w:sz w:val="18"/>
                <w:szCs w:val="18"/>
                <w:lang w:eastAsia="lv-LV"/>
              </w:rPr>
            </w:pPr>
            <w:hyperlink r:id="rId8" w:history="1">
              <w:r>
                <w:rPr>
                  <w:rStyle w:val="Hyperlink"/>
                  <w:rFonts w:ascii="Verdana" w:hAnsi="Verdana"/>
                  <w:color w:val="4472C4"/>
                  <w:sz w:val="18"/>
                  <w:szCs w:val="18"/>
                  <w:lang w:eastAsia="lv-LV"/>
                </w:rPr>
                <w:t>www.bvkb.gov.lv</w:t>
              </w:r>
            </w:hyperlink>
          </w:p>
        </w:tc>
      </w:tr>
    </w:tbl>
    <w:p w:rsidR="00266298" w:rsidRDefault="00266298" w:rsidP="00266298">
      <w:pPr>
        <w:rPr>
          <w:lang w:eastAsia="lv-LV"/>
        </w:rPr>
      </w:pPr>
    </w:p>
    <w:p w:rsidR="00266298" w:rsidRDefault="00266298" w:rsidP="00266298">
      <w:pPr>
        <w:rPr>
          <w:lang w:eastAsia="lv-LV"/>
        </w:rPr>
      </w:pPr>
    </w:p>
    <w:p w:rsidR="00266298" w:rsidRDefault="00266298" w:rsidP="00266298">
      <w:pPr>
        <w:rPr>
          <w:lang w:eastAsia="lv-LV"/>
        </w:rPr>
      </w:pPr>
    </w:p>
    <w:p w:rsidR="00266298" w:rsidRDefault="00266298" w:rsidP="00266298">
      <w:pPr>
        <w:rPr>
          <w:lang w:eastAsia="lv-LV"/>
        </w:rPr>
      </w:pPr>
    </w:p>
    <w:p w:rsidR="00266298" w:rsidRDefault="00266298" w:rsidP="00266298">
      <w:pPr>
        <w:rPr>
          <w:lang w:eastAsia="lv-LV"/>
        </w:rPr>
      </w:pPr>
    </w:p>
    <w:p w:rsidR="00266298" w:rsidRDefault="00266298" w:rsidP="00266298">
      <w:pPr>
        <w:rPr>
          <w:lang w:eastAsia="lv-LV"/>
        </w:rPr>
      </w:pPr>
    </w:p>
    <w:p w:rsidR="00266298" w:rsidRDefault="00266298" w:rsidP="00266298"/>
    <w:p w:rsidR="00266298" w:rsidRDefault="00266298" w:rsidP="00266298"/>
    <w:p w:rsidR="0025009D" w:rsidRDefault="0025009D">
      <w:bookmarkStart w:id="0" w:name="_GoBack"/>
      <w:bookmarkEnd w:id="0"/>
    </w:p>
    <w:sectPr w:rsidR="00250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98"/>
    <w:rsid w:val="0025009D"/>
    <w:rsid w:val="002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D5C43A-3A4E-40BC-ADD4-4E4AF33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b.gov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ts@bvkb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7A4AB.502F9E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Rasa</dc:creator>
  <cp:keywords/>
  <dc:description/>
  <cp:lastModifiedBy>Ilze Rasa</cp:lastModifiedBy>
  <cp:revision>1</cp:revision>
  <dcterms:created xsi:type="dcterms:W3CDTF">2021-10-25T11:16:00Z</dcterms:created>
  <dcterms:modified xsi:type="dcterms:W3CDTF">2021-10-25T11:17:00Z</dcterms:modified>
</cp:coreProperties>
</file>