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akcīzes nodokli"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15.06.2026. 14:54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6.4.apakšpunktā norādīto informāciju pārcelt uz anotācijas 6.sadaļas sākumu, aili "Skaidrojums", kas būs pieejams uz apgalvojumu "Sabiedrības līdzdalība uz šo tiesību akta projektu neattiecas" izvēloties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6.4.apakšpunktā norādītā  informācija pārcelta uz anotācijas 6.sadaļas sākumu, aili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10:45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papildināt ar </w:t>
            </w:r>
            <w:r w:rsidR="00000000" w:rsidRPr="00000000" w:rsidDel="00000000">
              <w:rPr>
                <w:u w:val="single"/>
                <w:rtl w:val="0"/>
              </w:rPr>
              <w:t xml:space="preserve">izvērstu </w:t>
            </w:r>
            <w:r w:rsidR="00000000" w:rsidRPr="00000000" w:rsidDel="00000000">
              <w:rPr>
                <w:rtl w:val="0"/>
              </w:rPr>
              <w:t xml:space="preserve">skaidrojumu par to, kāpēc likumprojekts neradīs fiskālo ietekmi uz valsts budžetu, ņemot vērā iepriekš likumprojekta Nr.26-TA-32 “Grozījumi likumā "Par akcīzes nodokli"” izziņā sniegto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izvērstu skaidrojumu par grozījuma fiskālās ietekmes uz valsts budžetu neesamību.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17:45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iebilst pret regulējumu, ar kuru plānots atcelt lauksaimniecībai paredzētās dīzeļdegvielas marķēšanu,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Anotācijā ietvertais apgalvojums par izmaksu sadārdzinājumu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apraksts") norādīts, ka marķēšana rada papildu izmaksas tehnoloģisko iekārtu, loģistikas pielāgojumu un administratīvo darbību dēļ, kas tieši palielina izmaksas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vērš uzmanību, ka šis apgalvojums ir nepamatots un maldinošs: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akcīzes preču noliktavās marķēšanas infrastruktūra un iekārtas ir uzstādītas vēsturiski. Tās ir pilnībā amortizētas un integrētas esošajās loģistikas ķēdēs, neprasot jaunus kapitālieguldījumus vai loģistikas pārkārtojumus.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Faktiskās dīzeļdegvielas marķēšanas (iekrāsošanas) procesa izmaksas ir statistiski nenozīmīgas – tās veido nepilnu 0,01 EUR uz vienu litru. Līdz ar to marķēšanas procesa uzturēšana nekādā veidā nerada reālu un būtisku degvielas galacenas sadārdzinājumu lauksaimniekiem, un tās atcelšana nerisinās Anotācijā minētās lauksaimnieku finansiālās grūtības, ko izraisījis vispārējs energoresursu un izejvielu cenu 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Digitālais uzraudzības modelis nespēj aizstāt fizisko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marķēšanai tiek piedāvāts uz datiem pamatots uzraudzības modelis (LAD kvotas un datu apmaiņa ar VID), apgalvojot, ka tādējādi tiek izpildītas Padomes Direktīvas 95/60/EK 1. panta otrās daļas prasības par efektīviem fiskālās uzraudzības pasākumiem. LDTA ieskatā šis uzraudzības modelis ir būtiski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digitālā sistēma kontrolē tikai tiesības iegādāties degvielu un fiksē iegādes faktu degvielas uzpildes stacijā. Sistēma nekontrolē degvielas fizisko izlietojumu pēc tās 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fizisko marķējumu (iekrāsošanu), lauksaimniecības mērķdegviela, kurai piemēroti ievērojami akcīzes nodokļa atvieglojumi, vizuāli un ķīmiski vairs neatšķirsies no standarta dīzeļdegvielas.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Būtisks ēnu ekonomikas un konkurences kropļošanas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atšķirības (krāsas) neesamība radīs risku un "nekontrolējamas iespējas" izmantot lauksaimnieku dīzeļdegvielu neatbilstoši paredzētajam mērķim. Pastāv risks, ka šī lētākā degviela ieplūdīs "pelēkajā tirgū" un tiks izmantota jebkāda veida transportā (komerciālajos kravu pārvadājumos, privātajās automašīnās, mežizstrādē u.c.). Tas 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negatīvi ietekmēs godīgu konkurenci degvielas 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zaudējumus valsts budžetam neieņemtā akcīzes nodokļa un pievienotās vērtības nodokļa (PVN) veidā, ko VID un LAD pēcpārbaudes nespēs efektīvi izsekot un novērst, jo pierādīt nemarķētas degvielas izcelsmi transportlīdzekļa bākā ir praktiski neiespējami.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CO2 emisiju kvotu administrēšanas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lauksaimniecībā izmantojamā dīzeļdegviela  ir izslēgta no prasībām, kas saistītas ar CO2 emisijas kvotu saņemšanu un Transporta enerģijas likumā noteikto mērķu sasniegšanas. Lai nodrošinātu šo izņēmumu korektu administrēšanu, ir nepieciešams, lai šī degviela būtu fiziski identificējama (marķēta). Pretējā gadījumā kontrole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uzsver, ka pašlaik pastāvošais "dubultais kontroles mehānisms" (fiziskā marķēšana un digitālā uzskaite) nav dublējošs, bet gan savstarpēji papildinošs, kur fiziskā marķēšana kalpo kā vienīgais efektīvais instruments pret ļaunprātīgu degvielas izmantošanu tālākā piegādes ķēdē pēc tās iegādes. Prasību un izmaksu samērīgums nepārprotami liecina, ka marķēšanas procesa minimālās izmaksas ir nesalīdzināmi mazākas par potenciālajiem ēnu ekonomikas riskiem un valsts budžeta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LDTA aicina svītrot normas, kas paredz atcelt prasību par lauksaimniecībai paredzētās dīzeļdegvielas marķēšanu, saglabājot esošo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 un rosinātie grozījumi likumā "Par akcīzes nodokli", ar kuriem tika plānots atcelt lauksaimniecībai paredzētās dīzeļdegvielas marķēšanu, ir atcelti.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akcīzes nodokli"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w:t>
            </w:r>
            <w:r w:rsidR="00000000" w:rsidRPr="00000000" w:rsidDel="00000000">
              <w:rPr>
                <w:vertAlign w:val="superscript"/>
                <w:rtl w:val="0"/>
              </w:rPr>
              <w:t xml:space="preserve">2</w:t>
            </w:r>
            <w:r w:rsidR="00000000" w:rsidRPr="00000000" w:rsidDel="00000000">
              <w:rPr>
                <w:rtl w:val="0"/>
              </w:rPr>
              <w:t xml:space="preserve">) Dīzeļdegvielai (gāzeļļai) un tādai dīzeļdegvielai (gāzeļļai), kurai ir pievienota biodīzeļdegviela, kas pilnībā iegūta no biomasas, vai parafinizēta dīzeļdegviela, kas iegūta no biomasas, ja tos izmanto atbilstoši šā likuma 18. panta piektajā vai 6.</w:t>
            </w:r>
            <w:r w:rsidR="00000000" w:rsidRPr="00000000" w:rsidDel="00000000">
              <w:rPr>
                <w:vertAlign w:val="superscript"/>
                <w:rtl w:val="0"/>
              </w:rPr>
              <w:t xml:space="preserve">4</w:t>
            </w:r>
            <w:r w:rsidR="00000000" w:rsidRPr="00000000" w:rsidDel="00000000">
              <w:rPr>
                <w:rtl w:val="0"/>
              </w:rPr>
              <w:t xml:space="preserve"> daļā minētajam veidam, mērķiem un nosacījumiem, nodokli par 1000 litriem aprēķina 15 procentu apmērā no šā panta pirmās daļas 4. punktā noteiktās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likuma "Par akcīzes nodokli" 14.panta 2.</w:t>
            </w:r>
            <w:r w:rsidR="00000000" w:rsidRPr="00000000" w:rsidDel="00000000">
              <w:rPr>
                <w:vertAlign w:val="superscript"/>
                <w:rtl w:val="0"/>
              </w:rPr>
              <w:t xml:space="preserve">2</w:t>
            </w:r>
            <w:r w:rsidR="00000000" w:rsidRPr="00000000" w:rsidDel="00000000">
              <w:rPr>
                <w:rtl w:val="0"/>
              </w:rPr>
              <w:t xml:space="preserve"> daļas izteikšanu jaunā redakcijā, jo no tās tiek svītrots nosacījums, ka attiecīgie naftas produkti ir jāiezīmē saskaņā ar šā likuma 28.pantu. Nosacījumi par naftas produktu iezīmēšanu izriet no Padomes 1995.gada 27.oktobra direktīvas 95/60/EK par vieglās dīzeļdegvielas un petrolejas fiskālo marķēšanu. Ņemot vērā, ka lauksaimniecībā izmantojamajai dīzeļdegvielai tiek piemērota samazinātā akcīzes nodokļa likme, kas ir zemākā nekā likumā "Par akcīzes nodokli" 14.panta pirmās daļas 4.punktā noteiktā likme, tad šādai dīzeļdegvielai ir jābūt iezemētai (marķētai) kā jebkurai citai dīzeļdegvielai, kurai piemēro samazinātu akcīzes nodokļa likmi, piemēram, dīzeļdegvielai apkurē.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 un rosinātais grozījums likuma "Par akcīzes nodokli" 14.panta 2.</w:t>
            </w:r>
            <w:r w:rsidR="00000000" w:rsidRPr="00000000" w:rsidDel="00000000">
              <w:rPr>
                <w:vertAlign w:val="superscript"/>
                <w:rtl w:val="0"/>
              </w:rPr>
              <w:t xml:space="preserve">2</w:t>
            </w:r>
            <w:r w:rsidR="00000000" w:rsidRPr="00000000" w:rsidDel="00000000">
              <w:rPr>
                <w:rtl w:val="0"/>
              </w:rPr>
              <w:t xml:space="preserve"> daļā tiek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izteikto iebildumu par likumprojekta 1.pantu un sniegto argumentāciju, nav atbalstāmi arī grozījumi likuma "Par akcīzes nodokli" 18.panta piektajā un 6.</w:t>
            </w:r>
            <w:r w:rsidR="00000000" w:rsidRPr="00000000" w:rsidDel="00000000">
              <w:rPr>
                <w:vertAlign w:val="superscript"/>
                <w:rtl w:val="0"/>
              </w:rPr>
              <w:t xml:space="preserve">4</w:t>
            </w:r>
            <w:r w:rsidR="00000000" w:rsidRPr="00000000" w:rsidDel="00000000">
              <w:rPr>
                <w:rtl w:val="0"/>
              </w:rPr>
              <w:t xml:space="preserve"> daļā, kas svītro nosacījumu par attiecīgo naftas produktu marķēšanu, jo tie ir pretrunā ar Eiropas Savienības normām par dīzeļdegvielas, kurai piemēro samazinātu akcīzes nodokļa likmi, fiskālu marķēšanu. Turklāt konkrēts fiskālo marķieris ir noteikts saskaņā ar Komisijas 2022.gada 17.janvāra īstenošanas lēmumu 2022/197/ES, ar ko nosaka kopīgu fiskālo marķieri vieglajai dīzeļdegvielai un petrolejai.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daļēji ņemti vērā. Rosinātie grozījumi likuma "Par akcīzes nodokli" 18.panta piektajā un 6.</w:t>
            </w:r>
            <w:r w:rsidR="00000000" w:rsidRPr="00000000" w:rsidDel="00000000">
              <w:rPr>
                <w:vertAlign w:val="superscript"/>
                <w:rtl w:val="0"/>
              </w:rPr>
              <w:t xml:space="preserve">4</w:t>
            </w:r>
            <w:r w:rsidR="00000000" w:rsidRPr="00000000" w:rsidDel="00000000">
              <w:rPr>
                <w:rtl w:val="0"/>
              </w:rPr>
              <w:t xml:space="preserve"> daļā, ar kuriem tika plānots atcelt lauksaimniecībai paredzētās dīzeļdegvielas marķēšanu, ir atcelti.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grozījumu būtību secināms, ka grozījumi veicami nevis likuma 25.panta četrpadsmitajā un piecpadsmitajā daļa, bet 25.pants papildināms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 un 18.</w:t>
            </w:r>
            <w:r w:rsidR="00000000" w:rsidRPr="00000000" w:rsidDel="00000000">
              <w:rPr>
                <w:vertAlign w:val="superscript"/>
                <w:rtl w:val="0"/>
              </w:rPr>
              <w:t xml:space="preserve">3 </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3.pantu piedāvātajā redakcijā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 un 18.</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Apstiprinātam noliktavas turētājam atļauts atlikto nodokļa maksāšanu piemērot šā likuma pielikuma 4.10., 4.11., 5.7. un 5.8.apakšpunktā minētajām akcīzes precēm, uz kurām neattiecas šā panta devītajā daļā noteiktais dokuments un datorizētās sistēmas izmantošanas nosacījumi, ja šīs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akcīzes preču noliktavas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pārvieto uz citu akcīzes preču noliktavu Latvijas Republikā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pārvieto uz ārvalsti vai teritoriju, kura minēta šā likuma 2.panta 3.</w:t>
            </w:r>
            <w:r w:rsidR="00000000" w:rsidRPr="00000000" w:rsidDel="00000000">
              <w:rPr>
                <w:vertAlign w:val="superscript"/>
                <w:rtl w:val="0"/>
              </w:rPr>
              <w:t xml:space="preserve">1</w:t>
            </w:r>
            <w:r w:rsidR="00000000" w:rsidRPr="00000000" w:rsidDel="00000000">
              <w:rPr>
                <w:rtl w:val="0"/>
              </w:rPr>
              <w:t xml:space="preserve"> daļā, vai uz muitas iestādi, kas vienlaikus ir nosūtītāja muitas iestāde ārējā tranzīta procedūrā izlaišanai eksportam,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piegādā šā likuma 20.pantā minētajām personām vai organizācijām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ieved Latvijas Republikā no citas ārvalsts (arī dalībvalsts) vai no teritorijas, kura minēta šā likuma 2.panta 3.</w:t>
            </w:r>
            <w:r w:rsidR="00000000" w:rsidRPr="00000000" w:rsidDel="00000000">
              <w:rPr>
                <w:vertAlign w:val="superscript"/>
                <w:rtl w:val="0"/>
              </w:rPr>
              <w:t xml:space="preserve">1</w:t>
            </w:r>
            <w:r w:rsidR="00000000" w:rsidRPr="00000000" w:rsidDel="00000000">
              <w:rPr>
                <w:rtl w:val="0"/>
              </w:rPr>
              <w:t xml:space="preserve"> daļā, pārvietošanai uz akcīzes preču noliktavu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Apstiprināts noliktavas turētājs, kas veic šā panta 18.</w:t>
            </w:r>
            <w:r w:rsidR="00000000" w:rsidRPr="00000000" w:rsidDel="00000000">
              <w:rPr>
                <w:vertAlign w:val="superscript"/>
                <w:rtl w:val="0"/>
              </w:rPr>
              <w:t xml:space="preserve">1</w:t>
            </w:r>
            <w:r w:rsidR="00000000" w:rsidRPr="00000000" w:rsidDel="00000000">
              <w:rPr>
                <w:rtl w:val="0"/>
              </w:rPr>
              <w:t xml:space="preserve"> daļā minētās darbības, nemaksā nodokli, ja Valsts ieņēmumu dienestam tiek iesniegti dokumenti vai nodokļa deklarācijai pievienots apstiprināts to uzskaitījums, kas apliecina, ka šā panta 18.</w:t>
            </w:r>
            <w:r w:rsidR="00000000" w:rsidRPr="00000000" w:rsidDel="00000000">
              <w:rPr>
                <w:vertAlign w:val="superscript"/>
                <w:rtl w:val="0"/>
              </w:rPr>
              <w:t xml:space="preserve">1</w:t>
            </w:r>
            <w:r w:rsidR="00000000" w:rsidRPr="00000000" w:rsidDel="00000000">
              <w:rPr>
                <w:rtl w:val="0"/>
              </w:rPr>
              <w:t xml:space="preserve"> daļā minētās akcīzes preces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šīs preces saņemtas akcīzes preču noliktavā Latvijas Republikā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šīs preces izvestas no Latvijas Republikas uz ārvalsti, kas nav dalībvalsts, vai uz teritoriju, kura minēta šā likuma 2.panta 3.</w:t>
            </w:r>
            <w:r w:rsidR="00000000" w:rsidRPr="00000000" w:rsidDel="00000000">
              <w:rPr>
                <w:vertAlign w:val="superscript"/>
                <w:rtl w:val="0"/>
              </w:rPr>
              <w:t xml:space="preserve">1</w:t>
            </w:r>
            <w:r w:rsidR="00000000" w:rsidRPr="00000000" w:rsidDel="00000000">
              <w:rPr>
                <w:rtl w:val="0"/>
              </w:rPr>
              <w:t xml:space="preserve"> daļā, vai tās ir izlaistas eksportam, piemērojot ārējā tranzīta procedūru, ja izvešanas muitas iestāde ir nosūtītāja muitas iestāde ārējā tranzīta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šīs preces ir saņēmušas šā likuma 20.pantā minētās organizācijas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Ja par šā panta 18.</w:t>
            </w:r>
            <w:r w:rsidR="00000000" w:rsidRPr="00000000" w:rsidDel="00000000">
              <w:rPr>
                <w:vertAlign w:val="superscript"/>
                <w:rtl w:val="0"/>
              </w:rPr>
              <w:t xml:space="preserve">1</w:t>
            </w:r>
            <w:r w:rsidR="00000000" w:rsidRPr="00000000" w:rsidDel="00000000">
              <w:rPr>
                <w:rtl w:val="0"/>
              </w:rPr>
              <w:t xml:space="preserve"> daļā minētajām akcīzes precēm, ko taksācijas periodā pārvieto saskaņā ar šā panta 18.</w:t>
            </w:r>
            <w:r w:rsidR="00000000" w:rsidRPr="00000000" w:rsidDel="00000000">
              <w:rPr>
                <w:vertAlign w:val="superscript"/>
                <w:rtl w:val="0"/>
              </w:rPr>
              <w:t xml:space="preserve">1</w:t>
            </w:r>
            <w:r w:rsidR="00000000" w:rsidRPr="00000000" w:rsidDel="00000000">
              <w:rPr>
                <w:rtl w:val="0"/>
              </w:rPr>
              <w:t xml:space="preserve"> daļu, 15 dienu laikā pēc taksācijas perioda beigām Valsts ieņēmumu dienestam netiek iesniegti šā panta 18.</w:t>
            </w:r>
            <w:r w:rsidR="00000000" w:rsidRPr="00000000" w:rsidDel="00000000">
              <w:rPr>
                <w:vertAlign w:val="superscript"/>
                <w:rtl w:val="0"/>
              </w:rPr>
              <w:t xml:space="preserve">2</w:t>
            </w:r>
            <w:r w:rsidR="00000000" w:rsidRPr="00000000" w:rsidDel="00000000">
              <w:rPr>
                <w:rtl w:val="0"/>
              </w:rPr>
              <w:t xml:space="preserve"> daļā minētie dokumenti, apstiprināts noliktavas turētājs samaksā nodokli atbilstoši šajā likumā noteiktajai nodokļa likmei. Ja attiecīgos dokumentus iesniedz pēc noteiktā termiņa, bet ne vēlāk kā triju gadu laikā pēc šā termiņa, samaksāto nodokli pārskaita turpmākajiem nodokļa maksājumiem vai pēc attiecīgā nodokļa maksātāja rakstveida pieprasījuma atmaksā 30 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likuma "Par akcīzes nodokli" 25.panta četrpadsmitajā un piecpadsmitajā daļā atcelti. Likuma 25.pants papildināts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 un 18.</w:t>
            </w:r>
            <w:r w:rsidR="00000000" w:rsidRPr="00000000" w:rsidDel="00000000">
              <w:rPr>
                <w:vertAlign w:val="superscript"/>
                <w:rtl w:val="0"/>
              </w:rPr>
              <w:t xml:space="preserve">3 </w:t>
            </w:r>
            <w:r w:rsidR="00000000" w:rsidRPr="00000000" w:rsidDel="00000000">
              <w:rPr>
                <w:rtl w:val="0"/>
              </w:rPr>
              <w:t xml:space="preserve">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25. pantu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 un 18.</w:t>
            </w:r>
            <w:r w:rsidR="00000000" w:rsidRPr="00000000" w:rsidDel="00000000">
              <w:rPr>
                <w:vertAlign w:val="superscript"/>
                <w:rtl w:val="0"/>
              </w:rPr>
              <w:t xml:space="preserve">3</w:t>
            </w:r>
            <w:r w:rsidR="00000000" w:rsidRPr="00000000" w:rsidDel="00000000">
              <w:rPr>
                <w:rtl w:val="0"/>
              </w:rPr>
              <w:t xml:space="preserve"> daļu šādā redakcijā: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1. un 2.pantu, secīgi nav atbalstāmi arī grozījumi likuma "Par akcīzes nodokli" 28.pantā.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 un rosinātie grozījumi likuma "Par akcīzes nodokli" 28.pantā  tiek atsaukti.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likumprojekta 1., 2. un 4. pantu ir svītrojams anotācijas 1.3. sadaļā problēmas apraksts un risinājuma apraksts attiecībā uz  dīzeļdegvielas, kuru izmanto lauksaimniecībā, marķēšanu. Atzīmējam, ka atbilstoši Direktīvā Nr. 2003/96/EK noteiktajam, dīzeļdegvielas, kurām piemēro zemāku akcīzes nodokļa likmi nekā pamatlikmi, ir jāmarķē saskaņā ar Padomes 1995.gada 27. novembra Direktīvu 95/60/EK par vieglās dīzeļdegvielas un petrolejas fiskālu marķēšanu. Un šī prasība nav ES dalībvalsts brīva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aprakstā nav paskaidrots, kāda veidā Lauku atbalsta dienests var nodrošināt lauksaimniekiem piešķirtās marķētās dīzeļdegvielas izlietojuma uzraudzību. Tāpat nav paskaidrots, kādas papildus izmaksas (centi uz litru) veidojas marķējot dīzeļdegvielu lauksaimniekiem. Jāpiebilst, ka tādas pašās izmaksas veidojas arī tiem marķētās dīzeļdegvielas patērētājiem, kuri to izmanto, piemēram, apkurē. Turklāt anotācijā nav sniegta informācija par veiktajam pēcpārbaudēm pie lauksaimniekiem, piemēram, pēdējos piecos gados, un par tajās konstatētajām neatbilstībām attiecībā uz marķētās dīzeļdegvielas izlietošanu.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ietvertie grozījumi rada fiskālo ietekmi uz valsts budžetu, tostarp anotācijas 2.sadaļā ir minēts, ka pozitīvi ietekmēs aptuveni 16 000 personu (lauksaimnieku un zivsaimnieku), kas piesakās marķētās dīzeļdegvielas saņemšanai, kā arī komersantus, kas veic darbības ar naftas produktiem, lūdzam aizpildīt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grozījums nerada fiskālo ietekmi uz valsts budžetu vai pašvaldību budžetiem. Ar minēto likuma grozījumu netiek mainīts marķētās dīzeļdegvielas kopējais finansējuma apjoms, tas neparedz jauna atbalsta veida ieviešanu un nepaplašina atbalsta saņēmēju loku, bet tikai precizē esošo ieņēmumu izvērtēšanas kārtību un marķētās degvielas piešķiršanas nosacījumus. Šajā gadījumā minētā ietekme uz personām nav uzskatāma par fiskālu ietekmi, bet raksturo administratīvo procedūru piemērošanas elastību esošā finansējuma ietvaros. Anotācijas 2. sadaļā norādītais aptuvenais 16 000 personu skaits (lauksaimnieki un zivsaimnieki), kas piesakās marķētās dīzeļdegvielas saņemšanai, raksturo jau esošo marķētās dīzeļdegvielas saņēmēju loku. Norādītā pozitīvā ietekme uz minētajām personām saprotama kā elastīgāka ieņēmumu izvērtēšanas pieeja un marķētās dīzeļdegvielas piešķiršanas nosacījumu piemērošana, kas attiecas uz visiem līdzšinējiem saņēmējiem, nevis uz finansiāla rakstura pasākumu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3. sadaļā ir pamatoti norādīts, ka fiskālā ietekme  uz budžetu neveidojas. Anotācijas 3. sadaļa ir papildināta,  skaidrojot, kāpēc fiskālā ietekme uz valsts budžetu neveidosies.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15.01.2026. 09:19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minēts, ka ieņēmumi no lauksaimnieciskās ražošanas vai akvakultūras produkcijas ražošanas tiks vērtēti par diviem noslēgtajiem taksācijas gadiem kā kritērijs marķētās dīzeļdegvielas saņemšanai, tas sniegs iespēju lauksaimniecības produkcijas ražotājiem izvēlēties </w:t>
            </w:r>
            <w:r w:rsidR="00000000" w:rsidRPr="00000000" w:rsidDel="00000000">
              <w:rPr>
                <w:u w:val="single"/>
                <w:rtl w:val="0"/>
              </w:rPr>
              <w:t xml:space="preserve">finansiāli labāko</w:t>
            </w:r>
            <w:r w:rsidR="00000000" w:rsidRPr="00000000" w:rsidDel="00000000">
              <w:rPr>
                <w:rtl w:val="0"/>
              </w:rPr>
              <w:t xml:space="preserve"> taksācijas gadu. Tāpat anotācijas 2.sadaļā ir norādīts, ka likumprojekts </w:t>
            </w:r>
            <w:r w:rsidR="00000000" w:rsidRPr="00000000" w:rsidDel="00000000">
              <w:rPr>
                <w:u w:val="single"/>
                <w:rtl w:val="0"/>
              </w:rPr>
              <w:t xml:space="preserve">pozitīvi ietekmēs</w:t>
            </w:r>
            <w:r w:rsidR="00000000" w:rsidRPr="00000000" w:rsidDel="00000000">
              <w:rPr>
                <w:rtl w:val="0"/>
              </w:rPr>
              <w:t xml:space="preserve"> lauksaimniekus un zivsaimniekus, kas piesakās dīzeļdegvielas saņemšanai, un to skaits ir aptuveni 16 000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paredzama ietekme uz valsts budžetu. Kamēr nav aprēķināta fiskālā ietekme uz valsts budžetu un atspoguļota anotācijas 3.sadaļā, nevaram atbalstīt likumprojekta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fiskālās ietekmes veidošanos uz valsts budžetu nav pamatots, jo likumprojekts neparedz jaunu atbalsta pasākumu ieviešanu, papildu finansējuma piešķiršanu vai normatīvajos aktos noteikto marķētās dīzeļdegvielas limitu maiņu, bet gan precizē esošā atbalsta saņemšanas kritēriju piemērošanas kārtību. Ieņēmumu izvērtēšana par diviem noslēgtajiem taksācijas gadiem kā kritērijs marķētās dīzeļdegvielas saņemšanai nodrošina objektīvāku atbalsta piemērošanu, saglabājot piešķiršanas kārtības pamatprincipus, normatīvajos aktos noteiktos apjomus un limitus, kā arī samazinātās akcīzes nodokļa likmes piemērošanas nosacījumus. Līdz ar to grozījums pats par sevi neparedz papildu fiskālo slogu valsts budžetam, bet ir vērsts uz ieņēmumu svārstību negatīvās ietekmes mazināšanu lauksaimniecības un akvakultūras produkcijas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pozitīvais efekts attiecībā uz aptuveni 16 000 lauksaimniecības un zivsaimniecības nozarē strādājošajām personām ir saistāms ar atbalsta piešķiršanas nosacījumu pilnveidi un piemērošanas elastību šīm personām, nevis ar izmaiņām fiskālā rakstura pasākumos. Tas uzlabo atbalsta saņemšanas paredzamību un taisnīgumu, bet neietekmē valsts budžeta ieņēmumu vai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īstenošana nerada ietekmi uz valsts budžetu un anotācijas 3. sadaļā ir pamatoti norādīts, ka fiskālā ietekme neveidojas, tostarp ir papildināta anotācijas 3. sadaļa,  skaidrojot, kāpēc fiskālā ietekme uz valsts budžetu neveidosies.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likuma “Par akcīzes nodokli” (turpmāk – likums)  25.panta četrpadsmitajā daļā ir noteikts, ka apstiprinātam noliktavas turētājam atļauts atlikto nodokļa maksāšanu piemērot tām akcīzes precēm, uz kurām neattiecas likuma 25. panta devītajā daļā noteiktais dokuments un datorizētās sistēmas izmantošanas nosacījumi, ja šīs preces no akcīzes preču noliktavas Latvijā pārvieto uz citu akcīzes preču noliktavu Latvijā vai uz ārvalsti (arī dalībvalsti) vai teritoriju, kura minēta likuma 2.panta 3.</w:t>
            </w:r>
            <w:r w:rsidR="00000000" w:rsidRPr="00000000" w:rsidDel="00000000">
              <w:rPr>
                <w:vertAlign w:val="superscript"/>
                <w:rtl w:val="0"/>
              </w:rPr>
              <w:t xml:space="preserve">1</w:t>
            </w:r>
            <w:r w:rsidR="00000000" w:rsidRPr="00000000" w:rsidDel="00000000">
              <w:rPr>
                <w:rtl w:val="0"/>
              </w:rPr>
              <w:t xml:space="preserve"> daļā, vai uz muitas iestādi, kas vienlaikus ir nosūtītāja muitas iestāde ārējā tranzīta procedūrā izlaišanai eksportam; piegādā likuma 20.pantā minētajām personām vai organizācijām citā dalībvalstī;  ieved Latvijā no citas ārvalsts (arī dalībvalsts) vai no teritorijas, kura minēta likuma 2.panta 3.</w:t>
            </w:r>
            <w:r w:rsidR="00000000" w:rsidRPr="00000000" w:rsidDel="00000000">
              <w:rPr>
                <w:vertAlign w:val="superscript"/>
                <w:rtl w:val="0"/>
              </w:rPr>
              <w:t xml:space="preserve">1</w:t>
            </w:r>
            <w:r w:rsidR="00000000" w:rsidRPr="00000000" w:rsidDel="00000000">
              <w:rPr>
                <w:rtl w:val="0"/>
              </w:rPr>
              <w:t xml:space="preserve"> daļā, pārvietošanai uz akcīzes preču noliktavu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likuma 25.panta piecpadsmitajā daļā noteikts, ka apstiprināts noliktavas turētājs, kas veic likuma 25.panta panta četrpadsmitajā daļā minētās darbības, nemaksā nodokli, ja Valsts ieņēmumu dienestam tiek iesniegti dokumenti vai nodokļa deklarācijai pievienots apstiprināts to uzskaitījums, kas apliecina, ka likuma 25.panta panta četrpadsmitajā daļā minētās akcīzes preces atbilst vienam no šādiem nosacījumiem: preces saņemtas akcīzes preču noliktavā Latvijā; preces izvestas no Latvijas un saņemtas citā dalībvalstī;  preces izvestas no Latvijas uz ārvalsti, kas nav dalībvalsts, vai uz teritoriju, kura minēta šā likuma 2.panta 3.</w:t>
            </w:r>
            <w:r w:rsidR="00000000" w:rsidRPr="00000000" w:rsidDel="00000000">
              <w:rPr>
                <w:vertAlign w:val="superscript"/>
                <w:rtl w:val="0"/>
              </w:rPr>
              <w:t xml:space="preserve">1</w:t>
            </w:r>
            <w:r w:rsidR="00000000" w:rsidRPr="00000000" w:rsidDel="00000000">
              <w:rPr>
                <w:rtl w:val="0"/>
              </w:rPr>
              <w:t xml:space="preserve"> daļā, vai tās ir izlaistas eksportam, piemērojot ārējā tranzīta procedūru, ja izvešanas muitas iestāde ir nosūtītāja muitas iestāde ārējā tranzīta procedūrā; preces ir saņēmušas likuma 20.pantā minētās organizācijas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regulējumu no Latvijas uz dalībvalstīm tiek pārvietoti naftas produkti ar Kombinētās nomenklatūras (turpmāk – KN) kodiem 2710 19 91 un 2710 19 99. Pati par sevi tā situācija būtu pieņemama, ja vien šo regulējumu neizmantotu ļaunprātīgi. Pēdējos gados vairākkārtīgi ir konstatēts, ka šīs normas izmanto viltotu naftas produktu pārvietošanai, proti, no pamatizejvielas – dīzeļdegvielas jeb gāzeļļas (71-90%), pievienojot bāzes eļļas un piedevas, tiek saražoti naftas produkti, kuriem komersanti piemēro KN kodus 2710 19 91 un 2710 19 99. Testējot šo produktu paraugus, noteikts, ka paraugi satur triacetīnu. Saskaņā ar VID rīcībā esošo informāciju, tādas piedevas kā triacetīns, bis-(2-etilheksil)-adipināts u.c. esteru saturošas piedevas, kas neatbilst terminam “biokomponenti” KN 27.nodaļas izpratnē, pievienojot tās nelielos daudzumos, būtiski nemaina degvieleļļas pamatīpašības, bet maina maisījuma pārziepjošanas skaitli (tas kļūst vienāds ar 4 vai lielāks), kā rezultātā tiek nepamatoti piemērots KN kods 2710 19 91 vai 2710 19 99, bet faktiski naftas produkts atbilst KN kodam 2710 19 62, kas ir harmonizēta akcīzes prece, un kuras pārvietošana ES ir stingri reglamentēta. Tādējādi, pārvietojot no Latvijas viltotos naftas produktus – (dizainēto degvielu) uz citām ES dalībvalstīm un nododot to tur patēriņam kā neakcīzes preci, notiek izvairīšanās no akcīzes nodokļa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naftas produkti ar KN kodiem 2710 19 91 un 2710 19 99 tiks iekļauti energoproduktu direktīvā, kas nozīmē, ka uz tiem attieksies Eiropas Savienībā vienotā akcīzes preču aprites kārtība, bet šobrīd nav skaidrs energoproduktu direktīvas spēkā stāšanās laiks, lai ierobežotu “dizainētās degvielas” izplatīšanu Eiropas Savienības tirgū un attiecīgi krāpšanos ar akcīzes nodokli, nacionālajā līmenī jau šobrīd nepieciešams noteikt nosacījumus tās pārvietošanai uz citu Eiropas Savienības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ar likumprojektu nepieciešams precizēt likuma “Par akcīzes nodokli” 25.panta četrpadsmito un piecpadsmito daļu, nosakot, ka apstiprināts noliktavas turētājam atļauts piemērot atlikto akcīzes nodokļa maksāšanu tām akcīzes precēm,  uz kurām neattiecas likuma 25.panta panta devītajā daļā noteiktais dokuments un datorizētās sistēmas izmantošanas nosacījumi, ja šīs preces  no akcīzes preču noliktavas Latvijā pārvieto uz akcīzes preču noliktavu Latvijā vai citā dalībvalstī. Nemaksāt akcīzes nodokli apstiprināts noliktavas turētājs būs tiesīgs tikai tad, ja Valsts ieņēmumu dienestam tiks iesniegti dokumenti vai nodokļa deklarācijai pievienots apstiprināts to uzskaitījums, kas apliecina, ka likuma 25. panta četrpadsmitajā daļā minētās akcīzes preces saņemtas akcīzes preču noliktavā Latvijā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papildināt likumprojektu ar jauniem pantiem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25. panta četrpadsmitajā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punkta “a” apakšpunktu aiz vārdiem “Latvijas Republikā” ar vārdiem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punkta “b” apakšpunktā vārdus iekavās “(arī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 panta piecpadsmitajā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aiz vārdiem “Latvijas Republikā “ ar vārdiem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punktu, attiecīgi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pantu par grozījumiem likuma 25. panta četrpadsmitajā un piecpadsmitajā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akcīzes nodokli"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26-TA-32</w:t>
    </w:r>
    <w:r>
      <w:br/>
    </w:r>
    <w:r w:rsidR="00000000" w:rsidRPr="00000000" w:rsidDel="00000000">
      <w:rPr>
        <w:rtl w:val="0"/>
      </w:rPr>
      <w:t xml:space="preserve">27.06.2026. 13.02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26-TA-32</w:t>
    </w:r>
    <w:r>
      <w:br/>
    </w:r>
    <w:r w:rsidR="00000000" w:rsidRPr="00000000" w:rsidDel="00000000">
      <w:rPr>
        <w:rtl w:val="0"/>
      </w:rPr>
      <w:t xml:space="preserve">27.06.2026. 13.02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Izziņa_26-TA-32.docx</dc:title>
</cp:coreProperties>
</file>

<file path=docProps/custom.xml><?xml version="1.0" encoding="utf-8"?>
<Properties xmlns="http://schemas.openxmlformats.org/officeDocument/2006/custom-properties" xmlns:vt="http://schemas.openxmlformats.org/officeDocument/2006/docPropsVTypes"/>
</file>