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25-TA-640: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un saskaņotību ar VUGD vadlīnijām, lūdzam precizēt Noteikumu projekta prasības par telpu pārbūvi vai atjaunošanu (Noteikumu projekta 14.punkts), pielāgojot tās III kategorijas patvertņu ierīkošanai, nodrošinot to atbilstību VUGD vadlīnijām: https://www.vugd.gov.lv/lv/vadlinijas-rekomendacijas-par-minimalajam-prasibam-iii-kategorijas-patvertnes-ierikosanai, vienlaikus neparedzot, ka prasības, kas piemērotas MK noteikumu ietvaros, ir stingrākas, nekā tas noteikts VUGD vadlīnijas (obligātie un vēlamie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Iekšlietu ministriju izvērtēja un pārskatīja Noteikumu projektā norādītās minimālās funkcionālās prasības atbilstoši 2025. gada 26. martā publicētajām aktuālajām Vadlīnijām par minimālajām prasībām III kategorijas patvertnes ierīkošanai. Vienlaikus skaidrojam, ka noteikumu projektā ietverto patvertņu funkcionālo prasību mērķis ir noteikt minimālās obligātajās prasības, nedublējot visas Valsts ugunsdzēsības un glābšanas dienesta (turpmāk – VUGD) izstrādāto vadlīniju “Vadlīnijas (rekomendācijas) par minimālajām prasībām III kategorijas patvertnes ierīkošanai” prasības, tādējādi nodrošinot elastību. Vienlaikus projektu ietvaros patvertņu atbilstību vadlīniju prasībām vērtēs arī VUGD. Skat.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pamatotus komentārus par izstrādāto MK noteikumu Projektu, tai skaitā pārrunātu neskaidros jautājumus, kas saistīti ar pielāgojamo objektu fukcionalitātes nodrošināšanu un atbilstību Valsts ugunsdzēsības un glābšanas dienesta (VUGD) vadlīnijām, LLPA ir aicinājusi uz diskusiju Iekšlietu ministrijas, VUGD  un Viedās administrācijas un reģionālās attīstības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 plānota 02.04.2025. Vairāk iebildumus un/vai priekšlikumus LLPA sniegs pēc diskusijas.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jautājumi, kas saistīti ar pielāgojamo objektu funkcionalitātes nodrošināšanu un to atbilstību VUGD vadlīnijām, tika detalizēti pārrunāti 2025. gada 2. aprīļa diskusijā, kurā piedalījās pārstāvji no Iekšlietu ministrijas, VUGD un Viedās administrācijas un reģionālās attīstības ministrijas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laikā tika precizēti neskaidrie aspekti un rasts kopīgs skatījums uz risinājumiem, kas iekļauti aktuālajā noteikumu projekta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4.punktā minētais par ieguldījumu veikšanu pilsētu funkcionālajās teritorijās ir pretrunā ar 11.punktā noteikto pasākuma mērķa grupu “visi Latvijas Republikas iedzīvotāji”, jo visi Latvijas iedzīvotāji nedzīvo pilsētās vai to funkcionālajās teritorijās. Paredzot atbalstu patvertņu izveidei tikai pilsētu teritorijās, tiek aizskartas cilvēka pamattiesības – tiesības uz dzīvību – un tiek pārkāpts Latvijas Republikas Satversmes 93.pantā noteiktais, ka “Ikviena tiesības uz dzīvību aizsargā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Savienības kohēzijas politikas programmu 2021.-2027. gadam atbalsts 5.1.1. specifiskā atbalsta mērķa “Vietējās teritorijas integrētās sociālās, ekonomiskās un vides attīstības un kultūras mantojuma, tūrisma un drošības veicināšana pilsētu funkcionālajās teritorijās” (turpmāk – 5.1.1.SAM) ietvaros tiek veikts, balstoties uz integrētajām teritoriju attīstības stratēģijām – piecām plānošanas reģionu attīstības programmām un tām pakārtotām vietējo pašvaldību attīstības programmām, un ieguldījumi 5.1.1.SAM ietvaros tiek veikti pilsētu funkcionālajās teritorijās, kas ir nacionālas un reģionālas nozīmes attīstības centri, atbilstoši stratēģijā “Latvija 2030” noteiktajam un to apkārtējās teritorijas. Lai nodrošinātu teritoriālo pieeju plānošanā, konkrētas pilsētu funkcionālās teritorijas, balstoties uz vienotu definīciju, tiek noteiktas plānošanas reģionu attīstības programmās, ko izstrādājuši plānošanas reģioni kopā ar pašvaldībām un apstiprinājusi attiecīgā plānošanas reģiona attīstības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Vienlīdzīgas attieksmes nodrošināšanai pret to pašvaldību iedzīvotājiem, kuru teritorijās vairums objektu, kurus iespējams pielāgot un aprīkot civilās aizsardzības mērķiem atbilstoši Vadlīnijām (rekomendācijām) par minimālajām prasībām III kategorijas patvertnes ierīkošanai (turpmāk – Vadlīnijas), atrodas cokola stāvos</w:t>
            </w:r>
            <w:r w:rsidR="00000000" w:rsidRPr="00000000" w:rsidDel="00000000">
              <w:rPr>
                <w:vertAlign w:val="superscript"/>
                <w:rtl w:val="0"/>
              </w:rPr>
              <w:t xml:space="preserve">1</w:t>
            </w:r>
            <w:r w:rsidR="00000000" w:rsidRPr="00000000" w:rsidDel="00000000">
              <w:rPr>
                <w:rtl w:val="0"/>
              </w:rPr>
              <w:t xml:space="preserve">, aicinām 5.1.1.9. pasākuma “Objektu (patvertņu) pielāgošana un aprīkošana civilās aizsardzības mērķiem” ietvaros aicinām prioritāri nesniegt atbalstu būvēm, kas atrodas pagraba vai pazemes stāvos, bet visām būvēm, kuru telpas iespējams pielāgot patvertnēm un aprīkot civilās aizsardzības mērķiem atbilstoši Vadlīnijām, neatkarīgi no objekta stāva.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5. punktu, lūdzam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Pasākuma ietvaros tiek atbalstīti Ministru kabineta rīkojumā par civilās aizsardzības mērķiem pielāgojamajiem un aprīkojamajiem objektiem (patvertnēm) (turpmāk - Ministru kabineta rīkojums) ietvertie objekti, </w:t>
            </w:r>
            <w:r w:rsidR="00000000" w:rsidRPr="00000000" w:rsidDel="00000000">
              <w:rPr>
                <w:i w:val="1"/>
                <w:u w:val="single"/>
                <w:rtl w:val="0"/>
              </w:rPr>
              <w:t xml:space="preserve">kurus plāno izveidot dažādu būvju pagrabstāvos vai pazemes stāvos, kā arī cokola stāvos atbilstoši Vadlīnijām (rekomendācijām) par minimālajām prasībām III kategorijas patvertnes ierīkošanai, kas izdotas pamatojoties uz Civilās aizsardzības un katastrofas pārvaldīšanas likuma 9. panta piekto daļu.</w:t>
            </w:r>
            <w:r w:rsidR="00000000" w:rsidRPr="00000000" w:rsidDel="00000000">
              <w:rPr>
                <w:i w:val="1"/>
                <w:rtl w:val="0"/>
              </w:rPr>
              <w:t xml:space="preserve"> Ministru kabineta rīkojumā norāda informāciju par projekta iesniedzēju, atbalstāmajiem objektiem, Eiropas Reģionālās attīstības fonda finansējumu un sasniedzamajām iznākuma rādītāja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atbalstīta pieeja, ka cokola stāva objekti var tikt atbalstīti patvertņu izveidei, aicinām palielināt objektam pieejamo atbalsta finansējuma apjomu nepieciešamo papildu būvdarbu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pārvērtēt Vadlīnijās noteikto platības ierobežojumu – 0,75 m</w:t>
            </w:r>
            <w:r w:rsidR="00000000" w:rsidRPr="00000000" w:rsidDel="00000000">
              <w:rPr>
                <w:vertAlign w:val="superscript"/>
                <w:rtl w:val="0"/>
              </w:rPr>
              <w:t xml:space="preserve">2</w:t>
            </w:r>
            <w:r w:rsidR="00000000" w:rsidRPr="00000000" w:rsidDel="00000000">
              <w:rPr>
                <w:rtl w:val="0"/>
              </w:rPr>
              <w:t xml:space="preserve"> uz vienu personu, ņemot vērā, ka šāda platība ir nepietiekama personai, kurai veselības un funkcionālo traucējumu dēļ ir pastāvīgs gultas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Cokola stāvs – ēkas stāvs vai tā daļa, kas attiecībā pret planēto zemes līmeni iedziļināts ne vairāk kā par pusi no telpas augstuma (Ministru kabineta 2021. gada 19. oktobra noteikumi Nr. 693 "Būvju vispārīgo prasību būvnormatīvs LBN 200-21").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izziņas 1. punktā (LLPA 31.03.2025. sniegtais priekšlikums)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šobrīd paredz esošu telpu  (pagrabstāvu, pazemes stāvu </w:t>
            </w:r>
            <w:r w:rsidR="00000000" w:rsidRPr="00000000" w:rsidDel="00000000">
              <w:rPr>
                <w:b w:val="1"/>
                <w:rtl w:val="0"/>
              </w:rPr>
              <w:t xml:space="preserve">vai cokolstāvu</w:t>
            </w:r>
            <w:r w:rsidR="00000000" w:rsidRPr="00000000" w:rsidDel="00000000">
              <w:rPr>
                <w:rtl w:val="0"/>
              </w:rPr>
              <w:t xml:space="preserve">) pārbūvi vai atjaunošanu, pielāgojot tās III kategorijas patvertņu ierīkošanai. Attiecīgi ir atbalstāms, ka cokola stāva objekti var tikt atbalstīti patvertņu izveidei (ja cokolstāva pazemes daļa, kura iedziļināta zemē ir vismaz 1,5 metri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vienotu pieeju visiem projektu iesniedzējiem un pēc iespējas lielāku civilās aizsardzības mērķiem pielāgojamo un aprīkoto objektu (patvertņu) pārklājumu pieejamā finansējuma ietvaros, Iekšlietu ministrija, sagatavojot Ministru kabineta rīkojumu par civilās aizsardzības mērķiem pielāgojamajiem un aprīkojamajiem objektiem (patvertnēm) (projekta ID: 25-TA-659), viena objekta pielāgošanai paredz vidējās izmaksas 45 813 </w:t>
            </w:r>
            <w:r w:rsidR="00000000" w:rsidRPr="00000000" w:rsidDel="00000000">
              <w:rPr>
                <w:i w:val="1"/>
                <w:rtl w:val="0"/>
              </w:rPr>
              <w:t xml:space="preserve">euro</w:t>
            </w:r>
            <w:r w:rsidR="00000000" w:rsidRPr="00000000" w:rsidDel="00000000">
              <w:rPr>
                <w:rtl w:val="0"/>
              </w:rPr>
              <w:t xml:space="preserve">, tai skaitā ERAF finansējumu 38 941 </w:t>
            </w:r>
            <w:r w:rsidR="00000000" w:rsidRPr="00000000" w:rsidDel="00000000">
              <w:rPr>
                <w:i w:val="1"/>
                <w:rtl w:val="0"/>
              </w:rPr>
              <w:t xml:space="preserve">euro </w:t>
            </w:r>
            <w:r w:rsidR="00000000" w:rsidRPr="00000000" w:rsidDel="00000000">
              <w:rPr>
                <w:rtl w:val="0"/>
              </w:rPr>
              <w:t xml:space="preserve">apmērā (atbilstoši Iekšlietu ministrijas 2025. gada 28.marta vēstulei Nr.1-23/799/25, kas nosūtīta pašvaldībām un to pārstāvošajām organizācijām). Vienlaikus tiek paredzēta elastība, proti, ja kādā no finansējuma saņēmēja objektiem rodas ERAF finansējuma ietaupījums, šo finansējumu attiecīgais finansējuma saņēmējs var izmantot, lai pielāgotu un aprīkotu secīgi nākamo tā objektu, kas iekļauts Iekšlietu ministrijas sagatavotā rīkojuma  projekta 2.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ar 11. punktu , aicinām (5) punktu izteikt sekojoša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Pasākuma ietvaros tatbalsts tiek sniegts pašvaldībām, kuras ir noteiktas kā finansējuma saņēmēji Ministru kabineta rīkojumā par ieguldījumu veikšanu civilās aizsardzības mērķiem pielāgojamos un aprīkojamos objektos (patvertnēs) (turpmāk - Ministru kabineta rīkojums) ietvertie objekti. Ministru kabineta rīkojumā norāda informāciju  pašvaldības nosaukumu, Eiropas Reģionālās attīstības fonda finansējumu un sasniedzamo iznākuma rādītāja vērtību (minimālo atbalstāmo objektu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attiecībā uz mērķa grupu. Vienlaikus skaidrojam, ka pasākuma mērķis ir esošu telpu pārbūve vai atjaunošana, pielāgojot tās III kategorijas patvertņu ierīkošanai, kas paredzētas cilvēku aizsardzībai no bīstamiem faktoriem, mazinot ārēja sprādziena triecienviļņa un šķembu ietekmi, kas rodas katastrofas, militāra iebrukuma vai kara gadījumā. Ievērojot minēto, pasākuma ietvaros plānots patvertņu pielāgošanai un aprīkošanai valsts un pašvaldību objektos, ņemot vērā Iekšlietu ministrijas informatīvo ziņojumu “Par tālāko rīcību patvertņu jautājumā” (Ministru kabineta 2024. gada 9. janvāra sēdes prot. Nr.1, 95.§, 23-TA-687; turpmāk – informatīvais ziņojums “Par tālāko rīcību patvertņu jautājumā”) un VUGD veiktās šo objektu apsekošanas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tiek atbalstīti Ministru kabineta rīkojumā par civilās aizsardzības mērķiem pielāgojamajiem un aprīkojamajiem objektiem (patvertnēm) (turpmāk - Ministru kabineta rīkojums) ietvertie objekti. Ministru kabineta rīkojumā norāda informāciju par projekta iesniedzēju, atbalstāmajiem objektiem, Eiropas Reģionālās attīstības fonda finansējumu un sasniedzamajām iznākuma rādītāja vērtībām.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noteiktais iznākuma rādītājs ir sasniegts, kad tiek pabeigtas projektā paredzētās esošu telpu pārbūves vai atjaunošanas un aprīkošanas darbības un ir saņemts Valsts ugunsdzēsības un glābšanas dienesta atzinums par objekta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pieejams normatīvais dokuments, kas noteiktu, pēc kādām konkrētām prasībām VUGD vērtēs patvertņu gatavību un izsniegs pozitīvu atzinumu par objekta atbilstību III kategorijas patvertnes prasībām, un attiecīgi pašvaldības nav informētas par minimālajām prasībām, kas būtu jāizpilda, lūdzam nepieciešamības gadījumā grozīt vai dzēst šo prasību no MK noteikuma projekta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noteiktais iznākuma rādītājs ir sasniegts, kad tiek pabeigtas projektā paredzētās esošu telpu pārbūves vai atjaunošanas un aprīkošanas darbības un ir saņemts Valsts ugunsdzēsības un glābšanas dienesta atzinums par objekta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pēc kādiem kritērijiem tiks noteikts Valsts ugunsdzēsības un glābšanas dienesta pozitīva atzinuma saņēmējs vai dzēst no Noteikumu 13. punkta šāda atzinuma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noteiktais iznākuma rādītājs ir sasniegts, kad tiek pabeigtas projektā paredzētās esošu telpu pārbūves vai atjaunošanas un aprīkošanas darbības un ir saņemts Valsts ugunsdzēsības un glābšanas dienesta atzinums par objekta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dotajā brīdī nav pieejams normatīvais dokuments, kas noteiktu, pēc kādām konkrētām prasībām VUGD vērtēs patvertņu gatavību un izsniegs pozitīvu atzinumu par objekta atbilstību III kategorijas patvertnes prasībām, un attiecīgi pašvaldības nav informētas par minimālajām prasībām, kas būtu jāizpilda, lūdzam nepieciešamības gadījumā grozīt vai dzēst šo prasību no Noteikumu projekta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neparedzēt stingrākas III patvertņu ierīkošanas prasības, kā tas noteikts VUGD vadlīnijās (obligātie un vēlamie)  un precizēt 14. punktā izvirzītās prasības saskaņotas ar VUGD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izziņas 1. punktā (LLPA 31.03.2025. sniegtais priekšlikums)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nosaka būtiskākos nosacījumus, kas jāņem vērā, izveidojot III kategorijas patvertni.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 un nepārprotamai prasību izpratnei un Noteikumu projekta sasaistei ar Vadlīnijām rosinām precizēt Noteikumu projekta 14.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Objekta atbilstību III kategorijas patvertnes prasībām nodrošina, izpildot vismaz </w:t>
            </w:r>
            <w:r w:rsidR="00000000" w:rsidRPr="00000000" w:rsidDel="00000000">
              <w:rPr>
                <w:i w:val="1"/>
                <w:u w:val="single"/>
                <w:rtl w:val="0"/>
              </w:rPr>
              <w:t xml:space="preserve">obligātos ieviešanas nosacījumus, kas norādīti Vadlīnijās (rekomendācijās) par minimālajām prasībām III kategorijas patvertnes ierīkošanai</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kā arī izziņas 1.punktā (LLPA 31.03.2025. sniegtais priekšlikums)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juridisko tehniku, MK noteikumos atsauces uz vadlīnijām netiek iekļautas, bet gan tiek norādītas konkrētas minimālās prasības. Vienlaikus, informācija par vadlīnijām (kurām ir rekomendējošs raksturs) tiek norādīta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14. punktu, kurā noteiktas III kategorijas patvertnes minimālās prasības, secinām, ka tajā nav iekļautas vairākas būtiskas prasības, kas paredzētas Valsts ugunsdzēsības un glābšanas dienesta izstrādātajās Vadlīnijās par minimālajām prasībām III kategorijas patvertnes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vadlīnijām un iedzīvotāju drošību, lūdzam izvērtēt iespēju noteikumu projektu papildināt ar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Dzeramā ūdens nodrošinājums: Patvertnē jāparedz piekļuve dzeramajam ūdenim, ievērojot higiēnas un sanitārās prasības (piemēram, ūdensvads, tvertnes, pudeles u.c.), vai jānosaka kārtība, kā to nodrošināt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Sanitārie un higiēnas apstākļi: Jānosaka konkrēti kritēriji – piemēram, viens labierīcību risinājums uz 40 cilvēkiem. Labierīcībām jābūt viegli kopjamām, neparedzot ārēju pakalpojumu izmantošanu (piemēram, asenizatoru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Cilvēkietilpības aprēķins: Vadlīnijās noteikts, ka patvertnes ietilpība aprēķināma, paredzot vismaz 0,75 m² uz vienu personu. Noteikumu projektā šī prasība nav iekļauta, taču tā ir būtiska drošības un plānošanas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Telpu piemērotība: Vadlīnijās norādīts, ka patvertnes platība nedrīkst būt mazāka par 20 m², un tās nedrīkst atrasties vietās ar pilsētas maģistrālajām inženierkomunikācijām vai apkures katliem. Šie aspekti projektā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Papildu aizsardzības pasākumi: Vadlīnijās rekomendēts nodrošināt griestu papildu balstus, lai novērstu iegruvuma risku. Noteikumu projektā šāda prasība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projektu, iekļaujot iepriekš minētās prasības vai sniedzot skaidrojumu, kā šie aspekti tiks ņemti vērā piemērošanas praksē, lai nodrošinātu skaidrību, tiesisko noteiktību un pilnīgu atbilstību Valsts ugunsdzēsības un glābšanas dienesta izstrādātajām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Iekšlietu ministriju izvērtēja un pārskatīja Noteikumu projektā norādītās minimālās funkcionālās prasības atbilstoši 2025. gada 26. martā publicētajām aktuālajām Vadlīnijām par minimālajām prasībām III kategorijas patvertnes ierīkošanai. Vienlaikus skaidrojam, ka noteikumu projektā ietverto patvertņu funkcionālo prasību mērķis ir noteikt minimālās obligātajās prasības, nedublējot visas VUGD izstrādāto vadlīniju “Vadlīnijas (rekomendācijas) par minimālajām prasībām III kategorijas patvertnes ierīkošanai” prasības, tādējādi nodrošinot elastību. Vienlaikus projektu ietvaros patvertņu atbilstību vadlīniju prasībām vērtēs arī VUGD. Skat.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informācijas pieejamības prasības – ēka aprīkota ar vizuālu zīmi, kas vēsta, ka ēkā atrodas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pasākuma mērķis ir cilvēku aizsardzība no bīstamiem faktoriem, ir īpaši svarīgi nodrošināt vienlīdzīgas iespējas visiem iedzīvotājiem.  Šobrīd  Valsts ugunsdzēsības un glābšanas dienesta Vadlīniju (rekomendāciju) par minimālajām prasībām III kategorijas patvertnes ierīkošanai 4.4. apakšpunktā ir ieteikums tikai sociālās aprūpes objektos zīmi  papildināt arī ar uzrakstu Braila rakstā. Vienlaikus, lai neierobežotu un nediskriminētu personas ar redzes traucējumiem, kuras dzīvo ārpus sociālās aprūpes centriem,  aicinām </w:t>
            </w:r>
            <w:r w:rsidR="00000000" w:rsidRPr="00000000" w:rsidDel="00000000">
              <w:rPr>
                <w:u w:val="single"/>
                <w:rtl w:val="0"/>
              </w:rPr>
              <w:t xml:space="preserve"> visas patvertņu zīmes papildināt arī ar uzrakstu Braila rakstā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šeit un citur tekstā izmantot terminu "piekļūstamība", kura nozīme ir plašāka nekā "pieejamība". Pieejamība nozīmē vides/objekta/pakalpojuma pieejamību vai esamību kopumā, savukārt piekļūstamība nozīmē, ka konkrētajai videi/objektam/pakalpojumam, t.sk. informācijai, ir iespēja fiziski piekļūt un to var lietot, izmantojot vairākus sensoros (redze, dzirde, tauste) kanālus. Tādējādi pieejamība var izslēgt piekļūstamību, savukārt piekļūstamība ietver arī pieejamību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informācijas piekļūstamības prasības – ēka aprīkota ar vizuālu zīmi, kas vēsta, tai skaitā Braila rakstā vai taktili, ka ēkā atrodas patvertne;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informācijas piekļūstamības prasības – ēka aprīkota ar vizuālu zīmi, kas vēsta, ka ēkā atrodas patvertne, tai skaitā, izvērtējot iespēju, pievienota norāžu plāksne vai zīme Braila rakstā un starptautiskā invaliditātes zīme;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iesnieguma pamatojošās dokumentācijas sagatavošanas izmaksas (izņemot projekta iesnieguma veidlapas aizpildīšanas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nereti ekspertīze un/vai izpēte ir priekšnosacījumus būvprojekta, būvniecības ieceres dokumentācijas vai būvprojektu minimālā sastāvā izstrādei, rosinām paplašināt tiešo attiecināmo izmaksu tvērumu un papildināt Noteikumu projekta 24.2. apakšpunktu ar jaunu apakšpunktu,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“24.2.3.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projekta iesnieguma pamatojošās dokumentācijas sagatavošanas izmaksas (izņemot projekta iesnieguma veidlapas aizpildīšanas izmaksas), tai skaitā, būvniecības ieceres dokumentācijas izstrāde visām projektā paredzētajām būvniecības darbībām, tehniskās apsekošanas, izpētes un ekspertīzes izmaksas, ja to veikšana ir priekšnosacījums būvniecības ieceres dokumentācijas izstrādei;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24.4.2.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tādiem, kas ir ugunsnoturīgi/ugunsizturīgi vai veidoti no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tādiem, kas ir ugunsizturīgi vai veidoti no degtnespējīgiem materiāliem, tai skaitā būvniecība, kas nodrošina ārēja sprādziena triecienviļņa ietekmes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ugunsdrošiem materiāliem, tai skaitā būvniecība, kas nodrošina ārēja sprādziena triecienviļņa ietekmes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24.4.2. 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“24.4.2. telpu vai telpu grupu ieejas durvju, lūku un citu evakuācijas ceļu risinājumu izveide vai esošo aizvietošana ar tādiem, kas ir ugunsnoturīgi/ugunsizturīgi vai veidoti no ugunsdrošiem materiāliem, tai skaitā būvniecība, kas nodrošina ārēja sprādziena triecienviļņa ietekmes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24.4.2. telpu vai telpu grupu ieejas durvju, lūku un citu evakuācijas ceļu risinājumu izveide vai esošo aizvietošana ar tādiem, kas ir ugunsizturīgi vai veidoti no degtnespējīgiem materiāliem, tai skaitā būvniecība, kas nodrošina ārēja sprādziena triecienviļņa ietekmes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sanitārtehniskā aprīkojuma iegāde un uzstādīšana, piemēram, sausās tualetes, tualešu teltis un citi, alternatīvi, autonomi tualešu risinājumi un to darbības nodrošināšanas papildaprīkojums;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aicinām paredzēt arī tāda  sanitārtehniskā aprīkojuma iegādi un uzstādīšanu, kas ir atbilstoši pielāgots personām ar kustību ierobežojumiem gan patstāvīgai lietošanai, gan aprūpei (piemēram, ja persona lieto inkontiences līdzekļus), kā arī aprīkojumu, kas ir nepieciešams vecākiem mazu bērnu aprūpei.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sanitārtehniskā aprīkojuma iegāde un uzstādīšana, piemēram, sausās tualetes, tualešu teltis un citi, alternatīvi, autonomi tualešu risinājumi un to darbības nodrošināšanas papildaprīkojums, tai skaitā atbilstoši pielāgots aprīkojums personām ar kustību ierobežojumiem un personām, kuras aprūpē mazus bērnus.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24.5.2. sanitārtehniskā aprīkojuma iegāde un uzstādīšana, piemēram, sausās tualetes, tualešu teltis un citi, alternatīvi, autonomi tualešu risinājumi un to darbības nodrošināšanas papildaprīkojums, tai skaitā atbilstoši pielāgots aprīkojums personām ar kustību ierobežojumiem un, kur iespējams, aprīkojums mazu bērnu aprūpei;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Maksimālais projekta īstenošanas ilgums ir divi gadi, bet ne ilgāk par 2029.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puses tiek norādīts uz gadījumiem, kad tiesību akti neparedz iztikt bez būvprojekta. Šī iemesla dēļ nepieciešams pagarināt projekta īstenošanas termiņu līdz maksimums trīs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paredzot, ka projekta ietvaros būs jāveic būvprojekta izstrāde vienlaicīgi vairākām patvertnēm, kas arī ir laikietilpīgs 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Maksimālais projekta īstenošanas ilgums ir trīs gadi, bet ne ilgāk par 2029.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5.1.1.9.  pasākums ir noteikts kā valdības prioritāri īstenojams civilās aizsardzības pasākums, kura ieviešana ir steidzama, lai sekmētu sabiedrības drošības un civilās aizsardzības stiprināšanu pēc iespējas ātrāk, ņemot vērā Iekšlietu ministrijas informatīvo ziņojumu “Par tālāko rīcību patvertņu jautājumā” (Ministru kabineta 2024. gada 9. janvāra sēdes prot. Nr.1, 95.§, 23-TA-687; turpmāk – informatīvais ziņojums “Par tālāko rīcību patvertņu jautājumā”) un VUGD veiktās šo objektu apsekošanas rezultātus un priekšlikumu pielāgot objektus, kas jau atbilst vai daļēji atbilst III kategorijas patvertņu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savlaicīgi plānot projektēšanas un iepirkumu procesus tajos atsevišķajos objektos, kuros paredzama kavēšanās kādā no posmiem, lai nodrošinātu mērķu sasniegšanu noteiktajā termiņā, vai arī – izslēgt šos objektus no atbalstāmo objektu saraksta, ko sagatavo Iekšlietu ministrija (atbilstoši Iekšlietu ministrijas 2025. gada 28.marta vēstulei Nr.1-23/799/25, kas nosūtīta pašvaldībām un to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projekta 35.punktā norādītais datums tiks precizēts atbilstoši tam, kad grozījumi Nr. 3 Eiropas Savienības kohēzijas politikas programmā 2021.-2027. gadam tiks iesniegti Eiropas Komisijai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Maksimālais projekta īstenošanas ilgums ir divi gadi, bet ne ilgāk par 2029. gada 31. decembri.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32.2.2. projekta ietekmi uz horizontālā principa "Vienlīdzība, iekļaušana, nediskriminācija un pamattiesību ievērošana" rādītāju – objektu skaits, kuros ir nodrošināta vides un informācijas piekļūstamība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dzēst vārdus iekavās "ja attiecināms". Skaidrojam, ka gadījumos, ja projekta ietvaros objektīvu apstākļu dēļ nebūs iespējams nodrošināt  iespēju iekļūt patvertnes telpās ar bērnu ratiņiem un cilvēkiem ratiņkrēslos patstāvīgi vai ar līdzcilvēku atbalstu, finansējuma saņēmējs norādīs vērtību "0". Šādi tiks iegūta pilnvērtīga informācija horizontālā principa "Vienlīdzība, iekļaušana, nediskriminācija un pamattiesību ievērošana" (turpmāk - HP)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redakcionāli precizēt punkta redakciju, lai finansējuma saņēmējam būtu  nepārprotami saprotams, ka ir jāuzkrāj dati par HP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izmantot HP rādītāju, kas ir attiecināms uz visiem </w:t>
            </w:r>
            <w:r w:rsidR="00000000" w:rsidRPr="00000000" w:rsidDel="00000000">
              <w:rPr>
                <w:u w:val="single"/>
                <w:rtl w:val="0"/>
              </w:rPr>
              <w:t xml:space="preserve">civilās aizsardzības pasākumiem</w:t>
            </w:r>
            <w:r w:rsidR="00000000" w:rsidRPr="00000000" w:rsidDel="00000000">
              <w:rPr>
                <w:rtl w:val="0"/>
              </w:rPr>
              <w:t xml:space="preserve">, tostarp patvertņu izveidošanu (rādītāji ir definēti HP Vadlīniju 4.pielikumā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32.2.2. horizontālā principa "Vienlīdzība, iekļaušana, nediskriminācija un pamattiesību ievērošana" rādītāju – civilās aizsardzības pasākumu,  kuros ir nodrošināti piekļūstami pakalpojumi un informācija personām ar funkcionēšanas ierobežojumiem,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redakciju un anotācijā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horizontālā principa "Vienlīdzība, iekļaušana, nediskriminācija un pamattiesību ievērošana" rādītāju – civilās aizsardzības pasākumu (objektu) skaits, kuros ir nodrošināti piekļūstami pakalpojumi un informācija personām ar funkcionēšanas ierobežojumiem, un īsteno vismaz vienu horizontālā principa vispārīgo un divas specifiskas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projekta saturu, var secināt, ka 5.1.1.9. pasākumam ir netieša, bet būtiska ietekme uz horizontālō principu "Vienlīdzība, iekļaušana, nediskriminācija un pamattiesību ievērošana" (turpmāk - HP) un personu ar invaliditāti vienlīdzīgām iespējām un tiesībām. Atbilstoši HP vadlīnijām [1] pasākumā kopumā ir jāīsteno 3 vispārīgas, 3 specifiskas HP darbības un jāpiemēro 1 HP rādītājs.  Attiecīgi lūdzam papildināt 8.1.9. sadaļu ar informāciju atbilstoši HP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netieša ietekme uz personu ar invaliditāti vienlīdzīgām iespējām. Noteikumu projekts paredz, ka patvertnēs ir jānodrošina vides un informācijas piekļūstamība personām ar ierobežotām pārvietošanās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tiks plānotas vispārīgas un specifiskas horizontālā principa "Vienlīdzība, iekļaušana, nediskriminācija un pamattiesību ievērošana" (turpmāk - HP) darbības,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vispārīgas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projekta vai finansējuma saņēmēja tīmekļa vietnē ir piekļūstama cilvēkiem ar funkcionēšanas ierobežojumiem,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vai finansējuma saņēmēja tīmekļa vietnē tiks norādīta informācija par projekta darbību īstenošanas vietas piekļūstamību cilvēkiem ar invaliditāti un funkcionāliem traucējumiem, vecākiem ar maziem bērniem un senioriem;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specifiskas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funkcionēšanas ierobežojumiem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vides un informācijas, aprīkojuma, informācijas tehnoloģiju risinājumu piekļūstamību personām ar dažādiem funkcionēšanas ierobežojumiem  (attiecīgi pievienojot dokumentus, piem. konsultāciju protokolus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civilās aizsardzības pasākumi, kuros ir ņemtas vērā personām ar funkcionēšanas ierobežojumiem vienlīdz efektīvas pakalpojumu un informācijas nodrošināšanas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8.1.9.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5.1.1.9.  pasākums ir noteikts kā valdības prioritāri īstenojams civilās aizsardzības pasākums, un to, ka pasākuma ietvaros paredzēts pielāgot un aprīkot jau esošus objektus – telpas vai telpu grupas, nodrošinot to atbilstību III kategorijas patvertņu prasībām, lai katastrofas, tās draudu, militāra iebrukuma vai kara gadījumā cilvēki varētu iekļūt patvertnē un izmantot to (t.i., pasākuma ietvaros netiks būvēti jauni objekti, bet tikai esošu objektu pielāgošana un aprīkošana, paredzot salīdzinoši nelielu atbalstu vienam objektam, indikatīvi 45 813 euro, tai skaitā ERAF finansējumu 38 941 euro apmērā), 2025.gada 11.aprīļa sanāksmē VARAM un Iekšlietu ministrijas pārstāvji vienojās ar Labklājības ministriju par minimālajām prasībām 5.1.1.9.pasākuma īstenošanā - finansējuma saņēmējam jānodrošina 1 vispārīgo un 2 specifiskās HP "Vienlīdzība, iekļaušana, nediskriminācija un pamattiesību ievērošana" darbības, veicinot personu ar invaliditāti vienlīdzīgas iespējas un tiesības, kā arī dzimumu līdztiesību. Iepriekš minētais risinājums ietver atvieglotas prasības, ievērojot, ka  Vadlīnijas horizontālā principa “Vienlīdzība, iekļaušana, nediskriminācija un pamattiesību ievērošana” īstenošanai un uzraudzībai (2021-2027) netiešas ietekmes gadījumos nosaka, ka finansējuma saņēmējam jānodrošina 3 vispārīgās un 3 specifiskās HP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mērķa grupa ir visi iedzīvotāji, noteikumu projektam ir netieša ietekme uz horizontālo principu "Vienlīdzība, iekļaušana, nediskriminācija  un pamattiesību ievērošana" un dzimumu līdztiesību. Atbilstoši HP vadlīnijām pasākumā kopumā ir jāīsteno 3 vispārīgas, 3 specifiskas HP darbības un jāpiemēro 1 HP rādītājs.Attiecīgi lūdzam papildināt anotāciju ar noteikumu projekta ietekmes uz dzimumu līdztiesību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ietekme uz horizontālo principu "Vienlīdzība, iekļaušana un nediskriminācija" un dzimumu līdztiesību. Veidojot patvertnes, tiks ņemtas vērā iedzīvotāju, kuru aprūpē ir mazi bērni, vajadzības. Piemēram, ja tas tehniski būs iespējams, tiks īstenota </w:t>
            </w:r>
            <w:r w:rsidR="00000000" w:rsidRPr="00000000" w:rsidDel="00000000">
              <w:rPr>
                <w:u w:val="single"/>
                <w:rtl w:val="0"/>
              </w:rPr>
              <w:t xml:space="preserve">HP specifiskā darbība</w:t>
            </w:r>
            <w:r w:rsidR="00000000" w:rsidRPr="00000000" w:rsidDel="00000000">
              <w:rPr>
                <w:rtl w:val="0"/>
              </w:rPr>
              <w:t xml:space="preserve">:  patvertnē tiks izveidota abiem dzimumiem  piekļūstama bērna aprūpes istaba/tualete/telpa, kā arī attiecīgas norādes, kur telpa ir atrodama.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projektos tiks plānotas </w:t>
            </w:r>
            <w:r w:rsidR="00000000" w:rsidRPr="00000000" w:rsidDel="00000000">
              <w:rPr>
                <w:u w:val="single"/>
                <w:rtl w:val="0"/>
              </w:rPr>
              <w:t xml:space="preserve">vispārīgas HP darbības</w:t>
            </w:r>
            <w:r w:rsidR="00000000" w:rsidRPr="00000000" w:rsidDel="00000000">
              <w:rPr>
                <w:rtl w:val="0"/>
              </w:rPr>
              <w:t xml:space="preserve">,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8.1.10. sadaļu un iepriekšējā izziņas 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savlaicīgi nodrošinātu nepieciešamos priekšdarbus un plānoto līdzfinansējuma apmēru objektu pielāgošanai patvertnei, lūdzam sniegt informāciju, kā plānots organizēt pasākumu – būs viena vai vairākas atlases?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plānota viena ierobežota projektu iesniegumu atlase, atbilstoši pasākumā pieejamajam ERAF finansējuma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vienotu pieeju visiem projektu iesniedzējiem un pēc iespējas lielāku civilās aizsardzības mērķiem pielāgojamo un aprīkoto objektu (patvertņu) pārklājumu pieejamā finansējuma ietvaros, Iekšlietu ministrija, sagatavojot Ministru kabineta rīkojumu par civilās aizsardzības mērķiem pielāgojamajiem un aprīkojamajiem objektiem (patvertnēm) (projekta ID: 25-TA-659), viena objekta pielāgošanai paredz vidējās izmaksas 45 813 </w:t>
            </w:r>
            <w:r w:rsidR="00000000" w:rsidRPr="00000000" w:rsidDel="00000000">
              <w:rPr>
                <w:i w:val="1"/>
                <w:rtl w:val="0"/>
              </w:rPr>
              <w:t xml:space="preserve">euro</w:t>
            </w:r>
            <w:r w:rsidR="00000000" w:rsidRPr="00000000" w:rsidDel="00000000">
              <w:rPr>
                <w:rtl w:val="0"/>
              </w:rPr>
              <w:t xml:space="preserve">, tai skaitā ERAF finansējumu 38 941 </w:t>
            </w:r>
            <w:r w:rsidR="00000000" w:rsidRPr="00000000" w:rsidDel="00000000">
              <w:rPr>
                <w:i w:val="1"/>
                <w:rtl w:val="0"/>
              </w:rPr>
              <w:t xml:space="preserve">euro</w:t>
            </w:r>
            <w:r w:rsidR="00000000" w:rsidRPr="00000000" w:rsidDel="00000000">
              <w:rPr>
                <w:rtl w:val="0"/>
              </w:rPr>
              <w:t xml:space="preserve"> apmērā (atbilstoši Iekšlietu ministrijas 2025. gada 28. marta vēstulei Nr.1-23/799/25, kas nosūtīta pašvaldībām un to pārstāvošajām organizācijām). Vienlaikus tiek paredzēta elastība, proti, ja kādā no finansējuma saņēmēja objektiem rodas ERAF finansējuma ietaupījums, šo finansējumu attiecīgais finansējuma saņēmējs var izmantot, lai pielāgotu un aprīkotu secīgi nākamo tā objektu, kas iekļauts Iekšlietu ministrijas sagatavotā rīkojuma  projekta 2. sarakstā. Iepriekš minētā kārtība tiks aprakstīta arī atlases nolikumā, tai skaitā, sadarbības iestāde, ja pasākuma ietvaros būs pieejams finansējums vai ERAF finansējuma ietaupījums, kuru finansējuma saņēmējs atteiksies izmantot, varēs uzaicināt nākamo projektu iesniedzēju, lai pielāgotu un aprīkotu secīgi nākamo objektu, kas iekļauts rīkojuma 2.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savlaicīgi veikt priekšdarbus un plānot līdzfinansējuma apmēru objektu pielāgošanai patvertnes vajadzībām atbilstoši normatīvajiem aktiem, lūdzam sniegt informāciju, vai minētā pasākuma ietvaros plānotas viena vai vairākas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izziņas punktā (LLPA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nosacījumu izpildi, plānošanas reģiona pārstāvis piedalās projektu iesniegumu vērtēšanas komisijā.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 gada plānošanas perioda vadības likuma 21.pants nosaka, ka projektu iesniegumu vērtēšanai sadarbības iestāde izveido projektu iesniegumu vērtēšanas komisiju, kuras sastāvā ir vismaz viens pārstāvis no atbildīgās iestādes, kuras pārziņā ir attiecīgais specifiskā atbalsta mērķis, un attiecīgās nozares ministrijas pārstāvis (ja attiecināms). Ministru kabinets var noteikt citus papildu nosacījumus projektu iesniegumu vērtēšanas komisijas izveidei</w:t>
            </w:r>
            <w:r w:rsidR="00000000" w:rsidRPr="00000000" w:rsidDel="00000000">
              <w:rPr>
                <w:u w:val="single"/>
                <w:rtl w:val="0"/>
              </w:rPr>
              <w:t xml:space="preserve">, ja tas izriet no Eiropas Savienības un Latvijas Republikas normatīvajiem aktiem.</w:t>
            </w:r>
            <w:r w:rsidR="00000000" w:rsidRPr="00000000" w:rsidDel="00000000">
              <w:rPr>
                <w:rtl w:val="0"/>
              </w:rPr>
              <w:t xml:space="preserve"> Aicinām papildināt noteikumu projekta anotāciju ar informāciju uz kāda normatīvā akta pamata plānošanas reģiona pārstāvis piedalīsies projekta iesniegumu vērtēšanas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Nodrošinot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nosacījumu izpildi, plānošanas reģiona pārstāvis piedalās projektu iesniegumu vērtēšanas komisijā.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noteiktais iznākuma rādītājs ir sasniegts, kad tiek pabeigtas projektā paredzētās esošu telpu pārbūves vai atjaunošanas un aprīkošanas darbības un ir saņemts Valsts ugunsdzēsības un glābšanas dienesta atzinums par objekta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no 2024. gada marta līdz 2024. gada novembrim apsekoja valsts un pašvaldību pazemes un pagrabstāvu telpas, lai novērtētu to atbilstību saskaņā ar Valsts ugunsdzēsības un glābšanas dienesta izstrādātajām vadlīnijām “Vadlīnijas (rekomendācijas) par minimālajām prasībām III kategorijas patvertnes ierīkošanai”, kā rezultāta tika apkopota informācija par šo telpu atbilstību vadlīniju (III kategorijas patvertņu) prasībām. Šobrīd noteikumu projekta 13. punkts paredzētu telpu - objektu atkārtotu apsekošanu, lai noteiktu patvertnes atbilstību vadlīniju prasībām, tomēr noprotams, ka šo noteikumu 13. punkta mērķis ir sagatavot atzinumu par 14. punktā minēto visu prasību izpildi. Lūdzam precizēt šo noteikumu 13. punktu, norādot, ka Valsts ugunsdzēsības un glābšanas dienestam atzinums ir jāsagatavo par šo noteikumu 14. punktā izvirzīto prasību izpildi. Atbilstoši minētajam, lūdzam veikt precizējumus arī anotācijas sadaļas ”1.3. Pašreizējā situācija, problēmas un risinājumi” apakšsadaļā ”Risinājuma apraksts”, 6.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12. punktā noteiktais iznākuma rādītājs ir sasniegts, kad tiek pabeigtas projektā paredzētās esošu telpu pārbūves vai atjaunošanas un aprīkošanas darbības un ir saņemts Valsts ugunsdzēsības un glābšanas dienesta atzinums par telpu atbilstību šo noteikumu 14. punktā noteiktajām III kategorijas patvertnes funkcionālajām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sienas un griesti veidoti no dzelzsbetona, blokiem, ķieģeļiem vai citiem līdzīgas izturības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ir labāk paredzēt telpās, kur ir dzelzsbetona pārsegums, tas var būt kā monolīti pārsegumi, tā dažādi paneļu pārsegumi. Pārsegumi no citiem izturīgiem materiāliem, piemēram ķieģeļu velves, nav uzskatāmi par drošiem. Sienu konstrukcija var būt no blokiem vai ķieģeļiem. Nepieciešams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arī finansējumu konstrukciju pastiprināšanai, tā kā konstrukciju drošums palielina patvertnes lietotāju aizsardzības līmeni. VUGD Vadlīnijas (rekomendācijas) par minimālajām prasībām III kategorijas patvertnes ierīkošanai, jau iesaka paredzēt papildu aizsardzību pret iegruvumiem.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pārsegumi izbūvēti no monolītā vai saliekamā dzelzsbetona, bet nesošās sienas izbūvētas no dzelzsbetona, blokmateriāliem (piemēram, keramzītbetona blokiem) vai citiem mehāniski izturīgiem būvmateriāliem. Nepieciešamības gadījumā nodrošināta papildus aizsardzība pret iegruvumiem.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Vienlaikus vēršam uzmanību uz to, ka nosacījums attiecībā uz sienu un griestu materiāliem izriet no 2025. gada 26. martā publicētajām aktuālajām Vadlīnijām par minimālajām prasībām III kategorijas patvertnes ierīkošanai (skat. vadlīniju apakšpunktu "1.5. Sienas un griestu pārsegumi ir uzbūvēti no dzelzsbetona, blokiem vai ķieģeļiem"). Noteikumu projekta mērķis nav noteikt stingrākas prasības nekā noteiktas vadlīnijās, tai skaitā nodrošinot VUGD jau identificēto objektu atbilstību vadlīnijās noteiktajām obligātajām prasībām (skat. arī izziņas 1. punkta skaidrojumu). Vienlaikus anotācija ir papildināta ar piedāvāto informāciju par esošajiem pārsegumiem tajos gadījumos, kad tie izbūvēti no attiecīgajiem materiāliem.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sienas un griesti veidoti no dzelzsbetona, blokiem, ķieģeļiem vai citiem līdzīgas izturības materiāliem;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ventilācijas un gaisa kvalitātes prasības – telpās vai telpu grupās nodrošināta ventilācija, tai skaitā elektroenerģijas padeves traucējumu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Šis punkts nepasaka, vai ir jāparedz elektro-manuāla ventilācijas sistēma, tā kā elektro apgādes traucējumu gadījumā arī dabīgā ventilācija nodrošina prasības. Kā arī tehniski var paredzēt ventilācijas iekārtu, kas pie elektrības atslēguma pieļauj gaisa cirkulāciju. Par elektro-manuālu ventilācijas sistēmu sauc, tādu, kas var darboties gan no elektrības, gan no cilvēka piedziņas. Ja atbildīgās institūcijas uzskata, ka patvertnēm jābūt aprīkotām ar elektro-manuālām ventilācijas iekārtām, tad to ir nepieciešams iekļaut 14.4 punkta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Nav noteikts, kāds ventilācijas ražīgums ir jāsasniedz. Piemēram LBN 210-25 notiekumu projekts paredz, ka ventilācijas sistēma nodrošina svaigu gaisu apjomā 9,7 m3/h uz faktiskās patvertnes telpas kvadrātmetru. Vai arī ir iespējams noteikt, ka patvertnē netiek pārsniegts konkrēts CO2 līmenis, piemēram 10000 ppm.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ventilācijas un gaisa kvalitātes prasības – telpās vai telpu grupās nodrošināta ventilācija, tai skaitā elektroenerģijas padeves traucējumu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noteikumos iekļauto prasību atbilstību Valsts ugunsdzēsības un glābšanas dienesta izstrādātajām </w:t>
            </w:r>
            <w:r w:rsidR="00000000" w:rsidRPr="00000000" w:rsidDel="00000000">
              <w:rPr>
                <w:i w:val="1"/>
                <w:rtl w:val="0"/>
              </w:rPr>
              <w:t xml:space="preserve">Vadlīnijām (rekomendācijām) par minimālajām prasībām III kategorijas patvertnes ierīkošanai</w:t>
            </w:r>
            <w:r w:rsidR="00000000" w:rsidRPr="00000000" w:rsidDel="00000000">
              <w:rPr>
                <w:rtl w:val="0"/>
              </w:rPr>
              <w:t xml:space="preserve">, lūdzam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14.1.apakšpunktu</w:t>
            </w:r>
            <w:r w:rsidR="00000000" w:rsidRPr="00000000" w:rsidDel="00000000">
              <w:rPr>
                <w:rtl w:val="0"/>
              </w:rPr>
              <w:t xml:space="preserve"> papildināt ar jaunu apakšpunktu, iekļaujot obligāti ieviešamu nosacījumu par telpu apdares materiāliem: </w:t>
            </w:r>
            <w:r w:rsidR="00000000" w:rsidRPr="00000000" w:rsidDel="00000000">
              <w:rPr>
                <w:i w:val="1"/>
                <w:rtl w:val="0"/>
              </w:rPr>
              <w:t xml:space="preserve">telpu apdarei izmantoti nedegoši un nedrūpoši materiāli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w:t>
            </w:r>
            <w:r w:rsidR="00000000" w:rsidRPr="00000000" w:rsidDel="00000000">
              <w:rPr>
                <w:b w:val="1"/>
                <w:rtl w:val="0"/>
              </w:rPr>
              <w:t xml:space="preserve">14.1.2.apakšpunktu</w:t>
            </w:r>
            <w:r w:rsidR="00000000" w:rsidRPr="00000000" w:rsidDel="00000000">
              <w:rPr>
                <w:rtl w:val="0"/>
              </w:rPr>
              <w:t xml:space="preserve">, paredzot, ka: </w:t>
            </w:r>
            <w:r w:rsidR="00000000" w:rsidRPr="00000000" w:rsidDel="00000000">
              <w:rPr>
                <w:i w:val="1"/>
                <w:rtl w:val="0"/>
              </w:rPr>
              <w:t xml:space="preserve">sienas un griestu pārsegumi ir uzbūvēti no dzelzsbetona, blokiem vai ķieģeļiem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14.2.1.apakšpunktu</w:t>
            </w:r>
            <w:r w:rsidR="00000000" w:rsidRPr="00000000" w:rsidDel="00000000">
              <w:rPr>
                <w:rtl w:val="0"/>
              </w:rPr>
              <w:t xml:space="preserve"> precizēt šādā redakcijā: “</w:t>
            </w:r>
            <w:r w:rsidR="00000000" w:rsidRPr="00000000" w:rsidDel="00000000">
              <w:rPr>
                <w:i w:val="1"/>
                <w:rtl w:val="0"/>
              </w:rPr>
              <w:t xml:space="preserve">nodrošināta iespēja iekļūt ar bērnu ratiņiem un cilvēkiem ratiņkrēslos patstāvīgi vai ar līdzcilvēku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14.5.1.apakšpunktu </w:t>
            </w:r>
            <w:r w:rsidR="00000000" w:rsidRPr="00000000" w:rsidDel="00000000">
              <w:rPr>
                <w:rtl w:val="0"/>
              </w:rPr>
              <w:t xml:space="preserve">papildināt šādā redakcijā: “</w:t>
            </w:r>
            <w:r w:rsidR="00000000" w:rsidRPr="00000000" w:rsidDel="00000000">
              <w:rPr>
                <w:i w:val="1"/>
                <w:rtl w:val="0"/>
              </w:rPr>
              <w:t xml:space="preserve">nodrošināti sanitārajām un higiēnas prasībām atbilstoši apstākļi, tai skaitā pieejamība dzeramajam ūdenim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w:t>
            </w:r>
            <w:r w:rsidR="00000000" w:rsidRPr="00000000" w:rsidDel="00000000">
              <w:rPr>
                <w:b w:val="1"/>
                <w:rtl w:val="0"/>
              </w:rPr>
              <w:t xml:space="preserve">anotācijā</w:t>
            </w:r>
            <w:r w:rsidR="00000000" w:rsidRPr="00000000" w:rsidDel="00000000">
              <w:rPr>
                <w:rtl w:val="0"/>
              </w:rPr>
              <w:t xml:space="preserve"> aprakstu par dzeramā ūdens pieejamības risinājumiem patvertnēs, norādot plānotās darbības to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24.4.apakšpunktu ar jauniem apakšpunktiem par ventilācijas un dzeramā ūdens sistēmu nodrošināšanu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telpām vai telpu grupām nepieciešamās ventilācijas (mehāniskās vai dabīgās) sistēmas atjaunošana vai pārbūve;2) telpām vai telpu grupām nepieciešamā dzeramā ūdens apgādes sistēmas atjaunošana vai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plānotajās telpās ir iepriekš minētās sistēmas un nav nepieciešama to izbūve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 kā arī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nodrošinot elastību, nav lietderīgi atsevišķas VUGD izstrādātajās Vadlīnijās (rekomendācijām) par minimālajām prasībām III kategorijas patvertnes ierīkošanai minētās prasības dublēt noteikumu projekta anotācijā, piemēram, FM priekšlikuma 5. punkta 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Objekta atbilstību III kategorijas patvertnes prasībām nodrošina, izpildot vismaz šādas funkcionālās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veida drošības apstākļi ir domāti MK noteikumu projekta 14.1. apakšpunktā, piemēram, ugunsdrošības, kiberdrošības, veselības un vides drošības u.c. Šāda precizēšana palīdzētu skaidri saprast, kādi drošības pasākumi jāievēro, veidojot un aprīkojot patvertnes, kā arī nodrošinātu vienotu normatīvo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noteikuma projektā iekļautajos apakšpunktos ir uzskaitīti drošības apstākļi, kas ir jāņem vērā, pielāgojot un aprīkojot telpas un telpu grupas, nodrošinot atbilstību III kategorijas patvertnes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veida drošības apstākļi ir domāti Noteikumu projekta projekta 14.1. apakšpunktā, piemēram, ugunsdrošības, kiberdrošības, veselības un vides drošības u.c. Šāda precizēšana palīdzētu skaidri saprast, kādi drošības pasākumi jāievēro, veidojot un aprīkojot patvertnes, kā arī nodrošinātu vienotu normatīvo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izziņas punktā (Rīgas metropole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drošības apstākļu nodrošināšana patvertnes telpās vai telpu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sienas un griesti veidoti no dzelzsbetona, blokiem vai citiem izturīgiem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materiāla blokiem jābūt, lai izpildītu MK noteikumu projekta 14.1.2. apakšpunktā minēto, piemēram, vai tie ir betona, ķieģeļu vai citu konkrētu materiālu bloki.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izziņas 1. punktā (LLPA 31.03.2025. sniegtais priekšlikums)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sienas un griesti veidoti no dzelzsbetona, blokiem, ķieģeļiem vai citiem līdzīgas izturības materiāliem;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 sienas un griesti veidoti no dzelzsbetona, blokiem vai citiem izturīgiem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precizēt, kāda materiāla blokiem jābūt, lai izpildītu Noteikumu projekta 14.1.2. apakšpunktā minēto, piemēram, vai tie ir betona, ķieģeļu vai citi konkrēti materiāli.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izziņas 1. punktā (LLPA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sienas un griesti veidoti no dzelzsbetona, blokiem, ķieģeļiem vai citiem līdzīgas izturības materiāliem;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ieejas durvis izgatavotas no ugunsdrošiem materiāliem (piemēram, no dzelzs);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VUGD  vadlīnijās tiek norādīts, ka “2.2. Patvertnes ieejām jābūt noslēgtām, lai mazinātu dūmu, putekļu un citu piesārņotāju iekļūšanu. Ieejas durvīm jābūt izgatavotām no nedegošiem materiāliem.”. Lūdzam jāprecizēt, kādi konkrēti materiāli un ugunsizturības prasības būtu attiecināmas uz ieejas durvīm, lai nodrošinātu atbilstību drošības standartiem, un tādējādi tiktu nodrošināta vienota pieeju un novērstas interpretācijas iespējas, jo parastas metāla durvis var apdraudēt patvertņu drošību - tās sakarst un viegli deformējs augstas temperatūras ietekmē.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izziņas 1. punktā (LLPA 31.03.2025. sniegtais priekšlikums) sniegto skaidrojumu. Vienlaikus aicinām konsultēties ar speciālistiem, t.sk. VUGD, kas varētu ieteikt attiecīgajam objektam piemērotākos risinājumus – konkrētus ugunsizturīgus materiālus (izvērtējot alternatīvas attiecīga objekta gadījumā, t.sk., lai nesadārdzinātu iespējamos risinājumus). MK noteikumu projektā netiek nosaukti konkrēti materiāli, lai nodrošinātu elastību konkrētu telpu vai telpu grupu pielāgošanā III kategorijas patvertnes prasībām, t.sk. neierobežojot potenciālo durvju piegādātāju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patvertnes ieejas ir noslēgtas, lai mazinātu dūmu, putekļu un citu piesārņotāju iekļūšanu, un ieejas durvis izgatavotas no degtnespējīgiem materiāliem;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ieejas durvis izgatavotas no ugunsdrošiem materiāliem (piemēram, no dzelzs);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un novērstu interpretācijas iespējas, lūdzam Noteikumu projekta 14.2.3. apakšpunktā precizēt ugunsizturības pakāpi ieejas durvīm. Parastas metāla durvis viegli kūst augstu temperatūru ietekmē, kas var apdraudēt patvertņu drošību. Turklāt, vadlīnijās no VUGD tiek norādīts, ka </w:t>
            </w:r>
            <w:r w:rsidR="00000000" w:rsidRPr="00000000" w:rsidDel="00000000">
              <w:rPr>
                <w:i w:val="1"/>
                <w:rtl w:val="0"/>
              </w:rPr>
              <w:t xml:space="preserve">“2.2. Patvertnes ieejām jābūt noslēgtām, lai mazinātu dūmu, putekļu un citu piesārņotāju iekļūšanu. Ieejas durvīm jābūt izgatavotām no nedegošiem materiāliem.”.</w:t>
            </w:r>
            <w:r w:rsidR="00000000" w:rsidRPr="00000000" w:rsidDel="00000000">
              <w:rPr>
                <w:rtl w:val="0"/>
              </w:rPr>
              <w:t xml:space="preserve"> Tādējādi būtu jāprecizē, kādi konkrēti materiāli un ugunsizturības prasības tiek attiecināmas uz ieejas durvīm, lai nodrošinātu atbilstību drošības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izziņas punktā (Rīgas metropole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patvertnes ieejas ir noslēgtas, lai mazinātu dūmu, putekļu un citu piesārņotāju iekļūšanu, un ieejas durvis izgatavotas no degtnespējīgiem materiāliem;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plānotais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Eiropas Reģionālās attīstības fonda finansējums 22 196 492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finansējums) – ne mazāks kā 3 917 028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skaidru nacionālā finansējuma sadali, norādot konkrētu valsts budžeta finansējuma apmēru un pašvaldību budžeta finansējuma apmēru, ņemot vērā noteikumu projekta 20.punktā norādītos projekta iesniedzējus un anotācijas 3.sadaļas 6.punktā norādīto informāciju, vai arī pievienot norādi, ka nacionālā finansējuma sadalījums pa avotiem tiks noteikts Ministru kabineta rīkojumā par civilās aizsardzības mērķiem pielāgojamajiem un aprīkojamajiem objektiem (patvertnēm), kuru īstenošana paredzētā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apstiprināts MK rīkojums par civilās aizsardzības mērķiem pielāgojamajiem un aprīkojamajiem objektiem (patvertnēm) (projekta ID: 25-TA-659), līdz ar to nav konkrēti zināma nacionālā finansējuma sadale, norādot konkrētu valsts budžeta finansējuma apmēru un pašvaldību budžeta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3.sadaļā “Tiesību akta projekta ietekme uz valsts budžetu un pašvaldību budžetiem” ir indikatīvi norādīts pašvaldību budžeta līdzfinansējuma un nacionālā līdzfinansējuma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2.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pieejamais kopējais attiecināmais finansējums ir ne mazāks kā 26 113 520 </w:t>
            </w:r>
            <w:r w:rsidR="00000000" w:rsidRPr="00000000" w:rsidDel="00000000">
              <w:rPr>
                <w:i w:val="1"/>
                <w:rtl w:val="0"/>
              </w:rPr>
              <w:t xml:space="preserve">euro</w:t>
            </w:r>
            <w:r w:rsidR="00000000" w:rsidRPr="00000000" w:rsidDel="00000000">
              <w:rPr>
                <w:rtl w:val="0"/>
              </w:rPr>
              <w:t xml:space="preserve">, tai skaitā Eiropas Reģionālās attīstības fonda finansējums 22 196 492 </w:t>
            </w:r>
            <w:r w:rsidR="00000000" w:rsidRPr="00000000" w:rsidDel="00000000">
              <w:rPr>
                <w:i w:val="1"/>
                <w:rtl w:val="0"/>
              </w:rPr>
              <w:t xml:space="preserve">euro </w:t>
            </w:r>
            <w:r w:rsidR="00000000" w:rsidRPr="00000000" w:rsidDel="00000000">
              <w:rPr>
                <w:rtl w:val="0"/>
              </w:rPr>
              <w:t xml:space="preserve">un nacionālais finansējums (valsts budžeta finansējums, pašvaldību finansējums) – ne mazāks kā 3 917 028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ierosinām paredzēt, ka projekta iesniedzējs iesniedz vienu projektu, vai anotācijā sniegt papildus informāciju par gadījumiem, kad viens projekta iesniedzējs iesniedz vairākus projektus. Papildus ierosinām izvērtēt nepieciešamību Ministru kabineta noteikumos paredzēt sadarbības partnera piesaistes iespēju projekta īstenošanā, ņemot vērā plānotajā Ministru kabineta rīkojuma pielikumā iekļauto aprīkojamo objektu (patvertņu) sarakstu un šo objektu īpašumtiesības, attiecīgi salāgojot šo noteikumu 41.punkta, kas regulē ieguldījumu objektu īpašumtiesības,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lielāku elastību un efektīvāku resursu sadali, lūdzam izvērtēt iespēju iesniedzējam veidot kopējo (summāro) ERAF līdzfinansējuma apjomu projektos, kas sastāv no vairākām īstenošanas adresēm/ēkām, nenosakot obligātu prasību, ka visiem objektiem ir vienāds ERAF līdzfinansējuma apmērs. Piemēram, ja vienai pašvaldībai MK rīkojumā noteiktas 10 patvertnes, kurām piešķirams ERAF līdzfinansējums par kopējo summu 440 000 EUR, tad projekta iesniedzējs šo kopējo ERAF līdzfinansējuma apmēru var pārdalīt starp objektiem un iekļauties kopējā atbalsta apmērā.  Šāda pieeja nodrošinātu ekonomiski pamatotu prioritāro objektu atlasi, ņemot vērā to ietilpību un izmantošanas efektivitāti.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paredz, ka projekta iesniedzējs var iesniegt projektu, kurā var iekļaut visus MK rīkojumā (projekta ID: 25-TA-659) iekļautos objektus par visu to pielāgošanai un aprīkošanai pieejamo finansējuma apjomu, kuru finansējuma saņēmējs var izmantot objektu pielāgošanai un aprīkošanai pēc vajadzības, vienlaikus nodrošinot visu objektu atbilstību III kategorijas patvertnes prasībām, proti, projekta ietvaros, pēc tā iesniegšanas sadarbības iestādē, jāievēro, ka netiek pārsniegts kopējais projekta ERAF finansējuma apmērs, savukārt objektu līmenī projekta iesniedzējs var plānot elastīgāku pieeju, atsevišķā objektā var tikt pārsniegts vienam objektam indikatīvi noteiktais finansējums, ja citu (tā paša projekta objektu) ir iespējams pielāgot un aprīkot par mazāku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minētais projekta iesniedzējs iesniedz vienu vai vairākus projektus, ievērojot, ka projektos paredzētais Eiropas Reģionālās attīstības fonda finansējums nepārsniedz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norādīto finansējumu un projektos plānotā iznākuma rādītāja vērtība nav mazāka kā Ministru kabineta rīkojumā norādītā iznākuma rādītāja vērtība.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Eiropas Reģionālās attīstības fonda finansējuma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19.punkta trešajā teikumā ietvert norādi, ka avansa un starpposma maksājumu kopsumma nepārsniedz 90 procentus no projektam piešķirtā Eiropas Reģionālās attīstības fonda finansējuma u</w:t>
            </w:r>
            <w:r w:rsidR="00000000" w:rsidRPr="00000000" w:rsidDel="00000000">
              <w:rPr>
                <w:u w:val="single"/>
                <w:rtl w:val="0"/>
              </w:rPr>
              <w:t xml:space="preserve">n valsts budžeta līdzfinansējuma kopsummas</w:t>
            </w:r>
            <w:r w:rsidR="00000000" w:rsidRPr="00000000" w:rsidDel="00000000">
              <w:rPr>
                <w:rtl w:val="0"/>
              </w:rPr>
              <w:t xml:space="preserve">, tādējādi nodrošinot atbilstību Ministru kabineta 2023.gada 25.aprīļa noteikumu Nr.205 “Valsts budžeta līdzekļu plānošanas kārtība Eiropas Savienības fondu projektu īstenošanai un maksājumu veikšanai 2021.–2027. gada plānošanas periodā” (turpmāk - MK noteikumi Nr.205) regulējumam, un to ka noteikumu projekts paredz valsts budžeta līdzekļu piesaisti.  Vienlaikus lūdzam noteikumu projekta anotācijā skaidrot, kāpēc tieši šāda avansa apmērs ir noteikts noteikumu projekta 19.punktā, jo MK noteikumi Nr.205 paredz 30% avansa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finansējuma un valsts budžeta līdzfinansējuma kopsummas. Ja finansējuma saņēmējs ir valsts kapitālsabiedrība vai valsts budžeta daļēji finansēta atvasināta publiska persona, kas projektu īsteno tai deleģēto valsts pārvaldes uzdevumu ietvaros, avansa un starpposma maksājumu kopsumma var būt 100 procenti no projektam piešķirtā Eiropas Reģionālās attīstības fonda finansējuma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valsts tiešās pārvaldes iestāde, pašvaldība vai tās izveidota iestāde, valsts vai pašvaldības kapitālsabiedrība, kas veic deleģēto pārvaldes uzdevumu izpildi, augstākās izglītības un zinātnes institūcija, kas īsteno studiju programmas un veic zinātnisko darbību, vai cita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 publisko tiesību juridiskā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publiskie resursi tiek piešķirti patvertņu izbūvei vai ierīkošanai un nodrošināšanai ar nepieciešamo aprīkojumu, kas ir saimnieciskās darbības veicēju īpašumā/lietojumā, publisko līdzekļu piešķiršana (jebkādā formā) iepriekš minēto darbību veikšanai ir jāvērtē komercdarbības atbalsta kontroles kontekstā, jo publisko līdzekļu piešķiršana saimnieciskās darbības veikšanai ir jāanalizē atbilstoši Komercdarbības atbalsta kontroles likuma (KAKL) 5.pantā noteiktajām pazīmēm un, ja tiktu secināts, ka atbalsts kvalificējams kā komercdarbības atbalsts (jo vienlaikus izpildās visas pazīmes), to ieviešanā ir jāpiemēro komercdarbības atbalsta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tiek pieļauta pasākuma ietvaros atbalstīto telpu izmantošana objekta īpašnieka vajadzībām, ievērojot Civilās aizsardzības un katastrofas pārvaldīšanas likuma prasības, kas nosaka, ka patvertnes jāveido tā, lai tās būtu izmantojamas kā divējāda lietojuma nozīmes objekti (kuras ikdienas apstākļos var izmantot objekta īpašnieka vajadzībām, piemēram, pazemes autostāvvietas, saimnieciskās telpas u.c. telpas). Vienlaikus noteikumu 20.punkts nosaka projekta iesniedzēju, kas ir valsts tiešās pārvaldes iestāde, pašvaldība vai tās izveidota iestāde, valsts vai pašvaldības kapitālsabiedrība, kas veic deleģēto pārvaldes uzdevumu izpildi, augstākās izglītības un zinātnes institūcija, kas īsteno studiju programmas un veic zinātnisko darbību, vai cita šo noteikumu 5. punktā minētajā Ministru kabineta rīkojumā norādītā publisko tiesību juridiskā persona. Proti, ir secināms, ka daļa projektu iesniedzēju būs saimnieciskās darbības veicēji, un, ja atbalsts paredzēts divējāda lietojuma nozīmes objektiem, kas tiek izmantoti arī saimnieciskās darbības veikšanai, ir jāievēro augstākminētais (analīze par to, vai vienlaikus izpildās visas KAKL 5.panta pazīmes, un atbilstoša komercdarbības atbalsta regulējuma piemērošana). Attiecīgi lūdzam papildināt noteikumus ar atbilstošām komercdarbības atbalsta regulējuma normām un sniegt izvērtējumu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un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nosacījumiem, kas jāievēro, lai saņemtu komercdarbības atbalstu (de minimis).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ir valsts tiešās pārvaldes iestāde, pašvaldība vai tās izveidota iestāde, valsts vai pašvaldības kapitālsabiedrība vai valsts zinātniskā institūcija.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w:t>
            </w:r>
            <w:r w:rsidR="00000000" w:rsidRPr="00000000" w:rsidDel="00000000">
              <w:rPr>
                <w:rtl w:val="0"/>
              </w:rPr>
              <w:t xml:space="preserve">24.5.</w:t>
            </w:r>
            <w:r w:rsidR="00000000" w:rsidRPr="00000000" w:rsidDel="00000000">
              <w:rPr>
                <w:rtl w:val="0"/>
              </w:rPr>
              <w:t xml:space="preserve">, un </w:t>
            </w:r>
            <w:r w:rsidR="00000000" w:rsidRPr="00000000" w:rsidDel="00000000">
              <w:rPr>
                <w:rtl w:val="0"/>
              </w:rPr>
              <w:t xml:space="preserve">24.6. </w:t>
            </w:r>
            <w:r w:rsidR="00000000" w:rsidRPr="00000000" w:rsidDel="00000000">
              <w:rPr>
                <w:rtl w:val="0"/>
              </w:rPr>
              <w:t xml:space="preserve">apakšpunktā</w:t>
            </w:r>
            <w:r w:rsidR="00000000" w:rsidRPr="00000000" w:rsidDel="00000000">
              <w:rPr>
                <w:rtl w:val="0"/>
              </w:rPr>
              <w:t xml:space="preserve"> minētajām pārējām projekta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sadaļā 1.3. "Pašreizējā situācija, problēmas un risinājumi” apakšsadaļā “Risinājuma apraksts” ietverto informāciju par vienoto personāla izmaksu likmi atbilstoši ES fondu Vadošās iestādes sniegtajiem komentāriem vienotās personāla izmaksu likmes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24.2.</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w:t>
            </w:r>
            <w:r w:rsidR="00000000" w:rsidRPr="00000000" w:rsidDel="00000000">
              <w:rPr>
                <w:rtl w:val="0"/>
              </w:rPr>
              <w:t xml:space="preserve">24.4.</w:t>
            </w:r>
            <w:r w:rsidR="00000000" w:rsidRPr="00000000" w:rsidDel="00000000">
              <w:rPr>
                <w:rtl w:val="0"/>
              </w:rPr>
              <w:t xml:space="preserve">, </w:t>
            </w:r>
            <w:r w:rsidR="00000000" w:rsidRPr="00000000" w:rsidDel="00000000">
              <w:rPr>
                <w:rtl w:val="0"/>
              </w:rPr>
              <w:t xml:space="preserve">24.5.</w:t>
            </w:r>
            <w:r w:rsidR="00000000" w:rsidRPr="00000000" w:rsidDel="00000000">
              <w:rPr>
                <w:rtl w:val="0"/>
              </w:rPr>
              <w:t xml:space="preserve">, </w:t>
            </w:r>
            <w:r w:rsidR="00000000" w:rsidRPr="00000000" w:rsidDel="00000000">
              <w:rPr>
                <w:rtl w:val="0"/>
              </w:rPr>
              <w:t xml:space="preserve">24.6.</w:t>
            </w:r>
            <w:r w:rsidR="00000000" w:rsidRPr="00000000" w:rsidDel="00000000">
              <w:rPr>
                <w:rtl w:val="0"/>
              </w:rPr>
              <w:t xml:space="preserve"> un </w:t>
            </w:r>
            <w:r w:rsidR="00000000" w:rsidRPr="00000000" w:rsidDel="00000000">
              <w:rPr>
                <w:rtl w:val="0"/>
              </w:rPr>
              <w:t xml:space="preserve">24.7. </w:t>
            </w:r>
            <w:r w:rsidR="00000000" w:rsidRPr="00000000" w:rsidDel="00000000">
              <w:rPr>
                <w:rtl w:val="0"/>
              </w:rPr>
              <w:t xml:space="preserve">apakšpunktā</w:t>
            </w:r>
            <w:r w:rsidR="00000000" w:rsidRPr="00000000" w:rsidDel="00000000">
              <w:rPr>
                <w:rtl w:val="0"/>
              </w:rPr>
              <w:t xml:space="preserve"> minētajām pārējām projekta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24.2.1. būvprojekta, būvdarbu ieceres dokumentācijas, būvprojekta minimālā sastāva, paskaidrojuma raksta izstrāde visām projektā paredzētajām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vienkāršotu un iekļautu visus ieceres dokumentu veidus, tostarp paziņojumu par būvniecību, un neizdalot atsevišķi katru, aicinām precizēt punktu šādā redakcijā: </w:t>
            </w:r>
            <w:r w:rsidR="00000000" w:rsidRPr="00000000" w:rsidDel="00000000">
              <w:rPr>
                <w:i w:val="1"/>
                <w:rtl w:val="0"/>
              </w:rPr>
              <w:t xml:space="preserve">būvniecības ieceres dokumentācijas izstrāde visām projektā paredzētajām būvniecības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to, ka patvertnes paredzēts izvietot esošu ēku telpās, veicot to pārbūvi un atjaunošanu, aicinām izvērtēt nepieciešamību iekļaut tiešajās attiecināmajās izmaksās arī tehniskās apsekošanas un/ vai izpētes izmaksas, kā arī ekspertīzes izmaksas, ja to veikšana ir priekšnosacījums būvniecības ieceres dokumentācijas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24.2.2. autoruzraudzības un būvuzraudzības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autoruzraudzības un būvuzraudzības izmaksas izdalīt kā atsevišķu apakšpunktu, jo tās nav projekta iesnieguma pamatojošās dokumentācijas sagatavošanas izmaksas. Vienlaikus vēršam uzmanību, vadošās iestādes vadlīnijās Nr 1.2 “Vadlīnijas attiecināmo izmaksu noteikšanai Eiropas Savienības kohēzijas politikas programmas 2021.-2027.gada plānošanas periodā” ierosinātie grozījumi, kas paredz tai skaitā autoruzraudzības un būvuzraudzības izmaksu ierobežojumu svītrošanu, pašlaik ir saskaņošanas procesā un gala versija vēl nav apstiprināta, līdz ar to aicinām ņemt vērā, ka tajā vēl iespējamas izmaiņas, t.sk. tādas, kas ietekmētu arī šo MK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vadlīniju obligātajos patvertņu ieviešanas nosacījumos noteikts, ka "3.1. Patvertni aprīko ar elektrību un autonomu apgaismojumu, kas kalpo par avārijas apgaismojumu elektroenerģijas padeves pārtraukumu gadījumā". Savukārt pie vēlamajiem ieviešanas nosacījumiem noteikts, ka "3.9. Patvertni var aprīkot ar tehnisku risinājumu, lai elektroenerģijas pārtraukuma gadījumā (ģenerators, akumulatori  u.c.), būtu iespējams nodrošināt apgaismojuma, ventilācijas, ūdens un siltuma apgādes darbību, elektroiekārtu uzlādes iespējas u.c. (skatīt attēlu)”.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VUGD vadlīnijās noteikto, kad patvertnes var aprīkot, piemēram, ar tādiem gaismas ķermeņiem, kuriem ir iestrādāts akumulators, kas nodrošina apgaismojumu noteiktu laika posmu, piemēram, vēl 6 stundas, lūdzam veikt attiecīgus precizējumus MK noteikumu projekta 24.4.1. apakšpunktā, nosakot, cik lielā apjomā, kādām telpām vai kādiem objektiem ir jāparedz autonomā elektroenerģija. Tādējādi var veidoties situācija, ka par pilnīgi autonomu padara tādu telpu, kurai šāds aprīkojums nav vajadzīgs un naudas līdzekļi netiek ieguldīti jēgpilni.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vadlīnijās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“Obligātie ieviešanas nosacījumi</w:t>
            </w:r>
            <w:r w:rsidR="00000000" w:rsidRPr="00000000" w:rsidDel="00000000">
              <w:rPr>
                <w:i w:val="1"/>
                <w:rtl w:val="0"/>
              </w:rPr>
              <w:t xml:space="preserve">3.1. Patvertni aprīko ar elektrību un autonomu apgaismojumu, kas kalpo par avārijas apgaismojumu elektroenerģijas padeves pārtraukumu gadījumā.</w:t>
            </w:r>
            <w:r w:rsidR="00000000" w:rsidRPr="00000000" w:rsidDel="00000000">
              <w:rPr>
                <w:i w:val="1"/>
                <w:rtl w:val="0"/>
              </w:rPr>
              <w:t xml:space="preserve">Vēlamie ieviešanas nosacījumi:</w:t>
            </w:r>
            <w:r w:rsidR="00000000" w:rsidRPr="00000000" w:rsidDel="00000000">
              <w:rPr>
                <w:i w:val="1"/>
                <w:rtl w:val="0"/>
              </w:rPr>
              <w:t xml:space="preserve">3.9. Patvertni var aprīkot ar tehnisku risinājumu, lai elektroenerģijas pārtraukuma gadījumā (ģenerators, akumulatori  u.c.), būtu iespējams nodrošināt apgaismojuma, ventilācijas, ūdens un siltuma apgādes darbību, elektroiekārtu uzlādes iespējas u.c. (skatīt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VUGD vadlīnijās noteikto, kad patvertnes var aprīkot, piemēram, ar tādiem gaismas ķermeņiem, kuriem ir iestrādāts akumulators, kas nodrošina apgaismojumu noteiktu laika posmu, piemēram, vēl 6 stundas, lūdzam veikt precizējumus Noteikumu projekta 24.4.1. apakšpunktā, nosakot, cik lielā apjomā, kādām telpām vai kādiem objektiem ir jāparedz autonomā elektroenerģija. Tādējādi var veidoties situācija, ka par pilnīgi autonomu padara tādu telpu, kurai šāds aprīkojums nav vajadzīgs un naudas līdzekļi netiek ieguldīti jēgpilni.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izziņas punktā (Rīgas metropole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24.4.1. telpām vai telpu grupām nepieciešamā elektroenerģijas pieejamības nepārtrauktības infrastruktūras, tai skaitā inženiertīklu pievadu izbūve, pārbūve vai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24.4.5. iekšējo konstrukciju demontāžas darbi, tai skaitā starpsienu nojaukšana;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24.4.5. apakšpunktu, norādot, ka demontāžas darbi nav attiecināmi uz nesošajām konstrukcijām - tādejādi nesamazinot pārseguma izturību pret slodzi ēkas sabrukšanas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24.4.5. iekšējo, slodzi nenesošo konstrukciju demontāžas darbi, tai skaitā starpsienu nojaukšana;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24.4.5. iekšējo, izņemot nesošo, konstrukciju demontāžas darbi, tai skaitā starpsienu nojaukšana;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24.4.6. risinājumi telpu vai telpu grupu piekļūstamības nodrošināšanai (patstāvīgi vai ar citu personu vai palīglīdzekļu palīdzību) personām ar ierobežotām pārvietošanās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terminu "personas ar ierobežotām pārvietošanās </w:t>
            </w:r>
            <w:r w:rsidR="00000000" w:rsidRPr="00000000" w:rsidDel="00000000">
              <w:rPr>
                <w:b w:val="1"/>
                <w:rtl w:val="0"/>
              </w:rPr>
              <w:t xml:space="preserve">spējām</w:t>
            </w:r>
            <w:r w:rsidR="00000000" w:rsidRPr="00000000" w:rsidDel="00000000">
              <w:rPr>
                <w:rtl w:val="0"/>
              </w:rPr>
              <w:t xml:space="preserve">". Paskaidrojam, ka normatīvajos aktos un ES regulās tiek lietots angliskā termina </w:t>
            </w:r>
            <w:r w:rsidR="00000000" w:rsidRPr="00000000" w:rsidDel="00000000">
              <w:rPr>
                <w:i w:val="1"/>
                <w:rtl w:val="0"/>
              </w:rPr>
              <w:t xml:space="preserve">"person with reduced mobility"</w:t>
            </w:r>
            <w:r w:rsidR="00000000" w:rsidRPr="00000000" w:rsidDel="00000000">
              <w:rPr>
                <w:rtl w:val="0"/>
              </w:rPr>
              <w:t xml:space="preserve"> tulkojums latviešu valodā un tas ir "persona ar ierobežotām pārvietošanās </w:t>
            </w:r>
            <w:r w:rsidR="00000000" w:rsidRPr="00000000" w:rsidDel="00000000">
              <w:rPr>
                <w:b w:val="1"/>
                <w:rtl w:val="0"/>
              </w:rPr>
              <w:t xml:space="preserve">spējām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24.4.6. risinājumi telpu vai telpu grupu piekļūstamības nodrošināšanai (patstāvīgi vai ar citu personu vai palīglīdzekļu palīdzību) personām ar ierobežotām pārvietošanās spējām;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24.5.10. aprīkojuma elektroierīču uzlādei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punktu, paredzot formulējumu:  "aprīkojuma elektroierīču uzlādei, kas nepieciešams patvertnes funkciju nodrošināšanai, iegāde".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24.5.10. aprīkojuma elektroierīču uzlādei iegāde, kas nepieciešams patvertnes funkciju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autoruzraudzības un būvuzraudzības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iestādes vadlīnijās Nr. 1.2 “Vadlīnijas attiecināmo izmaksu noteikšanai Eiropas Savienības kohēzijas politikas programmas 2021.-2027.gada plānošanas periodā” (turpmāk – vadlīnijas) ierosinātie grozījumi, kas paredz tai skaitā autoruzraudzības un būvuzraudzības izmaksu ierobežojumu svītrošanu, pašlaik ir saskaņošanas procesā un gala versija vēl nav apstiprināta, līdz ar to aicinām ņemt vērā, ka tajā vēl iespējamas izmaiņas, t.sk. tādas, kas varētu ietekmēt arī šo noteikumu projektu un tajā ietvertos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var tikt virzīts apstiprināšanai Ministru kabinetā (turpmāk – MK) pirms vadlīniju apstiprināšanas, aicinām anotāciju papildināt ar a) pamatojumu atkāpei no spēkā esošajām vadlīnijām; b) informāciju, ka Atbildīgā iestāde vajadzības gadījumā vērtēs grozījumu nepieciešamību apstiprinātajos MK noteikumos balstoties uz vadlīniju versiju pēc grozījumiem, ievērojot visus tajā ietvertos nosacījumus, t.sk. pārvērtējot visas izmaksu pozīcijas, attiecināšanas nosacījumus un izmaiņu ietekmi uz jau īstenošanā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 autoruzraudzības un būvuzraudzības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27.punktu papildināt ar precīzu atsauci uz Eiropas Savienības tiesību aktu, viennozīmīgai tiesību normas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 uzskatāmi par attiecināmajām izmaksām saskaņā ar regulas Nr. 2021/1060 64. panta 1. punkta "c" apakšpunktu, ja pievienotās vērtības nodoklis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Pievienotās vērtības nodokļa maksājumi, kas tiešā veidā saistīti ar projektu,uzskatāmi par attiecināmajām izmaksām saskaņā ar regulas 2021/1060 64. panta 1. punkta "c" apakšpunktu, ja pievienotās vērtības nodoklis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Izmaksas, kas saskaņā ar šiem noteikumiem nav iekļaujamas kā attiecināmās izmaksas, ir finansējamas ārpus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noteikumu projekta 29.punktā minētās izmaksas, kas finansējamas ārpus projekta, netiek norādītās projekta iesniegumā, izpildot Ministru kabineta 2022.gada 25.janvāra sēde protokola Nr.4 24. § Likumprojekts “Eiropas Savienības fondu 2021.-2027. gada plānošanas perioda vadības likums” 4.punktā “Noteikt, ka nozares ministrijas specifiskā atbalsta mērķa, Eiropas Savienības fonda projekta plānošanas un īstenošanas posmā, tai skaitā veicot grozījumus specifiskā atbalsta mērķa īstenošanas kārtībā vai Eiropas Savienības fonda projektā, neplāno neattiecināmās izmaksas, tas ir, izmaksas, kas nav saskaņā ar specifiskā atbalsta mērķa īstenošanas nosacījumiem vai pārsniedz pieejamo attiecināmo finansējumu”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anotācijas 1.3.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Izmaksas, kas saskaņā ar šiem noteikumiem nav iekļaujamas kā attiecināmās izmaksas, ir finansējamas ārpus projekta.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Dokumentāciju par atbalsta piešķiršanu sadarbības iestāde glabā 10 gadus no pasākuma ietvaros pēdējā piešķirtā atbalsta, bet finansējuma saņēmējs – 10 gadus no atbalsta piešķiršanas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29.punkts nosaka atbalsta sniegšanas nosacījumus, kas ir attiecināmi uz atbalsta sniedzēju, tad lūdzam papildināt noteikumu projekta tekstu ar uzraudzības nosacījumiem atbalsta pretendentam atbilstoši Komisijas regulas Nr.2023/2831 6.panta 1.punktam, izsakot to kā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29. punkts attiecināms uz atbalsta sniedzēju, tad aicinām nosacījumus par datu uzglabāšanu izteikt kā jaunu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 minimis atbalsta piešķiršana un uzskaite tiek veikta saskaņā ar normatīvajiem aktiem par de minimis atbalsta uzskaites un piešķiršanas kārtību. Atbalsta pretendents atbalsta pieteikumam pievieno De minimis atbalsta uzskaites sistēmā sagatavotās veidlapas par sniedzamo informāciju de minimis atbalsta uzskaitei un piešķiršanai izdruku vai  atbalsta pieteikumā norāda De minimis atbalsta uzskaites sistēmā aizpildītās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sadalot 29.3. apakšpunktu divos jaunos punktos (30. un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30. punktu, kas nosaka, ka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nav nepieciešams papildināt, jo šāds nosacījums ir iekļauts gan normatīvajā aktā par </w:t>
            </w:r>
            <w:r w:rsidR="00000000" w:rsidRPr="00000000" w:rsidDel="00000000">
              <w:rPr>
                <w:i w:val="1"/>
                <w:rtl w:val="0"/>
              </w:rPr>
              <w:t xml:space="preserve">de minimis</w:t>
            </w:r>
            <w:r w:rsidR="00000000" w:rsidRPr="00000000" w:rsidDel="00000000">
              <w:rPr>
                <w:rtl w:val="0"/>
              </w:rPr>
              <w:t xml:space="preserve"> atbalsta uzskaites un piešķiršanas kārtību, gan projektu iesniegumu vērtēšanas kritēriju piemērošanas metodikā.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papildu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31.punktu tā, lai saprotams atbalsta sniegšanas brīdis arī tad, ja jau pirms projekta īstenošanas finansējuma saņēmējs paredz veikt saimniecisko darbību patvertnē un atbalsta piešķiršanas brīdis nav nosakāms ar līguma vai vienošanās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papildu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nav papildināms rezultātu/ rādītāju ilgtspējas vai uzturēšanas nodrošināšanas nosacījumus (ja attiecināms), anotācijā ietverot atbilstošu skaidrojumu, tostarp par plānoto finansējumu ilgtspējas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noteikuma projektā ir iekļauts 39.1. punkts par patvertnes uzturēšanu, kas nosaka, ka Finansējuma saņēmējs nodrošina patvertnes uzturēšanu, lai katastrofas, militāra iebrukuma vai kara draudu gadījumā cilvēki varētu iekļūt patvertnē un izmantot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1.3.punktā ir iekļauts, ka “Ievērojot grozījumos Civilās aizsardzības un katastrofas pārvaldīšanas likumā (Ministru kabineta 2025. gada 11. februāra sēdes prot. Nr.6, 19. §, 24-TA-287) paredzēto [..] Patvertnes īpašniekam nepieciešams nodrošināt patvertnes uzturēšanu, kas ietvertu tajā esošā aprīkojuma darbspējas regulāras pārbaudes, savukārt apdraudējuma gadījumā patvertnes īpašniekam būtu jāgādā, lai patvertne būtu pieejama 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pamata ir nodots tiešās pārvaldes iestādes – projekta iesniedzēja – pārvaldīšanā).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41.punkta otro teikumu, aicinām skaidrības nolūkos, papildināt noteikumu projekta anotāciju ar informāciju par izņēmuma gadījumiem, kad īpašuma vai valdījuma tiesības netiks nostiprinātas Zemesgrāmatā, tas ir, vai Zemesgrāmatā tiks veikta attiecīga atzīme par nekustamā īpašuma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Ieguldījumus infrastruktūrā finansējuma saņēmējs var veikt publiskas personas īpašumā vai valdījumā, vai turējumā esošā īpašumā, ja valdījuma vai turējuma tiesības ir iegūtas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noteikumi par specifisko atbalsta mērķi attiecināmi uz infrastruktūru, tad  minētajos noteikumos iekļauj nosacījumu par finansējuma saņēmēja tiesībām uz konkrēto objektu vai īpašumu, kurā plānots veikt ieguldījumus (īpašumā, ilgtermiņa nomā vai nodibinātas apbūves tiesības, bezatlīdzības lietošanā, valdījumā, turējumā u.c.) un  tiesībām uz konkrēto objektu vai īpašumu jābūt nostiprinātām Zemesgrāmatā, ja vien nav izņēmumi, kas jāpamato noteikumu projekta anotācijā. Lūdzam minēto aprakstīt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Ieguldījumus infrastruktūrā finansējuma saņēmējs var veikt savā īpašumā vai valdījumā esošā īpašumā, ja valdījuma tiesības ir iegūtas uz termiņu, kas nav īsāks par pieciem gadiem no dienas, kad veikts projekta noslēguma maksājums finansējuma saņēmējam. Īpašuma vai valdījuma tiesības ir nostiprinātas zemesgrāmatā vai arī īpašuma vai valdījuma tiesības nostiprina zemesgrāmatā līdz projekta noslēguma maksājuma veikšanai (izņemot gadījumu, ja pašvaldības īpašums uz normatīvā akta, līguma vai pašvaldības lēmuma pamata ir nodots pašvaldības iestādes – projekta iesniedzēja – pārvaldīšanā vai ja valsts īpašums uz pārvaldīšanas līguma vai cita tiesību akta pamata ir nodots tiešās pārvaldes iestādes – projekta iesniedzēja – pārvaldīšanā vai publiskas personas kapitālsabiedrības – projekta iesniedzēja – pārvaldīšanā).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42.punkta redakciju, kas šobrīd paredz obligātu publiskā iepirkuma īstenošanu sociāli atbildīgā veidā, tāpat arī piemērot inovatīvā publiskā iepirkuma nosacījumus. Rosinām administratīvā sloga mazināšanas nolūkos apsvērt iespēju sociāli atbildīga un inovatīvā publiskā iepirkuma veikšanu projekta īstenotājam paredzēt kā izvēles iespēju, t.sk. ņemot vērā, ka no esošās redakcijas nav skaidri saprotams, kurās situācijās šo prasību piemērošana ir vai nav attiecināma.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noteikuma projekta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projekta īstenošanai nepieciešamo būvdarbu un pakalpojumu iepirkumu veic saskaņā ar normatīvajiem aktiem publisko iepirkumu jomā, īstenojot atklātu, pārredzamu, nediskriminējošu un konkurenci nodrošinošu konkursa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iespēju veikt sociāli atbildīgu iepirkumu gadījumos, kad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projekta īstenošanai nepieciešamo būvdarbu un pakalpojumu iepirkumu veic saskaņā ar normatīvajiem aktiem publisko iepirkumu jomā, īstenojot atklātu, pārredzamu, nediskriminējošu un konkurenci nodrošinošu konkursa procedūru, un, kur tas ir attiecināms un atbilstošs ieguldījumu specifikai, var īstenot sociāli atbildīgu iepirkumu, kā arī piemērot inovatīvā publiskā iepirkuma nosacījumus,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saskaņā ar Valsts ugunsdzēsības un glābšanas dienesta izstrādātajām vadlīnijām “Vadlīnijas (rekomendācijas) par minimālajām prasībām III kategorijas patvertnes ierīkošanai” patvertnē ierīko atsevišķu telpu vai norobežotu vietu, kurā uzstāda sauso tualeti (vismaz viena tualete uz 20 cilvēkiem). Vadlīniju 3.3. punktā, ka "Patvertnē jānodrošina sanitārie un higiēniskie apstākļi (viens labierīcības risinājums uz 40 cilvēkiem). Labierīcības ir jāveido, lai tās viegli kopjamas, bez ārēju pakalpojumu iesaistes (piemēram, bez asenizatoru pakalpojuma iesaistes)."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cik cilvēkiem viens risinājums - 20 vai 40?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Iekšlietu ministriju izvērtēja un pārskatīja Noteikumu projektā norādītās minimālās funkcionālās prasības atbilstoši 2025. gada 26. martā publicētajām aktuālajām Vadlīnijām par minimālajām prasībām III kategorijas patvertnes ierīkošanai. Vienlaikus skaidrojam, ka noteikumu projektā ietverto patvertņu funkcionālo prasību mērķis ir noteikt minimālās obligātajās prasības, nedublējot visas VUGD izstrādāto vadlīniju “Vadlīnijas (rekomendācijas) par minimālajām prasībām III kategorijas patvertnes ierīkošanai” prasības, tādējādi nodrošinot elastību.  Saskaņā ar Vadlīniju 3.3. punktā noteikto – nepieciešams nodrošināt vienu labierīcības risinājumu uz 40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”1.3. Pašreizējā situācija, problēmas un risinājumi” apakšsadaļā ”Risinājuma apraksts” precizēt tekstu ”</w:t>
            </w:r>
            <w:r w:rsidR="00000000" w:rsidRPr="00000000" w:rsidDel="00000000">
              <w:rPr>
                <w:i w:val="1"/>
                <w:rtl w:val="0"/>
              </w:rPr>
              <w:t xml:space="preserve">Saskaņā ar Valsts ugunsdzēsības un glābšanas dienesta izstrādātajām vadlīnijām “Vadlīnijas (rekomendācijas) par minimālajām prasībām III kategorijas patvertnes ierīkošanai” patvertnē ierīko atsevišķu telpu vai norobežotu vietu, kurā uzstāda sauso tualeti (vismaz viena tualete uz 20 cilvēkiem)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mājaslapā publicētajās vadlīnijās (saite: https://www.vugd.gov.lv/lv/vadlinijas-rekomendacijas-par-minimalajam-prasibam-iii-kategorijas-patvertnes-ierikosanai) norādīts, ka ”</w:t>
            </w:r>
            <w:r w:rsidR="00000000" w:rsidRPr="00000000" w:rsidDel="00000000">
              <w:rPr>
                <w:i w:val="1"/>
                <w:rtl w:val="0"/>
              </w:rPr>
              <w:t xml:space="preserve">Patvertnē jānodrošina sanitārie un higiēniskie apstākļi (viens labierīcības risinājums uz 40 cilvēkiem)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 un izziņas 1. punktā (LLPA 31.03.2025. sniegtais priekšlikums)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pārliecināties par investīciju atbilstību un regulējumā ietvertajiem nosacījumiem attiecībā uz horizontālā principa “Nenodarīt būtisku kaitējumu” ievērošanu, lūdzam VARAM izstrādāt un iesūtīt FM horizontālā principa “Nenodarīt būtisku kaitējumu” novērtējumu 5.1.1.9. pasākumam “Objektu (patvertņu) pielāgošana un aprīkošana civilās aizsardzības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sadarbībā ar VARAM ir izstrādājusi un 2025. gada 27. martā iesniegusi FM DNSH novērtējumu 5.1.1.9.pasākumam.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kritērijiem par projekta iesniedzēju priekšatlasi, nodrošinot godīgu un caurskatāmu protenciālo projekta iesniegumu atlasi.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anotācijā norādīts, ka priekšatlasi veic Iekšlietu ministrija. Vēršam uzmanību, ka atbalstāmie objekti tiks apstiprināti ar Ministru kabineta rīkojumu, kura projekts tika nosūtīts saskaņošanai arī pašvaldībām un to pārstāvošajām organizācijām (Iekšlietu ministrijas 2025. gada 28. marta vēstule Nr.1-23/799/25). Iepriekš minētais Ministru kabineta rīkojums (projekta ID: 25-TA-659) izstrādāts saskaņā ar Iekšlietu ministrijas noteiktiem (valsts un pašvaldību iestādēm zināmiem) atbalstāmo objektu atlases izvērtējuma kritērijiem, kuri ir iekļauti arī Ministru kabineta rīkojuma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saistītā MK rīkojuma projektā “Par civilās aizsardzības mērķiem pielāgojamajiem un aprīkojamajiem objektiem (patvertnēm) 5.1.1.9. pasākuma “Objektu (patvertņu) pielāgošana un aprīkošana civilās aizsardzības mērķiem” ietvaros” (tiesību akta lieta Nr. 25-TA-659) 1.pielikumā paredzēto Eiropas reģionālās attīstības fonda (turpmāk – ERAF) finansējumu apmēru objektiem, kuriem finansējuma saņēmējs ir valsts, lūdzam pārskatīt un precizēt anotācijas 3.sadaļā norādīto valsts un pašvaldību līdzfinansējuma apmēru (proti, ja objektiem, kuriem finansējuma saņēmējs ir valsts, ERAF finansējums plānots 4 556 097 euro, tad valsts budžeta līdzfinansējums būtu jānodrošina 804 017 euro apmērā, bet šobrīd anotācijas 3.sadaļā tas norādīts lielākā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3.sadaļas 6.punkta pēdējā teikumā pievienot norādi uz tiesību akta lietu Nr. 25-TA-659.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6.punktā norādīto ERAF un valsts budžeta finansējuma sadalījumu pa gadiem, jo šobrīd to kopsummas attiecīgi par 1 euro un 2 euro pārsniedz kopējā attiecināmā finansējuma summas (veicot precizējumus, lūdzam informāciju salāgot ar 1.1. un 2.1.punktā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punktā “Cita informācija” sniegto informāciju, norādot, ka finansējums projektu īstenošanai attiecībā uz ERAF un valsts budžeta finansējumu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kā arī norādīt, kuriem projekta iesniedzējiem paredzēts kā nacionālo finansējumu apstiprināt valsts budžeta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šobrīd nav apstiprināts Iekšlietu ministrijas MK rīkojums par civilās aizsardzības mērķiem pielāgojamajiem un aprīkojamajiem objektiem (patvertnēm) (projekta ID: 25-TA-659), līdz ar to nav konkrēti zināma nacionālā finansējuma sadale, norādot konkrētu valsts budžeta finansējuma apmēru un pašvaldību budžeta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3.sadaļā “Tiesību akta projekta ietekme uz valsts budžetu un pašvaldību budžetiem” ir indikatīvi norādīts pašvaldību budžeta līdzfinansējuma un nacionālā līdzfinansējuma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vadlīniju “Horizontālais princips “Vienlīdzība, iekļaušana, nediskriminācija un pamattiesību ievērošana” vadlīnijas īstenošanai un uzraudzībai (2021-2027)” 5.3.sadaļai, aicinām norādīt pasākuma ietekmi uz horizontālo principu “Vienlīdzība, iekļaušana, nediskriminācija un pamattiesību ievērošana” (tieša ietekme, netieša ietekme, nav ietekmes) un HP vērtēšanas kritērija veidu,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anotācijas 8.2.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tālākas virzības lūdzam VARAM izvērtēt nepieciešamību MK protokollēmumā iekļaut punktu, kas nosaka, ka ES kohēzijas politikas programmas 2021. -2027.gadam (turpmāk - programma) 5.1.1.9.pasākums var tikt uzsākts, t.sk. izmantojot plānoto elastības finansējumu, pirms EK lēmuma saņemšanas par programmas grozījumiem, ņemot vērā, ka programmas grozījumus, ar kuriem šādu lēmumu plānots virzīt, plānots iesniegt vēlāk par sākotnēji paredzēto 2025.gada 31.martu.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Viedās administrācijas un reģionālās attīstības ministrijai kā Eiropas Savienības (turpmāk - ES) fondu atbildīgajai iestādei, pirms Eiropas Komisijas lēmuma par ES kohēzijas politikas programmas 2021.-2027.gadam (turpmāk - Programma) vidusposma pārskatu, uzsākt, t.sk. izmantojot plānoto elastības finansējumu,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 (turpmāk - 5.1.1.9.pasākums)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Centrālajai finanšu un līgumu aģentūrai kā ES fondu sadarbības iestādei veikt 5.1.1.9.pasākuma projektu iesniegumu atlases ietvaros iesniegto projektu iesniegumu vērtēšanu un, pēc projektu iesniegumu apstiprināšanas, slēgt ar finansējuma saņēmējiem vienošanās vai līgumu par projektu īstenošanu atbilstoši Programmā noteiktajam finansējuma sadalījumam, tai skaitā elastības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netiek saņemts pozitīvs Eiropas Komisijas lēmums par grozījumiem Programmā, kas skar ar šo pasākumu saistītas finansējuma pārdales, Viedās administrācijas un reģionālās attīstības ministrija sagatavot un iesniegt izskatīšanai Ministru kabinetā informatīvo ziņojumu par priekšlikumiem turpmākai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projekts tiks virzīts apstiprināšanai MK sēdē vienlaikus vai pēc Eiropas Savienības kohēzijas politikas programmas 2021.-2027. gadam (turpmāk - Programma) grozījumu Nr.3 iesniegšanas apstiprināšanai MK, līdz ar to nav nepieciešams dublēt MK protokollēmuma projektā “Grozījumi Ministru kabineta 2021. gada 16. novembra rīkojumā Nr. 841 "Par Eiropas Savienības kohēzijas politikas programmu 2021.-2027. gadam" noteiktos 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25-TA-640</w:t>
    </w:r>
    <w:r>
      <w:br/>
    </w:r>
    <w:r w:rsidR="00000000" w:rsidRPr="00000000" w:rsidDel="00000000">
      <w:rPr>
        <w:rtl w:val="0"/>
      </w:rPr>
      <w:t xml:space="preserve">14.05.2025. 14.09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25-TA-640</w:t>
    </w:r>
    <w:r>
      <w:br/>
    </w:r>
    <w:r w:rsidR="00000000" w:rsidRPr="00000000" w:rsidDel="00000000">
      <w:rPr>
        <w:rtl w:val="0"/>
      </w:rPr>
      <w:t xml:space="preserve">14.05.2025. 14.09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Izziņa_25-TA-640.docx</dc:title>
</cp:coreProperties>
</file>

<file path=docProps/custom.xml><?xml version="1.0" encoding="utf-8"?>
<Properties xmlns="http://schemas.openxmlformats.org/officeDocument/2006/custom-properties" xmlns:vt="http://schemas.openxmlformats.org/officeDocument/2006/docPropsVTypes"/>
</file>