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prasību pret Rojas ostas pārvaldi dzēšanu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Ostas likuma pārejas noteikumu 24. punktu Finanšu ministrijai dzēst valsts galvojuma apkalpošanas un uzraudzības līguma ietvaros pret Rojas ostas pārvaldi (reģistrācijas Nr. 90000338814) izveidojušās valsts prasības 1 461 582,20 euro apmērā, tajā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1.punktā minētā likuma nosaukumu, proti, "</w:t>
            </w:r>
            <w:r w:rsidR="00000000" w:rsidRPr="00000000" w:rsidDel="00000000">
              <w:rPr>
                <w:u w:val="single"/>
                <w:rtl w:val="0"/>
              </w:rPr>
              <w:t xml:space="preserve">Ostu</w:t>
            </w:r>
            <w:r w:rsidR="00000000" w:rsidRPr="00000000" w:rsidDel="00000000">
              <w:rPr>
                <w:rtl w:val="0"/>
              </w:rPr>
              <w:t xml:space="preserve">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Ostu likuma pārejas noteikumu 24. punktu Finanšu ministrijai dzēst valsts galvojuma apkalpošanas un uzraudzības līguma ietvaros pret Rojas ostas pārvaldi (reģistrācijas Nr. 90000338814) izveidojušās valsts prasības 1 461 582,20 euro apmērā, tajā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citu informāciju piedāvātajā redakcijā, lai atspoguļotu korektu informāciju par darījuma ietekmi uz vispārējās valdības budžeta bilanci un parādu.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 gada 10. decembra noteikumiem Nr. 1456 "Noteikumi par institucionālo sektoru klasifikāciju" Rojas ostas pārvalde no 2020.gada 1.janvāra ir iekļauta vispārējās valdības apakšsektorā S130340 “Vispārējās valdības sektora sarakstā pie pašvaldību struktūrām ietvertās speciālās ekonomiskās zonas, ostu un brīvostu pārvaldes”. Tas nozīmē, ka, aprēķinot vispārējās valdības budžeta deficītu un parādu, projektā paredzētie darījumi (t.i. valsts prasību pret  Rojas ostas pārvaldi dzēšana) starp centrālo valdību un Rojas ostas pārvaldi konsolidējas, neradot tiešu ietekmi uz vispārējās valdības parādu un deficītu.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un attiecīgi rīkojuma projektā norādīts valsts (Finanšu ministrijas personā) prasības apmērs 2021. 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Ostu likuma Pārejas noteikumu 24.punkta pirmajā teikumā noteikto, ka  “[m]azo ostu pārvaldēm </w:t>
            </w:r>
            <w:r w:rsidR="00000000" w:rsidRPr="00000000" w:rsidDel="00000000">
              <w:rPr>
                <w:i w:val="1"/>
                <w:rtl w:val="0"/>
              </w:rPr>
              <w:t xml:space="preserve">uz šā pārejas noteikumu punkta spēkā stāšanās dienu</w:t>
            </w:r>
            <w:r w:rsidR="00000000" w:rsidRPr="00000000" w:rsidDel="00000000">
              <w:rPr>
                <w:rtl w:val="0"/>
              </w:rPr>
              <w:t xml:space="preserve"> dzēšamas valsts prasības, kas izveidojušās valsts galvojuma apkalpošanas un uzraudzības līgumu ietvaros kā regresa prasība, kā arī uzkrātā apkalpošanas maksa un saskaņā ar Likuma par budžeta un finanšu vadību 47. panta pirmajā daļā noteikto kārtību Valsts kases aprēķinātie nokavējuma procenti”, lūdzam nepieciešamības gadījumā precizēt valsts prasības apjomu uz Ostu likuma Pārejas noteikumu 24.punkta spēkā stāšanās brīdi, t.i., 2022.gada 27.aprīli.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un anotācijā ir norādīta no Valts kases 5.05.2022.g. saņemtā informācija par valsts prasību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22-TA-1535</w:t>
    </w:r>
    <w:r>
      <w:br/>
    </w:r>
    <w:r w:rsidR="00000000" w:rsidRPr="00000000" w:rsidDel="00000000">
      <w:rPr>
        <w:rtl w:val="0"/>
      </w:rPr>
      <w:t xml:space="preserve">21.06.2022. 21.27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22-TA-1535</w:t>
    </w:r>
    <w:r>
      <w:br/>
    </w:r>
    <w:r w:rsidR="00000000" w:rsidRPr="00000000" w:rsidDel="00000000">
      <w:rPr>
        <w:rtl w:val="0"/>
      </w:rPr>
      <w:t xml:space="preserve">21.06.2022. 21.27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Izziņa_22-TA-1535.docx</dc:title>
</cp:coreProperties>
</file>

<file path=docProps/custom.xml><?xml version="1.0" encoding="utf-8"?>
<Properties xmlns="http://schemas.openxmlformats.org/officeDocument/2006/custom-properties" xmlns:vt="http://schemas.openxmlformats.org/officeDocument/2006/docPropsVTypes"/>
</file>