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25-TA-1597: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Nacionālās kiberdrošības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25.08.2025. 14:16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Iebilstam pret licencētu patērētāju kreditēšanas pakalpojumu sniedzēju iekļaušanu Nacionālās kiberdrošības likuma tvērumā un aicinām izslēgt Likumprojekta 3.pantu daļā, kas paredz papildināt 20.panta 8.punktu ar k1)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“k1)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Licencēti patērētāju kreditēšanas pakalpojumu sniedzēji nav noteikti kā svarīgie vai būtiskie pakalpojumu sniedzēji NIS 2 direktīvas tvērumā un tādēļ nav kā tādi definējami arī nacionālajā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Eiropas Parlamenta un Padomes Direktīvas (ES) 2022/2555 (2022. gada 14. decembris) par augsta kopējā kiberdrošības līmeņa nodrošināšanu visā Savienībā, turpmāk tekstā – “NIS2 direktīva” preambulas 2., 3. un 4. apsvērumiem, direktīvas mērķis ir stiprināt kopējo kiberdrošības līmeni Eiropas Savienībā un aizsargāt sabiedrībai būtiskas un kritiski svarīgas nozares pret kiberdrošības apdraudējumiem. NIS2 direktīvas 2. apsvērumā ir skaidri norādīts, ka regulējuma centrālais uzdevums ir nodrošināt šādu nozaru un sabiedrībai būtisko pakalpojumu pieejamības nepārtrauktību apdraudējuma gadījumā, jo šo pakalpojumu darbības traucējumiem var būt būtiska ietekme uz sabiedrības drošību, veselību, ekonomisko stabilitāti un sabiedrisko kārtību. Savukārt, NIS2 direktīvas preambulas 3. apsvērumā skaidri uzsvērts, ka regulējuma piemērošana paredzēta subjektiem, kuru darbības pārrāvums var radīt būtisku ietekmi uz sabiedrību un ekonomiku, tostarp uz finanšu sistēmas stabilitāti un sabiedrības ikdienas funkcionēšanu.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Attiecīgi, NIS2 direktīvas II pielikumā ir skaidri un izsmeļoši uzskaitītas tās būtisko un svarīgo pakalpojumu nozares un attiecīgie subjekti, uz kuriem attiecināms direktīvas regulējums. Tajā norādīts, ka finanšu sektorā NIS2 direktīvas tvērumā ietilpst šādas finanšu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tirgus infrastruktūra, finanšu iestādes, apdrošināšanas un pārapdrošināšanas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maksājumu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elektroniskās naudas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ieguldījumu brokeru 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centrālie vērtspapīru depozitāriji (CSD);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centrālie darījumu partneri (CCP);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pārapdrošināšanas sabiedrības.”(NIS2 direktīvas II pielikuma 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redzams, patērētāju kreditēšanas pakalpojumu sniedzēji NIS2 Direktīvas II. Pielikumā un Direktīvas tvērumā nav iekļauti, jo tie nenodrošina sabiedrības vajadzībām būtiskus vai kritiskus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 nepārvalda vai nenodrošina maksājumu sistēmas vai starpbanku norēķinu infrastruktūras un neatbild par iedzīvotāju ikdienas  maksājumu veikšanas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 nepieņem un nav atbildīgi par iedzīvotāju noguldīto naudas līdzekļu (depozītu) drošību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nerada sistēmiskus riskus, kuru dēļ varētu tikt apdraudēta ekonomiskā drošība vai sabiedrības pamatvajadzības.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Kredītiestādes, kuras jau šobrīd ir gan Direktīvas, gan arī Likuma tvērumā, nodrošina iedzīvotājiem un valsts funkcionēšanai kritiski svarīgus pakalpojumus - iedzīvotāju noguldījumu drošību un arī pieejamību iedzīvotājiem, iespēju veikt norēķinus, un tml., un šo pakalpojumu pieejamības pārtraukšana var radīt tūlītēju un plašu sociālekonomisko ietekmi. Tāpat, Direktīvas tvērumā ir iekļauti visi citi finanšu pakalpojumu sniedzēji, kuriem ir būtiska ietekme uz iedzīvotāju naudas līdzekļiem (piemēram, ieguldījumu brokeru sabiedrības) vai spēju veikt norēķinus (maksājumu iestādes). Salīdzinājumā ar kredītiestādēm, licencētie patērētāju kreditētāji sniedz tikai atsevišķus kreditēšanas pakalpojumus, kuri nav kritiski valsts finanšu infrastruktūras vai sabiedrības ikdienas norēķinu darbības nodrošināšanai. Šie pakalpojumi ir aizvietojami un to darbības pārrāvums nerada sistēmiskus riskus ne finanšu stabilitātei, ne sabiedrības pamatvajadzību apmierināšanai.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Jāuzsver arī, ka neviena cita Eiropas Savienības dalībvalsts nav izvēlējusies iekļaut licencētos patērētāju kreditēšanas pakalpojumu sniedzējus būtisko vai svarīgo pakalpojumu sniedzēju sarakstā, īstenojot NIS2 direktīvu. Tas apliecina skaidru izpratni ES līmenī, ka NIS2 direktīvā jau ir noteikti tie subjekti, kuru darbības pārrāvums var reāli apdraudēt sabiedrību un kuru iekļaušana ir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Likumprojekta anotācijā nav veikta proporcionāla sākotnējās ietekmes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kabineta 2021. gada 7. septembra noteikumi Nr. 617 "Tiesību akta projekta sākotnējās ietekmes izvērtēšanas kārtība" 6.punkts noteic, ka sākotnējās ietekmes izvērtēšanu uzsāk pirms projekta izstrādes un turpina līdz tā pieņemšanai. Savukārt 9.punktā ir noteikti kritēriji, kurus ir nepieciešams izvērtēt, vērtējot projekta sākotnējo ietekmi, cita 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efektivitāti mērķa sasniegšanā, tai skaitā vispusīgi vērtējot alternatīvo risinājumu ieviešanas trūkumus un priekšrocības;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un izmaksu samērīgumu pret ieguvumiem, ko sniedz mērķa sasniegšana;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tautsaimniecību, tai skaitā uz makroekonomisko vidi, nozaru konkurētspēju, uzņēmējdarbības vidi, mazajiem un vidējiem uzņēmējiem, konkurenci un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atbilstības prasībām un ar tām saistītajām izmaksām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Likumprojekta anotācijā šos aspektus ir nepieciešams analizēt detalizētāk. Prasība iekļaut licencētos patērētāju kreditēšanas pakalpojumu sniedzējus būtisko vai svarīgo pakalpojumu sniedzēju sarakstā ir konceptuāli pamatota, atsaucoties uz vispārīgu nepieciešamību stiprināt kiberdrošību un dažu tirgus dalībnieku indikācijām, tomēr nav veikta detalizēta izvērtēšana par tās praktisko ietekmi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Kopumā vispārīgas atsauces uz kopējo kiberdrošības līmeņa stiprināšanu, nav pietiekams pamats, lai paplašinātu Direktīvas tvērumu un šim regulējumam pakļautu tādus pakalpojumu sniedzējus, kuri nav uzskatāmi par sabiedrībai būtisku vai svarīgu pakalpojumu sniedzējiem. Papildus iepriekš minētajam, uzsveram, ka NIS2 direktīva neparedz vispārēju regulatīva statusa piemērošanu visiem finanšu pakalpojumu sniedzējiem. Tā vietā tajā skaidri noteikti tikai tie subjekti, kuru darbības pārrāvums var reāli apdraudēt sabiedrībai būtisku pakalpojumu pieejamību. Likumprojektā nav sniegts pamatojums, kāpēc tieši licencētie patērētāju kreditētāji būtu iekļaujami šajā tvērumā, jo nav veikts ne riska novērtējums, ne ietekmes analīze. Ja likumdevēja mērķis ir vispārēja kiberdrošības stiprināšana, tad konsekventi būtu jāapsver regulējuma attiecināšana arī uz citiem pakalpojumu sniedzējiem, kuri apstrādā lielu apjomu personas datu, piemēram, e-komercijas un digitālo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Ministru kabineta deklarācijā 2022.–2026. gadam ir tieši noteikts mērķis: “vienkāršot uzņēmējdarbības vidi, samazināt birokrātisko slogu un uzlabot tiesisko regulējumu.” Attiecīgi Likumprojektā paredzētā jaunu regulatīvo prasību attiecināšana uz patērētāju kreditēšanas nozari neatkarīgi no tā, ka Direktīvas tvērumā tā nav ietverta, ir ne tikai konceptuāli nepamatota, bet arī ir klajā pretrunā ar valdības deklarēto apņemšanos mazināt administratīvo slogu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Ievērojot minēto, aicinām svītrot Likumprojekta 3. pantā ietverto grozījumu, ar kuru 8. punkts tiek papildināts ar k¹)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NIS2 direktīva neaizliedz dalībvalstīm noteikt stingrākas prasības. Tādas jau ir ietvertas NKDL esošajā redakcijā, piemēram, subjektu lokā ir ietverti apsardzes darbības pakalpojumu sniedzēji, arī citas dalībvalstis ir dažādos virzienos paplašinājušas subjektu loku, izejot no NIS2 direktīvas noteiktā rāmja. NIS2 direktīvas 5. pants paredz, ka šī direktīva neliedz dalībvalstīm ieviest vai saglabāt noteikumus, kas nodrošina augstāku kiberdrošības līmeni, ar noteikumu, ka šādi noteikumi ir saderīgi ar Savienības tiesību aktos noteiktajiem dalībvalstu pienākumiem. Noteikumi ir saderīgi ar Savienības tiesību aktos noteiktajiem dalībvalstu pienākumiem – nozīmē to, ka dalībvalsts stingrākās prasības neierobežo citu dalībvalstu iespējas sniegt pakalpojumus iekšējā tirgū vai diskriminē citu dalībvalstu uzņēmumus. Minētā piebilde neierobežo dalībvalstis noteikt stingrākas prasības nekā tas izriet no NIS2 direktīvas.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šo NIS2 direktīvas normu dalībvalsts var noteikt gan plašāku subjektu loku, gan noteikt, piemēram, stingrākas incidentu ziņošanas prasības, var paredzēt bargākus sodu, prasīt ieviest papildu 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Jāvērš uzmanība arī uz to, ka ne visi tirgus dalībnieki tiks iekļauti NKDL subjektu lokā, tiks ņemts vērā NKDL 1. panta 16. punktā minētais kritērijs - finanšu aspekts vai nodarbināto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mērķis ir proaktīva regulācija un kiberdrošības prasību nostiprināšana.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Vispārpieejamos resursos nav informācija, cik personu unikālo datu ir kapitālsabiedrību, kuras saņēmušas speciālu atļauju (licenci) patērētāja kreditēšanas pakalpojumu sniegšanai rīcībā. Tomēr jāņem vērā aspekts, ka, ja viena šāda pakalpojuma sniedzēja rīcībā ir apmēram 500 000 unikāli personas dati, tad kopējais apjoms ir milzīgs.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dati liecina, ka 2024. gadā: Patērētāju (nebanku) kreditētāji ar fiziskām personām (patērētājiem) noslēguši vairāk nekā 1 058 000 jaunu darījumu, izsniedzot kredītus 811,84 miljonu eiro apjomā. Tas ir par 3,89 % vairāk darījumu un par 9,08 % vairāk summā nekā 2023. 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kredītportfelis uz 2024. gada 31. decembri bija 1,219 miljardi eiro, kas ir par 14,98 % vairāk nekā gadu iepriekš.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kuras saņēmušas speciālu atļauju (licenci) patērētāja kreditēšanas pakalpojumu sniegšanai Latvijā operē ar ļoti plašiem datu apjomiem — no simtiem tūkstošu līdz aptuveni miljonam unikālu klientu datiem (identitāte, ienākumi, kredītvēsture, maksājumu uzvedība, kontaktinformācija). Tas arī ir viens no argumentiem, kāpēc šo sektoru var uzskatīt par sabiedriski būtisku no kiberdrošības viedokļa — sensitīvu datu apjoms ir līdzvērtīgs bankām.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ENISA 2024.gada publikācijā "ENISA APDRAUDĒJUMA PĀRSKATS: FINANŠU NOZARE"  ir ietverts šāds secinājums - visbiežāk skartās bija Eiropas bankas (kredītiestādes) – 46 % gadījumu, kopumā novērojot 301 incidentu. Nākamās bija ar finansēm saistītās publiskās organizācijas (13 %). Skarti bija arī fiziskas personas, piemēram, kredītinstitūciju klienti (10 %), kurus apkrāpa, izmantojot sociālās inženierijas kampaņas ar finansēm saistītu tēmu https://www.enisa.europa.eu/sites/default/files/2025-02/Finance%20TL%202024_Final.pdf.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uzdevums ir veidot finanšu sektora vienotību - bankas, maksājumu iestādes un e-naudas iestādes ir NIS2 direktīvas subjekti. Kapitālsabiedrības, kuras saņēmušas speciālu atļauju (licenci) patērētāja kreditēšanas pakalpojumu sniegšanai, kaut arī juridiski nav kredītiestādes, tomēr nodrošina līdzvērtīgu finanšu starpniecības funkciju: tie izsniedz kredītus, administrē maksājumus, atgūst parādsaistības un apstrādā klientu finanšu datus. Turklāt visbiežāk tas notiek izmantojot digitālus rīkus.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Ekonomikas ministrija ir atbildīga par kapitālsabiedrību, kuras saņēmušas speciālu atļauju (licenci) patērētāja kreditēšanā nozares politiku, tomēr šī politika neietver kiberdrošības uzraudzību. Minētais attiecināms arī uz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vērst uzmanību arī uz to, ka lai gan </w:t>
            </w:r>
            <w:r w:rsidR="00000000" w:rsidRPr="00000000" w:rsidDel="00000000">
              <w:rPr>
                <w:u w:val="single"/>
                <w:rtl w:val="0"/>
              </w:rPr>
              <w:t xml:space="preserve">GDPR[1] 32. pants paredz, ka tehniskie un organizatoriskie pasākumi jāpielāgo riskam, NIS2 un DORA konkretizē šos pasākumus</w:t>
            </w:r>
            <w:r w:rsidR="00000000" w:rsidRPr="00000000" w:rsidDel="00000000">
              <w:rPr>
                <w:rtl w:val="0"/>
              </w:rPr>
              <w:t xml:space="preserve">. Proti, regula nosaka vispārīgu prasību nodrošināt datu kiberdrošību, bet,  nosakot komersantu par NKDL subjektu, šīs kiberdoršibas prasības kļūst par konkrētām darbībām, kas komersantam jāveic, lai to nodrošinātu.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likums paredz, ka šīs kapitālsabiedrības drīkst darboties tikai ar PTAC licenci, tātad valsts jau ir atzinusi, ka tie sniedz sabiedriski nozīmīgus pakalpojumus, kas prasa īpašu regulējumu. Līdz ar to iekļaušana NKDL subjektu lokā būtu loģisks turpinājums, nodrošinot, ka būtiskās sabiedrības intereses tiek aizsargātas arī kiberdrošības dimensijā. Īpaši ņemot vērā, ka minētie pakalpojumi tiek sniegti izmantojot dažādus tehnoloģiskos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stratēģijas mērķis ir aizsargāt sabiedrībai būtiskus pakalpojumus. Lai gan  paši par sevi šie pakalpojumi nav nozīmīgi finanšu jomā, tomēr, ja patērētāji pieredzētu plašus kiberincidentus (datu noplūdes) arī šajā sektorā, tas grautu uzticību finanšu sistēmai kopumā. Tādēļ arī šie uzņēmumi jāpakļauj līdzīgiem kiberdrošības standartiem kā kredītietādes, vienlaikus jāņem vērā, ka NKDL ietvertās prasības nav tik stingras kā to nosaka DORA.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116. pantu privātpersonu tiesības var tikt ierobežotas, ja tas nepieciešams sabiedrības labklājības nolūkos. Minētais attiecinām arī uz nacionālās drošības interesēm. Kiberdrošība un personas datu aizsardzība šodien ir tieši šie sabiedrības labumi un nacionālās drošības aspekti. Tādējādi, pat ja drošības prasību ievērošana rada zināmas izmaksas un nelielu birokrātisko slogu, tās ir samērīgas un tiesiski pamatotas, jo kalpo sabiedrības un valsts drošībai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 nespēj aizsargāt savu iedzīvotāju informāciju, nespēj aizsargāt arī sevi. Mūsdienu informācijas un digitālajā laikmetā, personas dati ir stratēģisks resurss, un šī resursa aizsardzība ir valsts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personu – identitāte, maksātspēja, paradumi, atrašanās vieta, saziņas rīki un veidi – ir sociāli un ekonomiski vērtīgs resurss. Šāda informācija 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Ietekmēt demokrātiskos procesus, izmantojot datu profilēšanu un mērķtiecīgu politisko reklāmu.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Kompromitēt sabiedrības uzticību valsts institūcijām, izmantojot nopludinātus vai sagrozītus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Apdraudēt stratēģiskas nozares, piemēram, veselības aprūpi, finanšu sistēmas un valsts pārvaldes datubāzes, kas satur jutīgu informāciju par pilsoņiem.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datu aizsardzība jāuztver ne tikai kā tehniska vai administratīva prasība, bet kā nacionālās drošības garantijas elements, kuram ir samērīgi izvirzīt zināmas minimālās kiberdrošības prasības. Tai skaitā, nodrošināt, ka šādu personu dati nevar tikt glabāti terorismu atbalstošu valstu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piedāvātais regulējums kapitālsabiedrībām, kuras saņēmušas speciālu atļauju (licenci) patērētāja kreditēšanas pakalpojumu sniegšanai ir nediskriminējošs un proporcionāls, jo balstās uz objektīviem kritērijiem (pakalpojuma būtība, datu jutīgums, sistēmu nozīme). Drošības prasību izlīdzināšana stiprina valsts ekonomisko un informācijas drošību, kas ir prioritārs sabiedrības labums Satversmes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jāvērš uzmanības arī uz to, ka uzklausot nozares pārstāvjus un, lai dotu pietiekamu laiku sagatavoties NKDL prasību piemērošnā, šai likumprojekta normai ir noteikts vēlāks spēkā stāšanās laiks.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Regula (ES) 2016/679 (2016. gada 27. aprīlis) par fizisku personu aizsardzību attiecībā uz personas datu apstrādi un šādu datu brīvu apriti un ar ko atceļ Direktīvu 95/46/EK (Vispārīgā datu aizsardzības regula) (Dokuments attiecas uz EEZ)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iepazinusies ar Aizsardzības ministrijas sagatavotajiem grozījumiem Nacionālās kiberdrošības likumā un izsaka sekojošu iebildumu. Ar minētajiem grozījumiem paredzēts būtisko pakalpojumu sniedzēju loku paplašināt ar patērētāju kreditēšanas pakalpojumu sniedzējiem, kuri saņēmuši PTAC licenci. Vēlamies vērst uzmanību, ka šāda prasība nav iekļauta ne NIS2 , ne CCD2 direktīvā, ne DORA regulā. Iekļaušana būtisko pakalpojumu sniedzēju lokā rada jaunus pienākumus un administratīvo slogu, tādēļ ir būtiski sākotnēji identificēt nebanku kreditēšanas pakalpojumu sniedzēju nozares riskus. Šobrīd likumprojektā ietvertais pamatojums attiecībā uz šīs nozares riskiem nav pietiekams, lai tas nodrošinātu taisnīgu līdzsvaru starp identificētajiem riskiem un jaunu pienākumu un administratīvā sloga uzlikšanu komersantiem. It īpaši tādēļ, ka ar šo likumprojektu paredzēts kiberdrošības prasības attiecināt uz plašāku pakalpojumu sniedzēju loku nekā to paredz NIS2 direktīva, kurā, pārskatot direktīvu ir atjaunināts to nozaru un darbību sarakstu, uz kurām attiecas kiberdrošības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NIS2 direktīva neaizliedz dalībvalstīm noteikt stingrākas prasības. Tādas jau ir ietvertas NKDL esošajā redakcijā, piemēram, subjektu lokā ir ietverti apsardzes darbības pakalpojumu sniedzēji, arī citas dalībvalstis ir dažādos virzienos paplašinājušas subjektu loku, izejot no NIS2 direktīvas noteiktā rāmja. Direktīvas 5. pants paredz, ka šī direktīva neliedz dalībvalstīm ieviest vai saglabāt noteikumus, kas nodrošina augstāku kiberdrošības līmeni, ar noteikumu, ka šādi noteikumi ir saderīgi ar Savienības tiesību aktos noteiktajiem dalībvalstu pienākumiem. Noteikumi ir saderīgi ar Savienības tiesību aktos noteiktajiem dalībvalstu pienākumiem – nozīmē to, ka dalībvalsts stingrākās prasības neierobežo citu dalībvalstu iespējas sniegt pakalpojumus iekšējā tirgū vai diskriminē citu dalībvalstu uzņēmumus. Minētā piebilde neierobežo dalībvalstis noteikt stingrākas prasības nekā tas izriet no NIS2 direktīvas.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šo NIS2 direktīvas normu dalībvalsts var noteikt gan plašāku subjektu loku, gan noteikt, piemēram, stingrākas incidentu ziņošanas prasības, var paredzēt bargākus sodu, prasīt ieviest papildu 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Jāvērš uzmanība arī uz to, ka ne visi tirgus dalībnieki tiks iekļauti NKDL subjektu lokā, tiks ņemts vērā NKDL 1. panta 16. punktā minētais kritērijs - finanšu aspekts vai nodarbināto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mērķis ir proaktīva regulācija un kiberdrošības prasību nostiprināšana.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Vispārpieejamos resursos nav informācija, cik personu unikālo datu ir kapitālsabiedrību, kuras saņēmušas speciālu atļauju (licenci) patērētāja kreditēšanas pakalpojumu sniegšanai rīcībā. Tomēr jāņem vērā aspekts, ka, ja viena šāda pakalpojuma sniedzēja rīcībā ir apmēram 500 000 unikāli personas dati, tad kopējais apjoms ir milzīgs.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dati liecina, ka 2024. gadā: Patērētāju (nebanku) kreditētāji ar fiziskām personām (patērētājiem) noslēguši vairāk nekā 1 058 000 jaunu darījumu, izsniedzot kredītus 811,84 miljonu eiro apjomā. Tas ir par 3,89 % vairāk darījumu un par 9,08 % vairāk summā nekā 2023. 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kredītportfelis uz 2024. gada 31. decembri bija 1,219 miljardi eiro, kas ir par 14,98 % vairāk nekā gadu iepriekš.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kuras saņēmušas speciālu atļauju (licenci) patērētāja kreditēšanas pakalpojumu sniegšanai Latvijā operē ar ļoti plašiem datu apjomiem — no simtiem tūkstošu līdz aptuveni miljonam unikālu klientu datiem (identitāte, ienākumi, kredītvēsture, maksājumu uzvedība, kontaktinformācija). Tas arī ir viens no argumentiem, kāpēc šo sektoru var uzskatīt par sabiedriski būtisku no kiberdrošības viedokļa — sensitīvu datu apjoms ir līdzvērtīgs bankām.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ENISA 2024.gada publikācijā "ENISA APDRAUDĒJUMA PĀRSKATS: FINANŠU NOZARE"  ir ietverts šāds secinājums - visbiežāk skartās bija Eiropas bankas (kredītiestādes) – 46 % gadījumu, kopumā novērojot 301 incidentu. </w:t>
            </w:r>
            <w:r w:rsidR="00000000" w:rsidRPr="00000000" w:rsidDel="00000000">
              <w:rPr>
                <w:u w:val="single"/>
                <w:rtl w:val="0"/>
              </w:rPr>
              <w:t xml:space="preserve">Nākamās bija ar finansēm saistītās publiskās organizācijas (13 %). </w:t>
            </w:r>
            <w:r w:rsidR="00000000" w:rsidRPr="00000000" w:rsidDel="00000000">
              <w:rPr>
                <w:rtl w:val="0"/>
              </w:rPr>
              <w:t xml:space="preserve">Skarti bija arī fiziskas personas, piemēram, kredītinstitūciju klienti (10 %), kurus apkrāpa, izmantojot sociālās inženierijas kampaņas ar finansēm saistītu tēmu https://www.enisa.europa.eu/sites/default/files/2025-02/Finance%20TL%202024_Final.pdf.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uzdevums ir veidot finanšu sektora vienotību - bankas, maksājumu iestādes un e-naudas iestādes ir NIS2 direktīvas subjekti. Kapitālsabiedrības, kuras saņēmušas speciālu atļauju (licenci) patērētāja kreditēšanas pakalpojumu sniegšanai, kaut arī juridiski nav kredītiestādes, tomēr nodrošina līdzvērtīgu finanšu starpniecības funkciju: tie izsniedz kredītus, administrē maksājumus, atgūst parādsaistības un apstrādā klientu finanšu datus. Turklāt visbiežāk tas notiek izmantojot digitālus rīkus.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Ekonomikas ministrija ir atbildīga par kapitālsabiedrību, kuras saņēmušas speciālu atļauju (licenci) patērētāja kreditēšanā nozares politiku, tomēr šī politika neietver kiberdrošības uzraudzību. Minētais attiecināms arī uz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vērst uzmanību arī uz to, ka lai gan </w:t>
            </w:r>
            <w:r w:rsidR="00000000" w:rsidRPr="00000000" w:rsidDel="00000000">
              <w:rPr>
                <w:u w:val="single"/>
                <w:rtl w:val="0"/>
              </w:rPr>
              <w:t xml:space="preserve">GDPR[1] 32. pants paredz, ka tehniskie un organizatoriskie pasākumi jāpielāgo riskam, NIS2 un DORA konkretizē šos pasākumus. Proti, regula nosaka vispārīgu prasību nodrošināt datu kiberdrošību, bet,  nosakot komersantu par NKDL subjektu, šīs kiberdoršibas prasības kļūst par konkrētām darbībām, kas komersantam jāveic, lai to nodrošināt</w:t>
            </w:r>
            <w:r w:rsidR="00000000" w:rsidRPr="00000000" w:rsidDel="00000000">
              <w:rPr>
                <w:rtl w:val="0"/>
              </w:rPr>
              <w:t xml:space="preserve">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likums paredz, ka šīs kapitālsabiedrības drīkst darboties tikai ar PTAC licenci, tātad valsts jau ir atzinusi, ka tie sniedz sabiedriski nozīmīgus pakalpojumus, kas prasa īpašu regulējumu. Līdz ar to iekļaušana NKDL subjektu lokā būtu loģisks turpinājums, nodrošinot, ka būtiskās sabiedrības intereses tiek aizsargātas arī kiberdrošības dimensijā. Īpaši ņemot vērā, ka minētie pakalpojumi tiek sniegti izmantojot dažādus tehnoloģiskos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stratēģijas mērķis ir aizsargāt sabiedrībai būtiskus pakalpojumus. Lai gan  paši par sevi šie pakalpojumi nav nozīmīgi finanšu jomā, tomēr, ja patērētāji pieredzētu plašus kiberincidentus (datu noplūdes) arī šajā sektorā, tas grautu uzticību finanšu sistēmai kopumā. Tādēļ arī šie uzņēmumi jāpakļauj līdzīgiem kiberdrošības standartiem kā kredītietādes, vienlaikus jāņem vērā, ka NKDL ietvertās prasības nav tik stingras kā to nosaka DORA.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116. pantu privātpersonu tiesības var tikt ierobežotas, ja tas nepieciešams sabiedrības labklājības nolūkos. Minētais attiecinām arī uz nacionālās drošības interesēm. Kiberdrošība un personas datu aizsardzība šodien ir tieši šie sabiedrības labumi un nacionālās drošības aspekti. Tādējādi, pat ja drošības prasību ievērošana rada zināmas izmaksas un nelielu birokrātisko slogu, tās ir samērīgas un tiesiski pamatotas, jo kalpo sabiedrības un valsts drošībai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 nespēj aizsargāt savu iedzīvotāju informāciju, nespēj aizsargāt arī sevi. Mūsdienu informācijas un digitālajā laikmetā, personas dati ir stratēģisks resurss, un šī resursa aizsardzība ir valsts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personu – identitāte, maksātspēja, paradumi, atrašanās vieta, saziņas rīki un veidi – ir sociāli un ekonomiski vērtīgs resurss. Šāda informācija 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Ietekmēt demokrātiskos procesus, izmantojot datu profilēšanu un mērķtiecīgu politisko reklāmu.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Kompromitēt sabiedrības uzticību valsts institūcijām, izmantojot nopludinātus vai sagrozītus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Apdraudēt stratēģiskas nozares, piemēram, veselības aprūpi, finanšu sistēmas un valsts pārvaldes datubāzes, kas satur jutīgu informāciju par pilsoņiem.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Tāpēc datu aizsardzība jāuztver ne tikai kā tehniska vai administratīva prasība, bet kā nacionālās drošības garantijas elements, kuram ir samērīgi izvirzīt zināmas minimālās kiberdrošības prasības. </w:t>
            </w:r>
            <w:r w:rsidR="00000000" w:rsidRPr="00000000" w:rsidDel="00000000">
              <w:rPr>
                <w:rtl w:val="0"/>
              </w:rPr>
              <w:t xml:space="preserve">Tai skaitā, nodrošināt, ka šādu personu dati nevar tikt glabāti terorismu atbalstošu valstu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piedāvātais regulējums kapitālsabiedrībām, kuras saņēmušas speciālu atļauju (licenci) patērētāja kreditēšanas pakalpojumu sniegšanai ir nediskriminējošs un proporcionāls, jo balstās uz objektīviem kritērijiem (pakalpojuma būtība, datu jutīgums, sistēmu nozīme). Drošības prasību izlīdzināšana stiprina valsts ekonomisko un informācijas drošību, kas ir prioritārs sabiedrības labums Satversmes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Regula (ES) 2016/679 (2016. gada 27. aprīlis) par fizisku personu aizsardzību attiecībā uz personas datu apstrādi un šādu datu brīvu apriti un ar ko atceļ Direktīvu 95/46/EK (Vispārīgā datu aizsardzības regula) (Dokuments attiecas uz EEZ)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centrs (PTAC) ir iepazinies ar likumprojektu Grozījumi Nacionālās kiberdrošības likumā un tā sākotnējās ietekmes (ex-ante) novērtējuma ziņojumu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iesniedz iebildumus 3.punktam ar kuru tiek piedāvāts papildināt 20.panta 8. punktu ar k1) apakšpunktu šādā redakcijā:  “k1)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(ES) 2022/2555 (2022. gada 14. decembris), ar ko paredz pasākumus nolūkā panākt vienādi augstu kiberdrošības līmeni visā Savienībā un ar ko groza Regulu (ES) Nr. 910/2014 un Direktīvu (ES) 2018/1972 un atceļ Direktīvu (ES) 2016/1148 (TID 2 direktīva) (Dokuments attiecas uz EEZ) Preambulas 28.apsvērums paskaidro, ka attiecībā uz finanšu vienībām šīs direktīvas vietā būtu jāpiemēro Eiropas Parlamenta un Padomes Regula (ES) 2022/2554 (2022. gada 14. decembris) par finanšu nozares digitālās darbības noturību un ar ko groza Regulas (EK) Nr. 1060/2009, (ES) Nr. 648/2012, (ES) Nr. 600/2014, (ES) Nr. 909/2014 un (ES) 2016/1011 (Dokuments attiecas uz EEZ).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minētajos normatīvajos aktos noteiktajam, patērētāju kreditēšanas pakalpojumu sniedzēji, kuri saņēmuši speciālo atļauju (licenci) nav uzskatāmi par  “kritisko nozaru” pakalpojumu sniedzējiem un līdz ar to uz tiem nav attiecināmas attiecīgās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direktīvas Preambulas 3.apsvēruma regulējuma mērķis ir tīklu un informācijas sistēmu aizsardzība, lai netiktu kavēta saimnieciskā darbība, radīti finansiāli zaudējumi, apdraudēta lietotāju uzticēšanās un radīts liels kaitējums Savienības ekonomikai un sabiedrībai.  Tādejādi mērķis ir aizsargāt tādas sistēmas un informācijas sistēmas, kuras nodrošina sabiedrībai un valsts ekonomikai būtiskus pakalpojumus. PTAC piekrīt, ka šādi pakalpojumi ir  ,piemēram, komercbanku pakalpojumi, kuras uzglabā patērētāju un komersantu naudas līdzekļus, nodrošina bezskaidrās naudas apriti un skaidras naudas izmaksu. Kiberincidenta gadījumā klientiem nebūtu iespējams saņemt naudas līdzekļus, veikt maksājumus u.tml., kas būtiski ietekmēs ekonomisko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Nebanku kreditēšanas pakalpojumu sniedzēji savukārt sniedz tikai kreditēšanas pakalpojumus, netiek sniegti nedz naudas līdzekļu uzglabāšanas pakalpojumi, nedz nodrošināta naudas līdzekļu aprite. Kiberincidenta gadījumā tiktu ietekmēta tikai pašu pakalpojumu sniedzēju spēja apkalpot izsniegtos kredītus un izsniegt jaunus kredītus, kas nerada ietekmi uz tautsaimniecību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nebanku kreditētāju iekļaušana regulējuma ietvarā palielinās komersantiem administratīvo slogu un izmaksas, kas ir pretējs šobrīd uzstādītajam mērķim samazināt birokrātisko slogu komersantiem un valsts pārvaldei, kā arī nepamatotu un stingrāku prasību kā  ES uzlikšana komersantiem būs signāls pārskatīt savu darbību Latvijā un izvēlēties citas ES dalībvalstis par komerdarbības reģistrēšanas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NIS2 direktīva neaizliedz dalībvalstīm noteikt stingrākas prasības. Tādas jau ir ietvertas NKDL esošajā redakcijā, piemēram, subjektu lokā ir ietverti apsardzes darbības pakalpojumu sniedzēji, arī citas dalībvalstis ir dažādos virzienos paplašinājušas subjektu loku, izejot no NIS2 direktīvas noteiktā rāmja. Direktīvas 5. pants paredz, ka šī direktīva neliedz dalībvalstīm ieviest vai saglabāt noteikumus, kas nodrošina augstāku kiberdrošības līmeni, ar noteikumu, ka šādi noteikumi ir saderīgi ar Savienības tiesību aktos noteiktajiem dalībvalstu pienākumiem. Noteikumi ir saderīgi ar Savienības tiesību aktos noteiktajiem dalībvalstu pienākumiem – nozīmē to, ka dalībvalsts stingrākās prasības neierobežo citu dalībvalstu iespējas sniegt pakalpojumus iekšējā tirgū vai diskriminē citu dalībvalstu uzņēmumus. Minētā piebilde neierobežo dalībvalstis noteikt stingrākas prasības nekā tas izriet no NIS2 direktīvas.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šo NIS2 direktīvas normu dalībvalsts var noteikt gan plašāku subjektu loku, gan noteikt, piemēram, stingrākas incidentu ziņošanas prasības, var paredzēt bargākus sodu, prasīt ieviest papildu 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Jāvērš uzmanība arī uz to, ka ne visi tirgus dalībnieki tiks iekļauti NKDL subjektu lokā, tiks ņemts vērā NKDL 1. panta 16. punktā minētais kritērijs - finanšu aspekts vai nodarbināto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mērķis ir proaktīva regulācija un kiberdrošības prasību nostiprināšana.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Vispārpieejamos resursos nav informācija, cik personu unikālo datu ir kapitālsabiedrību, kuras saņēmušas speciālu atļauju (licenci) patērētāja kreditēšanas pakalpojumu sniegšanai rīcībā. Tomēr jāņem vērā aspekts, ka, ja viena šāda pakalpojuma sniedzēja rīcībā ir apmēram 500 000 unikāli personas dati, tad kopējais apjoms ir milzīgs.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dati liecina, ka 2024. gadā: Patērētāju (nebanku) kreditētāji ar fiziskām personām (patērētājiem) noslēguši vairāk nekā 1 058 000 jaunu darījumu, izsniedzot kredītus 811,84 miljonu eiro apjomā. Tas ir par 3,89 % vairāk darījumu un par 9,08 % vairāk summā nekā 2023. 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kredītportfelis uz 2024. gada 31. decembri bija 1,219 miljardi eiro, kas ir par 14,98 % vairāk nekā gadu iepriekš.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kuras saņēmušas speciālu atļauju (licenci) patērētāja kreditēšanas pakalpojumu sniegšanai Latvijā operē ar ļoti plašiem datu apjomiem — no simtiem tūkstošu līdz aptuveni miljonam unikālu klientu datiem (identitāte, ienākumi, kredītvēsture, maksājumu uzvedība, kontaktinformācija). Tas arī ir viens no argumentiem, kāpēc šo sektoru var uzskatīt par sabiedriski būtisku no kiberdrošības viedokļa — sensitīvu datu apjoms ir līdzvērtīgs bankām.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ENISA 2024.gada publikācijā "ENISA APDRAUDĒJUMA PĀRSKATS: FINANŠU NOZARE"  ir ietverts šāds secinājums - visbiežāk skartās bija Eiropas bankas (kredītiestādes) – 46 % gadījumu, kopumā novērojot 301 incidentu. Nākamās bija ar finansēm saistītās publiskās organizācijas (13 %). Skarti bija arī fiziskas personas, piemēram, kredītinstitūciju klienti (10 %), kurus apkrāpa, izmantojot sociālās inženierijas kampaņas ar finansēm saistītu tēmu https://www.enisa.europa.eu/sites/default/files/2025-02/Finance%20TL%202024_Final.pdf.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uzdevums ir veidot finanšu sektora vienotību - bankas, maksājumu iestādes un e-naudas iestādes ir NIS2 direktīvas subjekti. Kapitālsabiedrības, kuras saņēmušas speciālu atļauju (licenci) patērētāja kreditēšanas pakalpojumu sniegšanai, kaut arī juridiski nav kredītiestādes, tomēr nodrošina līdzvērtīgu finanšu starpniecības funkciju: tie izsniedz kredītus, administrē maksājumus, atgūst parādsaistības un apstrādā klientu finanšu datus. Turklāt visbiežāk tas notiek izmantojot digitālus rīkus.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Ekonomikas ministrija ir atbildīga par kapitālsabiedrību, kuras saņēmušas speciālu atļauju (licenci) patērētāja kreditēšanā nozares politiku, tomēr šī politika neietver kiberdrošības uzraudzību. Minētais attiecināms arī uz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vērst uzmanību arī uz to, ka lai gan GDPR[1] 32. pants paredz, ka tehniskie un organizatoriskie pasākumi jāpielāgo riskam, NIS2 un DORA konkretizē šos pasākumus. Proti, regula nosaka vispārīgu prasību nodrošināt datu kiberdrošību, bet,  nosakot komersantu par NKDL subjektu, šīs kiberdoršibas prasības kļūst par konkrētām darbībām, kas komersantam jāveic, lai to nodrošinātu.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likums paredz, ka šīs kapitālsabiedrības drīkst darboties tikai ar PTAC licenci, tātad valsts jau ir atzinusi, ka tie sniedz sabiedriski nozīmīgus pakalpojumus, kas prasa īpašu regulējumu. Līdz ar to iekļaušana NKDL subjektu lokā būtu loģisks turpinājums, nodrošinot, ka būtiskās sabiedrības intereses tiek aizsargātas arī kiberdrošības dimensijā. Īpaši ņemot vērā, ka minētie pakalpojumi tiek sniegti izmantojot dažādus tehnoloģiskos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stratēģijas mērķis ir aizsargāt sabiedrībai būtiskus pakalpojumus. Lai gan  paši par sevi šie pakalpojumi nav nozīmīgi finanšu jomā, tomēr, ja patērētāji pieredzētu plašus kiberincidentus (datu noplūdes) arī šajā sektorā, tas grautu uzticību finanšu sistēmai kopumā. Tādēļ arī šie uzņēmumi jāpakļauj līdzīgiem kiberdrošības standartiem kā kredītietādes, vienlaikus jāņem vērā, ka NKDL ietvertās prasības nav tik stingras kā to nosaka DORA.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116. pantu privātpersonu tiesības var tikt ierobežotas, ja tas nepieciešams sabiedrības labklājības nolūkos. Minētais attiecinām arī uz nacionālās drošības interesēm. Kiberdrošība un personas datu aizsardzība šodien ir tieši šie sabiedrības labumi un nacionālās drošības aspekti. Tādējādi, pat ja drošības prasību ievērošana rada zināmas izmaksas un nelielu birokrātisko slogu, tās ir samērīgas un tiesiski pamatotas, jo kalpo sabiedrības un valsts drošībai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 nespēj aizsargāt savu iedzīvotāju informāciju, nespēj aizsargāt arī sevi. Mūsdienu informācijas un digitālajā laikmetā, personas dati ir stratēģisks resurss, un šī resursa aizsardzība ir valsts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personu – identitāte, maksātspēja, paradumi, atrašanās vieta, saziņas rīki un veidi – ir sociāli un ekonomiski vērtīgs resurss. Šāda informācija 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Ietekmēt demokrātiskos procesus, izmantojot datu profilēšanu un mērķtiecīgu politisko reklāmu.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Kompromitēt sabiedrības uzticību valsts institūcijām, izmantojot nopludinātus vai sagrozītus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Apdraudēt stratēģiskas nozares, piemēram, veselības aprūpi, finanšu sistēmas un valsts pārvaldes datubāzes, kas satur jutīgu informāciju par pilsoņiem.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Tāpēc datu aizsardzība jāuztver ne tikai kā tehniska vai administratīva prasība, bet kā nacionālās drošības garantijas elements, kuram ir samērīgi izvirzīt zināmas minimālās kiberdrošības prasības.</w:t>
            </w:r>
            <w:r w:rsidR="00000000" w:rsidRPr="00000000" w:rsidDel="00000000">
              <w:rPr>
                <w:rtl w:val="0"/>
              </w:rPr>
              <w:t xml:space="preserve"> Tai skaitā, nodrošināt, ka šādu personu dati nevar tikt glabāti terorismu atbalstošu valstu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piedāvātais regulējums kapitālsabiedrībām, kuras saņēmušas speciālu atļauju (licenci) patērētāja kreditēšanas pakalpojumu sniegšanai ir nediskriminējošs un proporcionāls, jo balstās uz objektīviem kritērijiem (pakalpojuma būtība, datu jutīgums, sistēmu nozīme). Drošības prasību izlīdzināšana stiprina valsts ekonomisko un informācijas drošību, kas ir prioritārs sabiedrības labums Satversmes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Regula (ES) 2016/679 (2016. gada 27. aprīlis) par fizisku personu aizsardzību attiecībā uz personas datu apstrādi un šādu datu brīvu apriti un ar ko atceļ Direktīvu 95/46/EK (Vispārīgā datu aizsardzības regula) (Dokuments attiecas uz EEZ)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 sadaļā sniegt pamatotu skaidrojumu par projekta 3. pantā ietvertā Likuma 20. panta 8. punkta k.</w:t>
            </w:r>
            <w:r w:rsidR="00000000" w:rsidRPr="00000000" w:rsidDel="00000000">
              <w:rPr>
                <w:vertAlign w:val="superscript"/>
                <w:rtl w:val="0"/>
              </w:rPr>
              <w:t xml:space="preserve">1</w:t>
            </w:r>
            <w:r w:rsidR="00000000" w:rsidRPr="00000000" w:rsidDel="00000000">
              <w:rPr>
                <w:rtl w:val="0"/>
              </w:rPr>
              <w:t xml:space="preserve"> apakšpunktā paredzētā regulējuma atbilstību Eiropas Parlamenta un Padomes 2022. gada 14. decembra Direktīvai (ES) 2022/2555, ar ko paredz pasākumus nolūkā panākt vienādi augstu kiberdrošības līmeni visā Savienībā un ar ko groza Regulu (ES) Nr. 910/2014 un Direktīvu (ES) 2018/1972 un atceļ Direktīvu (ES) 2016/1148 (TID 2 direktīva) (ja attiecināms, arī citiem Eiropas Savienības tiesību aktiem), kas pirmšķietami neparedz to, ka attiecīgās kapitālsabiedrības būtu kvalificējamas kā būtisko pakalpojumu sniedzējas ("būtiskas vienības" direktīvas izpratnē). Ja attiecīgu skaidrojumu nav iespējams sniegt, lūdzam atbilstoši precizēt projekta 3. pantu, izslēdzot minēto normu. Norādām, ka konkrētās direktīvas mērķis ir mazināt lielās atšķirības starp dalībvalstīm un nodrošinātu juridisko noteiktību attiecībā uz kiberdrošības risku pārvaldības pasākumiem un ziņošanas pienākumiem visām attiecīgajām vienībām, ieviešot vienotu kritēriju tādu vienību noteikšanai, kas ietilpst šīs direktīvas darbības jomā (sk. direktīvas preambulas 7. apsvērumu). Vienlaikus minētās direktīvas 5. pants paredz, ka šī direktīva neliedz dalībvalstīm ieviest vai saglabāt noteikumus, kas nodrošina augstāku kiberdrošības līmeni, ar noteikumu, ka šādi noteikumi ir saderīgi ar Eiropas Savienības tiesību aktos noteiktajiem dalībvalstu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 ar projektu tiek pārņemts Eiropas Savienības direktīvas regulējums (tostarp ar projektu veiktas izmaiņas Likuma vienībās, ar kurām iepriekš pārņemtas minētās direktīvas vienības), lūdzam anotācijas 5. sadaļā, jo īpaši 5.4. apakšsadaļas 1. tabulā skaidrot direktīvas prasību pārņemšanu projektā vai skaidrot projektā ietvertā regulējuma atbilstību direktīvā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NIS2 direktīva neaizliedz dalībvalstīm noteikt stingrākas prasības. Tādas jau ir ietvertas NKDL esošajā redakcijā, piemēram, subjektu lokā ir ietverti apsardzes darbības pakalpojumu sniedzēji, arī citas dalībvalstis ir dažādos virzienos paplašinājušas subjektu loku, izejot no NIS2 direktīvas noteiktā rāmja. Direktīvas 5. pants paredz, ka šī direktīva neliedz dalībvalstīm ieviest vai saglabāt noteikumus, kas nodrošina augstāku kiberdrošības līmeni, ar noteikumu, ka šādi noteikumi ir saderīgi ar Savienības tiesību aktos noteiktajiem dalībvalstu pienākumiem. Noteikumi ir saderīgi ar Savienības tiesību aktos noteiktajiem dalībvalstu pienākumiem – nozīmē to, ka dalībvalsts stingrākās prasības neierobežo citu dalībvalstu iespējas sniegt pakalpojumus iekšējā tirgū vai diskriminē citu dalībvalstu uzņēmumus. Minētā piebilde neierobežo dalībvalstis noteikt stingrākas prasības nekā tas izriet no NIS2 direktīvas.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šo NIS2 direktīvas normu dalībvalsts var noteikt gan plašāku subjektu loku, gan noteikt, piemēram, stingrākas incidentu ziņošanas prasības, var paredzēt bargākus sodu, prasīt ieviest papildu 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ietverts anotācijas 5.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Izslēgt 3. panta pirmās daļas 2.punktā vārdus "kā arī privāto tiesību juridiskajām personām, kas pilda valsts pārvaldes deleģētu uzdevumu,”.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projekta 2. pantā un projekta 3. panta pirmajā daļā ietvertā grozījuma ietekmi uz privāto tiesību juridiskajām personām, kas pilda valsts pārvaldes deleģētus uzdevumus, un ir kapitālsabiedrības, nevis biedrības un nodibinājumi. Piemēram, saskaņā ar Likuma 20. panta 5. punktu būtisko pakalpojumu sniedzējs ir valsts akciju sabiedrība "Latvijas Pasts", savukārt pēc projekta spēkā stāšanās valsts akciju sabiedrība "Latvijas Pasts" saskaņā ar Likuma 21. panta pirmās daļas 2. punkta a) apakšpunktu būs svarīgo pakalpojumu sniedzējs. Saskaņā ar Likuma 20. panta 5. punktu būtisko pakalpojumu sniedzējs ir sabiedrība ar ierobežotu atbildību "Publisko aktīvu pārvaldītājs Possessor", savukārt pēc projekta spēkā stāšanās būs nepieciešams izvērtēt, vai sabiedrība arī turpmāk būs būtisko pakalpojumu sniedzējs, ievērojot Likuma 20. panta 11. punktu, vai pēc projekta spēkā stāšanās šī kapitālsabiedrība, kas pilda būtiskus valsts pārvaldes deleģētus uzdevumus, vairs nebūs Likuma subjekts.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minēto grozījumu likumprojektā, tika rūpīgi izvērtēti visas privāto tiesību juridiskās personas, kas pilda valsts pārvaldes deleģētos uzdevumus, par kurām ir pieejami publiska informācija. Piemēram, vairākas valsts kapitālsabiedrības, kas cita starpā pilda valsts pārvaldes deleģētos uzdevumus, paliek NKDL subjekti, jo šīm kapitālsabiedrībām subjekta statusu nosaka citi kritēriji.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 panta pirmās daļas 2. punktā vārdus "kā arī privāto tiesību juridiskajām personām, kas pilda valsts pārvaldes deleģētu uzdevumu,”.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projektā ir paredzēts, ka tas stāsies spēkā nākamajā dienā pēc tā izsludināšanas, aicinām attiecīgi precizēt anotācijas 1.2.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apakšsadaļa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18.07.2025. Finanšu ministrijas atzinumā ietverto priekšlikumu par anotācijas 2.1. punkta papildināšanu ar juridisko personu loku, uz kurām attiecināmi šie likuma grozījumi, </w:t>
            </w:r>
            <w:r w:rsidR="00000000" w:rsidRPr="00000000" w:rsidDel="00000000">
              <w:rPr>
                <w:u w:val="single"/>
                <w:rtl w:val="0"/>
              </w:rPr>
              <w:t xml:space="preserve">atkārtoti lūdzam norādīt</w:t>
            </w:r>
            <w:r w:rsidR="00000000" w:rsidRPr="00000000" w:rsidDel="00000000">
              <w:rPr>
                <w:rtl w:val="0"/>
              </w:rPr>
              <w:t xml:space="preserve">  visas juridiskās personas, uz kurām attiecas (minētas likumprojektā) šie likuma grozījumi, proti, arī PTAL 8.pantā minētos komersantus, kuri  saņēmuši speciālu atļauju (licenci) patērētāja kreditēšanas pakalpojuma sniegšanai.  Vēršam uzmanību, ka precizētajā redakcijā FM priekšlikums nav iekļauts.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04.07.2025. 17:10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Izslēgt 3. panta pirmās daļas 2.punktā vārdus "kā arī privāto tiesību juridiskajām personām, kas pilda valsts pārvaldes deleģētu uzdevumu,”.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Nacionālās kiberdrošības likumā" (turpmāk – projekts) sākotnējās ietekmes novērtējuma ziņojumā (turpmāk – anotācija) ir norādīts, ka lielākā daļa privāto tiesību juridiskās personas, kas pilda valsts pārvaldes deleģētus uzdevumus, ir biedrības un nodibinājumi, kas sniedz pakalpojumus sociālā vai kultūras jomā. Vēršam uzmanība uz to, ka valsts pārvaldes uzdevumi ir deleģēti dažādām privātpersonām, nevis tikai biedrībām un nodibinājumiem, proti, piemēram, arī kapitālsabiedrībām. Tādējādi pirms visu privātpersonu, kas pilda valsts pārvaldes deleģētus uzdevumus, izslēgšanas no Nacionālās kiberdrošības likuma (turpmāk – Likums) 3. panta pirmās daļas 2. punkta un 20. panta 5. punkta ir nepieciešams izvērtēt, vai visas privātpersonas, kas pilda valsts pārvaldes deleģētus uzdevumus un kuras šobrīd, ievērojot Likumā noteikto, ir būtisko pakalpojumu sniedzēji (Likuma 20. panta 5. punkts) un </w:t>
            </w:r>
            <w:r w:rsidR="00000000" w:rsidRPr="00000000" w:rsidDel="00000000">
              <w:rPr>
                <w:u w:val="single"/>
                <w:rtl w:val="0"/>
              </w:rPr>
              <w:t xml:space="preserve">kurām ir jābūt būtisko pakalpojumu sniedzējiem</w:t>
            </w:r>
            <w:r w:rsidR="00000000" w:rsidRPr="00000000" w:rsidDel="00000000">
              <w:rPr>
                <w:rtl w:val="0"/>
              </w:rPr>
              <w:t xml:space="preserve">, pēc šāda grozījuma veikšanas būs būtisko pakalpojumu sniedzēji saskaņā ar citu Likuma 20. pantā paredzētu normu. Ja likumprojekta mērķis ir atvieglot prasības tikai attiecībā uz biedrībām un nodibinājumiem, ir nepieciešams izvērtēt, vai likumprojekts nesamazinās prasības attiecībā uz kapitālsabiedrībām, kas pilda valsts pārvaldes deleģētus uzdevumus. Ievērojot minēto, lūdzam izvērtēt projekta 2. un 3. pantā ietverto regulējumu attiecībā uz privāto tiesību juridisko personu, kas pilda valsts pārvaldes deleģētus uzdevumus, izslēgšanu no būtisko pakalpojumu sniedzējiem, tostarp, izvērtējot, vai privāto tiesību juridiskās personas, kas pilda valsts pārvaldes deleģētus uzdevumus, un šobrīd Likuma izpratnē ir būtisko pakalpojumu sniedzēji, pēc projekta spēkā stāšanās varētu kļūt par svarīgo pakalpojumu sniedzējiem, un ar attiecīgu izvērtējumu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iespēju papildināt projekta 4. pantā ietverto Likuma 20.</w:t>
            </w:r>
            <w:r w:rsidR="00000000" w:rsidRPr="00000000" w:rsidDel="00000000">
              <w:rPr>
                <w:vertAlign w:val="superscript"/>
                <w:rtl w:val="0"/>
              </w:rPr>
              <w:t xml:space="preserve">1</w:t>
            </w:r>
            <w:r w:rsidR="00000000" w:rsidRPr="00000000" w:rsidDel="00000000">
              <w:rPr>
                <w:rtl w:val="0"/>
              </w:rPr>
              <w:t xml:space="preserve"> pantu, paredzot, ka arī privāto tiesību juridisko personu, kas pilda valsts pārvaldes deleģētu uzdevumu, var izslēgt no būtisko pakalpojumu sniedzēju saraksta ar Digitālās drošības uzraudzības komitejas lēmumu. Tādējādi būtu iespēja konkrētas privāto tiesību juridiskās personas, kas pilda valsts pārvaldes deleģētu uzdevumu, izslēgt no saraksta, vienlaikus sarakstā atstājot tās privātpersonas, kurām pēc būtības ir jābūt būtisko pakalpojumu sniedzējiem Likuma izpratnē, attiecīgi arī izpildot Likumā ietvertās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izstrādājot šo grozījumus, ir veikusi izpēti par publiskos reģistros pieejamiem subjektiem, kam ir norāde par pārvaldes deleģēta uzdevuma līguma esamību. Visi publiski pieejamie dati ir izvērtēti un anotācijā ir skaidri norādīts, ka </w:t>
            </w:r>
            <w:r w:rsidR="00000000" w:rsidRPr="00000000" w:rsidDel="00000000">
              <w:rPr>
                <w:u w:val="single"/>
                <w:rtl w:val="0"/>
              </w:rPr>
              <w:t xml:space="preserve">lielākā daļa</w:t>
            </w:r>
            <w:r w:rsidR="00000000" w:rsidRPr="00000000" w:rsidDel="00000000">
              <w:rPr>
                <w:rtl w:val="0"/>
              </w:rPr>
              <w:t xml:space="preserve"> šādu līgumu ir tieši sociālā un kultūras jomā. Ministrija ir apzinājusi un izvērtējusi arī tos iespējamos subjektus, kas ir kapitālsabiedrības un pilda pārvaldes deleģētos uzdevumus.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uz to, ka, sākot piemērot praksē Nacionālas kiberdrošības likuma (turpmāk - NKDL ) normas, ir secināts, ka vienīgi statuss - privāto tiesību juridiskā persona, kas pilda pārvaldes uzdevumu, ir par pamatu, lai privāto tiesību juridiskā persona kļūtu par NKDL subjektu, nav samērīgs ar sasniedzamo mērķi. Privāto tiesību juridiskā persona nepilda valsts vai pašvaldības funkcijas, bet gan noteiktus atsevišķus uzdevumus, kas tai tiek deleģēti. Deleģējot uzdevumu valsts saglabā funkcijas izpildes pienākumu un atbildību par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Tiešās pārvaldes iestādes un atvasinātas publiskas personas, kā arī citas institūcijas ir iekļautas NKDL subjektu lokā, jo nodrošina valstij un sabiedrībai svarīgu funkciju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publiski pieejamo informāciju par noslēgtajiem pārvaldes uzdevumu līgumiem, ir secināts, ka lielākā daļa subjektu citkārt netiktu atzīti par NKDL subjektiem 20. panta tvērumā, un attiecīgi nav samērīgi šīs privāto tiesību juridiskās personas noteikt par subjektiem tikai tāpēc, ka tiek pildīts tāds vai citāds valsts vai pašvaldības dots uzdevums. Tāpat jāņem vērā arī fakts, ka Nacionālais kiberdrošības centrs nespēs pilnvērtīgi realizēt uzraudzību, jo nav pieejama visaptveroša un pilnīga informācija par visiem noslēgtajiem deleģējuma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 panta pirmās daļas 2. punktā vārdus "kā arī privāto tiesību juridiskajām personām, kas pilda valsts pārvaldes deleģētu uzdevumu,”.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komersants, kas saņēmis licenci nebanku patērētāju kreditēšanas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Iebilstam pret licencētu patērētāju kreditēšanas pakalpojumu sniedzēju iekļaušanu Nacionālās kiberdrošības likuma tvērumā un aicinām izslēgt Likumprojekta 3.pantu daļā, kas paredz papildināt 20.panta 8.punktu ar k1)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“k1) komersants, kas saņēmis licenci nebanku patērētāju kreditēšanas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Licencēti patērētāju kreditēšanas pakalpojumu sniedzēji nav noteikti kā svarīgie vai būtiskie pakalpojumu sniedzēji NIS 2 direktīvas tvērumā un tādēļ nav kā tādi definējami arī nacionālajā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Eiropas Parlamenta un Padomes Direktīvas (ES) 2022/2555 (2022. gada 14. decembris) par augsta kopējā kiberdrošības līmeņa nodrošināšanu visā Savienībā, turpmāk tekstā – “NIS2 direktīva” preambulas 2., 3. un 4. apsvērumiem, direktīvas mērķis ir stiprināt kopējo kiberdrošības līmeni Eiropas Savienībā un aizsargāt sabiedrībai būtiskas un kritiski svarīgas nozares pret kiberdrošības apdraudējumiem. NIS2 direktīvas 2. apsvērumā ir skaidri norādīts, ka regulējuma centrālais uzdevums ir nodrošināt šādu nozaru un sabiedrībai būtisko pakalpojumu pieejamības nepārtrauktību apdraudējuma gadījumā, jo šo pakalpojumu darbības traucējumiem var būt būtiska ietekme uz sabiedrības drošību, veselību, ekonomisko stabilitāti un sabiedrisko kārtību. Savukārt, NIS2 direktīvas preambulas 3. apsvērumā skaidri uzsvērts, ka regulējuma piemērošana paredzēta subjektiem, kuru darbības pārrāvums var radīt būtisku ietekmi uz sabiedrību un ekonomiku, tostarp uz finanšu sistēmas stabilitāti un sabiedrības ikdienas funkcionēšanu.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Attiecīgi, NIS2 direktīvas II pielikumā ir skaidri un izsmeļoši uzskaitītas tās būtisko un svarīgo pakalpojumu nozares un attiecīgie subjekti, uz kuriem attiecināms direktīvas regulējums. Tajā norādīts, ka finanšu sektorā NIS2 direktīvas tvērumā ietilpst šādas finanšu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tirgus infrastruktūra, finanšu iestādes, apdrošināšanas un pārapdrošināšanas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maksājumu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elektroniskās naudas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ieguldījumu brokeru 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centrālie vērtspapīru depozitāriji (CSD);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centrālie darījumu partneri (CCP);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pārapdrošināšanas sabiedrības.”(NIS2 direktīvas II pielikuma 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 redzams, patērētāju kreditēšanas pakalpojumu sniedzēji NIS2 Direktīvas II. Pielikumā un Direktīvas tvērumā nav iekļauti, jo tie nenodrošina sabiedrības vajadzībām būtiskus vai kritiskus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 nepārvalda vai nenodrošina maksājumu sistēmas vai starpbanku norēķinu infrastruktūras un neatbild par iedzīvotāju ikdienas maksājumu veikšanas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 nepieņem un nav atbildīgi par iedzīvotāju noguldīto naudas līdzekļu (depozītu) drošību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nerada sistēmiskus riskus, kuru dēļ varētu tikt apdraudēta ekonomiskā drošība vai sabiedrības pamatvajadzības.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Kredītiestādes, kuras jau šobrīd ir gan Direktīvas, gan arī Likuma tvērumā, nodrošina iedzīvotājiem un valsts funkcionēšanai kritiski svarīgus pakalpojumus - iedzīvotāju noguldījumu drošību un arī pieejamību iedzīvotājiem, iespēju veikt norēķinus, un tml., un šo pakalpojumu pieejamības pārtraukšana var radīt tūlītēju un plašu sociālekonomisko ietekmi. Tāpat, Direktīvas tvērumā ir iekļauti visi citi finanšu pakalpojumu sniedzēji, kuriem ir būtiska ietekme uz iedzīvotāju naudas līdzekļiem (piemēram, ieguldījumu brokeru sabiedrības) vai spēju veikt norēķinus (maksājumu iestādes). Salīdzinājumā ar kredītiestādēm, licencētie patērētāju kreditētāji sniedz tikai atsevišķus kreditēšanas pakalpojumus, kuri nav kritiski valsts finanšu infrastruktūras vai sabiedrības ikdienas norēķinu darbības nodrošināšanai. Šie pakalpojumi ir aizvietojami un to darbības pārrāvums nerada sistēmiskus riskus ne finanšu stabilitātei, ne sabiedrības pamatvajadzību apmierināšanai.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Jāuzsver arī, ka neviena cita Eiropas Savienības dalībvalsts nav izvēlējusies iekļaut licencētos patērētāju kreditēšanas pakalpojumu sniedzējus būtisko vai svarīgo pakalpojumu sniedzēju sarakstā, īstenojot NIS2 direktīvu. Tas apliecina skaidru izpratni ES līmenī, ka NIS2 direktīvā jau ir noteikti tie subjekti, kuru darbības pārrāvums var reāli apdraudēt sabiedrību un kuru iekļaušana ir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Kredītiestāžu uzraudzību kiberdrošības jomā veic Latvijas Banka. Šobrīd izveidojas situācija, kad kapitālsabiedrību, kuras ir saņēmušas speciālu atļauju (licenci) patērētāja kreditēšanas pakalpojuma sniegšanai, rīcībā ir līdzīgs informācijas un datu daudzums par saviem klientiem kā kredītiestādēm, tomēr šie pakalpojumu sniedzēji nav iekļauti likuma tvērumā. Turklāt šim sektoram nav noteikts līdzvērtīgs kiberdrošības ietvars. Esošais "likuma robs" veido nelīdzvērtīgu konkurenci uz līdzīgiem pakalpojumu sniedzējiem, bet arī var atstāt šādu pakalpojumu sniedzējus neaizsargātus pret pakalpojumu nepieejamības, krāpniecības vai datu noplūdes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Licencētie tirgus dalībnieki 2024. gadā ar patērētājiem noslēdza vairāk nekā vienu miljonu jaunu darījumu, no jauna izsniedzot kredītus vairāk nekā 811 miljonu eiro apmērā. 2025. gada 1. janvārī Latvijā spēkā bija 37 speciālās atļaujas (licences) patērētāju kreditēšanas pakalpojumu sniegšanai. Jāņem vērā, ka ne visas kapitālsabiedrības, kuras ir saņēmušas speciālu atļauju (licenci) patērētāja kreditēšanas pakalpojuma sniegšanai, tiks iekļautas Likuma subjektu tvērumā, jo papildus tiks piemērots arī kritērijs, kas nosaka, vai subjekts ir lielas vai vidējs pakalpojumu sniedzējs.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vērst uzmanību arī uz to, ka 2024. gadā, pieaugot jaunu aizdevumu izsniegšanas apjomam, turpināja palielināties patērētāju (kapitālsabiedrību, kuras ir saņēmušas speciālu atļauju (licenci) patērētāja kreditēšanas pakalpojuma sniegšanai) kredītdevēju kopējais administrējamais kredītportfelis. </w:t>
            </w:r>
            <w:r w:rsidR="00000000" w:rsidRPr="00000000" w:rsidDel="00000000">
              <w:rPr>
                <w:u w:val="single"/>
                <w:rtl w:val="0"/>
              </w:rPr>
              <w:t xml:space="preserve">Kopējais kredītportfeļa apjoms uz 2024. gada 31. decembri bija 1 miljards 219 milj. eiro</w:t>
            </w:r>
            <w:r w:rsidR="00000000" w:rsidRPr="00000000" w:rsidDel="00000000">
              <w:rPr>
                <w:rtl w:val="0"/>
              </w:rPr>
              <w:t xml:space="preserve">, kas ir par 79,57 milj. eiro jeb 6,98% vairāk nekā uz 2024. gada 30. jūniju, par 150,86 milj. eiro jeb 14,98% vairāk nekā uz pirms gada – uz 2023. gada 31. decembri, un attiecīgi ir jauns visu laiku augstākais 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Kiberuzbrukumu risku palielina arī tas, ka kapitālsabiedrības, kuras ir saņēmušas speciālu atļauju (licenci) patērētāja kreditēšanas pakalpojuma sniegšanai, kreditēšanā bieži vien tiek izmanto dažādas digitālās platformas, ar mērķi, lai patērētājs pēc iespējas ātrāk un ērtāk varētu saņemt aizņēmumu. Tāpat ir saņemti vairāku kapitālsabiedrību, kuras ir saņēmušas speciālu atļauju (licenci) patērētāja kreditēšanas pakalpojuma sniegšanai, jautājumi, kāpēc viņi nav iekļauti kā likuma subjekti. Turklāt atbilstība Nacionālās kiberdrošības likuma prasībām noteiktu pienākumu pildīt pamata labo praksi kiberdrošības pārvaldībā un informācijas aizsardzībā, kā arī dotu iespēju izmantot plašākus CERT.LV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komersants, kas saņēmis licenci nebanku patērētāju kreditēšanas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likumprojektā ietverto likuma 20. panta 8. punkta "k</w:t>
            </w:r>
            <w:r w:rsidR="00000000" w:rsidRPr="00000000" w:rsidDel="00000000">
              <w:rPr>
                <w:vertAlign w:val="superscript"/>
                <w:rtl w:val="0"/>
              </w:rPr>
              <w:t xml:space="preserve">1</w:t>
            </w:r>
            <w:r w:rsidR="00000000" w:rsidRPr="00000000" w:rsidDel="00000000">
              <w:rPr>
                <w:rtl w:val="0"/>
              </w:rPr>
              <w:t xml:space="preserve">" apakšpunktu atbilstoši  Patērētāju tiesību aizsardzības likuma  8.panta 1.</w:t>
            </w:r>
            <w:r w:rsidR="00000000" w:rsidRPr="00000000" w:rsidDel="00000000">
              <w:rPr>
                <w:vertAlign w:val="superscript"/>
                <w:rtl w:val="0"/>
              </w:rPr>
              <w:t xml:space="preserve">1</w:t>
            </w:r>
            <w:r w:rsidR="00000000" w:rsidRPr="00000000" w:rsidDel="00000000">
              <w:rPr>
                <w:rtl w:val="0"/>
              </w:rPr>
              <w:t xml:space="preserve">daļai, kurā tostarp noteikts, ka  kreditēšanas pakalpojumu patērētājam drīkst sniegt kapitālsabiedrība, kura saņēmusi speciālu atļauju (licenci) patērētāja kreditēšanas pakalpojuma sniegšanai. Finanšu jomas normatīvajos aktos netiek lietots termins "nebankas".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norma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nav veikta proporcionāla sākotnējās ietekmes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kabineta 2021. gada 7. septembra noteikumi Nr. 617 "Tiesību akta projekta sākotnējās ietekmes izvērtēšanas kārtība" 6.punkts noteic, ka sākotnējās ietekmes izvērtēšanu uzsāk pirms projekta izstrādes un turpina līdz tā pieņemšanai. Savukārt 9.punktā ir noteikti kritēriji, kurus ir nepieciešams izvērtēt, vērtējot projekta sākotnējo ietekmi, cita 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efektivitāti mērķa sasniegšanā, tai skaitā vispusīgi vērtējot alternatīvo risinājumu ieviešanas trūkumus un priekšrocības;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un izmaksu samērīgumu pret ieguvumiem, ko sniedz mērķa sasniegšana;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tautsaimniecību, tai skaitā uz makroekonomisko vidi, nozaru konkurētspēju, uzņēmējdarbības vidi, mazajiem un vidējiem uzņēmējiem, konkurenci un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atbilstības prasībām un ar tām saistītajām izmaksām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Likumprojekta anotācijā šos aspektus ir nepieciešams analizēt detalizētāk. Prasība iekļaut licencētos patērētāju kreditēšanas pakalpojumu sniedzējus būtisko vai svarīgo pakalpojumu sniedzēju sarakstā ir konceptuāli pamatota, atsaucoties uz vispārīgu nepieciešamību stiprināt kiberdrošību un dažu tirgus dalībnieku indikācijām, tomēr nav veikta detalizēta izvērtēšana par tās praktisko ietekmi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Kopumā vispārīgas atsauces uz kopējo kiberdrošības līmeņa stiprināšanu, nav pietiekams pamats, lai paplašinātu Direktīvas tvērumu un šim regulējumam pakļautu tādus pakalpojumu sniedzējus, kuri nav uzskatāmi par sabiedrībai būtisku vai svarīgu pakalpojumu sniedzējiem. Papildus iepriekš minētajam, uzsveram, ka NIS2 direktīva neparedz vispārēju regulatīva statusa piemērošanu visiem finanšu pakalpojumu sniedzējiem. Tā vietā tajā skaidri noteikti tikai tie subjekti, kuru darbības pārrāvums var reāli apdraudēt sabiedrībai būtisku pakalpojumu pieejamību. Likumprojektā nav sniegts pamatojums, kāpēc tieši licencētie patērētāju kreditētāji būtu iekļaujami šajā tvērumā, jo nav veikts ne riska novērtējums, ne ietekmes analīze. Ja likumdevēja mērķis ir vispārēja kiberdrošības stiprināšana, tad konsekventi būtu jāapsver regulējuma attiecināšana arī uz citiem pakalpojumu sniedzējiem, kuri apstrādā lielu apjomu personas datu, piemēram, e-komercijas un digitālo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Ministru kabineta deklarācijā 2022.–2026. gadam ir tieši noteikts mērķis: “vienkāršot uzņēmējdarbības vidi, samazināt birokrātisko slogu un uzlabot tiesisko regulējumu.” Attiecīgi Likumprojektā paredzētā jaunu regulatīvo prasību attiecināšana uz patērētāju kreditēšanas nozari neatkarīgi no tā, ka Direktīvas tvērumā tā nav ietverta, ir ne tikai konceptuāli nepamatota, bet arī ir klajā pretrunā ar valdības deklarēto apņemšanos mazināt administratīvo slogu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teksts papildināts. Tāpat ņemts vērā Latvijas Finanšu nozares asociācijas komentārs par subjektu loka paplašināšanu.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Patērētāju tiesību aizsardzības likuma (PTAL) 8.panta 1.</w:t>
            </w:r>
            <w:r w:rsidR="00000000" w:rsidRPr="00000000" w:rsidDel="00000000">
              <w:rPr>
                <w:vertAlign w:val="superscript"/>
                <w:rtl w:val="0"/>
              </w:rPr>
              <w:t xml:space="preserve">1</w:t>
            </w:r>
            <w:r w:rsidR="00000000" w:rsidRPr="00000000" w:rsidDel="00000000">
              <w:rPr>
                <w:rtl w:val="0"/>
              </w:rPr>
              <w:t xml:space="preserve">daļu, tostarp noteikts, ka  kreditēšanas pakalpojumu patērētājam drīkst sniegt kapitālsabiedrība, kura saņēmusi speciālu atļauju (licenci) patērētāja kreditēšanas pakalpojuma sniegšanai,  vienlaikus nosaucot subjektus uz  kuriem šīs prasības neattiecina, tajā skaitā uz kredītiestādi Kredītiestāžu likuma (KIL)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lūgums anotācijas tekstā lietotos terminus precizēt atbilstoši PTAL  lietotajiem terminiem attiecībā uz kreditēšanas pakalpojumu patērētājiem sniedzējiem, kuri saņēmuši speciālu atļauju (licenci) patērētāju kreditēšanas pakalpojuma sniegšanai, kā arī nelietot vārdu salikumu "nebanku 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teksts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Visā tekstā vārdu savienojumu “domēna nosaukums” (attiecīgā locījumā) aizstāt ar vārdu savienojumu “domēna vārds” (attiecīgā locījumā).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likumā vārdi </w:t>
            </w:r>
            <w:r w:rsidR="00000000" w:rsidRPr="00000000" w:rsidDel="00000000">
              <w:rPr>
                <w:rtl w:val="0"/>
              </w:rPr>
              <w:t xml:space="preserve">"domēnu nosaukums" ir minēts tikai 10 reizes (3 pantos - 1., 20. un 37.pantā), tāpēc atbilstoši juridiskai tehnikai nebūtu pareizi izslēgt visā likumā minētos vārdus, bet gan būtu jānorāda panti (jāveido priekšlikums par grozījumu konkrētajā tiesību normā), kuros izslēdz vārdus.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juridiskajai tehnikai ērtāk un precīzāk ir visā likuma tekstā aizstāt vārdu savienojumu attiecīgā locījumā ar citu vārdu savienojumu attiecīgā locījumā.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Visā tekstā vārdu savienojumu “domēna nosaukums” (attiecīgā locījumā) aizstāt ar vārdu savienojumu “domēna vārds” (attiecīgā locījumā).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komersants, kas saņēmis licenci nebanku patērētāju kreditēšanas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 punkta k</w:t>
            </w:r>
            <w:r w:rsidR="00000000" w:rsidRPr="00000000" w:rsidDel="00000000">
              <w:rPr>
                <w:vertAlign w:val="superscript"/>
                <w:rtl w:val="0"/>
              </w:rPr>
              <w:t xml:space="preserve">1</w:t>
            </w:r>
            <w:r w:rsidR="00000000" w:rsidRPr="00000000" w:rsidDel="00000000">
              <w:rPr>
                <w:rtl w:val="0"/>
              </w:rPr>
              <w:t xml:space="preserve">) apakšpunktu (skatīt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Piedāvātajai normas redakcijai ir būtiska loma kiberdrošības regulējuma loģiskā un samērīgā strukturēšanā finanšu sektorā. Eiropas Parlamenta un Padomes Regula (ES) 2022/2554 par finanšu nozares digitālās darbības noturību un ar ko groza Regulas (EK) Nr. 1060/2009, (ES) Nr. 648/2012, (ES) Nr. 600/2014, (ES) Nr. 909/2014 un (ES) 2016/1011 (turpmāk – DORA) un ar to saistītie grozījumi Kapitāla prasību direktīvā paredz, ka </w:t>
            </w:r>
            <w:r w:rsidR="00000000" w:rsidRPr="00000000" w:rsidDel="00000000">
              <w:rPr>
                <w:b w:val="1"/>
                <w:rtl w:val="0"/>
              </w:rPr>
              <w:t xml:space="preserve">kredītiestāžu grupas ievieš IKT risku pārvaldību un incidentu ziņošanas kārtību – tostarp meitas sabiedrībās – uz konsolidēta vai subkonsolidēta pamata</w:t>
            </w:r>
            <w:r w:rsidR="00000000" w:rsidRPr="00000000" w:rsidDel="00000000">
              <w:rPr>
                <w:rtl w:val="0"/>
              </w:rPr>
              <w:t xml:space="preserve">. Praktiski tas nozīmē, ka līzinga, faktorings un citas banku meitas sabiedrības jau ietilpst mātes kredītiestādes iekšējā kontroles un uzraudzības ietvarā, un incidenti tiek apkopoti un ziņoti Latvijas Bankai vai mātes bankas mītnes valsts uzraugam. Ja nacionālajā likumā šādas kredītiestāžu meitas sabiedrības tiktu pakļautas atsevišķam Nacionālā kiberdrošības centra regulējumam, radītos absurda </w:t>
            </w:r>
            <w:r w:rsidR="00000000" w:rsidRPr="00000000" w:rsidDel="00000000">
              <w:rPr>
                <w:b w:val="1"/>
                <w:rtl w:val="0"/>
              </w:rPr>
              <w:t xml:space="preserve">dubultās uzraudzības situācija</w:t>
            </w:r>
            <w:r w:rsidR="00000000" w:rsidRPr="00000000" w:rsidDel="00000000">
              <w:rPr>
                <w:rtl w:val="0"/>
              </w:rPr>
              <w:t xml:space="preserve">. Proti, viena un tā pati grupa turpinātu incidentus ziņot Latvijas Bankai, bet tajā pašā laikā tās meitas sabiedrībai būtu jāziņo par tiem pašiem incidentiem vēl vienam uzraugam – Nacionālajam kiberdrošības centram. Tiktu uzturēti divi procesu kopumi un vairāki ziņošanas kanāli identiska satura informācijai, </w:t>
            </w:r>
            <w:r w:rsidR="00000000" w:rsidRPr="00000000" w:rsidDel="00000000">
              <w:rPr>
                <w:b w:val="1"/>
                <w:rtl w:val="0"/>
              </w:rPr>
              <w:t xml:space="preserve">veidojot administratīvu slogu, kavējot reakciju un radot risku neatbilstībām datu konsistencē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licencētās patērētāja kreditēšanas sabiedrības, kas nav kredītiestādes vai to meitassabiedrības, uz DORA un konsolidētās uzraudzības prasībām neattiecas, </w:t>
            </w:r>
            <w:r w:rsidR="00000000" w:rsidRPr="00000000" w:rsidDel="00000000">
              <w:rPr>
                <w:b w:val="1"/>
                <w:rtl w:val="0"/>
              </w:rPr>
              <w:t xml:space="preserve">tomēr tās darbojas ar tikpat digitāli intensīviem procesiem kā kredītiestādes vai to meitas sabiedrības, piemēram patērētāju kreditēšanas jomā</w:t>
            </w:r>
            <w:r w:rsidR="00000000" w:rsidRPr="00000000" w:rsidDel="00000000">
              <w:rPr>
                <w:rtl w:val="0"/>
              </w:rPr>
              <w:t xml:space="preserve">. Šim segmentam vēl aizvien trūkst skaidra, sektoram pielāgota kiberdrošības ietvara, un nacionālā regulējuma vakuums var atstāt viņu klientus neaizsargātus pret pakalpojumu nepieejamību, krāpniecību un datu noplūdēm. Iekļaujot tieši šīs sabiedrības normas tvērumā, likumdevējs aizver “caurumu” kiberdrošībā, vienlaikus izvairoties no dubultas uzraudzības banku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piedāvātā redakcija, ar kuru patērētāja kreditēšanas pakalpojumu sniedzēji tiek iekļauti likuma subjekta lokā, bet kredītiestāžu meitas sabiedrības netiek uzraudzītas dubultā, nodrošina vienotu DORA piemērošanu kredītiestāžu grupās, samazina birokrātiju, stiprina klientu aizsardzību un ļauj uzraugiem saņemt precīzu, savlaicīgu un pilnīgu informāciju par kredītiestāžu un to meitassabiedrību digitālo noturību.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kapitālsabiedrība, kura saņēmusi speciālu atļauju (licenci) patērētāja kreditēšanas pakalpojuma sniegšanai (izņemot Latvijas Republikā licencētas kredītiestādes vai citā Eiropas Savienības vai Eiropas Ekonomikas zonas valstī licencētas (reģistrētas) kredītiestādes meitas sabiedrību);”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likumprojekta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ar 20.</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pants. Būtisko pakalpojumu sniedzēju izslēgšana no subjektu loka.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būtisko pakalpojumu sniedzēju saraksta var izslēgt tiešās pārvaldes iestādi, kuras darbības traucējums nevar būtiski ietekmēt sabiedrības drošību, valsts aizsardzību, sabiedrības veselību vai nevar radīt būtisku sistēmisku risku, un ir saņemts Digitālās drošības uzraudzības komitejas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tiesību normu veidošanas praksei, lūgums apsvērt priekšlikumu neveidot jaunu 20.</w:t>
            </w:r>
            <w:r w:rsidR="00000000" w:rsidRPr="00000000" w:rsidDel="00000000">
              <w:rPr>
                <w:vertAlign w:val="superscript"/>
                <w:rtl w:val="0"/>
              </w:rPr>
              <w:t xml:space="preserve">1 </w:t>
            </w:r>
            <w:r w:rsidR="00000000" w:rsidRPr="00000000" w:rsidDel="00000000">
              <w:rPr>
                <w:rtl w:val="0"/>
              </w:rPr>
              <w:t xml:space="preserve">pantu, bet papildināt likuma 20.pantu ar jaunu otro daļu (uzskatot likuma 20. panta pašreizējo tekstu par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šā panta pirmās daļas 5. punktā minēto būtisko pakalpojumu sniedzēju loka var izslēgt tiešās pārvaldes iestādi, ja tās darbības traucējums nevar būtiski ietekmēt sabiedrības drošību, valsts aizsardzību, sabiedrības veselību vai nevar radīt būtisku sistēmisku risku, ar Digitālās drošības uzraudzības komitejas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4.pants pārformulēts un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 pantu ar 4.</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Ar Digitālās drošības uzraudzības komitejas lēmumu no būtisko pakalpojumu sniedzēju saraksta var izslēgt tiešās pārvaldes vai pastarpinātās pārvaldes iestādi, kuras darbības traucējums nevar būtiski ietekmēt sabiedrības drošību, valsts aizsardzību, sabiedrības veselību vai nevar radīt būtisku sistēmisku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ar 20.</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pants. Būtisko pakalpojumu sniedzēju izslēgšana no subjektu loka.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būtisko pakalpojumu sniedzēju saraksta var izslēgt tiešās pārvaldes iestādi, kuras darbības traucējums nevar būtiski ietekmēt sabiedrības drošību, valsts aizsardzību, sabiedrības veselību vai nevar radīt būtisku sistēmisku risku, un ir saņemts Digitālās drošības uzraudzības komitejas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4. pantā paredzēto regulējumu ietvert Likuma 22. pantā kā jaunu 4.</w:t>
            </w:r>
            <w:r w:rsidR="00000000" w:rsidRPr="00000000" w:rsidDel="00000000">
              <w:rPr>
                <w:vertAlign w:val="superscript"/>
                <w:rtl w:val="0"/>
              </w:rPr>
              <w:t xml:space="preserve">1</w:t>
            </w:r>
            <w:r w:rsidR="00000000" w:rsidRPr="00000000" w:rsidDel="00000000">
              <w:rPr>
                <w:rtl w:val="0"/>
              </w:rPr>
              <w:t xml:space="preserve"> daļu, ņemot vērā to, ka Likuma 22. panta ceturtā daļa noteic, ka Nacionālais kiberdrošības centrs apkopo un Digitālās drošības uzraudzības komiteja apstiprina būtisko pakalpojumu un svarīgo pakalpojumu sniedzēju sarakstu. Tādējādi regulējums par iekļaušanu sarakstā un izslēgšanu no saraksta būtu pārskatāmāks.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Likumprojekta 4.pants pārformulēts un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 pantu ar 4.</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Ar Digitālās drošības uzraudzības komitejas lēmumu no būtisko pakalpojumu sniedzēju saraksta var izslēgt tiešās pārvaldes vai pastarpinātās pārvaldes iestādi, kuras darbības traucējums nevar būtiski ietekmēt sabiedrības drošību, valsts aizsardzību, sabiedrības veselību vai nevar radīt būtisku sistēmisku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visas juridiskās personas, uz kurām attiecas (minētas likumprojektā) šie likuma grozījumi, proti, arī PTAL 8.pantā minētos komersantus, kuri  saņēmuši speciālu atļauju (licenci) patērētāja kreditēšanas pakalpojuma sniegšanai.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25-TA-1597</w:t>
    </w:r>
    <w:r>
      <w:br/>
    </w:r>
    <w:r w:rsidR="00000000" w:rsidRPr="00000000" w:rsidDel="00000000">
      <w:rPr>
        <w:rtl w:val="0"/>
      </w:rPr>
      <w:t xml:space="preserve">09.02.2026. 12.23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25-TA-1597</w:t>
    </w:r>
    <w:r>
      <w:br/>
    </w:r>
    <w:r w:rsidR="00000000" w:rsidRPr="00000000" w:rsidDel="00000000">
      <w:rPr>
        <w:rtl w:val="0"/>
      </w:rPr>
      <w:t xml:space="preserve">09.02.2026. 12.23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Izziņa_25-TA-1597.docx</dc:title>
</cp:coreProperties>
</file>

<file path=docProps/custom.xml><?xml version="1.0" encoding="utf-8"?>
<Properties xmlns="http://schemas.openxmlformats.org/officeDocument/2006/custom-properties" xmlns:vt="http://schemas.openxmlformats.org/officeDocument/2006/docPropsVTypes"/>
</file>