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25-TA-3060: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28.01.2026. 21:46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anotācija ir papildināta ar informāciju par to, ka "pasākuma ietvaros komercdarbības atbalsts var tikt sniegts arī saskaņā ar jauno VTNP lēmumu", taču skaidrojam, ka šī pasākuma izstrādes laikā anotācijā ir bijis skaidri norādīts, ka atbalstu sniegs ar Lēmumu 2012/21/ES. Lai būtu skaidrs arī šobrīd, ka šī pasākuma ietvaros atbalstu saskaņā ar Lēmumu (ES) 2012/21/ES var saņemt arī subjekti, kam jau ir noslēgts pilnvarojuma akts atbilstoši Lēmumam (ES) 2025/2630, un ka atsauces neesamība pilnvarojuma aktā uz Lēmumu (ES) 2012/21/ES nav šķērslis, lai piešķirtu atbalstu saskaņā ar Lēmumu (ES) 2012/21/ES, aicinām anotācijā iekļaut atrunu, ka atbalstu saskaņā ar Lēmumu (ES) 2012/21/ES var saņemt arī subjekti, kam noslēgts pilnvarojuma akts ar Lēmumu (ES) 2025/2630, ievērojot Lēmuma (ES) 2012/21/ES noteikumus, labojot tekstu, ka atbalstu šī pasākuma ietvaros var saņemt ar jauno VTNP lēmumu. Lai atbalstu varētu saņemt šajā pasākumā ar Lēmumu (ES) 2025/2630, būtu jāveic grozījumi pasākuma noteikumu tekstā (un anotācijas atbilstības izvērtējuma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skaidrojuma sadaļā lūdzam norādīt, uz kuriem noteikumu projekta punktiem un apakšpunktiem attiecas veiktais aprēķins, atbilstoši Vadlīnijās tiesību akta sākotnējās ietekmes novērtēšanai un novērtējuma ziņojuma sagatavošanai vienotajā TAP portālā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administratīvo izmaksu novērtējuma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 punktu, norādot likumā “Par valsts budžetu 2026. gadam un budžeta ietvaru 2026., 2027. un 2028. gadam” Veselības ministrijas pamatbudžeta apakšprogrammā 62.09.00. „Eiropas Reģionālās attīstības fonda (ERAF) projekti (2021-2027)” un Finanšu ministrijas budžeta apakšprogrammā 62.10.00 “Eiropas Reģionālās attīstības fonda (ERAF) avansa maksājumi un atmaksas finansējuma saņēmējiem (2021 - 2027)” noteikumu projektā paredzēto pasākumu īstenošanai plānoto finansējumu  2026-2028.gadam ik gadu, kā arī plānoto finansējumu mērķa griestos 2029.gadam, t.i. plānoto finansējumu norādot katrai ministrijas apakšprogrammai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1. un 2.punkta, kā arī 1.1. un 2.1. apakšpunkta 8. ailē “2029 izmaiņas, salīdzinot ar vidēja termiņa budžeta ietvaru” norādītās summas, jo tās ( t.i. 44 484 255 euro + 67 123 364 euro= 111 607 619 euro) neveido anotācijas 3.sadaļas 6.punktā 2029.gadam norādīto izdevumu apmēru (67 123 364 euro).  Attiecīgi precizējama informācija 8. ailes 3. un 5.punktā, kā arī 3.1. un 5.1.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Šo noteikumu pielikuma 2.2. ailē minētais finansējuma saņēmējs projekta īstenošanas laikā var saņemt  avansa maksājumu saskaņā ar pakalpojumu, preču piegādes vai būvdarbu līgumu un normatīvo aktu par valsts budžeta līdzekļu plānošanas kārtību Eiropas Savienības fondu projektu īstenošanai un maksājumu veikšanai 2021.–2027. gada plānošanas periodā. Sadarbības iestāde, pamatojoties uz finansējuma saņēmēja pieprasījumu un atbilstoši projekta plānoto maksājumu pieprasījumu iesniegšanas grafikam, veic avansa un starpposma maksājumus, kuru kopsumma var pārsniegt 90 procentus no projektam piešķirtā Eiropas Reģionālās attīstības fonda finansējuma. Avansu var izmaksāt vairākos maksājumos saskaņā ar iepirkuma līgumiem un normatīvajiem aktiem par budžeta līdzekļu plānošanu.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izsekojamībai un skaidrai tiesību normas uztverei precizēt noteikumu projekta 53.</w:t>
            </w:r>
            <w:r w:rsidR="00000000" w:rsidRPr="00000000" w:rsidDel="00000000">
              <w:rPr>
                <w:vertAlign w:val="superscript"/>
                <w:rtl w:val="0"/>
              </w:rPr>
              <w:t xml:space="preserve">1 </w:t>
            </w:r>
            <w:r w:rsidR="00000000" w:rsidRPr="00000000" w:rsidDel="00000000">
              <w:rPr>
                <w:rtl w:val="0"/>
              </w:rPr>
              <w:t xml:space="preserve">punktu, izsakot to piedāvātajā redakcijā, vai papildinot noteikumu 53.punktu ar izņēmumu par šo noteikumu 2.2. ailē minēto finansējuma saņēmēju.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gan starpposma, gan avansa maksājumus  Eiropas Savienības fondos veic pamatojoties uz Ministru kabineta  2023. gada 25. aprīļa noteikumiem Nr.205 “Valsts budžeta līdzekļu plānošanas kārtība Eiropas Savienības fondu projektu īstenošanai un maksājumu veikšanai 2021.–2027. gada plānošanas periodā”, konkrētā specifiskā atbalsta mērķa Ministru kabineta noteikumiem un līguma vai vienošanās par projekta īstenošanu pamata, ievērojot faktisko izdevumu pamatotību. Papildus tam no minēto noteikumu 8.1. apakšpunkta jau izriet, ka starpposma maksājumu veic, pamatojoties uz projektā veiktajiem izdevumiem, tai skaitā uz avansa maksājumiem, saskaņā ar pakalpojumu, preču piegādes vai būvdarbu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1 </w:t>
            </w:r>
            <w:r w:rsidR="00000000" w:rsidRPr="00000000" w:rsidDel="00000000">
              <w:rPr>
                <w:rtl w:val="0"/>
              </w:rPr>
              <w:t xml:space="preserve">Šo noteikumu pielikuma 2.2. ailē minētais finansējuma saņēmējs projekta īstenošanas laikā var saņemt avansa un starpposma maksājumu, kuru kopsumma var pārsniegt 90 procentus no projektam piešķirtā Eiropas Reģionālās attīstības fonda finansējuma           un valsts budžeta līdzfinansējuma. Avansu var izmaksāt vairākos maksājumos saskaņā ar iepirkuma līgumiem un normatīvajiem aktiem par budžeta līdzekļu plānošanu.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53.</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2.2. ailē minētais finansējuma saņēmējs projekta īstenošanas laikā var saņemt avansa un starpposma maksājumus, kuru kopsumma var pārsniegt 90 procentus no projektam piešķirtā Eiropas Reģionālās attīstības fonda finansējuma un valsts budžeta līdzfinansējuma. Avansu var izmaksāt vairākos maksājumos saskaņā ar iepirkuma līgumiem un normatīvajiem aktiem par budžeta līdzekļu plānošanu.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20.01.2026. 15:38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īstenošanas laikā finansējuma saņēmējs var saņemt avansa maksājumu saskaņā ar pakalpojumu, preču piegādes vai būvdarbu līgumu un normatīvo aktu par valsts budžeta līdzekļu plānošanas kārtību Eiropas Savienības fondu projektu īstenošanai un maksājumu veikšanai 2021.–2027. gada plānošanas periodā. Sadarbības iestāde, pamatojoties uz finansējuma saņēmēja pieprasījumu un atbilstoši projekta plānoto maksājumu pieprasījumu iesniegšanas grafikam, veic avansa un starpposma maksājumus, ievērojot nosacījumu, ka to kopsumma nepārsniedz 90 procentus no projektam piešķirtā Eiropas Reģionālās attīstības fonda finansējuma. Avansa maksājumu ir iespējams saņemt vairākos maksājumos. Atsevišķos gadījumos, ja finansējuma saņēmējs ir publiskā persona vai publiskas personas kapitālsabiedrība, avansa un starpposma maksājumu kopsumma var pārsniegt 90 procentus no projektam piešķirtā Eiropas Reģionālās attīstības fonda finansējuma, ja tas ir pamatots ar projekta īstenošanas specifiku un apstiprināts sadarbības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2025. gada 9. decembra sēdes protokollēmuma Nr. 51 105. § "Informatīvais ziņojums "Par VSIA "Par VSIA Paula Stradiņa klīniskā universitātes slimnīca" A2 ēkas attīstībai pieejamo finansējumu un tā piesaistīšanas iespējām" (turpmāk – ziņojums) 4. punktam tika noteikts, ka </w:t>
            </w:r>
            <w:r w:rsidR="00000000" w:rsidRPr="00000000" w:rsidDel="00000000">
              <w:rPr>
                <w:b w:val="1"/>
                <w:rtl w:val="0"/>
              </w:rPr>
              <w:t xml:space="preserve">tikai VSIA “Paula Stradiņa klīniskās universitātes slimnīca", īstenojot Eiropas Savienības fondu 2021.-2027. gada plānošanas perioda projektu Nr. 4.1.1.1/5/24/I/002 “Paula Stradiņa klīniskās universitātes slimnīcas jaunās A2 ēkas attīstība (projekta Nr. 9.3.2.0/17/I/013 2. posms)”, tiek piešķirtas tiesības saņemt avansa un starpposma maksājumus, ievērojot nosacījumu, ka to kopsumma var pārsniegt 90 procentus</w:t>
            </w:r>
            <w:r w:rsidR="00000000" w:rsidRPr="00000000" w:rsidDel="00000000">
              <w:rPr>
                <w:rtl w:val="0"/>
              </w:rPr>
              <w:t xml:space="preserve">. Savukārt attiecībā uz citām noteikumu projektā minētajām ārstniecības iestādēm šāds lēmums nav pieņemts.  Norādām, ka šāda pieeja attiecībā uz VSIA “Paula Stradiņa klīniskās universitātes slimnīca" ir izņēmums no Ministru kabineta 2023.gada 25.aprīļa noteikumos Nr.205 “Valsts budžeta līdzekļu plānošanas kārtība Eiropas Savienības fondu projektu īstenošanai un maksājumu veikšanai 2021.–2027. gada plānošanas periodā” paredzētās avansa piešķiršanas kārtības. Minētais izņēmums tika izvērtēts pie informatīvā ziņojuma "Par VSIA "Par VSIA Paula Stradiņa klīniskā universitātes slimnīca" A2 ēkas attīstībai pieejamo finansējumu un tā piesaistīšanas iespējām" (25-TA-2700) saskaņošanas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projekta 3. punktu un anotācijas 1.3 sadaļu “Pašreizējā situācija, problēmas un risinājumi”, norādot, ka izņēmums avansa un starpposma maksājumu kopsumma var pārsniegt 90 procentus no projektam piešķirtā Eiropas Reģionālās attīstības fonda finansējuma attiecās tikai uz 4.1.1.1. pasākuma “Ārstniecības iestāžu infrastruktūras attīstība” 5. kārtu, t.i. uz projektu Nr. 4.1.1.1/5/24/I/002 “Paula Stradiņa klīniskās universitātes slimnīcas jaunās A2 ēkas attīstība (projekta Nr. 9.3.2.0/17/I/013 2. posms)”. Vienlaikus vēršam uzmanību, ka katrs papildu avanss rada papildu slogu valsts budžetam. Attiecīgi, </w:t>
            </w:r>
            <w:r w:rsidR="00000000" w:rsidRPr="00000000" w:rsidDel="00000000">
              <w:rPr>
                <w:b w:val="1"/>
                <w:rtl w:val="0"/>
              </w:rPr>
              <w:t xml:space="preserve">ja pastāv pamatots iemesls avansa maksājuma palielināšanai citām ārstniecības iestādēm, lūdzam papildināt anotāciju ar detalizētu šādas nepieciešamības pamatojumu, to skaidri attiecinot uz konkrētu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 punktu, norādot likumā “Par valsts budžetu 2026. gadam un budžeta ietvaru 2026., 2027. un 2028. gadam” Veselības ministrijas pamatbudžeta apakšprogrammā 62.09.00. „Eiropas Reģionālās attīstības fonda (ERAF) projekti (2021-2027)” un Finanšu ministrijas budžeta apakšprogrammā 62.10.00 “Eiropas Reģionālās attīstības fonda (ERAF) avansa maksājumi un atmaksas finansējuma saņēmējiem (2021 - 2027)” noteikumu projektā paredzēto pasākumu īstenošanai plānoto finansējumu  2026-2028.gadam ik gadu, kā arī plānoto finansējumu mērķa griestos 2029.gadam.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apakšsadaļā “Cita informācija” kā pieprasījuma iesniedzēju apropriācijas pārdalei norādīt Finanšu ministriju, iekavās liekot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apakšsadaļa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finansējumu sadalījumā pa gadiem, t.i., atsevišķi norādot Veselības ministrijas padotības iestāžu projektu īstenošanai plānoto finansējumu (t.sk. ERAF finansējumu un nacionālo finansējumu) un pārējiem finansējuma saņēmējiem – kapitālsabiedrībām, plānoto finansējumu (t.sk. ERAF finansējumu un nacionālo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1. un 2.punkta, kā arī 1.1. un 2.1. apakšpunkta 8. ailē “2029 izmaiņas, salīdzinot ar vidēja termiņa budžeta ietvaru” norādītās summas, jo tās ( t.i. 44 484 255 euro – 2 802 819 euro= 41 681 436 euro) neveido anotācijas 3.sadaļas 6.punktā 2029.gadam norādīto izdevumu apmēru (67 123 364 euro).  Attiecīgi precizējama informācija 8. ailes 3. un 5.punktā, kā arī 3.1. un 5.1.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anotācijas 3.sadaļas 8.ailes punkti un 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finansējuma apguvi atbilstoši projektu iesniedzēju sniegtajām prognozēm un KPVIS datiem sadalījumā pa gadiem, jo, saskaitot norādītās summas pa gadiem, kopējais finansējums (322 881 177,09 euro) ir par 23,91 euro mazāks kā pēc grozījumu projekta stāšanās spēkā 4.1.1. SAM 4.1.1.1. pasākuma pirmās un piektās kārtas un 4.1.1.5. pasākuma ietvaros plānotais un pieejamais kopējais finansējuma apmērs (322 881 201 euro).  Attiecīgi precizējams arī norādītais ERAF finansējuma un nacionālā līdzfinansējuma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23,91 euro ir atlases atlikums, kas izveidojies dēļ tā, ka projektu iesniedzēji iesniedza projektus ar mazāku pieprasīto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 sadaļu ar saistītajiem tiesību aktu projektiem, t.sk. noteikumu projektu "Grozījumi Ministru kabineta 2024. gada 17. decembra noteikumos Nr. 881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 (25-TA-3038).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atsauci uz Komisijas 2025. gada 19. decembra lēmumu Nr. </w:t>
            </w:r>
            <w:r w:rsidR="00000000" w:rsidRPr="00000000" w:rsidDel="00000000">
              <w:rPr>
                <w:rtl w:val="0"/>
              </w:rPr>
              <w:t xml:space="preserve">2025/2630</w:t>
            </w:r>
            <w:r w:rsidR="00000000" w:rsidRPr="00000000" w:rsidDel="00000000">
              <w:rPr>
                <w:rtl w:val="0"/>
              </w:rPr>
              <w:t xml:space="preserve"> </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MK noteikumu grozījumiem tiek paredzēts, ka komercdarbības atbalsts attiecīgajiem finansējuma saņēmējiem tiek sniegts ar </w:t>
            </w:r>
            <w:r w:rsidR="00000000" w:rsidRPr="00000000" w:rsidDel="00000000">
              <w:rPr>
                <w:b w:val="1"/>
                <w:rtl w:val="0"/>
              </w:rPr>
              <w:t xml:space="preserve">2025. gada 16. decembra </w:t>
            </w:r>
            <w:r w:rsidR="00000000" w:rsidRPr="00000000" w:rsidDel="00000000">
              <w:rPr>
                <w:rtl w:val="0"/>
              </w:rPr>
              <w:t xml:space="preserve">Komisijas lēmumu Nr.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(turpmāk – VTNP lēmums), </w:t>
            </w:r>
            <w:r w:rsidR="00000000" w:rsidRPr="00000000" w:rsidDel="00000000">
              <w:rPr>
                <w:b w:val="1"/>
                <w:rtl w:val="0"/>
              </w:rPr>
              <w:t xml:space="preserve">lūdzam papildināt anotāciju ar informāciju, ka pilnvarojuma aktos, kas noslēgti starp finansējuma saņēmēju un Nacionālo veselības dienestu par pakalpojumu ar vispārēju tautsaimniecisku nozīmi sniegšanu, tiks veikti atbilstoši grozījumi, lai pilnvarojuma akts atbilstu jaunā VTNP lēmuma nosacījumiem, proti, mainīta atsauce uz Komisijas lēmumu Nr. (ES) 2025/2630</w:t>
            </w:r>
            <w:r w:rsidR="00000000" w:rsidRPr="00000000" w:rsidDel="00000000">
              <w:rPr>
                <w:rtl w:val="0"/>
              </w:rPr>
              <w:t xml:space="preserve">. Skaidrojam, ka jaunā VTNP lēmuma 9. pantā ir noteikts, ka visas atbalsta programmas, kas stājās spēkā pirms tā spēkā stāšanās un kas bija saderīgas ar iekšējo tirgu un atbrīvotas no paziņošanas prasības saskaņā ar iepriekšējo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Lēmums Nr. 2012/21/ES ) arī turpmāk ir saderīgas ar iekšēj</w:t>
            </w:r>
            <w:r w:rsidR="00000000" w:rsidRPr="00000000" w:rsidDel="00000000">
              <w:rPr>
                <w:b w:val="1"/>
                <w:rtl w:val="0"/>
              </w:rPr>
              <w:t xml:space="preserve">o tirgu un atbrīvotas no paziņošanas prasības vēl divu gadu laikposmā pēc šā lēmuma stāšanās spēkā. Ņemot vērā iepriekš minēto, gadījumā, ja pasākuma ietvaros atbalsts vēl tiks sniegts ar Lēmumu Nr. 2012/21/ES atbilstoši pilnvarojuma aktiem, kuri atbilst Lēmuma Nr. 2012/21/ES nosacījumiem (t.i. ir atsauce uz šo lēmumu) un pilnvarojuma akti vēl nav pārskatīti, lūdzam MK noteikumos saglabāt šādos gadījumos atsauci uz Lēmumu Nr. 2012/21/ES.</w:t>
            </w:r>
            <w:r w:rsidR="00000000" w:rsidRPr="00000000" w:rsidDel="00000000">
              <w:rPr>
                <w:rtl w:val="0"/>
              </w:rPr>
              <w:t xml:space="preserve"> Tāpat arī skaidrojam, ka atbilstoši jaunā VTNP lēmuma 4. pantam, pilnvarojuma aktā netiek prasīta atsauce uz šo VTNP lēmumu. </w:t>
            </w:r>
            <w:r w:rsidR="00000000" w:rsidRPr="00000000" w:rsidDel="00000000">
              <w:rPr>
                <w:b w:val="1"/>
                <w:rtl w:val="0"/>
              </w:rPr>
              <w:t xml:space="preserve">Lūdzam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25-TA-3060</w:t>
    </w:r>
    <w:r>
      <w:br/>
    </w:r>
    <w:r w:rsidR="00000000" w:rsidRPr="00000000" w:rsidDel="00000000">
      <w:rPr>
        <w:rtl w:val="0"/>
      </w:rPr>
      <w:t xml:space="preserve">13.02.2026. 14.55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25-TA-3060</w:t>
    </w:r>
    <w:r>
      <w:br/>
    </w:r>
    <w:r w:rsidR="00000000" w:rsidRPr="00000000" w:rsidDel="00000000">
      <w:rPr>
        <w:rtl w:val="0"/>
      </w:rPr>
      <w:t xml:space="preserve">13.02.2026. 14.55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Izziņa_25-TA-3060.docx</dc:title>
</cp:coreProperties>
</file>

<file path=docProps/custom.xml><?xml version="1.0" encoding="utf-8"?>
<Properties xmlns="http://schemas.openxmlformats.org/officeDocument/2006/custom-properties" xmlns:vt="http://schemas.openxmlformats.org/officeDocument/2006/docPropsVTypes"/>
</file>