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25-TA-337: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 Grozījumi Kredītiestāžu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 </w:t>
            </w:r>
            <w:r w:rsidR="00000000" w:rsidRPr="00000000" w:rsidDel="00000000">
              <w:rPr>
                <w:b w:val="1"/>
                <w:rtl w:val="0"/>
              </w:rPr>
              <w:t xml:space="preserve">specializētā kredītiestāde</w:t>
            </w:r>
            <w:r w:rsidR="00000000" w:rsidRPr="00000000" w:rsidDel="00000000">
              <w:rPr>
                <w:rtl w:val="0"/>
              </w:rPr>
              <w:t xml:space="preserve"> — kredītiestāde, kura sniedz šā likuma 1. panta pirmās daļas 4. punktā  minētos finanšu pakalpojumus, izņemot uzticības operācijas (trastus) un kriptoaktīvu pakalpojumus, un atbilst vismaz vienam no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ierobežots klientu loks, kas noteikts pēc teritoriālā principa vai nodarbinātības principa vai interešu kopības principa Krājaizdevu sabiedrību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pakalpojumu sniegšana tikai digitālā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biznesa modelis paredz inovatīvu pakalpojumu sniegšanu, kas Latvijas mērogā ir jauns vai būtiski uzlabots finanšu pakalpojums.”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- 08.05.2025.)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Kriptoaktīvu pakalpojumu sniegšanas iespējas un kārtību visā ES noteic Eiropas Parlamenta un Padomes 2023.gada 31.maija Regula (ES) 2023/1114 par kriptoaktīvu tirgiem un ar ko groza Regulas (ES) Nr. 1093/2010 un (ES) Nr. 1095/2010 un Direktīvas 2013/36/ES un (ES) 2019/1937 (Dokuments attiecas uz EEZ) (turpmāk – Regula).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Regulas 60.pantam kriptoaktīvu pakalpojumus var sniegt tostarp tradicionālās kredītiestādes. Lai to darītu tradicionālajai kredītiestādei ir jāizpilda paziņošanas pienākums, proti jāsniedz kriptoaktīvu pakalpojumu sniegšanu uzraugošajai iestādei (Latvijā – Latvijas Bankai) Regulas 60.panta 7.punktā noteiktā informācija. Uzraugošā iestāde izvērtē sniegto informāciju un, ja tā ir nepilnīga, tad prasa iesniegt papildus informāciju. Kredītiestāde nedrīkst uzsākt kriptoaktīvu pakalpojumu sniegšanu, kamēr paziņojums ir nepilnīgs. No minētā secināms, ka, lai gan arī tradicionālām kredītiestādēm ir jāievēro noteikta kārtība, lai varētu sniegt kriptoaktīvu pakalpojumus, tomēr šī kārtība ir ievērojami atvieglota, salīdzinot ar citiem subjektiem, kas vēlas sniegt kriptoaktīvu pakalpojumus, jo nav nepieciešama papildu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specializētās kredītiestādes neatbilst Regulā lietotajam tradicionālās “kredītiestādes” jēdzienam, secināms, ka tās nevarētu sniegt kriptoaktīvu pakalpojumus, tikai izpildot Regulas 60. pantā ietverto atviegloto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konstatējams, ka Regula neparedz noteikta tipa subjektiem aizliegumu saņemt atļauju sniegt kriptoaktīvu pakalpojumus. Tostarp nav noteikti tieši aizliegumi attiecībā uz kādām noteikta tipa finanšu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pašā laikā Regulas 62.pantā paredzēta kārtība, kādā jebkura juridiska persona vai tamlīdzīgi subjekti var iegūt atļauju sniegt kriptoaktīvu pakalpojumus. Neapšaubāmi, atļaujas saņemšanas process ir komplicēts un izvirza augstas prasības pieteicējam, tostarp nodrošināt pietiekamu prudenciālo prasību izpildi, izveidot pienācīgu pārvaldību, risku pārvaldību. Uzraugošā iestāde (Latvijas Banka) minētā procesa gaitā pārliecinās par pieteicēja spēju sniegt kriptoaktīvu pakalpojumus, t.sk. pārvaldīt ar to saistītos riskus, arī kontekstā ar citiem pakalpojumiem, ko pieteicējs jau 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kriptoaktīvu pakalpojumu sniedzējiem izvirzītās prasības, kā arī sarežģīto licencēšanas procesu, daļa subjektu, kas vēlas iegūt kriptoaktīvu pakalpojumu sniegšanas atļauju, šādu atļauju tomēr nesaņems. Iespējams, noteiktās situācijās tāpēc, ka uzraugošā iestāde secinās, ka kriptoaktīvu pakalpojumu sniegšana nav savienojama ar subjekta jau sniegtajiem citiem finanšu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to, lai noteikti finanšu sektora dalībnieki praksē nevarētu sniegt kriptoaktīvu pakalpojumus, jo tas varētu radīt nepārvaldāmus riskus, kas minēti likumprojekta anotācijā, nodrošina jau esošais Regulas regulējums, kuru Latvijā, pamatojoties uz Kriptoaktīvu pakalpojumu likumā noteikto, praksē iedzīvina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ES tiesību aktu hierarhisko pārākumu pār nacionālā līmeņa tiesību aktiem, nav pamata noteikt specifisku liegumu sniegt kriptoaktīvu pakalpojumus kāda tipa subjektiem, šai gadījumā – specializētajām kredītiestādēm – Latvijas nacionālajā regulējumā. Ņemot vērā minēto, lūdzam precizēt likumprojektu piedāvātajā redakcijā, lai nodrošinātu atbilstību ES tiesību aktu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specializētā kredītiestāde — kredītiestāde, kura sniedz šā likuma 1. panta pirmās daļas 4. punktā  minētos finanšu pakalpojumus, izņemot uzticības operācijas (trastus) un kriptoaktīvu pakalpojumus (ja nav saņemta atsevišķa atļauja kriptoaktīvu pakalpojumu sniegšanai uz Regulas Nr. 2023/1114 62.pantā noteiktā pieteikuma pamata), un atbilst vismaz vienam no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ierobežots klientu loks, kas noteikts pēc teritoriālā principa vai nodarbinātības principa vai interešu kopības principa Krājaizdevu sabiedrību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pakalpojumu sniegšana tikai digitālā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biznesa modelis paredz inovatīvu pakalpojumu sniegšanu, kas Latvijas mērogā ir jauns vai būtiski uzlabots finanšu pakalpojums.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izslēgti paredzētie ierobežojumi Kredītiestāžu likuma 1.panta pirmās daļas  73. punktā attiecībā uz uzticības operāciju (trastu) un kriptoaktīvu pakalpojumu sniegšanu, ņemot vērā Latvijas Finanšu nozares asociācijas (turpmāk - LFNA) priekšlikumā ietverto viedokli, ka specializēto kredītiestāžu licencēšanas procesā ir paredzēta padziļināta pretendenta darbības stratēģijas, biznesa modeļa un kapitāla pietiekamības izvērtēšana, lai pārliecinātos par sākotnējo kapitāla prasību samērību un to atbilstību paredzētās darbības riska segšanai. Tādējādi tiek nodrošināta efektīva risku pārvaldība gan konkrētajā iestādē, gan finanšu sektora līmenī, ievērojot samērīguma un risku proporcionalitātes principus, un izslēdzot nepieciešamību pašā likumprojekta tekstā noteikt aizliegumu sniegt noteiktus finanšu pakalpojumus. Vienlaikus minams, ka  likumprojektā piedāvātajā Kredītiestāžu likuma  1.panta pirmās daļas 73. punkta apakšpunktos jau ir ietverti pietiekami detalizēti kritēriji, kas nosaka specializēto kredītiestāžu darbības ierobežojumus.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 </w:t>
            </w:r>
            <w:r w:rsidR="00000000" w:rsidRPr="00000000" w:rsidDel="00000000">
              <w:rPr>
                <w:b w:val="1"/>
                <w:rtl w:val="0"/>
              </w:rPr>
              <w:t xml:space="preserve">specializētā kredītiestāde</w:t>
            </w:r>
            <w:r w:rsidR="00000000" w:rsidRPr="00000000" w:rsidDel="00000000">
              <w:rPr>
                <w:rtl w:val="0"/>
              </w:rPr>
              <w:t xml:space="preserve"> — kredītiestāde, kura sniedz šā likuma 1. panta pirmās daļas 4. punktā  minētos finanšu pakalpojumus un  atbilst vismaz vienam no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ierobežots klientu loks, kas noteikts pēc teritoriālā principa vai nodarbinātības principa vai interešu kopības principa Krājaizdevu sabiedrību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finanšu pakalpojumu sniegšana tikai digitālā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biznesa modelis paredz inovatīvu pakalpojumu sniegšanu, kas Latvijas mērogā ir jauns vai būtiski uzlabots finanšu pakalpojums.”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 </w:t>
            </w:r>
            <w:r w:rsidR="00000000" w:rsidRPr="00000000" w:rsidDel="00000000">
              <w:rPr>
                <w:b w:val="1"/>
                <w:rtl w:val="0"/>
              </w:rPr>
              <w:t xml:space="preserve">specializētā kredītiestāde</w:t>
            </w:r>
            <w:r w:rsidR="00000000" w:rsidRPr="00000000" w:rsidDel="00000000">
              <w:rPr>
                <w:rtl w:val="0"/>
              </w:rPr>
              <w:t xml:space="preserve"> — kredītiestāde, kura sniedz šā likuma 1. panta pirmās daļas 4. punktā  minētos finanšu pakalpojumus un atbilst vismaz vienam no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ierobežots klientu loks, kas noteikts pēc teritoriālā principa vai nodarbinātības principa vai interešu kopības principa Krājaizdevu sabiedrību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pakalpojumu sniegšana tikai digitālā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biznesa modelis paredz inovatīvu pakalpojumu sniegšanu, kas Latvijas mērogā ir jauns vai būtiski uzlabots finanšu pakalpojums.”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 - 19.05.2025.)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kredītiestādes definīcija jau ir ietverta Eiropas Parlamenta un Padomes 2013. gada 26. jūnija Regulas Nr. 575/2013 par prudenciālajām prasībām attiecībā uz kredītiestādēm un ieguldījumu brokeru sabiedrībām, un ar ko groza Regulu (ES) Nr. 648/2012 4.panta 1.punkta 1.apakšpunktā un, lai neradītu tiesiskas neskaidrības, ierosinām likumprojekta 1.pantā izslēgt vārdus "sniedz šā likuma 1. panta pirmās daļas 4. punktā minētos finanšu pakalpojumus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apakšpunktu iedalījums aizstājams ar burtiem.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specializētā kredītiestāde — kredītiestāde, kura atbilst vismaz vienam no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ierobežots klientu loks, kas noteikts pēc teritoriālā principa vai nodarbinātības principa vai interešu kopības principa Krājaizdevu sabiedrību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finanšu pakalpojumu sniegšana tikai digitālā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biznesa modelis paredz inovatīvu pakalpojumu sniegšanu, kas Latvijas mērogā ir jauns vai būtiski uzlabots finanšu pakalpojums.”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Latvijas Bankas priekšlikumam ir precizēts likumprojekta 1.pantā ietvertais grozījums likuma 1.panta pirmās daļas 73. punktā. Proti, atbilstošu juridiskās tehnikas prasībām apakšpunktu iedalījums ir aizstāts ar burtiem.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 </w:t>
            </w:r>
            <w:r w:rsidR="00000000" w:rsidRPr="00000000" w:rsidDel="00000000">
              <w:rPr>
                <w:b w:val="1"/>
                <w:rtl w:val="0"/>
              </w:rPr>
              <w:t xml:space="preserve">specializētā kredītiestāde</w:t>
            </w:r>
            <w:r w:rsidR="00000000" w:rsidRPr="00000000" w:rsidDel="00000000">
              <w:rPr>
                <w:rtl w:val="0"/>
              </w:rPr>
              <w:t xml:space="preserve"> — kredītiestāde, kura sniedz šā likuma 1. panta pirmās daļas 4. punktā  minētos finanšu pakalpojumus un  atbilst vismaz vienam no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ierobežots klientu loks, kas noteikts pēc teritoriālā principa vai nodarbinātības principa vai interešu kopības principa Krājaizdevu sabiedrību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finanšu pakalpojumu sniegšana tikai digitālā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biznesa modelis paredz inovatīvu pakalpojumu sniegšanu, kas Latvijas mērogā ir jauns vai būtiski uzlabots finanšu pakalpojums.”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 </w:t>
            </w:r>
            <w:r w:rsidR="00000000" w:rsidRPr="00000000" w:rsidDel="00000000">
              <w:rPr>
                <w:b w:val="1"/>
                <w:rtl w:val="0"/>
              </w:rPr>
              <w:t xml:space="preserve">specializētā kredītiestāde</w:t>
            </w:r>
            <w:r w:rsidR="00000000" w:rsidRPr="00000000" w:rsidDel="00000000">
              <w:rPr>
                <w:rtl w:val="0"/>
              </w:rPr>
              <w:t xml:space="preserve"> — kredītiestāde, kura sniedz šā likuma 1. panta pirmās daļas 4. punktā  minētos finanšu pakalpojumus, izņemot uzticības operācijas (trastus) un kriptoaktīvu pakalpojumus, un atbilst vismaz vienam no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ierobežots klientu loks, kas noteikts pēc teritoriālā principa vai nodarbinātības principa vai interešu kopības principa Krājaizdevu sabiedrību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pakalpojumu sniegšana tikai digitālā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biznesa modelis paredz inovatīvu pakalpojumu sniegšanu, kas Latvijas mērogā ir jauns vai būtiski uzlabots finanšu pakalpojums.”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(LFNA - 07.05.2025.)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 iepazīstoties ar Finanšu ministrijas sagatavoto likumprojekta redakciju, </w:t>
            </w:r>
            <w:r w:rsidR="00000000" w:rsidRPr="00000000" w:rsidDel="00000000">
              <w:rPr>
                <w:b w:val="1"/>
                <w:rtl w:val="0"/>
              </w:rPr>
              <w:t xml:space="preserve">konceptuāli to saskaņo</w:t>
            </w:r>
            <w:r w:rsidR="00000000" w:rsidRPr="00000000" w:rsidDel="00000000">
              <w:rPr>
                <w:rtl w:val="0"/>
              </w:rPr>
              <w:t xml:space="preserve">. Vienlaikus Asociācija aicina ministriju izvērtēt iespēju svītrot likumprojektā paredzētos ierobežojumus attiecībā uz uzticības operāciju (trastu) un kriptoaktīvu pakalpojumu sniegšanu. Asociācijas ieskatā, šādu ierobežojumu saglabāšanai nav pietiekama tiesiska vai racionāla pamatojuma.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ņemot vērā likumprojekta anotācijā norādīto, specializēto kredītiestāžu licencēšanas procesā ir paredzēta padziļināta pretendenta darbības stratēģijas, biznesa modeļa un kapitāla pietiekamības izvērtēšana, lai pārliecinātos par sākotnējo kapitāla prasību samērību un to atbilstību paredzētās darbības riska segšanai. Tādējādi tiek nodrošināta efektīva risku pārvaldība gan konkrētajā iestādē, gan finanšu sektora līmenī, ievērojot samērīguma un risku proporcionalitātes principus, un </w:t>
            </w:r>
            <w:r w:rsidR="00000000" w:rsidRPr="00000000" w:rsidDel="00000000">
              <w:rPr>
                <w:b w:val="1"/>
                <w:rtl w:val="0"/>
              </w:rPr>
              <w:t xml:space="preserve">izslēdzot nepieciešamību pašā likumprojekta tekstā noteikt aizliegumu sniegt noteiktus finanšu pakalpojumus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Asociācija vērš uzmanību, ka likumprojekta 73. punkta apakšpunktos jau ir ietverti pietiekami detalizēti kritēriji, kas nosaka specializēto kredītiestāžu darbības ierobežojumus.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specializētā kredītiestāde — kredītiestāde, kura sniedz šā likuma 1. panta pirmās daļas 4. punktā minētos finanšu pakalpojumus, un atbilst vismaz vienam no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ierobežots klientu loks, kas noteikts pēc teritoriālā principa vai nodarbinātības principa vai interešu kopības principa Krājaizdevu sabiedrību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pakalpojumu sniegšana tikai digitālā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biznesa modelis paredz inovatīvu pakalpojumu sniegšanu, kas Latvijas mērogā ir jauns vai būtiski uzlabots finanšu pakalpojums.”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izslēgti paredzētie ierobežojumi Kredītiestāžu likuma 1.panta pirmās daļas  73. punktā attiecībā uz uzticības operāciju (trastu) un kriptoaktīvu pakalpojumu sniegšanu, ņemot vērā LFNA priekšlikumā ietverto viedokli, ka specializēto kredītiestāžu licencēšanas procesā ir paredzēta padziļināta pretendenta darbības stratēģijas, biznesa modeļa un kapitāla pietiekamības izvērtēšana, lai pārliecinātos par sākotnējo kapitāla prasību samērību un to atbilstību paredzētās darbības riska segšanai. Tādējādi tiek nodrošināta efektīva risku pārvaldība gan konkrētajā iestādē, gan finanšu sektora līmenī, ievērojot samērīguma un risku proporcionalitātes principus, un izslēdzot nepieciešamību pašā likumprojekta tekstā noteikt aizliegumu sniegt noteiktus finanšu pakalpojumus. Vienlaikus minams, ka  likumprojektā piedāvātajā Kredītiestāžu likuma  1.panta pirmās daļas 73. punkta apakšpunktos jau ir ietverti pietiekami detalizēti kritēriji, kas nosaka specializēto kredītiestāžu darbības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atbilstoši precizēta arī likumprojekta anotācijas sadaļa 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 </w:t>
            </w:r>
            <w:r w:rsidR="00000000" w:rsidRPr="00000000" w:rsidDel="00000000">
              <w:rPr>
                <w:b w:val="1"/>
                <w:rtl w:val="0"/>
              </w:rPr>
              <w:t xml:space="preserve">specializētā kredītiestāde</w:t>
            </w:r>
            <w:r w:rsidR="00000000" w:rsidRPr="00000000" w:rsidDel="00000000">
              <w:rPr>
                <w:rtl w:val="0"/>
              </w:rPr>
              <w:t xml:space="preserve"> — kredītiestāde, kura sniedz šā likuma 1. panta pirmās daļas 4. punktā  minētos finanšu pakalpojumus un  atbilst vismaz vienam no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ierobežots klientu loks, kas noteikts pēc teritoriālā principa vai nodarbinātības principa vai interešu kopības principa Krājaizdevu sabiedrību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finanšu pakalpojumu sniegšana tikai digitālā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biznesa modelis paredz inovatīvu pakalpojumu sniegšanu, kas Latvijas mērogā ir jauns vai būtiski uzlabots finanšu pakalpojums.”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21. panta pirmo daļu ar otro teikumu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 - 30.04.2025.)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likumprojekta 2.panta ievaddaļā pirms vārdiem "otro teikumu" ar vārdu "jaunu".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21. panta pirmo daļu ar </w:t>
            </w:r>
            <w:r w:rsidR="00000000" w:rsidRPr="00000000" w:rsidDel="00000000">
              <w:rPr>
                <w:i w:val="1"/>
                <w:rtl w:val="0"/>
              </w:rPr>
              <w:t xml:space="preserve">jaunu</w:t>
            </w:r>
            <w:r w:rsidR="00000000" w:rsidRPr="00000000" w:rsidDel="00000000">
              <w:rPr>
                <w:rtl w:val="0"/>
              </w:rPr>
              <w:t xml:space="preserve"> otro teikumu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2.panta ievaddaļa pirms vārdiem "otro teikumu" ar vārdu "jaunu".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21. panta pirmo daļu ar jaunu otro teikumu šādā redakcijā: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25-TA-337</w:t>
    </w:r>
    <w:r>
      <w:br/>
    </w:r>
    <w:r w:rsidR="00000000" w:rsidRPr="00000000" w:rsidDel="00000000">
      <w:rPr>
        <w:rtl w:val="0"/>
      </w:rPr>
      <w:t xml:space="preserve">29.05.2025. 13.06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25-TA-337</w:t>
    </w:r>
    <w:r>
      <w:br/>
    </w:r>
    <w:r w:rsidR="00000000" w:rsidRPr="00000000" w:rsidDel="00000000">
      <w:rPr>
        <w:rtl w:val="0"/>
      </w:rPr>
      <w:t xml:space="preserve">29.05.2025. 13.06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Izziņa_25-TA-337.docx</dc:title>
</cp:coreProperties>
</file>

<file path=docProps/custom.xml><?xml version="1.0" encoding="utf-8"?>
<Properties xmlns="http://schemas.openxmlformats.org/officeDocument/2006/custom-properties" xmlns:vt="http://schemas.openxmlformats.org/officeDocument/2006/docPropsVTypes"/>
</file>