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014" w:rsidRDefault="00222014" w:rsidP="00222014">
      <w:pPr>
        <w:rPr>
          <w:rFonts w:eastAsia="Times New Roman"/>
          <w:lang w:val="en-US"/>
        </w:rPr>
      </w:pPr>
      <w:r>
        <w:rPr>
          <w:rFonts w:eastAsia="Times New Roman"/>
          <w:b/>
          <w:bCs/>
          <w:lang w:val="en-US"/>
        </w:rPr>
        <w:t>From:</w:t>
      </w:r>
      <w:r>
        <w:rPr>
          <w:rFonts w:eastAsia="Times New Roman"/>
          <w:lang w:val="en-US"/>
        </w:rPr>
        <w:t xml:space="preserve"> Juta </w:t>
      </w:r>
      <w:proofErr w:type="spellStart"/>
      <w:r>
        <w:rPr>
          <w:rFonts w:eastAsia="Times New Roman"/>
          <w:lang w:val="en-US"/>
        </w:rPr>
        <w:t>Ķupe</w:t>
      </w:r>
      <w:proofErr w:type="spellEnd"/>
      <w:r>
        <w:rPr>
          <w:rFonts w:eastAsia="Times New Roman"/>
          <w:lang w:val="en-US"/>
        </w:rPr>
        <w:t xml:space="preserve"> &lt;Juta.Kupe@tm.gov.lv&gt; </w:t>
      </w:r>
      <w:r>
        <w:rPr>
          <w:rFonts w:eastAsia="Times New Roman"/>
          <w:lang w:val="en-US"/>
        </w:rPr>
        <w:br/>
      </w:r>
      <w:r>
        <w:rPr>
          <w:rFonts w:eastAsia="Times New Roman"/>
          <w:b/>
          <w:bCs/>
          <w:lang w:val="en-US"/>
        </w:rPr>
        <w:t>Sent:</w:t>
      </w:r>
      <w:r>
        <w:rPr>
          <w:rFonts w:eastAsia="Times New Roman"/>
          <w:lang w:val="en-US"/>
        </w:rPr>
        <w:t xml:space="preserve"> Tuesday, August 3, 2021 12:28 PM</w:t>
      </w:r>
      <w:r>
        <w:rPr>
          <w:rFonts w:eastAsia="Times New Roman"/>
          <w:lang w:val="en-US"/>
        </w:rPr>
        <w:br/>
      </w:r>
      <w:r>
        <w:rPr>
          <w:rFonts w:eastAsia="Times New Roman"/>
          <w:b/>
          <w:bCs/>
          <w:lang w:val="en-US"/>
        </w:rPr>
        <w:t>To:</w:t>
      </w:r>
      <w:r>
        <w:rPr>
          <w:rFonts w:eastAsia="Times New Roman"/>
          <w:lang w:val="en-US"/>
        </w:rPr>
        <w:t xml:space="preserve"> ZM &lt;pasts@zm.gov.lv&gt;; Inese Bārtule &lt;Inese.Bartule@zm.gov.lv&gt;</w:t>
      </w:r>
      <w:r>
        <w:rPr>
          <w:rFonts w:eastAsia="Times New Roman"/>
          <w:lang w:val="en-US"/>
        </w:rPr>
        <w:br/>
      </w:r>
      <w:r>
        <w:rPr>
          <w:rFonts w:eastAsia="Times New Roman"/>
          <w:b/>
          <w:bCs/>
          <w:lang w:val="en-US"/>
        </w:rPr>
        <w:t>Cc:</w:t>
      </w:r>
      <w:r>
        <w:rPr>
          <w:rFonts w:eastAsia="Times New Roman"/>
          <w:lang w:val="en-US"/>
        </w:rPr>
        <w:t xml:space="preserve"> TM KANCELEJA &lt;pasts@tm.gov.lv&gt;; </w:t>
      </w:r>
      <w:proofErr w:type="spellStart"/>
      <w:r>
        <w:rPr>
          <w:rFonts w:eastAsia="Times New Roman"/>
          <w:lang w:val="en-US"/>
        </w:rPr>
        <w:t>Sandis</w:t>
      </w:r>
      <w:proofErr w:type="spellEnd"/>
      <w:r>
        <w:rPr>
          <w:rFonts w:eastAsia="Times New Roman"/>
          <w:lang w:val="en-US"/>
        </w:rPr>
        <w:t xml:space="preserve"> </w:t>
      </w:r>
      <w:proofErr w:type="spellStart"/>
      <w:r>
        <w:rPr>
          <w:rFonts w:eastAsia="Times New Roman"/>
          <w:lang w:val="en-US"/>
        </w:rPr>
        <w:t>Vilcāns</w:t>
      </w:r>
      <w:proofErr w:type="spellEnd"/>
      <w:r>
        <w:rPr>
          <w:rFonts w:eastAsia="Times New Roman"/>
          <w:lang w:val="en-US"/>
        </w:rPr>
        <w:t xml:space="preserve"> &lt;Sandis.Vilcans@tm.gov.lv&gt;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w:t>
      </w:r>
      <w:proofErr w:type="spellStart"/>
      <w:r>
        <w:rPr>
          <w:rFonts w:eastAsia="Times New Roman"/>
          <w:lang w:val="en-US"/>
        </w:rPr>
        <w:t>atkārtota</w:t>
      </w:r>
      <w:proofErr w:type="spellEnd"/>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elektroniska</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(VSS-580)</w:t>
      </w:r>
    </w:p>
    <w:p w:rsidR="00222014" w:rsidRDefault="00222014" w:rsidP="00222014"/>
    <w:p w:rsidR="00222014" w:rsidRDefault="00222014" w:rsidP="00222014">
      <w:pPr>
        <w:spacing w:after="160" w:line="254"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bdr w:val="none" w:sz="0" w:space="0" w:color="auto" w:frame="1"/>
          <w:shd w:val="clear" w:color="auto" w:fill="FFFFFF"/>
        </w:rPr>
        <w:t>Ties</w:t>
      </w:r>
      <w:r>
        <w:rPr>
          <w:rFonts w:ascii="Times New Roman" w:hAnsi="Times New Roman" w:cs="Times New Roman"/>
          <w:color w:val="000000"/>
          <w:sz w:val="24"/>
          <w:szCs w:val="24"/>
          <w:shd w:val="clear" w:color="auto" w:fill="FFFFFF"/>
        </w:rPr>
        <w:t>lietu ministrija ir izskatījusi 2021. gada 28. jūlijā saņemto Zemkopības ministrijas atkārtoti precizēto Ministru kabineta noteikumu projektu "Grozījumi Ministru kabineta 2015. gada 22. decembra noteikumos Nr. 799 "Licencētās makšķerēšanas, vēžošanas un zemūdens medību kārtība"" (VSS-580) (turpmāk – projekts), tam pievienoto projekta sākotnējās ietekmēs novērtējuma ziņojumu (turpmāk – anotācija) un izziņu par atzinumos sniegtajiem iebildumiem un atbalsta to tālāku virzību, izsakot šādus iebildumus: </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t>1. Projekta 3. punktā izteiktais Ministru kabineta 2015. gada 22. decembra noteikumu Nr. 799 "Licencētās makšķerēšanas, vēžošanas un zemūdens medību kārtība" (turpmāk – noteikumi) 8.11. apakšpunkts noteic, ka organizētājam ir pienākums "reģistrēt personas, kas ir pārkāpušas nolikumā noteikto lomu uzskaites kārtību, un nosūtīt personai atgādinājumu uz licencē norādīto elektroniskā pasta adresi par pienākumu iesniegt loma pārskatu piecu līdz četrpadsmit dienu laikā no minētā atgādinājuma saņemšanas dienas. Ja persona noteiktajā termiņā loma pārskatu neiesniedz, organizētājs par konstatēto pārkāpumu informē zivju resursu aizsardzības un uzraudzības institūcijas". Vienlaikus no projekta 1. punktā izteiktā noteikumu 3. punkta izriet, ka Baltijas jūras vai Rīgas jūras līča piekrastes ūdeņos, publiskos ezeros un upēs, kā arī ezeros un upēs, kurās zvejas tiesības pieder valstij, licencēto makšķerēšanu, vēžošanu vai zemūdens medību organizētājs ir vietējā pašvaldība vai tās pilnvarota persona, bet privātos ūdeņos, kuros zvejas tiesības nepieder valstij, – privāto ūdeņu īpašnieks vai tā pilnvarota persona. </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t>Lai arī projekta anotācijā norādīts, ka projekta 3. punktā izteiktajā noteikumu 8.11. apakšpunktā paredzētais atgādinājums nav administratīvais akts, Tieslietu ministrija šādam apgalvojumam nevar piekrist, jo tiktāl, ciktāl tas attiecas uz licencēto makšķerēšanu, vēžošanu vai zemūdens medībām ūdeņos, kur zvejas tiesības pieder valstij, un to organizētājs ir publisko tiesību persona, minētais atgādinājums atbilst visām Administratīvā procesa likuma 1. panta trešajā daļā noteiktajām administratīvā akta pazīmēm.  </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t>Vienlaikus vēršam uzmanību, ka attiecībā uz licencēto makšķerēšanu, vēžošanu vai zemūdens medībām privātajos ūdeņos, ir saskatāms pamats deleģētam valsts pārvaldes uzdevumam privātpersonām, tomēr šādam apgalvojumam jābūt pamatotam un skaidrotam anotācijā.   </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t>Ievērojot to, ka minētais atgādinājums Tieslietu ministrijas ieskatā ir administratīvais akts, projekta 3. punktā izteiktā noteikumu 8.11. apakšpunkta otrais teikums, skatoties kopsakarā ar skaidrojumu anotācijā, ir svītrojams. Ja pienākuma izpildi ir iespējams panākt ar administratīvā procesa līdzekļiem, tad administratīvā atbildība nav paredzama un piemērojama (administratīvā akta prioritātes princips). Attiecīgi maināms arī skaidrojums projekta anotācijā. </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lastRenderedPageBreak/>
        <w:t>2. Projekta 6. punktā izteiktais noteikumu 9.6. apakšpunkts noteic, ka licencē (administratīvajā aktā) norāda licences saņēmēja (adresāta) vārdu un uzvārdu. Vēršam uzmanību, ka Administratīvā procesa likums 67. panta otrā daļa noteic administratīvā akta sastāvdaļas, tostarp, piemēram, no Administratīvā procesa likuma 67. panta otrās daļas 2. punkta izriet, ka administratīvajā aktā jānorāda tā adresāta vārds un uzvārds, tāpēc noteikumos atbilstoši Ministru kabineta 2009. gada 3. februāra noteikumu Nr. 108 "Normatīvo aktu projektu sagatavošanas noteikumi" 3.2. apakšpunktam nav jāietver normas, kas dublē augstāka spēka normatīvā akta tiesību normās ietverto normatīvo regulējumu. Ievērojot minēto, lūdzam atbilstoši precizēt projektu.</w:t>
      </w:r>
    </w:p>
    <w:p w:rsidR="00222014" w:rsidRDefault="00222014" w:rsidP="00222014">
      <w:pPr>
        <w:spacing w:after="160" w:line="254" w:lineRule="auto"/>
        <w:jc w:val="both"/>
        <w:rPr>
          <w:color w:val="000000"/>
        </w:rPr>
      </w:pPr>
      <w:r>
        <w:rPr>
          <w:rFonts w:ascii="Times New Roman" w:hAnsi="Times New Roman" w:cs="Times New Roman"/>
          <w:color w:val="000000"/>
          <w:sz w:val="24"/>
          <w:szCs w:val="24"/>
          <w:bdr w:val="none" w:sz="0" w:space="0" w:color="auto" w:frame="1"/>
          <w:shd w:val="clear" w:color="auto" w:fill="FFFFFF"/>
        </w:rPr>
        <w:t>Papildus lūdzam izvērtēt, vai nepieciešams noteikumos noteikt elektronisko pasta adresi kā obligātu licencē norādāmu informāciju. Vēršam uzmanību, ka saskaņā ar Administratīvā procesa likuma 70. panta otro daļu administratīvo aktu paziņo adresātam atbilstoši Paziņošanas likumam. Savukārt no Paziņošanas likuma 9. panta otrās daļas izriet, ka dokumentu var paziņot ar elektroniskā pasta starpniecību, ja adresāts rakstveidā izteicis vēlmi saņemt dokumentu attiecīgajā veidā. Proti, ja adresāts nevēlas vai nevar saziņai ar iestādi izmantot elektroniskā pasta adresi, iestādei ir jāizmanto citi saziņas līdzekļi. Jānorāda, ka ne visiem ir izveidota elektroniskā pasta adrese un joprojām ir personu loks, kas neizmanto elektronisko pastu, tāpēc noteikumos nevar ietvert regulējumu, kas varētu liegt šādām personām saņemt attiecīgo licenci tikai tāpēc, ka tām nav izveidota elektroniskā pasta adrese. </w:t>
      </w:r>
    </w:p>
    <w:p w:rsidR="00222014" w:rsidRDefault="00222014" w:rsidP="00222014">
      <w:pPr>
        <w:spacing w:after="160" w:line="254" w:lineRule="auto"/>
        <w:jc w:val="both"/>
        <w:rPr>
          <w:color w:val="000000"/>
        </w:rPr>
      </w:pPr>
      <w:r>
        <w:rPr>
          <w:rFonts w:ascii="Times New Roman" w:hAnsi="Times New Roman" w:cs="Times New Roman"/>
          <w:i/>
          <w:iCs/>
          <w:color w:val="000000"/>
          <w:sz w:val="24"/>
          <w:szCs w:val="24"/>
          <w:bdr w:val="none" w:sz="0" w:space="0" w:color="auto" w:frame="1"/>
          <w:shd w:val="clear" w:color="auto" w:fill="FFFFFF"/>
        </w:rPr>
        <w:t xml:space="preserve">Viedokli sagatavoja: Valststiesību departamenta Administratīvās atbildības politikas nodaļas jurists Sandis Vilcāns (67036901, </w:t>
      </w:r>
      <w:hyperlink r:id="rId4" w:history="1">
        <w:r>
          <w:rPr>
            <w:rStyle w:val="Hyperlink"/>
            <w:rFonts w:ascii="Times New Roman" w:hAnsi="Times New Roman" w:cs="Times New Roman"/>
            <w:i/>
            <w:iCs/>
            <w:sz w:val="24"/>
            <w:szCs w:val="24"/>
            <w:bdr w:val="none" w:sz="0" w:space="0" w:color="auto" w:frame="1"/>
            <w:shd w:val="clear" w:color="auto" w:fill="FFFFFF"/>
          </w:rPr>
          <w:t>Sandis.Vilcans@tm.gov.lv</w:t>
        </w:r>
      </w:hyperlink>
      <w:r>
        <w:rPr>
          <w:rFonts w:ascii="Times New Roman" w:hAnsi="Times New Roman" w:cs="Times New Roman"/>
          <w:i/>
          <w:iCs/>
          <w:color w:val="000000"/>
          <w:sz w:val="24"/>
          <w:szCs w:val="24"/>
          <w:bdr w:val="none" w:sz="0" w:space="0" w:color="auto" w:frame="1"/>
          <w:shd w:val="clear" w:color="auto" w:fill="FFFFFF"/>
        </w:rPr>
        <w:t xml:space="preserve">) un Valststiesību departamenta Administratīvo tiesību nodaļas juriste Juta </w:t>
      </w:r>
      <w:proofErr w:type="spellStart"/>
      <w:r>
        <w:rPr>
          <w:rFonts w:ascii="Times New Roman" w:hAnsi="Times New Roman" w:cs="Times New Roman"/>
          <w:i/>
          <w:iCs/>
          <w:color w:val="000000"/>
          <w:sz w:val="24"/>
          <w:szCs w:val="24"/>
          <w:bdr w:val="none" w:sz="0" w:space="0" w:color="auto" w:frame="1"/>
          <w:shd w:val="clear" w:color="auto" w:fill="FFFFFF"/>
        </w:rPr>
        <w:t>Ķupe</w:t>
      </w:r>
      <w:proofErr w:type="spellEnd"/>
      <w:r>
        <w:rPr>
          <w:rFonts w:ascii="Times New Roman" w:hAnsi="Times New Roman" w:cs="Times New Roman"/>
          <w:i/>
          <w:iCs/>
          <w:color w:val="000000"/>
          <w:sz w:val="24"/>
          <w:szCs w:val="24"/>
          <w:bdr w:val="none" w:sz="0" w:space="0" w:color="auto" w:frame="1"/>
          <w:shd w:val="clear" w:color="auto" w:fill="FFFFFF"/>
        </w:rPr>
        <w:t xml:space="preserve"> (67036937, </w:t>
      </w:r>
      <w:hyperlink r:id="rId5" w:history="1">
        <w:r>
          <w:rPr>
            <w:rStyle w:val="Hyperlink"/>
            <w:rFonts w:ascii="Times New Roman" w:hAnsi="Times New Roman" w:cs="Times New Roman"/>
            <w:i/>
            <w:iCs/>
            <w:sz w:val="24"/>
            <w:szCs w:val="24"/>
            <w:bdr w:val="none" w:sz="0" w:space="0" w:color="auto" w:frame="1"/>
            <w:shd w:val="clear" w:color="auto" w:fill="FFFFFF"/>
          </w:rPr>
          <w:t>Juta.Kupe@tm.gov.lv</w:t>
        </w:r>
      </w:hyperlink>
      <w:r>
        <w:rPr>
          <w:rFonts w:ascii="Times New Roman" w:hAnsi="Times New Roman" w:cs="Times New Roman"/>
          <w:i/>
          <w:iCs/>
          <w:color w:val="000000"/>
          <w:sz w:val="24"/>
          <w:szCs w:val="24"/>
          <w:bdr w:val="none" w:sz="0" w:space="0" w:color="auto" w:frame="1"/>
          <w:shd w:val="clear" w:color="auto" w:fill="FFFFFF"/>
        </w:rPr>
        <w:t>).</w:t>
      </w:r>
    </w:p>
    <w:p w:rsidR="00222014" w:rsidRDefault="00222014" w:rsidP="00222014">
      <w:pPr>
        <w:pStyle w:val="NormalWeb"/>
        <w:shd w:val="clear" w:color="auto" w:fill="FFFFFF"/>
        <w:rPr>
          <w:color w:val="000000"/>
          <w:sz w:val="24"/>
          <w:szCs w:val="24"/>
        </w:rPr>
      </w:pPr>
      <w:r>
        <w:rPr>
          <w:rFonts w:ascii="Times New Roman" w:hAnsi="Times New Roman" w:cs="Times New Roman"/>
          <w:b/>
          <w:bCs/>
          <w:i/>
          <w:iCs/>
          <w:color w:val="000000"/>
          <w:sz w:val="24"/>
          <w:szCs w:val="24"/>
          <w:shd w:val="clear" w:color="auto" w:fill="FFFFFF"/>
        </w:rPr>
        <w:t>Ar cieņu</w:t>
      </w:r>
    </w:p>
    <w:p w:rsidR="00222014" w:rsidRDefault="00222014" w:rsidP="00222014">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 xml:space="preserve">Juta </w:t>
      </w:r>
      <w:proofErr w:type="spellStart"/>
      <w:r>
        <w:rPr>
          <w:rFonts w:ascii="Times New Roman" w:hAnsi="Times New Roman" w:cs="Times New Roman"/>
          <w:b/>
          <w:bCs/>
          <w:i/>
          <w:iCs/>
          <w:color w:val="000000"/>
          <w:sz w:val="24"/>
          <w:szCs w:val="24"/>
          <w:shd w:val="clear" w:color="auto" w:fill="FFFFFF"/>
        </w:rPr>
        <w:t>Ķupe</w:t>
      </w:r>
      <w:proofErr w:type="spellEnd"/>
    </w:p>
    <w:p w:rsidR="00222014" w:rsidRDefault="00222014" w:rsidP="00222014">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Tieslietu ministrijas</w:t>
      </w:r>
      <w:r>
        <w:rPr>
          <w:rFonts w:ascii="Times New Roman" w:hAnsi="Times New Roman" w:cs="Times New Roman"/>
          <w:b/>
          <w:bCs/>
          <w:i/>
          <w:iCs/>
          <w:color w:val="000000"/>
          <w:sz w:val="20"/>
          <w:szCs w:val="20"/>
        </w:rPr>
        <w:br/>
      </w:r>
      <w:r>
        <w:rPr>
          <w:rFonts w:ascii="Times New Roman" w:hAnsi="Times New Roman" w:cs="Times New Roman"/>
          <w:b/>
          <w:bCs/>
          <w:i/>
          <w:iCs/>
          <w:color w:val="000000"/>
          <w:sz w:val="24"/>
          <w:szCs w:val="24"/>
          <w:shd w:val="clear" w:color="auto" w:fill="FFFFFF"/>
        </w:rPr>
        <w:t>Valststiesību departamenta</w:t>
      </w:r>
    </w:p>
    <w:p w:rsidR="00222014" w:rsidRDefault="00222014" w:rsidP="00222014">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Administratīvo tiesību nodaļas juriste</w:t>
      </w:r>
    </w:p>
    <w:p w:rsidR="00222014" w:rsidRDefault="00222014" w:rsidP="00222014">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Tālr. 67036937</w:t>
      </w:r>
      <w:r>
        <w:rPr>
          <w:rFonts w:ascii="Times New Roman" w:hAnsi="Times New Roman" w:cs="Times New Roman"/>
          <w:i/>
          <w:iCs/>
          <w:color w:val="000000"/>
          <w:sz w:val="20"/>
          <w:szCs w:val="20"/>
        </w:rPr>
        <w:br/>
      </w:r>
      <w:r>
        <w:rPr>
          <w:rFonts w:ascii="Times New Roman" w:hAnsi="Times New Roman" w:cs="Times New Roman"/>
          <w:b/>
          <w:bCs/>
          <w:i/>
          <w:iCs/>
          <w:color w:val="000000"/>
          <w:sz w:val="24"/>
          <w:szCs w:val="24"/>
        </w:rPr>
        <w:t>E-pasts: </w:t>
      </w:r>
      <w:hyperlink r:id="rId6" w:tgtFrame="_blank" w:history="1">
        <w:r>
          <w:rPr>
            <w:rStyle w:val="Hyperlink"/>
            <w:rFonts w:ascii="Times New Roman" w:hAnsi="Times New Roman" w:cs="Times New Roman"/>
            <w:b/>
            <w:bCs/>
            <w:i/>
            <w:iCs/>
            <w:sz w:val="24"/>
            <w:szCs w:val="24"/>
          </w:rPr>
          <w:t>Juta.Kupe@tm.gov.lv</w:t>
        </w:r>
      </w:hyperlink>
    </w:p>
    <w:p w:rsidR="00222014" w:rsidRDefault="00222014" w:rsidP="00222014">
      <w:pPr>
        <w:rPr>
          <w:rFonts w:eastAsia="Times New Roman"/>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47775" cy="981075"/>
            <wp:effectExtent l="0" t="0" r="9525" b="9525"/>
            <wp:wrapSquare wrapText="bothSides"/>
            <wp:docPr id="3" name="Picture 3" descr="17011035-3c1f-4ba7-8927-88a86c3fe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011035-3c1f-4ba7-8927-88a86c3fe9a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pic:spPr>
                </pic:pic>
              </a:graphicData>
            </a:graphic>
            <wp14:sizeRelH relativeFrom="page">
              <wp14:pctWidth>0</wp14:pctWidth>
            </wp14:sizeRelH>
            <wp14:sizeRelV relativeFrom="page">
              <wp14:pctHeight>0</wp14:pctHeight>
            </wp14:sizeRelV>
          </wp:anchor>
        </w:drawing>
      </w:r>
    </w:p>
    <w:p w:rsidR="00222014" w:rsidRDefault="00222014" w:rsidP="00222014">
      <w:pPr>
        <w:rPr>
          <w:rFonts w:eastAsia="Times New Roman"/>
        </w:rPr>
      </w:pPr>
    </w:p>
    <w:p w:rsidR="00B24FC7" w:rsidRPr="00222014" w:rsidRDefault="00B24FC7" w:rsidP="00222014">
      <w:bookmarkStart w:id="0" w:name="_GoBack"/>
      <w:bookmarkEnd w:id="0"/>
    </w:p>
    <w:sectPr w:rsidR="00B24FC7" w:rsidRPr="002220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2A"/>
    <w:rsid w:val="00222014"/>
    <w:rsid w:val="00246B78"/>
    <w:rsid w:val="00637F2F"/>
    <w:rsid w:val="0084392A"/>
    <w:rsid w:val="00B2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3954A12-77E6-4FBB-AB7F-8BAE203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9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92A"/>
    <w:rPr>
      <w:color w:val="0563C1"/>
      <w:u w:val="single"/>
    </w:rPr>
  </w:style>
  <w:style w:type="paragraph" w:styleId="NormalWeb">
    <w:name w:val="Normal (Web)"/>
    <w:basedOn w:val="Normal"/>
    <w:uiPriority w:val="99"/>
    <w:semiHidden/>
    <w:unhideWhenUsed/>
    <w:rsid w:val="00637F2F"/>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637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737337">
      <w:bodyDiv w:val="1"/>
      <w:marLeft w:val="0"/>
      <w:marRight w:val="0"/>
      <w:marTop w:val="0"/>
      <w:marBottom w:val="0"/>
      <w:divBdr>
        <w:top w:val="none" w:sz="0" w:space="0" w:color="auto"/>
        <w:left w:val="none" w:sz="0" w:space="0" w:color="auto"/>
        <w:bottom w:val="none" w:sz="0" w:space="0" w:color="auto"/>
        <w:right w:val="none" w:sz="0" w:space="0" w:color="auto"/>
      </w:divBdr>
    </w:div>
    <w:div w:id="1273784215">
      <w:bodyDiv w:val="1"/>
      <w:marLeft w:val="0"/>
      <w:marRight w:val="0"/>
      <w:marTop w:val="0"/>
      <w:marBottom w:val="0"/>
      <w:divBdr>
        <w:top w:val="none" w:sz="0" w:space="0" w:color="auto"/>
        <w:left w:val="none" w:sz="0" w:space="0" w:color="auto"/>
        <w:bottom w:val="none" w:sz="0" w:space="0" w:color="auto"/>
        <w:right w:val="none" w:sz="0" w:space="0" w:color="auto"/>
      </w:divBdr>
    </w:div>
    <w:div w:id="17485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senija.Vitola@tm.gov.lv" TargetMode="External"/><Relationship Id="rId5" Type="http://schemas.openxmlformats.org/officeDocument/2006/relationships/hyperlink" Target="mailto:Juta.Kupe@tm.gov.lv" TargetMode="External"/><Relationship Id="rId4" Type="http://schemas.openxmlformats.org/officeDocument/2006/relationships/hyperlink" Target="mailto:Sandis.Vilcans@t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3417</Words>
  <Characters>1949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2</cp:revision>
  <dcterms:created xsi:type="dcterms:W3CDTF">2021-08-03T10:06:00Z</dcterms:created>
  <dcterms:modified xsi:type="dcterms:W3CDTF">2021-08-03T10:06:00Z</dcterms:modified>
</cp:coreProperties>
</file>