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26-TA-357: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Ziņojums par Latvijas ilgtspējīgas attīstības stratēģijas līdz 2030. gadam un Nacionālā attīstības plāna 2021.–2027. gadam īstenošanu un valsts ilgtspējīgu attīstību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11.02.2026. 17:37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- 25.02.2026.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iepazīstoties ar Valsts kancelejas sagatavoto informatīvo ziņojumu par Latvijas ilgtspējīgas attīstības stratēģijas līdz 2030. gadam un Nacionālā attīstības plāna 2021.–2027. gadam īstenošanu un valsts ilgtspējīgu attīstību (26-TA-357), sniedz sekojošu pozīciju.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ziņojuma secinājumu daļā nav nodrošināts pietiekami kritisks izvērtējums par attīstības politikas efektivitāti. Lai gan mērķa indikatoru kopsavilkuma tabulās vairākās jomās konstatējama būtiska atpalicība no plānotajām vērtībām, secinājumos pārliecinošā vairākumā ir atsauces uz institucionāliem un administratīviem uzlabojumiem, kuri raksturoti kā progress, pat gadījumos, kad uzlabojumi nav rezultējušies uzlabotos izmērāmos rādītājos. LTRK uzsver, ka ziņojumā ir skaidri nepieciešams identificēt, vai un kuri no pasākumiem ir bijuši pietiekami un atbilstoši mērķēti, līdz ar attiecīgi to arī formulēt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Kreditēšanas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kreditēšanas attīstības izvērtējums sadaļā rīcības virziens “Darbs un ienākumi” ir precizējams. Formulējums, ka kreditēšanas augšupeju noteicis galvenokārt EURIBOR un pievienoto procentu likmju samazinājums, ir pārāk vienpusējs. Nozīmīga loma ir arī mājsaimniecību un uzņēmumu noskaņojuma uzlabošanās un makroekonomiskajai stabilizācijai, kas palielina gatavību uzņemties saistības un īstenot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konsekvents arī formulējums par “nelielu kreditēšanas aktivitātes kāpumu”, ja vienlaikus kredītu atlikuma attiecība pret IKP pieaug no 28,3 % līdz 29,3 %. Ziņojumā turklāt nekonsekventi lietoti jēdzieni “kreditēšanas aktivitāte” (jaunie izsniegtie kredīti) un “kredītportfelis” (kopējais kredītu atlikums), lai gan tie raksturo atšķirīgus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ka inflācija veicinājusi patēriņa kreditēšanu, nav korekts. Tāpat ziņojumā nav analizēta Solidaritātes iemaksas ietekme, kas Latvijā tiek piemērota bankām un var ietekmēt kreditēšanas piedāvājumu un investīciju vidi. Secinājums par nepieciešamību palielināt kopējo kredītportfeli, īpaši nefinanšu uzņēmumu segmentā, nav pietiekami datos pamatots.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Investīciju vide – rīcības virziens “Kapitāls un uzņēmējdarbības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 uzmanību LTRK aicina pievērst rīcības virziena “Kapitāls un uzņēmējdarbības vide” izvērtējumam kopsakarā ar NAP2027 uzdevumu [222], kas paredz finanšu ieguldījumu un uzkrājumu kultūras veicināšanu, ceļot sabiedrības finanšu pratību un ierobežojot bezatbildīgu kreditēšanu. Ziņojumā šim uzdevumam nav sniegts tiešs un saturisks izvērtējums - netiek analizēta uzkrājumu līmeņa dinamika, ieguldījumu kultūras attīstība un finanšu pratības politikas efektivitāte. Tā vietā uzsvars pārsvarā likts uz kreditēšanas aktivitātes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akciju tirgus kapitalizācijas dinamiku nav korekti skaidrot galvenokārt ar zemu tautsaimniecības izaugsmi. Latvijas kapitāla tirgus attīstību primāri ierobežo strukturāli faktori - ierobežots potenciālo emitentu loks, zema uzņēmumu motivācija kļūt publiskiem un nepietiekama vietējā investoru bāze. Īpaši jāuzsver ilgstoši neatrisinātais jautājums par nozīmīgu valsts kapitālsabiedrību kotāciju biržā.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ka Latvijā pietrūkst nobriedušu uzņēmumu ar izaugsmes potenciālu, nav pilnībā pamatots, jo pastāv vairāki lieli un finansiāli stabili uzņēmumi, tostarp valsts kapitālsabiedrības, kuru kotācija varētu būt būtisks impulss kapitāla tirgus attīstībai. Tāpat investīciju vides izvērtējumā faktiski analizēta galvenokārt kreditēšanas dinamika, nevis investīciju vide kopumā, un nav vērtēta kapitāla pieauguma nodokļa (25,5 %) ietekme uz kapitāla tirgu un ieguldījumu kultūru.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Augstākās izglītības finansēšana un profesionālā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LTRK aicina kritiski izvērtēt arī NAP2027 uzdevuma [140] izpildi, kas paredz trīs pīlāru finansēšanas modeļa efektīvu ieviešanu augstākajā izglītībā un zinātnē. LTRK norāda, ka šobrīd notiek augstākās izglītības finansēšanas modeļa maiņa uz institucionālo finansēšanas modeli. Šādas strukturālas izmaiņas būtiski ietekmē NAP uzdevuma [140] sākotnējo koncepciju un ieviešanas loģiku.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īpašu uzmanību vērš uz profesionālās izglītības attīstības izvērtējumu. Ziņojumā norādīts, ka abu indikatoru vērtības kopā apliecina, ka uzdevumā paredzētie pasākumi profesionālās izglītības attīstībai un tās sasaistes ar darba tirgus prasībām virzās pareizā virzienā, taču vēl nav sasnieguši noteiktos mērķus. LTRK ieskatā šāds formulējums ir nepietiekami kritisks un neatspoguļo faktiskās tendences nopietnību. Ja profesionālās izglītības īpatsvars samazinās vai ilgstoši stagnē, to nevar interpretēt kā pozitīvas virzības apliecinājumu. Indikatoru stabila neizpilde vidusposma izvērtējumā liecina nevis tikai par nepietiekamu laika horizontu, bet par sistēmiskām problēmām politikas instrumentu izvēlē, ieviešanas kvalitātē vai mērķējumā.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Dabas resursu sektora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ziņojumā nepietiekami izvērtēts dabas resursu un derīgo izrakteņu sektora ieguldījums valsts attīstības mērķu sasniegšanā. Ņemot vērā, ka tas ir NAP2027 vidusposma izvērtējums kopā ar Latvijas ilgtspējīgas attīstības stratēģijas izvērtējumu, tajā būtu jāiekļauj strukturēta un datos balstīta šā sektora ietekmes analīze reģionālās attīstības, produktivitātes, eksportspējas un ekonomiskās drošības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IKP atšķirību izvērtējumā nav pietiekami analizēta to nozaru loma, kas darbojas ārpus Rīgas reģiona un nodrošina nodarbinātību teritorijās ar ierobežotām alternatīvām. Dabas resursu un derīgo izrakteņu ieguves sektors vairākos reģionos ir viens no galvenajiem ekonomiskās aktivitātes balstiem, rada nodokļu ieņēmumus pašvaldībām un veicina vietējo uzņēmējdarbības ekosistēmu. Bez šā pienesuma reģionālās attīstības rādītāji varētu būt būtiski nelabvēlīgāki.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Produktivitātes un eksportspējas kontekstā nepieciešams pilnvērtīgi izvērtēt dabas resursu nozaru modernizācijas, tehnoloģiskās attīstības un augstākas pievienotās vērtības produktu radīšanas potenciālu kā vienu no instrumentiem darba ražīguma paaugstināšanai. Attīstības politikā jāparedz šo nozaru transformācijas atbalsts, nevis vienpusēji ierobežojumi bez skaidra pārejas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uzsvērto ģeopolitisko risku ietekmi, LTRK aicina papildināt izvērtējumu ar analīzi par vietējo dabas resursu nozīmi ekonomiskās drošības, ilgtspējas un krīzes noturības stiprināšanā, paredzot atsevišķu analītisku izvērtējumu par derīgo izrakteņu sektora pienesumu un tā modernizācijas potenciālu, kā arī nodrošinot līdzsvarotu pieeju starp klimata mērķiem un reģionālās attīstības vajadzībām un ciešāku dialogu ar nozares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Veselības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veselības nozares izvērtējumā nepieciešama kritiskāka mērķu un rezultātu sasaistīšana, jo šobrīd tiek noteikti pārlieku ambiciozi rādītāji, kas nav samēroti ar aktivitāšu jaudu un finansējumu. Nepieciešami reālistiskāki starpposma rādītāji un veselības aprūpes definēšana kā investīcija, vērtējot tās atdevi caur nākotnē novērstām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trūkst analīzes par netiešajām izmaksām tautsaimniecībai - zems veselīgi nodzīvoto gadu rādītājs, potenciāli zaudētie mūža gadi (4526 uz 100 000 iedz.), darbnespēja un pieaugošās neapmierinātās vajadzības pēc aprūpes (8,4 % 2024. gadā) rada būtisku slogu gan IKP, gan darba devējiem un valsts budžetam, taču šo ietekme netiek monetāri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Sistēmisks risks ir arī cilvēkresursu deficīts - kritiski zemais māsu skaits (416 uz 100 000 iedz.) apdraud aprūpes kvalitāti un palielina ilgtermiņa izmaksas. Nepieciešama skaidra personāla noturēšanas politika un pāreja uz vērtībā balstītu aprūpi, sasaistot finansējumu ar ārstēšanas rezultātiem un veselīgā mūža ilguma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joprojām dominē procesu, nevis ārstēšanas iznākumu mērījumi, tādēļ nepieciešama konsekventa pāreja uz vērtībā balstītu aprūpi, sasaistot finansējumu ar kvalitātes rādītājiem un rezultātu efektivitāti. Finansējuma palielināšana (līdz paredzētajiem 6 % no IKP) būtu tieši sasaistāma ar veselīgā mūža ilguma pieaugumu un ietekmi uz nodarbinātību un IKP.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veselības finansējumu un politikas izvērtējumu sasaistīt ar veselīgā mūža ilguma, nodarbinātības un IKP pieaugumu, vienlaikus analizējot priekšlaicīgas mirstības un darbnespējas radītās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kopumā aicina pilnveidot ziņojumu, nodrošinot skaidru, datos balstītu un politikas efektivitāti vērtējošu pieeju atbilstoši pozīcijā minētajam. LTRK kategoriski iebilst pret praksi šāda apjoma un nozīmīguma dokumentam noteikt tikai trīs darba dienu saskaņošanas termiņu un aicina Valsts kanceleju turpmāk nodrošināt samērīgu un kvalitatīvai līdzdalībai atbilstošu saskaņošanas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ņemts vērā. Vēršam uzmanību, ka pārskata periodā mājsaimniecību un uzņēmumu noskaņojumam nebija viennozīmīga un noteicošā ietekme uz kreditēšanas augšupeju, ņemot vērā, ka pozitīva noskaņojuma dinamika bija vērojama vien 2021.gada otrajā pusē, samazinoties pandēmijas ietekmei, kas iezīmēja nodarbinātības un ienākumu atkopšanos, un 2023.gada nogalē, ar tālāku stabilizāciju 2024.gada laikā (uzņēmumiem vien atsevišķās nozarēs), kad uzlabojās makroekonomiskā situācija, samazinoties inflācijai un pieaugot ienākumiem. Pie tam lielāko daļu no pārskata perioda uzņēmumiem nācās pielāgoties sankcijām, loģistikas pārrāvumiem un tirgu pārorientācijai.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cenu kāpums samazināja iedzīvotāju reālo pirktspēju. Lai uzturētu ierasto patēriņa līmeni vai segtu sadārdzinātos ikdienas izdevumus (energoresursus, pārtiku, pakalpojumus), daļa mājsaimniecību biežāk izmantoja patēriņa kredītus. Tādējādi kreditēšana kalpoja kā īstermiņa finanšu līdzsvarošanas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Daļēji ņemts vērā. Vēršam uzmanību, ka pārskata periodā netika identificēti būtiski rīcībpolitikas pasākumi finanšu ieguldījumu un uzkrājumu kultūras veicināšanai, ceļot sabiedrības finanšu pratību. Ziņojuma pārskata periods ir 2021. – 2024.gads, ņemot vērā, ka nodokļa likmes ienākumam no kapitāla pieauguma un ienākumam no kapitāla, kas nav kapitāla pieaugums izmaiņas stājās spēkā no 2025.gada 1.janvārā, minētā instrumenta ietekme ziņojumā nav padziļināti vērtēta. Papildus vēršam uzmanību, ka valsts un pašvaldību kapitālsabiedrību kotēšana biržā ir atkārtoti uzsvērta priekšlikumu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ņemts vērā. NAP2027 uzdevums [140] paredz trīs pīlāru finansēšanas modeļa efektīvu ieviešanu, akcentējot principus (stabilitāti, rezultativitāti un attīstības orientāciju), nevis konkrētu tehnisko īstenošanas formu. Institucionālā finansēšanas modeļa ieviešana pati par sevi nenozīmē atteikšanos no šiem principiem, bet var nodrošināt to integrētu un administratīvi efektīvāku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saglabājas sasaite ar NAP2027 prioritāti par zināšanu sabiedrības attīstību un ar attiecīgajiem rādītājiem, tostarp P&amp;A intensitāti un augstākās izglītības kvalitātes stiprināšanu. Līdz ar to nav pamata uzskatīt, ka notiek atkāpšanās no NAP2027 uzdevuma būtības vai mērķa. Vienlaikus nākamā plānošanas perioda ietvara izstrādes procesā ir iespējami uzlabojumi, īpaši attiecībā uz snieguma rādītāju precizēšanu, rezultātu monitoringu un finansējuma sasaisti ar stratēģiskajiem mērķiem, tādējādi vēl ciešāk nodrošinot atbilstību plānošanas ietvaram un stiprinot sistēmas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sniegtais vērtējums atbilst NAP2027 pieejai, proti, rādītājus analizēt dinamikā un kopsakarībās, nevis balstīt secinājumus tikai uz atšķirībām starpposma rādītāju vērtībās. Profesionālās izglītības attīstība ir ilgtermiņa strukturāls process, un vidusposma izvērtējums pats par sevi neliecina par sistēmiskām kļūdām, ja vien saglabājas pozitīva (taču nepietiekami strauja) virzība un tiek īstenoti kopumā atbilstoši politikas instrumenti un intervences.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piekrītam, ka turpmāk iespējams stiprināt mērķrādītāju uzraudzību, datu analīzi un ciešāku sasaisti ar darba tirgus vajadzībām un prognozēm, lai vēl precīzāk novērtētu politikas efektivitāti un savlaicīgi veiktu nepieciešamās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ņemts vērā. Skaidrojam, ka pārskata periodā (2021.-2024.gads)  galvenie rīcībpolitikas pasākumi derīgo izrakteņu sektora veicināšanai bija vērsti uz uz procesu digitalizāciju,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stingrāku vides kontroli un ēnu ekonomikas ierobežošanu. Svarīgākais jauninājums ir pāreja uz pilnībā digitālu pārskatu iesniegšanu par ieguves apjomiem, izmantojot Zemes dzīļu informācijas sistēmu (ZDzIS), kas kopā ar grozījumiem Ministru kabineta noteikumos Nr. 570 ("Derīgo izrakteņu ieguves kārtība") ļauj precīzāk monitorēt nozares reālo pienesumu un ierobežot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perioda statistika neuzrāda strauju kopējā ieguves apjoma pieaugumu politikas izmaiņu dēļ; drīzāk vērojama ieguves legalizācija un tirgus pārdale, ko ietekmē lielie infrastruktūras projekti (piemēram, Rail Baltica).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reģionālo attīstību vēršam uzmanību, ka, lai gan dabas resursu ieguve nodrošina lokālu nodarbinātību, dati neapstiprina tās izšķirošu ietekmi uz reģionu IKP izrāvienu. Tas skaidrojams ar nozares specifiku – augstu mehanizāciju un salīdzinoši zemu pievienoto vērtību primārajā ieguves posmā. Kūdras nozarē apjomus vairāk ietekmē klimatiskie apstākļi un ES Zaļais kurss, nevis nacionālā regulējuma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vērtējot nozares pienesumu, analīzē ir jāiekļauj ārējo izmaksu faktors. Intensīva izrakteņu ieguve rada papildu slodzi valsts un pašvaldību infrastruktūrai (īpaši ceļu nolietojumam), kā arī negatīvi ietekmē dabas kapitālu un ekosistēmu pakalpojumus (piem., bioloģiskās daudzveidība, ūdens resursi). Šīs izmaksas bieži vien pārsniedz tiešos nodokļu ieņēmumus, tādēļ sektora ietekme uz reģionālo attīstību ir jāvērtē kontekstā ar kopējo sabiedrības labklājību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 novērtējam LTRK vēlmi sniegt padziļinātu analīzi tieši  par derīgo izrakteņu sektora pienesumu un tā modernizācijas potenciālu, nodrošinot līdzsvarotu pieeju starp klimata mērķiem un reģionālās attīstības vajadzībām, kas būs būtiska nākošā perioda pļānošanas dokumentu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Daļēji ņemts vērā. Norādām, ka vidusposmā sasniedzamās indikatoru rādītāju vērtības tiek noteiktas attīstības plānošanas dokumenta izstrādes brīdī. Veicot vidusposma izvērtējumu, tiek vērtēts, vai un kā šie mērķi ir sasniegti, ņemot vērā, ka investīciju kopējais apjoms plānošanas periodā caur ES fondu ieguldījumiem veselības jomā ir atbilstošs NAP2027 sākotnēji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nepieejama veselības aprūpe, tāpat kā slikta darbspējas iedzīvotāju veselība rada slogu tautsaimniecībai kopumā un ir ekonomikas izaugsmi, tāpat kā valsts konkurētspēju kavējošs faktors. Lai aprēķinātu monetāro ietekmi, ir nepieciešams veikt atsevišķu izvērtējumu, tas ietekmes izvērtēšanai izmantojamo datu apjoma un analīzes specifikas dēļ nevar būt NAP2027 vidusposma izvērtējuma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būtisks izaicinājums veselības jomā ir sagatavoto speciālistu noturēšana valsts finansētu veselības aprūpes pakalpojumu sniegšanai. Atlīdzība ir svarīgs motivators, taču diemžēl negarantē ārstniecības personu piesaisti, īpaši darbam reģionos. Tāpēc priekšlikumos tvers ieteikums par elastīgu darba modeļu ieviešanu reģionos un mērķtiecīgāku karjeras plānošanu absolventiem, kuri beiguši pamatstudijas medicīnā un ir ar augstu motivāciju turpināt darbu veselības aprūpes sektorā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sasaistītu finansējumu ar ārstēšanas rezultātu, pirmais solis ir skaidru kvalitātes rādītāju noteikšana slimnīcām, ārstu praksēm un speciālistiem primārajā un ambulatorajā veselības aprūpē, kas attiecīgi priekšlikumos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Nav ņemts vērā. Diemžēl, termiņu pagarināt nav iespējams, jo likums "Saeimas kārtības rullis" nosaka, ka - 118.1 (1) Ministru prezidents ne vēlāk kā 1.martā rakstveidā iesniedz Saeimai ikgadējo ziņojumu par Ministru kabineta paveikto un iecerēto darbību. Norādītajā termiņā arī ir saņemti atzinumi ar iebildumiem un priekšlikumiem pēc būtības, kurus sniedza virkne nevalstisko organizāciju, tai skaitā Latvijas Darba devēju konfederācija, Latvijas Brīvo arodbiedrību savienība,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ziņojums par Latvija2030 un NAP2027 un valsts ilgtspējīgu attīstību paredzēts, kā sākuma punkts, lai veicinātu plašas sabiedrības diskusijas par plānošanu pēc 2027. gada. Priekšlikumi izriet no ekspertu aptaujām, pētījumiem un citiem avotiem. Latvijas ilgtspējīgas attīstības stratēģijas līdz 2050.gadam un jaunā NAP periodam no 2028.gada izstrādes process vēl nav uzsākts, attiecīgi sabiedrības pārstāvjiem vēl būs iespēja izteikt priekšlikumus šo dokumentu izstrādes posmā, to skaitā, publisko apspriešanu ietvaros. Nebūtu taisnīgi uzraudzības ziņojumā iekļaut tikai atsevišķos konkrētos priekšlikumus no pilsoniskās sabiedrības, apsteidzot iekļaujošu plānošanas procesu. Atbilstoši Attīstības plānošanas sistēmas likumam, ziņojums ir iesniedzams līdz š.g. 1.martam. Iekļauto informāciju varēs izmantot nākamajā plānošanas posmā. Viedokļi tiks nosūtīti attiecīgajām ministrijām –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virziena “Tehnoloģiskā vide un pakalpojumi” secinājumu sadaļu ar šādu tekstu: “Secināms, ka vides un informācijas piekļūstamība joprojām nav pietiekama, lai nodrošinātu vienlīdzīgas iespējas visām sabiedrības grupām. Esošie risinājumi bieži vien neatbilst dažādām vajadzībām, kas ierobežo cilvēku iespējas pilnvērtīgi piedalīties sabiedriskajā dzīvē, saņemt pakalpojumus un piekļūt būtiskai informācijai. Tādēļ ir nepieciešami mērķtiecīgi, sistemātiski un ilgtspējīgi uzlabojumi, lai nodrošinātu iekļaujošu, drošu un visiem pieejamu vidi un informācijas telpu.”. Savukārt priekšlikumu sarakstu papildināt ar šādu: “Lai veicinātu vides un informācijas piekļūstamību, nepieciešams pilnveidot būvniecību regulējošos normatīvos aktus, tādējādi nodrošinot efektīvāku piekļūstamības prasību īstenošanu praksē. Vienlaikus jāturpina izglītojošs un skaidrojošs atbalsts projektēšanas un būvniecības nozares speciālistiem. Ņemot vērā, ka būvniecības regulējums šobrīd neparedz vienu atbildīgo iestādi vides piekļūstamības jomā, nepieciešams veikt pasākumus šādas institucionālās atbildības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vides un informācijas piekļūstamība joprojām nav pietiekama, lai nodrošinātu vienlīdzīgas iespējas visām sabiedrības grupām. Esošie risinājumi bieži vien neatbilst dažādām vajadzībām, kas ierobežo cilvēku iespējas pilnvērtīgi piedalīties sabiedriskajā dzīvē, saņemt pakalpojumus un piekļūt būtiskai informācijai. Tādēļ ir nepieciešami mērķtiecīgi, sistemātiski un ilgtspējīgi uzlabojumi, lai nodrošinātu iekļaujošu, drošu un visiem pieejamu vidi un informācijas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vides un informācijas piekļūstamību, nepieciešams pilnveidot būvniecību regulējošos normatīvos aktus, tādējādi nodrošinot efektīvāku piekļūstamības prasību īstenošanu praksē. Vienlaikus jāturpina izglītojošs un skaidrojošs atbalsts projektēšanas un būvniecības nozares speciālistiem. Ņemot vērā, ka būvniecības regulējums šobrīd neparedz vienu atbildīgo iestādi vides piekļūstamības jomā, nepieciešams veikt pasākumus šādas institucionālās atbildības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Secinājumu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vides un informācijas piekļūstamība joprojām nav pietiekama, lai nodrošinātu vienlīdzīgas iespējas visām sabiedrības grupām. Esošie risinājumi bieži vien neatbilst dažādām vajadzībām, kas ierobežo cilvēku iespējas pilnvērtīgi piedalīties sabiedriskajā dzīvē, saņemt pakalpojumus un piekļūt būtiskai informācijai. Tādēļ ir nepieciešami mērķtiecīgi, sistemātiski un ilgtspējīgi uzlabojumi, lai nodrošinātu iekļaujošu, drošu un visiem pieejamu vidi un informācijas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vides un informācijas piekļūstamību, nepieciešams pilnveidot būvniecību regulējošos normatīvos aktus, tādējādi nodrošinot efektīvāku piekļūstamības prasību īstenošanu praksē. Vienlaikus jāturpina izglītojošs un skaidrojošs atbalsts projektēšanas un būvniecības nozares speciālistiem. Ņemot vērā, ka būvniecības regulējums šobrīd neparedz vienu atbildīgo iestādi vides piekļūstamības jomā, nepieciešams veikt pasākumus šādas institucionālās atbildības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un precizēt ziņojuma 39.lpp ietvertos priekšlikumus attiecībā uz darba vides uzlabošanu. Izteiktie priekšlikumi ir visai vispārīgi un trūkstošais pamatojums nesniedz informāciju, kas palīdzētu pamatot un arī plānotu kādus konkrētus pasākumus nākotnē. Vienlaikus informējam, ka www.stradavesels.lv ir pieejama virkne dažādu informatīvu materiālu (bukleti, plakāti, semināru video) par darba vides riskiem, arī par psihoemocionālo risku atpazīšanu un prevenciju, kā arī par izdegšanu, stresu, mobingu. Turklāt regulāri tiek organizēti semināri darba devējiem un darba aizsardzības speciālistiem par veselības veicināšanu darbā, kas ietver arī emocionālās veselības un labbūtības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tekstā precizēt ziņojumā izmantoto terminoloģiju atbilstoši Darba aizsardzības likumam (terminu "darba drošība" aizstāt ar "darba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statistikas datiem Latvijā, mirstība no pašnāvībām biežāk vērojama vīriešu vidū (2024.gadā 23,4 miruši vīrieši uz 100000 iedzīvotāju un salīdzinājumam 4,8 mirušas sievietes uz 100000 iedzīvotāju), turklāt vairumā gadījumu pašnāvības veic cilvēki darbspējas vecumā. Laika periodā no 2015. līdz 2024.gadam 72% pašnāvībās mirušo bija vecumā no 18 līdz 64 gadiem. Atbilstoši Pasaules veselības organizācijas datiem pašnāvības biežāk veic personas, kuras strādā profesijās ar lielāku darba stresu un emocionālo spriedzi, kā arī maiņu darbos strādājošie, to vidū aizsardzības un iekšlietu struktūrās strādājošie, būvniecības un apstrādes jomā strādājošie, veselības aprūpē nodarbinātie. Arī dati par smagu un letālu nelaimes gadījumu skaitu būvniecībā un apstrādes rūpniecībā apstiprina nepieciešamību pievērst pastiprinātu uzmanību to nodarbināto psihoemocionālai veselībai, kuri strādā iepriekš minētās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ziņojumā lietotā terminoloģija, jēdzienu “darba drošība” aizstājot ar “Darba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tekstu, sniedzot pamatojumu ziņojuma tekstā minētajam priekšlikumam: "Pastiprināt darba tiesību uzraudzību, samazinot nereģistrētas nodarbinātības gadījumus" (99.lpp).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ziņojumā nav atrodams pamatojums šādam priekšlikumam un nav skaidrs konteksts. Vienlaikus jāatzīmē, ka izteiktais priekšlikums ir mulsinošs arī attiecībā uz jau pašlaik Valsts darba inspekcijas veiktajām darbībām nereģistrētās nodarbinātības 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“Rīcības virziens "Darbs un ienākumi"” (90.lpp.), secinājumu sadaļas otrajā rindkopā lūdzam labot tekstu par iedzīvotāju nodarbinātības līmeni Latvijā, kas ir virs ES valstu vidējā rādītāja. 2024. gadā ES vidējais nodarbinātības līmenis bija 75,8%, savukārt Latvijā šis līmenis bija 77,4%, kas ir augstāks par vidējo ES. Piedāvājam izteikt attiecīgu teikumu šādā redakcijā: "Neraugoties uz ieviestajiem pasākumiem, nodarbinātības līmenis ilgstoši stagnē, tomēr saglabājas virs ES vidējā, ko pastiprina sabiedrības novecošanās."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arī precizēt tekstu rīcības virziena "Darbs un ienākumi" (84.lpp.) pirmajā rindkopā aiz 13.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ieviestajiem pasākumiem, nodarbinātības līmenis ilgstoši stagnē, tomēr saglabājas virs ES vidējā, ko pastiprina sabiedrības novecošanās.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un papildināts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jāatzīmē, ka darbspējas vecuma iedzīvotāju nodarbinātības līmenis Latvijā ir virs ES valstu vidējā rādītāja (ES 27 – 75,8%), tomēr pēdējo gadu laikā  tajā nav vērojamas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Secinājumu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ieviestajiem pasākumiem, nodarbinātības līmenis ilgstoši stagnē, tomēr saglabājas virs ES vidējā līmeņa, ko pastiprina sabiedrības novecošanās.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datus par ilgstošo bezdarbu (Centrālās statistikas pārvaldes datu tabula [NBL290c]), lūdzam papildināt pēdējo rindkopu pirms 27.attēla ar šādu teikumu: “Tomēr ilgstošā bezdarba līmenis Latvijā 2024. un 2025. gadā lēnām pieauga un tas ir augstāks kā ES vidēji, it sevišķi vīriešu vidū.”.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ilgstošā bezdarba līmenis Latvijā 2024. un 2025. gadā lēnām pieauga un tas ir augstāks kā ES vidēji, it sevišķi vīriešu vidū.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ilgstošā bezdarba līmenis Latvijā 2024. un 2025. gadā lēnām pieauga un tas ir augstāks kā ES vidēji, it sevišķi vīriešu vidū.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“Rīcības virziens "Darbs un ienākumi"” (84.lpp.), pirmajā rindkopā aiz 13. tabulas lūdzam labot tekstu par nodarbinātības līmeni 65-74 gadu vecuma grupā. Pirmkārt, Latvijā ir viens no visaugstākajiem nodarbinātības rādītājiem šajā vecuma grupā. Otrkārt, nodarbinātības pieauguma cēloņi ir dažādi un nevar apgalvot, ka tie ir tikai par finansiālo drošību. Latvijā ir daudz pensijas vecuma cilvēku, kas vēlas turpināt strādāt arī citu iemeslu dēļ, piemēram, būt noderīgiem, būt sociāli aktīviem, kā arī turpināt dalību nodarbinātībā, ja darbs ir interesants, labi apmaksāts un sniedz pozitīvas emocijas.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viens no augstākajiem nodarbinātības rādītājiem 65-74 iedzīvotāju vecumgrupā ES. Pensijas vecuma iedzīvotāju līdzdalību darba tirgū lielā mērā nosaka nepieciešamība saglabāt finansiālo drošību, kā arī vēlme būt ekonomiski un sociāli aktīviem.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viens no augstākajiem nodarbinātības rādītājiem 65-74 iedzīvotāju vecumgrupā ES. Pensijas vecuma iedzīvotāju līdzdalību darba tirgū lielā mērā nosaka nepieciešamība saglabāt finansiālo drošību, kā arī vēlme būt ekonomiski un sociāli aktīviem.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(LLF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"Mājoklis". Priekšlikumi - 142.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priekšlikumu "Mērķtiecīgāk saskaņot mājokļu politiku ar reģionālo attīstību, stiprinot pašvaldību kapacitāti, pilnveidojot teritorijas plānošanu un veidojot mājokļu piedāvājumu vietās, kur attīstās uzņēmējdarbība un pieaug darbavietu skaits," jo mājokļu pieejamība nozīmīga ne tikai teritorijās ar uzņēmējdarbības attīstību, piemēram, kā šī ziņojuma 182.lpp. minēts: "Reģionālā attīstība - progress tiek vērtēts kā nevienmērīgs – valstspilsētās un aktīvākajās pašvaldībās ir pozitīvi piemēri, bet attālākos reģionos saglabājas vāja infrastruktūra, </w:t>
            </w:r>
            <w:r w:rsidR="00000000" w:rsidRPr="00000000" w:rsidDel="00000000">
              <w:rPr>
                <w:u w:val="single"/>
                <w:rtl w:val="0"/>
              </w:rPr>
              <w:t xml:space="preserve">mājokļu nepieejamība</w:t>
            </w:r>
            <w:r w:rsidR="00000000" w:rsidRPr="00000000" w:rsidDel="00000000">
              <w:rPr>
                <w:rtl w:val="0"/>
              </w:rPr>
              <w:t xml:space="preserve"> un demogrāfiskā lejupslīde."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Mērķtiecīgi </w:t>
            </w:r>
            <w:r w:rsidR="00000000" w:rsidRPr="00000000" w:rsidDel="00000000">
              <w:rPr>
                <w:rtl w:val="0"/>
              </w:rPr>
              <w:t xml:space="preserve">saskaņot mājokļu politiku ar reģionālo attīstību, stiprinot pašvaldību kapacitāti, pilnveidojot teritorijas plānošanu un veidojot mājokļu pieejamību </w:t>
            </w:r>
            <w:r w:rsidR="00000000" w:rsidRPr="00000000" w:rsidDel="00000000">
              <w:rPr>
                <w:b w:val="1"/>
                <w:rtl w:val="0"/>
              </w:rPr>
              <w:t xml:space="preserve">kā būtisku teritoriālās attīstības elementu, kas tiek plānots un īstenots atbilstoši teritoriju attīstības vajadzībām, nevis tikai tirgus pieprasījumam gan teritorijās ar ekonomiskās attīstības potenciālu, gan teritorijās, kur nepieciešama mērķtiecīga attīstības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Mērķtiecīgāk saskaņot mājokļu politiku ar reģionālo attīstību, stiprinot pašvaldību kapacitāti un pilnveidojot teritorijas plānošanu,  lai nodrošinātu atbilstošu mājokļu piedāvājumu gan teritorijās ar pieaugošu darbavietu skaitu, gan teritorijās, kur mājokļu pieejamība ir būtisks priekšnosacījums iedzīvotāju noturēšanai un teritorijas pievilcības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(BIOGAS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KOMENTĀRS par atbalsta neesamību mazemisiju degvielām (biometānam) un nepieciešamību veicināt Bio-CNG transportlīdzekļu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Latvijas NEKP (Nacionālā enerģētikas un klimata plāna) ziņojumu, jāsecina, ka praktiski nav paredzēti konkrēti finanšu atbalsta mehānismi mazemisiju degvielām, tostarp biometānam. Lai gan biometāns tiek atzīts kā atjaunojama degviela transportā, plānā trūkst mērķētu instrumentu tā pieprasījuma veicināšanai. Tas rada būtisku politikas un tirgus disbalansu.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Biometāns jau šobrīd faktiski dekarbonizē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janvārī faktiski 100% no Latvijā patērētā CNG bija biometāns.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infrastruktūra jau darbojas,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piegādes ķēde ir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ir gatavs izmantot atjaunojamo gāzi transportā.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transportlīdzekļu parks nepieaug, jo nav atbalsta mehānismu Bio-CNG transportlīdzekļu iegādei. Rezultātā tiek ierobežots vietējā biometāna patēriņš un netiek pilnībā izmantots jau radītais ražošanas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Neitrāla politika faktiski nozīmē nevienlīdzīgu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Elektromobilitātei tiek paredzētas subsīdijas, uzlādes infrastruktūras atbalsts un citi mehānismi. Savukārt: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Bio-CNG transportlīdzekļiem nav iegādes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nodokļu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ekspluatācijas stimulu,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valsts vai pašvaldību autoparku iepirkumu kvotu.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netiek ievērots tehnoloģiju neitralitātes princips, kas deklarēts ES klimata politikā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 Biometāns ir vienīgais tūlītējs risinājums kravas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transporta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elektrifikācija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ūdeņraža tehnoloģijas vēl nav komerciāli pieejamas plašā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Bio-CNG un Bio-LNG ir vienīgais praktiski ieviešamais risinājums ar tūlītēju SEG emisiju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atbalsta transportlīdzekļu atjaunošanai Latvija riskē neizpildīt RED III transporta mērķus vai arī tā būs spiesta paļauties uz statistiskajiem pārdalījumiem un sertifikātu importu.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ņemot vērā Valsts kontroles ziņojumu par to, ka elektroautobusi ir daudz mazāk zaļi (https://www.delfi.lv/193/politics/120106350/pasvaldibu-elektroautobusu-iegade-istenota-nelietderigi-secina-revidenti), tad biometāna izmantošana būtu būtiski jāuzlabo.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 Konkrēti nepieciešamie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reālu NEKP mērķu izpildi,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Bio-CNG un Bio-LNG transportlīdzekļu iegādes atbalsta programma (īpaši kravas un sabiedriskajam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nodokļu atvieglojumi mazemisiju gāzes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iepirkumu kritēriji ar zemu oglekļa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pašvaldību autoparku pārejas plāns uz biometānu,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jau spēj nodrošināt, ka CNG tirgū 100% ir biometāns, loģiska nākamā rīcība ir veicināt transportlīdzekļu parka pāreju uz Bio-CNG. Pretējā gadījumā tiek radīta situācija, kur ražošanas puse ir attīstīta, bet pieprasījuma puse netiek atbalstīta.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Progresa vērtējumā par rīcības virziena "Daba un vide-zaļais kurss" izpildi būt jānorāda, ka, lai nodrošinātu NEKP mērķu izpildi, ir nepieciešams pārskatīt  valsts atbalsta politiku un  veidot atbalsta mehānismus ne tikai bezemisiju transportam, bet arī mazemisiju transportam,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Bio-CNG un Bio-LNG transportlīdzekļu iegādes atbalsta programma (īpaši kravas un sabiedriskajam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nodokļu atvieglojumi mazemisiju gāzes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iepirkumu kritēriji ar zemu oglekļa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pašvaldību autoparku pārejas plāns uz biometānu,.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jau spēj nodrošināt, ka CNG tirgū 100% ir biometāns, loģiska nākamā rīcība ir veicināt transportlīdzekļu parka pāreju uz Bio-CNG. Pretējā gadījumā tiek radīta situācija, kur ražošanas puse ir attīstīta, bet pieprasījuma puse netiek atbalstīta.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 un vide priekšlikumu sadaļā sniegts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NEKP mērķu izpildi, ir nepieciešams izvērtēt iespēju pārskatīt  valsts atbalsta politiku un  veidot atbalsta mehānismus ne tikai bezemisiju transportam, bet arī mazemisiju transportam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Prioritāte "Kvalitatīva dzīves vide un teritoriju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"Tehnoloģiskā vide un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nekā par darbaspēka nepietiekamību transporta nozarē, kā dēļ atcelti piemēram autobusu reisi, darba spēka novecošanās šajā nzarē.  Tiek norādīti uzlabojumi, bet nav novērtējums par mobilitātes uzlabošanos: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papildināts par darbaspēka pieejamību sabiedriskā transporta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Rīcības virziens "Darbs un 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NAP uzdevums [221] paredz aktīvās darba tirgus politikas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Aktīvās darba tirgus politikas ir modernizētas, ieviestas jaunas programmas, bet nav analīzes par šo pasākumu kvalitāti un iznākumu (kā pasākumi cēla nodarbinātības iespējas apmācāmajiem), ņemot vērā apmācību personāla pietiekamību un paša apmācību personāla prasmju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efektīvāku cilvēkkapitāla politikas pārvaldību, izveidojot vienotu monitoringa sistēmu ar skaidri definētiem mērķa rādītājiem, regulāru datu apkopošanu un rezultātu izvērtēšanu starpnozaru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Mērķa indikators [218] parāda, ka Smago un letālo nelaimes gadījumu skaits uz 100 000 nodarbinātajiem 2024.gadā -36,3, pretēji sasniedzamajai vērtībai - 29, kas ir vērtējams kritiski un to apliecina arī Tabulā Nr.13 atspoguļotais. Bet būtu nepieciešams skaidrojums un priekšlikumi, kas norādītu uz iespējām sasniegt  plānoto rezultātu un mazināt nelaimes gadījumu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Īstenot efektīvāku cilvēkkapitāla politikas pārvaldību, izveidojot vienotu monitoringa sistēmu ar skaidri definētiem mērķa rādītājiem, regulāru datu apkopošanu un rezultātu izvērtēšanu starpnozaru līmenī, tostarp attiecībā uz apmācību iznākumu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[Jauns punkts] veicināt apmācību personāla pietiekamību un prasmju attīstīšanu.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tekstu “tostarp attiecībā uz apmācību iznākumu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Prioritāte "Uzņēmumu konkurētspēja un materiālā labklājība"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"Produktivitāte, inovācija un eksports"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 uzdevums [204] paredz sekmēt uzņēmējdarbības, t.sk. apstrādes rūpniecības digitālo transformāciju (digitalizācija, automatizācija, robotizācija, mākslīgais intelekts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notikušas nozares diskusijas par MI attīstību un digitalizāciju. Nenotiek izvērtējums par MI ietekmi uz nodarbinātību uzņēmumā, nav izglītojošo pasākumu vai pētījumu, kas veicina izpratni darba devējiem un darbiniekiem par MI ietekmi uz darba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inovāciju ekosistēmu, īpaši fokusējoties uz publiskā un privātā sektora kopprojektiem un jomām ar augstāko pievienotās vērtības potenciālu, radot priekšnoteikumus pakāpeniskai P&amp;A investīciju palielināšanai līdz ES vidējam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inovāciju ekosistēmu, īpaši fokusējoties uz publiskā un privātā sektora kopprojektiem un jomām ar augstāko pievienotās vērtības potenciālu, radot priekšnoteikumus pakāpeniskai P&amp;A investīciju palielināšanai līdz ES vidējam līmenim, </w:t>
            </w:r>
            <w:r w:rsidR="00000000" w:rsidRPr="00000000" w:rsidDel="00000000">
              <w:rPr>
                <w:b w:val="1"/>
                <w:rtl w:val="0"/>
              </w:rPr>
              <w:t xml:space="preserve">prioritāri investējot pētniecības personālā, veidojot stabilu nodarbinātību un konkurētspējīgu atalgojumu.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MI progresu un procesiem ir sniegta zem 241.uzdevuma, kas raksturo Mākslīgā intelekta centru un 317.uzdevuma, kas runā par Digitālās akadēmijas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126. lpp. sekojošo rindkopu: "Vienlaikus jau pašlaik elektroenerģijas tīklā ir atsevišķi punkti, kuros pieejamā elektroenerģijas tīkla jauda ir izsmelta un nav iespējams pieslēgt jaunas atjaunīgo energoresursu jaudas, kas būtu nepieciešamas, lai virzītos uz klimatneitralitāti. Risinājums attiecībā uz iepriekš minēto problemātiku ir pievienot papildu jaudu esošajām elektroenerģijas apakšstacijām, izbūvēt jaunas apakšstacijas, kā arī stiprināt tīklu ar jaunu augstsprieguma līniju, tādēļ izstrādāta atbalsta programma, kura vērsta uz Latvijas elektroenerģijas tīkla jaudas pastiprināšanu."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veiktie grozījumi Elektroenerģijas tirgus likumā ieviesa jaunu un Eiropā vēl salīdzinoši inovatīvu regulējumu, kas ļauj risināt lielo pieprasījumu pēc elektroenerģijas tīkla jaudām, optimizējot pieejamās jaudas izmantošanu, ieviešot elastīgo un konstanto elektroenerģijas pārvades sistēmas pakalpojumu. Papildus, lai stiprinātu enerģētisko drošību un pārvades tīklu, izstrādāta atbalsta programma, kura vērsta uz Latvijas elektroenerģijas tīkla efektivizāciju un paaugstinātu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veiktie grozījumi Elektroenerģijas tirgus likumā ieviesa jaunu un Eiropā vēl salīdzinoši inovatīvu regulējumu, kas ļauj risināt lielo pieprasījumu pēc elektroenerģijas tīkla jaudām, optimizējot pieejamās jaudas izmantošanu, ieviešot elastīgo un konstanto elektroenerģijas pārvades sistēmas pakalpojumu. Papildus, lai stiprinātu enerģētisko drošību un pārvades tīklu, izstrādāta atbalsta programma, kura vērsta uz Latvijas elektroenerģijas tīkla efektivizāciju un paaugstinātu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84. lpp. [216.] rādītāju </w:t>
            </w:r>
            <w:r w:rsidR="00000000" w:rsidRPr="00000000" w:rsidDel="00000000">
              <w:rPr>
                <w:i w:val="1"/>
                <w:rtl w:val="0"/>
              </w:rPr>
              <w:t xml:space="preserve">Nodokļu ķīlis</w:t>
            </w:r>
            <w:r w:rsidR="00000000" w:rsidRPr="00000000" w:rsidDel="00000000">
              <w:rPr>
                <w:rtl w:val="0"/>
              </w:rPr>
              <w:t xml:space="preserve"> - 3. kolonā "Aktuālā vērtība (gads)" esošo vērtību 34,8 (2024) uz 38,4 (2024).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informācija ziņojumā un indikatoru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atzinumu nevar saskaņot un izskatīt pilnvērtīgi, jo ziņojumā iztrūkst prioritātes Kultūras un sporta 1.rīcības virziens.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nosūtīta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rīcības virziena apakšvirzienu “Iekļaujoša izglītības vide” ar jaunu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"Virzīties uz apmaksātām mācību praksēm un darba vidē balstītām mācībām, slēdzot darba līgumus", tādā veidā veicinot audzēkņu motivāciju, sociālo drošību un atbildību par savu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kurā mudināts virzīt prakses un darba vidē balstītas mācības uz obligātu darba līgumu noslēgšanu, lai nodrošinātu audzēkņu motivāciju, sociālo drošību un atbildību par darbu, netiek atbalstīts. Saskaņā ar Darba likumu darba līgums noslēdzams tikai tad, ja ir izveidotas darba tiesiskās attiecības, kurās attiecīgajai personai tiek nodrošinātas darba tiesības un pienākumi saskaņā ar šo likumu, un tas neatbilst profesionālās izglītības programmās paredzētajiem mācību un prakses formātiem. Tai pat laikā Profesionālās izglītības likums paredz mācību praksi un darba vidē balstītas mācības kā izglītības procesa daļu saskaņā ar profesionālās izglītības programmu noteikto saturu un kārtību, nevis kā darba tiesisku nodarbinātību. Turklāt NAP2027 uzdevums [167] jau paredz profesionālās izglītības iestāžu un koledžu prestiža celšanu un pieejamības palielināšanu, stiprinot darba vidē balstītas mācības un prakses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rīcības virziena "Darbs un ienākumi" priekšlikumu: "Turpināt samazināt darbaspēka nodokļu slogu zemiem un vidējiem ienākumiem, vienlaikus saglabājot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"Turpināt samazināt darbaspēka nodokļu slogu zemiem un vidējiem ienākumiem, un mazināt slogu uz mājsaimniecībām ar apgādājamām personām, vienlaikus saglabājot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izteikts šādā redakcijā “Turpināt samazināt darbaspēka nodokļu slogu zemiem un vidējiem ienākumiem, un mazināt slogu uz mājsaimniecībām ar apgādājamām personām, vienlaikus saglabājot konkurētspēju.”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rīcības apakšvirzienu “Izglītība ekonomikas izaugsmei” papildināt ar informāciju par skolēnu un pieaugušo finanšu pratību, kas tiešā veidā ir saistīta ar tautsaimniecības izaugsmi.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papildinājums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NAP uzdevuma [171] aprakstu ar informāciju par prasmju fondiem, uzsverot kopīgo sadarbību starp arodbiedrībām un darba devējiem.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prasmju fondu veidošanu, kā arī darba devēju, nozaru un arodbiedrību aktīvu iesaisti un pieaugušo motivācijas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norāda, ka Ziņojuma par Latvijas ilgtspējīgas attīstības stratēģijas līdz 2030. gadam un Nacionālā attīstības plāna 2021.–2027. gadam īstenošanu un valsts ilgtspējīgu attīstību (turpmāk – informatīvais ziņojums) nodrošinātais saskaņošanas process ir nesamērīgi īss - trīs darba dienas, ierobežojot sabiedrības kvalitatīvu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nozīmi un būtiskumu valsts attīstības plānošanā un attīstībā,</w:t>
            </w:r>
            <w:r w:rsidR="00000000" w:rsidRPr="00000000" w:rsidDel="00000000">
              <w:rPr>
                <w:b w:val="1"/>
                <w:rtl w:val="0"/>
              </w:rPr>
              <w:t xml:space="preserve"> LPA aicina Valsts kanceleju pagarināt informatīvā ziņojuma saskaņošanas termiņu, nosakot to vismaz 10 darbdienu apmērā</w:t>
            </w:r>
            <w:r w:rsidR="00000000" w:rsidRPr="00000000" w:rsidDel="00000000">
              <w:rPr>
                <w:rtl w:val="0"/>
              </w:rPr>
              <w:t xml:space="preserve">, tādējādi nodrošinot jēgpilnu sabiedrības līdzdalību, ļaujot pilnvērtīgi iepazīties ar ziņojuma saturu un kvalitatīvi izstrādāt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termiņu pagarināt nav iespējams, jo likums "Saeimas kārtības rullis" nosaka, ka - 118.1 (1) Ministru prezidents ne vēlāk kā 1.martā rakstveidā iesniedz Saeimai ikgadējo ziņojumu par Ministru kabineta paveikto un iecerēto darbību. Norādītajā termiņā arī ir saņemti atzinumi ar iebildumiem un priekšlikumiem pēc būtības, kurus sniedza virkne nevalstisko organizāciju, tai skaitā Latvijas Darba devēju konfederācija, Latvijas Brīvo arodbiedrību savienība,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ziņojums par Latvija2030 un NAP2027 un valsts ilgtspējīgu attīstību paredzēts, kā sākuma punkts, lai veicinātu plašas sabiedrības diskusijas par plānošanu pēc 2027. gada. Priekšlikumi izriet no ekspertu aptaujām, pētījumiem un citiem avotiem. Latvijas ilgtspējīgas attīstības stratēģijas līdz 2050.gadam un jaunā NAP periodam no 2028.gada izstrādes process vēl nav uzsākts, attiecīgi sabiedrības pārstāvjiem vēl būs iespēja izteikt priekšlikumus šo dokumentu izstrādes posmā, to skaitā, publisko apspriešanu ietvaros. Nebūtu taisnīgi uzraudzības ziņojumā iekļaut tikai atsevišķos konkrētos priekšlikumus no pilsoniskās sabiedrības, apsteidzot iekļaujošu plānošanas procesu. Atbilstoši Attīstības plānošanas sistēmas likumam, ziņojums ir iesniedzams līdz š.g. 1.martam. Iekļauto informāciju varēs izmantot nākamājā plānošanas posmā. Viedokļi tiks nosūtīti attiecīgajām ministrijām –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142.lpp. ir minēts šāds priekšlikums: "</w:t>
            </w:r>
            <w:r w:rsidR="00000000" w:rsidRPr="00000000" w:rsidDel="00000000">
              <w:rPr>
                <w:i w:val="1"/>
                <w:rtl w:val="0"/>
              </w:rPr>
              <w:t xml:space="preserve">Skatīt nodokļu politiku kā mājokļu pieejamības instrumentu, pārskatot NĪN un citus ar mājokļiem saistītos nodokļus, lai veicinātu dzīvojamā fonda atjaunošanu, energoefektivitāti un pieejamu īres segmentu.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iebilst pret šādu priekšlikumu un lūdz to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nodokļu politika ir instruments valsts budžeta vai pašvaldību budžetu ieņēmumu nodrošināšanai un valsts funkciju un pašvaldību funkciju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nekustamā īpašuma nodokļu politikas pārskatīšana nebūtu nepieciešama, jo jau šobrīd pašvaldībām ir deleģētas tiesības ar saistošiem noteikumiem noteikt nekustamā īpašuma nodokļa likmi no 0,2% līdz 3,0% no nekustamā īpašuma kadastrālās vērtības. Pašvaldību noteiktā nekustamā īpašuma nodokļa likme var pārsniegt 1,5% robežu tikai, ja nekustamais īpašums netiek apsaimniekots atbilstoši normatīvajos aktos noteiktajai kārtībai (piemēram, vidi degradējošas, sagruvušas vai cilvēku drošību apdraudošas būves). Papildus tam pašvaldības var izdot saistošus noteikumus, kuros paredzēti atvieglojumi (25%, 50%, 70% vai 90% apmērā no nekustamā īpašuma nodokļa summas) atsevišķām nekustamā īpašuma nodokļa maksātāju kategorijām (pievēršot uzmanību sociāli mazaizsargāto un trūcīgo iedzīvotāju grupām). Papildus informējam, ka līdz 2009.gadam ieskaitot, kad mājokļi netika aplikta ar nekustamā īpašuma nodokli, netika būtiski veicināta dzīvojamā fonda atjaunošana un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jau pašlaik ir noteikti vairāki iedzīvotāju ienākuma nodokļa atbrīvojumi ienākumam no nekustamā īpašuma atsavināšanas, piemēram, ar iedzīvotāju ienākuma nodokli neapliek ienākumu no nekustamā īpašuma atsavināšanas, kas personas īpašumā ir ilgāk par 60 mēnešiem un vismaz 12 mēnešus pēc kārtas (minētajā 60 mēnešu periodā) līdz atsavināšanas līguma noslēgšanas dienai ir personas deklarētā dzīvesvieta. Tāpat ar iedzīvotāju ienākuma nodokli neapliek ienākumu no nekustamā īpašuma atsavināšanas (attiecīgais nekustamais īpašums reģistrēts zemesgrāmatā kā maksātāja vienīgais nekustamais īpašums), ja šis ienākums no jauna tiek ieguldīts funkcionāli līdzīgā nekustamajā īpašumā 12 mēnešu laikā pēc nekustamā īpašuma atsavināšanas vai arī pirms nekustamā īpašuma atsavināšanas.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135. lpp. minēts šāds priekšlikums: "</w:t>
            </w:r>
            <w:r w:rsidR="00000000" w:rsidRPr="00000000" w:rsidDel="00000000">
              <w:rPr>
                <w:i w:val="1"/>
                <w:rtl w:val="0"/>
              </w:rPr>
              <w:t xml:space="preserve">Palielināt pašvaldību stimuli ekonomiskās vides uzlabošanai un jāveicina pašvaldību sadarbība šajā jomā. Jāveido motivācijas mehānismi pašvaldībām privāto investīciju piesaistei, izstrādājot atbilstošu fiskālo </w:t>
            </w:r>
            <w:r w:rsidR="00000000" w:rsidRPr="00000000" w:rsidDel="00000000">
              <w:rPr>
                <w:i w:val="1"/>
                <w:u w:val="single"/>
                <w:rtl w:val="0"/>
              </w:rPr>
              <w:t xml:space="preserve">un nodokļu vidi</w:t>
            </w:r>
            <w:r w:rsidR="00000000" w:rsidRPr="00000000" w:rsidDel="00000000">
              <w:rPr>
                <w:i w:val="1"/>
                <w:rtl w:val="0"/>
              </w:rPr>
              <w:t xml:space="preserve">. Jāvērtē iespēja izveidot regulējumu starppašvaldību kopprojektiem, kas motivē kopīgi attīstīt industriālos parkus, koplietošanas infrastruktūru vai kopienu centrus. Tas mazinātu pašvaldību savstarpējo konkurenci par vieniem un tiem pašiem investoriem.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šī priekšlikuma nav saprotams, ko tieši ir plānots precizēt nodokļu jomā. Lūdzam precizēt šo priekšlikumu skaidrāk (ko tieši ir paredzēts precizēt nodokļu jomā) vai arī svītrot vārdus "un nodokļu".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dzēšot vārdus “izstrādājot atbilstošu fiskālo un nodokļu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134. un 135.lpp. minēts šāds priekšlikums: "</w:t>
            </w:r>
            <w:r w:rsidR="00000000" w:rsidRPr="00000000" w:rsidDel="00000000">
              <w:rPr>
                <w:i w:val="1"/>
                <w:rtl w:val="0"/>
              </w:rPr>
              <w:t xml:space="preserve">Izvērtēt iespējas izveidot pastāvīgu reģionālās izaugsmes investīciju fondu, kas nodrošina stabilu un nepārtrauktu investīciju plūsmu reģioniem neatkarīgi no ES fondu cikliem. Fonda mehānisms jāveido apvienojot subsīdijas ar izdevīgākiem kredīta nosacījumiem, privāto sektoru, ārvalstu investīcijām, attīstības shēmām un inovatīviem finanšu instrumentiem, </w:t>
            </w:r>
            <w:r w:rsidR="00000000" w:rsidRPr="00000000" w:rsidDel="00000000">
              <w:rPr>
                <w:i w:val="1"/>
                <w:u w:val="single"/>
                <w:rtl w:val="0"/>
              </w:rPr>
              <w:t xml:space="preserve">t.sk. veidojot uz IIN pieaugumu balstītu modeli</w:t>
            </w:r>
            <w:r w:rsidR="00000000" w:rsidRPr="00000000" w:rsidDel="00000000">
              <w:rPr>
                <w:i w:val="1"/>
                <w:rtl w:val="0"/>
              </w:rPr>
              <w:t xml:space="preserve">. Fonds būtu instruments, kur projektos tiek finansēta rezultāta sasniegšana, nevis process, piemēram, atbalsts projektiem tiek piešķirts, </w:t>
            </w:r>
            <w:r w:rsidR="00000000" w:rsidRPr="00000000" w:rsidDel="00000000">
              <w:rPr>
                <w:i w:val="1"/>
                <w:u w:val="single"/>
                <w:rtl w:val="0"/>
              </w:rPr>
              <w:t xml:space="preserve">ja prognozētie nodokļi 3–5 gados pārsniedz investīciju apjomu</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priekšlikums ir neskaidrs, proti, nav īsti saprotama šī priekšlikuma sasaiste ar iedzīvotāju ienākuma nodokļa pieaugumu. Atzīmējam, ka pirms iedzīvotāju ienākuma nodokļa aprēķināšanas, no bruto darba samaksas atskaita darba ņēmēja valsts sociālās apdrošināšanas obligātās iemaksas, ar iedzīvotāju ienākuma nodokli neapliekamo minimumu un iedzīvotāju ienākuma nodokļa atvieglojumus (piemēram, par apgādībā esošu personu un iedzīvotāju ienākuma nodokļa papildu atvieglojumu personām ar invaliditāti). Attiecīgi iedzīvotāju ienākuma nodokļa apmēru ietekmē minētie atskaitījumi. Tādejādi darbiniekam, kas saņems darba algu minimālās algas apmērā un piemēros gan ar iedzīvotāju ienākuma nodokli neapliekamo minimumu, gan atvieglojumu par apgādībā esošu personu, veidosies situācija, ka iedzīvotāju ienākuma nodoklis nav jāmaksā. Ņemot vēra minēto, Finanšu ministrijas ieskatā, korektāk būtu izstrādāt modeli, kas ir sasaistīts ar bruto darba algas pieaugumu nevis iedzīvotāju ienākuma nodokļa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priekšlikumu izsakot šādā redakcijā: “Izvērtēt iespējas izveidot pastāvīgu reģionālās izaugsmes investīciju fondu ar rezultātos balstītu finansēšanas pieeju, nodrošinot stabilu investīciju plūsmu neatkarīgi no ES fondu cikliem. Fonda darbība tiktu balstīta uz grantu, aizdevumu un privātā kapitāla sinerģiju. Atbalsts projektiem tiktu piesaistīts, pamatojoties uz pozitīvu kopējo fiskālo ietekmi un ekonomiskās aktivitātes pieaugumu, ko raksturo jaunu darba vietu radīšana un bruto darba samaksas fonda palielinājums noteiktā periodā pēc investīciju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102.-103.lpp. minēts: "</w:t>
            </w:r>
            <w:r w:rsidR="00000000" w:rsidRPr="00000000" w:rsidDel="00000000">
              <w:rPr>
                <w:i w:val="1"/>
                <w:rtl w:val="0"/>
              </w:rPr>
              <w:t xml:space="preserve">Ņemot vērā, ka vietējo iedzīvotāju kopienu nostāja attiecībā uz vēja elektrostaciju klātbūtni savu īpašumu tuvumā ir visnotaļ negatīva, ir ieviests vēja elektrostaciju maksājums vietējās kopienas attīstībai. 2024. gada 27. augustā MK apstiprināja noteikumus, kas paredz finansiālu ieguldījumu vietējām kopienām vēja elektrostaciju tuvumā. </w:t>
            </w:r>
            <w:r w:rsidR="00000000" w:rsidRPr="00000000" w:rsidDel="00000000">
              <w:rPr>
                <w:i w:val="1"/>
                <w:u w:val="single"/>
                <w:rtl w:val="0"/>
              </w:rPr>
              <w:t xml:space="preserve">Attīstītājiem jāveic maksājums 2500 euro gadā par katru uzstādītās jaudas megavatu, sadalot to vienādās daļās starp pašvaldību un iedzīvotājiem</w:t>
            </w:r>
            <w:r w:rsidR="00000000" w:rsidRPr="00000000" w:rsidDel="00000000">
              <w:rPr>
                <w:i w:val="1"/>
                <w:rtl w:val="0"/>
              </w:rPr>
              <w:t xml:space="preserve">, </w:t>
            </w:r>
            <w:r w:rsidR="00000000" w:rsidRPr="00000000" w:rsidDel="00000000">
              <w:rPr>
                <w:i w:val="1"/>
                <w:u w:val="single"/>
                <w:rtl w:val="0"/>
              </w:rPr>
              <w:t xml:space="preserve">kuru īpašumi atrodas līdz 2 km attālumā no vēja elektrostacijas turbīnas</w:t>
            </w:r>
            <w:r w:rsidR="00000000" w:rsidRPr="00000000" w:rsidDel="00000000">
              <w:rPr>
                <w:i w:val="1"/>
                <w:rtl w:val="0"/>
              </w:rPr>
              <w:t xml:space="preserve">. Šie līdzekļi nav apliekami ar iedzīvotāju ienākuma nodokli, un pašvaldības tos var izmantot sabiedrības labklājības un infrastruktūras uzlabošanai.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par vēja elektrostacijas maksājumu vietējās kopienas attīstībai, iekļaujot arī informāciju, ka maksājums kopienai, ko viena mājsaimniecība saņem gadā ir ne mazāks par vienu minimālo mēneša darba algu, bet ne lielāks par trim minimālajām mēneša darba algām atbilstoši Ministru kabineta 2024.gada 27.septembra noteikumu Nr.577 "Vēja elektrostaciju maksājumu kārtība vietējās kopienas attīstībai" 13.punktam. Minētā informācija parādītu konkrēti, cik varētu saņemt viena mājsaimniecība un neradītu maldinošu priekšstatu, ka minētās summas varētu būt daudz lielākas.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teksts ar informāciju “Maksājums kopienai, ko viena mājsaimniecība saņem gadā ir ne mazāks par vienu minimālo mēneša darba algu, bet ne lielāks par trim minimālajām mēneša darba algām atbilstoši Ministru kabineta 2024.gada 27.septembra noteikumu Nr.577 "Vēja elektrostaciju maksājumu kārtība vietējās kopienas attīstībai"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56.lpp. ir ietverts šāds priekšlikums: "</w:t>
            </w:r>
            <w:r w:rsidR="00000000" w:rsidRPr="00000000" w:rsidDel="00000000">
              <w:rPr>
                <w:i w:val="1"/>
                <w:rtl w:val="0"/>
              </w:rPr>
              <w:t xml:space="preserve">Atbilstoši ekonomiskajām izmaiņām turpināt aktualizēt un pārskatīt pabalstu un </w:t>
            </w:r>
            <w:r w:rsidR="00000000" w:rsidRPr="00000000" w:rsidDel="00000000">
              <w:rPr>
                <w:i w:val="1"/>
                <w:u w:val="single"/>
                <w:rtl w:val="0"/>
              </w:rPr>
              <w:t xml:space="preserve">nodokļu sistēmu</w:t>
            </w:r>
            <w:r w:rsidR="00000000" w:rsidRPr="00000000" w:rsidDel="00000000">
              <w:rPr>
                <w:i w:val="1"/>
                <w:rtl w:val="0"/>
              </w:rPr>
              <w:t xml:space="preserve">, fokusējoties uz konkrētām mērķa grupām un to vajadzībām, sniedzot mērķētu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šī priekšlikuma nav skaidrs, kādu nodokļu sistēmu ir plānots pārskatīt. Informējam, ka iedzīvotāju ienākuma nodokļa sistēma jau pašlaik ir progresīva, proti, ir noteikta progresīvā iedzīvotāju ienākuma nodokļa likme. Vienlaikus ar iedzīvotāju ienākuma nodokļa neapliekamo minimumu tiek mazināts nodokļa slogs zemu un vidēju ienākumu saņēmējiem. Ņemot vērā minēto, ierosinām precizēt šo priekšlikumu šādi: "</w:t>
            </w:r>
            <w:r w:rsidR="00000000" w:rsidRPr="00000000" w:rsidDel="00000000">
              <w:rPr>
                <w:i w:val="1"/>
                <w:rtl w:val="0"/>
              </w:rPr>
              <w:t xml:space="preserve">Atbilstoši ekonomiskajām izmaiņām turpināt aktualizēt un pārskatīt pabalstu sistēmu, fokusējoties uz konkrētām mērķa grupām un to vajadzībām, sniedzot mērķētu atbalstu un </w:t>
            </w:r>
            <w:r w:rsidR="00000000" w:rsidRPr="00000000" w:rsidDel="00000000">
              <w:rPr>
                <w:i w:val="1"/>
                <w:u w:val="single"/>
                <w:rtl w:val="0"/>
              </w:rPr>
              <w:t xml:space="preserve">turpināt palielināt ar iedzīvotāju ienākuma nodokli neapliekamo minimumu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teksts ar precizēto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izskatījusi sagatavoto Nacionālā attīstības plāna vidusposma izvērtējumu un sniedz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termiņu kavēšana nedrīkst būt steidzamības pamatojums dokumentu sagatavošanai. Kā LDDK ir uzsvērusi jau iepriekš, dialoga esamība ar sociālajiem partneriem ir kritiski nozīmīga kvalitatīvu dokumentu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konsekventi tekstā lietot saīsinājumus un apzīmējumus, piemēram eiro un Euro, kā arī milj. un miljoni.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precizēt un salāgot un precizēt arī informāciju, piemēr, LIAA reģionālo pārstāvniecību skaitu (20 vai 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Sadaļā “NAP2027 stratēģisko mērķu indikatori” minot salīdzinājumus ar Baltijas valstīm aicinām norādīt arī, kur tās atrodas ar samazinājumu. Aicinām arī skaidrot, zemo darba ražīgumu valstī, lai attiecīgi varētu plānot arī rīcības, lai labotu situāciju. Nepieciešams sadaļu papildināt ar skaidrojumu Igaunijas IKP uz vienu iedzīvotāju pēc pirktspējas paritātes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Sadaļa “NAP2027 stratēģisko mērķu indikatori”. Balstīšanās uz ESAO (OECD) modificētā ekvivalences skala bāzētā nabadzības riska indeksa rada maldīgu priekšstatu par bērnu nabadzību, jo t.s. OECD modificētā ekvivalences skala neatbilst Latvijas mājsaimniecību izdevumu struktūrai, kur ir ievērojami augstāks t.s. neatraidāmo izdevumu īpatsvars (skat., piemēram Engela likumu) . Īpaši augsta neatbilstība ir bērniem piemērotais ekvivalences koeficients – 18% no mediānas nav bērna nabadzības riska robeža, bet gan dziļa nabadzība, par ko nepārprotami liecina Labklājības ministrijas pasūtītā 2019.-2021. pētījuma, kas veikts projekta “Jaunas metodoloģijas izstrāde iztikas minimuma patēriņa preču un pakalpojumu groza noteikšanai un tās aprobācija” rezultātā izstrādātais "Mājsaimniecību relatīvo izdevumu budžets" (MRIB). Bērniem piemērotais ekvivalences koeficients – 18% no mediānas, kas šogad ir 153 eiro nesedz pat 7 līdz 14 gadu veca bērna pārtikas groza vērtību, kas saskaņā ar MRIB 2024.gada cenās bija 175 eiro. Tas nepārprotami liecina, ka tas nepārprotami liecina, ka uz OECD modificētās ekvivalences skalas balstītos rezultātus var izmantot salīdzināmās starpvalstu statistikas vajadzībām ES ietvaros, bet tie nav izmantojami sociālās politikas veidošanai, jo uz to bāzes nevar izveidot ilgtspējīgu, stabilu un adekvātu materiālo atbalstu, kas nodrošina pietiekamu ekonomisko neatkarību, jo īpaši mājsaimniecībām ar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ESAO modificētajā skalā bērniem piemērotais ekvivalences koeficients – 18% no mediānas - Latvijā nav bērna nabadzības riska robeža, bet gan dziļa nabadzība. Tā izmantošana rada maldīgu priekšstatu par ģimeņu ar bērniem materiālo situāciju. Komentārs attiecināms arī uz 5. tabulas 97. un 98. indikatoru, NAP uzdevumu Nr. 101, Nr. 121.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NAP uzdevumā Nr. 68 tiek minēts “Tomēr, neskatoties uz īstenotajām aktivitātēm, būtu nepieciešams palielināt finansējumu daudzveidīgāku bērnu veselības aprūpes pakalpojumu pieejamības nodrošināšanai”. Norādām, ka netiek ievērots Ārstniecības likuma 3.panta 2.daļa, kam var būt negatīva ietekme uz ļoti daudziem gadiem ("(2) Grūtnieces, bērna un personas ar prognozējamu invaliditāti veselības aprūpe ir prioritāra. Šīs prioritātes organizēšanas, finansēšanas un cilvēkresursu nodrošināšanas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NAP uzdevumā Nr. 68 tiek minēts “Tāpat kopš 2019. gada būtiski pieaudzis vidējais gaidīšanas laiks bērniem uz plānveida operāciju dienas stacionārā BKUS, tādējādi liecinot par veselības aprūpes pakalpojumu pieejamības bērniem pasliktināšanos. Ja 2019. gadā uz plānveida operāciju vajadzēja gaidīt rindā 40 dienas, tad 2022. gadā vidēji jau 55 dienas, bet 2025. gadā – 51 dienu.”. Norādām, ka netiek ievērots Ārstniecības likuma 3.panta 2.daļa, kam var būt negatīva ietekme uz ļoti daudziem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virzienā "Uz cilvēku centrēta veselības aprūpe" priekšlikumā “Ilgtspējīgs un pietiekams finansējums veselības aprūpei”, neparādās priekšlikums nodrošināt Ārstniecības likuma 3.panta 2.daļā noteikto prioritāti vismaz attiecībā uz grūtniecēm un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Saistībā ar NAP uzdevumu Nr. 101 vēršam uzmanību uz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pārskata periodā Neapliekamais minimums (NM) ir paaugstināts par 320 eiro, savukārt Atvieglojums par apgādībā esošu personu (AAP) ir palielināts par 20 eiro, kas ir 16 reizes mazāk. NM paaugstināšanas rezultātā budžetam atrautā fiskālā telpa 2025. un 2026.gadā daļēji ir kompensēta ar bāzes likmes paaugstināšanu, kas nelabvēlīgāk ietekmē tās sociālās grupas, kurām nodokļu atvieglojums nav mainīts. Tātad, nodokļu politikas skatupunkta ģimenēm ar bērniem situācija ir faktiski un relatīvi pasliktinājusies.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Ģimenes valsts pabalsts pēdējo reizi ir aktualizēts 2022.gada janvārī. Inflācija līdz šā gada janvārim ir pārsniegusi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Latvijā attiecībā uz Ģimenes valsts pabalstu vēl arvien tiek pielietots krīzes laika risinājums, ka pirmajā bērna dzīves gadā pabalstu nemaksā.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Sociālo pakalpojumu un sociālās palīdzības likuma 35.pantā noteiktie mājokļu pabalsta piekļuves nosacījumi ģimenēm ar bērniem nav ietvertas īpaši aizsargājamo sociālo grupu kopā (ģimenēm ar bērniem tiek piemērots standarta koeficients 1,3, kura piemērošanas rezultātā bērniem saglabājamā summa ir zemāka par pētījumā "Mājsaimniecības relatīvo izdevumu budžets" 2024.gadā noteikto bērna pārtikas groza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norāda, ka sociālo iemaksu likme pēdējo gadu laikā netika samazināta. Pēdējo reizi to samazināja 2021.gadā (no 35,09% uz 34,09%). Tāpēc aicinām teikuma daļu par sociālo iemaksu likmes samazināšanu dzēst vai papildināt ar atbilstošu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norāda, ka no 2025.gada sākuma ģimenes, kuras izmanto IIN atvieglojumu (250eur /mēnesī) par katru bērnu saņem papildu 13,75eur / mēnesī - kas ir ļoti simbolisks atbalsts, ņemot vērā pietiekami straujo inflāciju pēdējos gados. Tāpēc aicinām teikumu “ģimenēm ik mēnesi paliek vairāk līdzekļu bērnu uzturam, izglītībai un mājokļa izdevumiem” dzēst vai papildināt ar atbilstošu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NAP uzdevumā Nr. 102: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tēvam atvaļinājuma pagarināšana no 10 kalendārajām uz 10 darba dienām nav slikts pasākums, tajā pašā laikā mājsaimniecības, kurā abi vecāki nolemj bērna aprūpi dalīt uz pusēm, attiecīgi arī darba slodzi samazināt uz pusi, ģimenei tiek atņemti 25% no uz sociālās apdrošināšanas iemaksām balstītā Vecāku pabalsta.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-2.Norādām arī, ka šis ir pirmais gads, kad SIF atteica atbalstu Latvijas Daudzbērnu ģimeņu apvienībai, kas ir viena no plašākajām ģimeņu organizācijām Latvijā, un kura līdz šim aktīvi ir darbojusies ģimeņu interešu pārstāvībā.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 kontekstā ar zemiem dzimstības rādītājiem tomēr ir izņēmums divu iemeslu dēļ: 1. Izteikti zemāks dzimušo skaits pret iedzīvotāju skaitu; 2. Iedzīvotāju blīvums ir ļoti zems. 3. Ja ietveram frāzi: "zemi dzimstības rādītāji šobrīd ir plaši izplatīta Eiropas un globāla tendence", tad būtu nepieciešams ietver atšķirības vismaz starp LV un ES vidējo.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NAP uzdevumā Nr. 103 attiecībā uz labvēlīgu apstākļu radīšana ģimenes un darba dzīves saskaņošanai - Latvijā, līdzīgi kā citviet pasaulē, ir sociālās grupas, kuras darbspēju ierobežojumu un citu iemeslu dēļ nevar veikt pilna laika darbu, bet ir nepieciešamība un iespējas strādāt nepilnu laiku. Lai to nodrošinātu, Darba likuma 134.panta otrajā daļā darba devējam ir noteikts pienākums nodrošināt 134.panta otrajā daļā minētajām sociālajām grupām iespēju strādāt nepilna laika darbu. Savukārt likuma “Par valsts sociālo apdrošināšanu” 20.4 panta ceturtajā daļā nav ietvertas Darba likuma 134.panta otrajā daļā minētās sociālās grupas, kā rezultātā Darba likuma 134.panta otrajā daļā minētajām sociālajām grupām ir augstāka barjera iekļūšanai darba tirgū un regulējums ir pretējs iekļaujošai nodarbinātībai.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precizēt rīcības virziena "Stipras ģimenes paaudzēs" secinājumus ņemot vērā, ka ESAO modificētās skalas neatbilstību Latvijas mājsaimniecību izdevumu struktūrai (neatraidāmo izdevumu īpatsvars ir ievērojami augstāks, nekā vidēji ES), faktiskā situācija ģimenēm ar bērniem ir ievērojami sliktāka par to, ko sauc par Nabadzības riska indeksu ģimenēm ar bērniem. Kā arī ņemot vērā, ka likuma “Par valsts sociālo apdrošināšanu” 20.4 panta ceturtajā daļā nav ietvertas visas Darba likuma 134.panta otrajā daļā minētās sociālās grupas, kā rezultātā Darba likuma 134.panta otrajā daļā minētajām sociālajām grupām ir augstāka barjera iekļūšanai darba tirgū un regulējums ir pretējs iekļaujošai nodarbinātībai. Līdz ar to pārskata periodā regulējums vairākām sociālajām grupām piekļuvi darba tirgum ir pasliktinājis. Attiecīgi secinājumos aicinām precizēt metodi pirmsskolas pieejamības progresam, jo galvenais pamats ir dzimušo bērnu skaita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virziena "Stipras ģimenes paaudzēs" priekšlikumā “Būtiski stiprināt bērnu drošību, ieviešot agrīnās atpazīšanas protokolus visās iesaistītajās jomās – izglītībā, veselībā un policijā. Katrā skolā vajadzētu būt drošības speciālistam, jānodrošina diennakts palīdzības tālrunis un krīzes centrs katrā plānošanas reģionā. Svarīga ir arī konsekventa datu apmaiņa starp institūcijām.”, svarīgi ievērot Ārstniecības likuma 3.pantu, ko vajadzētu izcelt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tabulas indikators Nr. 110 - Ņemot vērā ESAO modificētās skalas neatbilstību Latvijas mājsaimniecību izdevumu struktūrai (neatraidāmo izdevumu īpatsvars ir ievērojami augstāks, nekā vidēji ES), faktiskā situācija ģimenēm ar bērniem ir ievērojami sliktāka par to, ko sauc par Nabadzības riska indeksu ģimenēm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NAP uzdevumā Nr. 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skaidrot kāpēc neparādās ģimenes ar bērniem. Ja seniori darbmūža laikā kaut kādā veidā varēja ietekmēt savas pensijas apmēru, tad bērni savu situāciju bērnības periodā nevar ietekmēt. Savukārt nabadzība bērnībā ietver augstus sociālās atstumtības riskus, kam var būt ļoti nelabvēlīga ietekme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peniju indeksāciju, uz iemaksām balstītajām pensijām vēl arvien tiek attiecināts nosacījums, ka indeksē tikai daļu no pensijas, kas nepārsniedz noteiktu lielumu. Tas neatbilst Latvijā ieviestajai pensiju kapitāla sistēmai un ir pretrunā ar amatpersonu atlīdzības likumā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izvērtēt vai vidējā pensijas apmēra nomināla pieaugumu par aptuveni 20% pie inflācijas, kas pārsniedz 30% var uzskatīt par     vidējās pensijas apmēra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“ieviesta pakāpeniska piemaksu piešķiršana pie vecuma un invaliditātes pensijas, kas piešķirtas no 2012.gada,  par apdrošināšanas stāžu, kas uzkrāts līdz 1995.gada 31.decembrim. Provizoriski tas ietekmē 38 tūkst. personu 2024. gadā, 87 tūkst. personu 2025. gadā un 145 tūkst. personu 2026. gadā” – aicinām ņemt ērā, ka faktiski ar šo pakāpeniski tiek mazināts to personu skaits, pret kurām Latvijas valsts ir veikusi diskrimināciju pēc pensionēšanās (dzimšanas) gada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mājokļa pabalsta piešķiršanas nosacījumu koeficienti tika samazināti gan ģimenēm ar bērniem (kam šobrīd ir zemākais koeficients), gan arī tekstā minētajām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Apgalvojumu “atcelts ierobežojums nodarbinātām personām saņemt valsts sociālā nodrošinājuma pabalstu vecuma gadījumā” vajadzētu skatīt kontekstā ar minimālā apdrošināšanas stāža paaugstināšanu pensijas saņemšanai, kas ļoti nelabvēlīgi ietekmēja tieši to sieviešu iespējas saņemt pensiju, kuras ir audzinājušas vairākus bērnus, bet pašas ir bez pensijas.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 apgalvojums “Līdz ar to aptuveni 93% vecuma pensiju saņēmēju nebūs jāmaksā iedzīvotāju ienākuma nodoklis.” būtu vietā norādīt arī to, ka tiem, kuri maksā IIN, ir paaugstināta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tabulā indikators Nr. 149 “15 gadus vecu skolēnu īpatsvars ar augstiem/zemiem mācību sasniegumiem lasīšanā, matemātikā un dabaszinātnēs, %” - Izglītības snieguma dati uzrāda negatīvu dinamiku un esošais izvērtējums nenovērš bažas par īstenoto pasākumu efektivitāti. Lūdzam papildināt ziņojumu, vērtējot ar kvantitatīviem rādītājiem īstenoto pasākumu ietekmi uz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tabula indikators Nr. 164 “15-24 gadus vecu personu īpatsvars, kuras nav iesaistītas izglītībā vai darba tirgū (NEET), %” - Lūdzam vērtēt un iekļaut informāciju par kopējiem rīcībpolitikas pasākumiem, kas īstenoti šo jauniešu mērķtiecīgai iesaistei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virzienā “Kvalitatīva, pieejama, iekļaujoša izglītība” priekšlikumam “Lai sekmētu profesionālās izglītības proporcijas paātrinātu korekciju, precizēt uzņemšanas kvotas un mērķstipendijas nozarēm ar darba vidē balstītu mācību līgumiem”, lūdzam vērtēt atbilstību valsts īstenotajiem pasākumiem, jo pēdējo divu gadu laikā valsts budžetā nav piešķirts finansējums proporcijas nodrošināšanai un proporcijas sasniegšana nav tieši saistīta ar uzņemšanas kvotām vai mērķstipendijām. Atbalstām darba vidē balstītu mācību attīstību, vienlaikus uzsverot nepieciešamību pēc būtības definēt šādu mācību īstenošanas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rīcības virzienā “Kvalitatīva, pieejama, iekļaujoša izglītība” priekšlikumam “Ieviest un attīstīt NEET samazināšanas procedūru kopumu, veidojot pašvaldību līmeņa vienas pieturas profilētas komandas ar 3 līdz 6 mēnešu finansējumu mikroprogrammu ietvaros”, aicinām izvērtēt pēc būtības apstākļus, kas ietekmē jauniešu lēmumu pieņemšanas procesu un attiecīgi pamatojoties uz kvalitatīvos datos balstītu izvērtējumu, piedāvāt mērķprogrammas jauniešu iesaistei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LDDK kopumā atbalsta rīcības virzienā “Produktivitāte, inovācija un eksports” noteikto stratēģisko fokusu uz inovāciju attīstību, produktivitātes kāpināšanu un eksporta stiprināšanu. Pozitīvi vērtējama viedās specializācijas pieeja, digitalizācijas un pētniecības atbalsta instrumenti, kā arī investīciju piesaistes veicināšana. Vienlaikus aicinām dokumenta īstenošanā lielāku uzsvaru likt uz uzņēmējdarbības vides konkurētspēju kopumā, īpaši darbaspēka pieejamību, regulējuma prognozējamību un investīciju pievilcību reģionālā konkurencē. Produktivitātes kāpumu noteiks ne tikai inovāciju finansējums, bet arī spēja nodrošināt uzņēmumiem stabilu un attīstību veicinošu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sistemātiski izvērtēt inovāciju un uzņēmējdarbības atbalsta instrumentu ietekmi uz produktivitāti, eksportspēju un investīciju piesaisti, fokusējoties uz izmērāmiem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izprotams, kāpēc NAP uzdevumā Nr. 224 ir rakstīts par nodokļu slogu zemu ienākumu saņēmējiem, ja ir runa strādājošajiem ar zemu atalgojuma līmeni, kas nav viens un tas pats. Attiecīgi, lielākai skaidrībai uzdevuma aprakstā vajadzētu pieminēt arī to, ka pirms tam - 2018.gadā sociālās apdrošināšanas obligāto iemaksu likme tika palielināta par vienu procentpunktu no 34,09% uz 35,09%, kas nozīmē, ka faktiski ir notikusi atgriešanās pie iepriekšējās likmes.  Papildus sadaļā par iedzīvotāju ienākuma nodokļa neapliekamā diferencētā minimuma paaugstināšanu, būtu ļoti lietderīgi paralēli pielikt arī atvieglojuma par apgādībā esošu personu (AAP) dinamiku, jo tieši AAP un citi uz īpašām sociālajām grupām vērstie atvieglojumi ir efektīvākais instruments nevienlīdzības mazināšanai, savukārt viena paša NM palielināšana palielina ienākumu nevienlīdzību starp personām ar un bez apgādībā esošām personām. Skatot tekstu “no 2022.gada 1.janvāra - uz 350 eiro mēnesī, bet no 2022.gada 1.jūlija uz 500 eiro mēnesī), izdevās ievērojami samazināt darbaspēka nodokļu slogu zemu ienākumu saņēmējiem, pietuvinot to pārējo Baltijas valstu rādītājiem.” Un “Tomēr, pieaugot vidējai darba samaksai tautsaimniecībā, darbaspēka nodokļu slogs no 2023.gada zemu un vidēju ienākumu saņēmējiem atkal sāka palielināties.”, nepamatoti ir ietverts jēdziens "zemu ienākumu saņēmēji". Ienākumus sociālajā politikā nemēra pēc atalgojuma līmeņa, bet pēc ienākumu līmeņa uz mājsaimniecības locekli. Aicinām visā tekstā pārskatīt jēdziena “Zemu ienākumu saņēmēji” lietojumu un to pielietot korekti.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 uzdevumā Nr. 225 jāņem vērā, ka ieviešot minimālo valsts sociālo apdrošināšanas obligāto iemaksu objektu, izņēmumi no tā netika attiecināti uz visām Darba likuma 134.panta 2.daļā pamatoti ietvertajām grupām, tām pieauga risks iekļūšanai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virziena "Darbs un ienākumi" secinājumos ir minēts “Neraugoties uz ieviestajiem pasākumiem, nodarbinātības līmenis ilgstoši stagnē un saglabājas zem ES vidējā”. Aicinām skaidrot pamatotību šādam apgalvojumam.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virziena "Darbs un ienākumi" priekšlikumos ir minēts “Turpināt samazināt darbaspēka nodokļu slogu zemiem un vidējiem ienākumiem, vienlaikus saglabājot konkurētspēju.”. Aicinām skaidrot, vai ieteikums attiecas uz nodokļu slogu zemiem un vidējiem ienākumiem vai nodokļu slogu zemam un vidējam atalgojumam? Ja ir doma samazināt nodokļu slogu zemiem un vidējiem ienākumiem, tad labākais instruments ir atvieglojums par apgādībā esošu personu. Savukārt, ja ir doma samazināt nodokļu slogu zemam un vidējam atalgojumam un, ja tas tiek darīts uz augstas likmes rēķina, tad ir jārēķinās, ka Latvijas konkurētspēja augstas pievienotās vērtības segmentos saglabāsies zema.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virziena "Kapitāls un uzņēmējdarbības vide" priekšlikumos būtiski būtu ieviest nosacījumu, ka publiskais sektors respektē (nepārsūdz) jebkura līmeņa tiesas nolēmumus. Esošais modelis, ka publiskais sektors pārsūdz tiesas nolēmumus, rada priekšstatu, ka valsts neuzticas pašas ieceltai tiesai un prasa no privātpersonām augstāku izpratni par tiesību normām, nekā valsts ieceltai tiesai. Pārsūdzības instruments ir jāsaglabā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NAP uzdevumā Nr. 291, kā jauns kompensāciju veids tiek izvērtēts – zemes maiņa. Atkārtoti uzsveram, ka zemes maiņa kā kompensācijas veids ir akceptējams tikai tad, ja tas ir uz godīgiem principiem balstīts. Nepieciešams saglabāt arī citus kompensācijas veidus, kas būtu atbilstīgāki zemes īpašnieku vēlmēm un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virzienā “Daba un vide – "Zaļais kurss” priekšlikumā “Prioritāri un būtiski palielināt finansējuma pieejamību projektiem, kas paredz ES Zaļā kursa mērķvērtību sasniegšanu un demonstrē izmērāmu ietekmi uz klimatneitralitāti, kritiskās infrastruktūras noturību, resursu efektivitāti/autonomiju un vides kvalitātes uzlabošanu, sasaistot atbalsta piešķiršanu ar pierādāmu atdevi” vēršam uzmanību, Eiropas Komisijas prioritāti ir noteikusi konkurētspējas veicināšanu, līdz ar to ieteikumam jāparedz saskaņotība ar ekonomisko izaugsmi un tautsaimniecības noturības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virzienā "Tehnoloģiskā vide un pakalpojumi" priekšlikumā par nepieciešamību meklēt risinājumus atjaunīgo energoresursu plašākai izmantošanai transporta jomā, atgādinām, ka 2024.gada septembrī valdība un sociālie partneri vienojās par nodokļu pamatnostādnēm vidējā termiņā, kuras paredzēja virkni izmaiņu Latvijas nodokļu sistēmā, un ir stājušās spēkā 2025.gadā. Iepriekš minētā vienošanās ietver arī apņemšanos, ka nodokļu sistēma netiek būtiski pārskatīta līdz 2028.gadam, jo ir svarīgi saglabāt sistēmas paredzamību nodokļu maksātājiem, potenciālajiem investoriem un citām iesaistītajām pusēm. Attiecīgi vēršam arī uzmanību, ka ar nodokļiem kā stimulu autotransporta nomaiņai visvairāk tiks ietekmēti reģionu iedzīvotāji ar ierobežotiem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NAP uzdevumā Nr. 332, “Par Rīcības plānu Latvijas Austrumu pierobežas ekonomiskajai izaugsmei un drošības stiprināšanai 2025.–2027. gadam” paredz 59. pasākumus, kamēr vidusposma izvērtējumā tiek minēti tikai 58 pasākumi. Aicinām Izvērtējumu papildināt ar visiem “Par Rīcības plānu Latvijas Austrumu pierobežas ekonomiskajai izaugsmei un drošības stiprināšanai 2025.–2027. gadam” plānotajiem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virzienā “Mājoklis” ir minēts “Finansiāli pieejami, kvalitatīvi un energoefektīvi mājokļi ir būtisks priekšnosacījums iedzīvotāju labklājības, nodarbinātības, demogrāfijas un uzņēmējdarbības vides attīstībai visā Latvijas teritorijā.”. Vēršam uzmanību, ka 1. Esošais modelis, kura ietvaros izīrētāja ienākumi no īres maksas tiek aplikti ar iedzīvotāju ienākuma nodokli (izīrētājam tā ir izdevumu pozīcija), sadārdzina īres tirgu (informācija attiecas arī uz NAP uzdevumu Nr. 354). 2. Esošais modelis, kura ietvaros mājokļa atsavināšanas gadījumos ar iedzīvotāju ienākuma nodokli aplikts tā saucamais kapitāla pieaugums, sadārdzina un apgrūtina sekundāro mājokļu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Rīcības virzienā “Mājoklis” priekšlikumos minēts “Skatīt nodokļu politiku kā mājokļu pieejamības instrumentu, pārskatot NĪN un citus ar mājokļiem saistītos nodokļus”. Atgādinām, ka esošais NĪN modelis ir izstrādāts 1996./97. gadā un ir paredzēts pavisam citai - uz nosacītām lietošanas vērtībām balstītai kadastrālās vērtēšanas sistēmai, un ir pilnīgi nesaderīgs ar 2008.gadā ieviesto - uz nosacītām atsavināšanas vērtībām balstīto kadastrālās 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LDDK rosina pielikumā par sasniedzamo rādītāju faktisko izpildi norādīt arī izmantot statistikas datu avotus, un, ja iespējams arī datubāžu kodus.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termiņu kavēšana pēc būtības nevarētu būt pamatojums steidzamībai, vienlaikus ilgstoša ziņojuma saskaņošana valsts pārvaldes ietvaros rezultējusies ar jautājuma steidzamību, jo Saeimas Kārtības rullis nosaka, ka 118.1 (1) Ministru prezidents ne vēlāk kā 1.martā rakstveidā iesniedz Saeimai ikgadējo ziņojumu par Ministru kabineta paveikto un iecerēto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priekšlikums par LIAA reģionālo pārstāvniecību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priekšlikums par sadaļu “NAP2027 stratēģisko mērķu indikatori” minēt salīdzinājumus ar Baltijas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Ir pieņemts zināšanai un tiks izvērtēts nākamajā plānošanas periodā pēc plašākām diskusijām un detalizētas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modificētās ekvivalences skalā balstītais nabadzības riska rādītājs ir starptautiski atzīta un metodoloģiski vienota pieeja, kas nodrošina datu salīdzināmību ES un OECD valstu ietvaros. Šī salīdzināmība ir būtiska, lai izvērtētu Latvijas relatīvo situāciju un politikas rezultātus starptautiskā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NAP2027 ietvaros šis nav vienīgais rādītājs, kas raksturo ģimeņu ar bērniem materiālo situāciju. Tiek izmantoti arī citi, uz ģimenēm un bērniem mērķēti indikatori, kas ļauj daudzpusīgāk izvērtēt ienākumu pietiekamību, materiālo nenodrošinātību un sociālās atstumtības riskus. Nākotnē, pilnveidojot sociālās politikas plānošanas instrumentus, iespējams vērtēt arī alternatīvu vai papildinošu rādītāju izmantošanu, tostarp tādu, kas precīzāk atspoguļo Latvijas mājsaimniecību izdevumu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priekšlikumi attiecībā par veselības aprūpes pakalpojumu pieejamības uzlabošanu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NAP uzdevumu [101] Pieņemts zināšanai. Sniegtā informācija nav pretrunā ar ziņojumu, nodaļas secinājumiem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Kopējais atbalsts nav tikai ģimenes valsts pabalsts. Ģimeņu ienākumus ietekmē arī nodokļu izmaiņas, minimālās algas pieaugums, vecāku pabalsti un citi mērķēti atbalsta instrumenti. Kopējais atbalsta apjoms jāvērtē kompleksi, nevis caur viena pabalsta prizmu.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bērna dzīves gadā galvenais atbalsts ir vecāku pabalsts un maternitātes/paternitātes pabalsti, kas ienākumu ziņā ir būtiski lielāki nekā ģimenes valsts pabalsts, līdz ar to ienākumu aizvietojums šajā periodā jau ir nodrošināts. Ģimenes valsts pabalsta mērķis ir ilgtermiņa atbalsts bērna audzināšanai, nevis ienākumu aizvietošana bērna kopšanas atvaļinājuma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Ir pieņemts zināšanai un tiks izvērtēts nākamajā plānošanas periodā pēc plašākām diskusijām un detalizētas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NAP uzdevumu [102]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pieņemts zināšanai un tiks izvērtēts nākamajā plānošanas periodā pēc plašākām diskusijām un detalizētas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ņemts vērā - Sabiedrības integrācijas fonds (SIF) finansējumu piešķir atklātu projektu konkursu kārtībā, izvērtējot iesniegtos pieteikumus atbilstoši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Daļēji ņemts vērā - papildināts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Ir pieņemts zināšanai un tiks izvērtēts nākamajā plānošanas periodā pēc plašākām diskusijām un detalizētas analīzes. Secinājumi balstās uz vairākiem rādītājiem. OECD modificētā skala tiek izmantota konsekventi visās ES valstīs; tā nodrošina salīdzināmību un nav paredzēta kā vienīgais politikas ietekmes vērtējums. Arī nabadzības riska indekss nav vienīgais pamats izvērtējumam – tiek analizēti arī materiālās nenodrošinātības, ienākumu un nodarbinātības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OECD modificētā skala tiek izmantota konsekventi visās ES valstīs; tā nodrošina salīdzināmību un nav paredzēta kā vienīgais politikas ietekmes vērtējums. Arī nabadzības riska indekss nav vienīgais pamats izvērtējumam – tiek analizēti arī materiālās nenodrošinātības, ienākumu un nodarbinātības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NAP uzdevumu [121] Iebildums nav ņemts vērā. Ir pieņemts zināšanai un tiks izvērtēts nākamajā plānošanas periodā pēc plašākām diskusijām un detalizētas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Ir pieņemts zināšanai un tiks izvērtēts nākamajā plānošanas periodā pēc plašākām diskusijām un detalizētas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Pieņemts zināšanai/Nav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Ir pieņemts zināšanai un tiks izvērtēts nākamajā plānošanas periodā pēc plašākām diskusijām un detalizētas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Ir pieņemts zināšanai un tiks izvērtēts nākamajā plānošanas periodā pēc plašākām diskusijām un detalizētas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Ir pieņemts zināšanai un tiks izvērtēts nākamajā plānošanas periodā pēc plašākām diskusijām un detalizētas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Rādītāji un īstenotās programmas ir ietvertas NAP2027 uzdevuma [122] analīzē, kas aptver paveikto darbu jaunatnes politikas jomā, īpaši vērtējot atbalsta pieejamību un jauniešu iekļaušanos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NAP2027 uzdevuma [122] analīzē ir ietverta jaunatnes politikas izpēte, tostarp par kopējiem rīcībpolitikas pasākumiem, kas īstenoti jauniešu mērķtiecīgai iesaistei darba tirgū, īpaši vērtējot atbalsta pieejamību un jauniešu iekļaušanos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Pēdējo divu gadu laikā valsts budžetā nav atrodama tāda budžeta pozīcija, kas paredz papildu finansējumu izglītojamo proporcijas nodrošināšanai, taču profesionālās un vispārējās izglītības proporcijas sasniegšana nav mehāniski reducējama uz uzņemšanas kvotām vai mērķstipendijām. Tādēļ skaidri jānodala finanšu instrumenti no sistēmiskajiem attīstības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uzņemšanas plānošana un mērķēti atbalsta mehānismi (t.sk. stipendijas nozarēs ar darba vidē balstītu mācību līgumiem) var būt viens no politikas instrumentiem, lai ilgtermiņā ietekmētu izglītojamo izvēles struktūru, īpaši tautsaimniecībai prioritārās jomās. Tomēr tie nav vienīgais un izšķirošais instruments proporcijas korekcijai.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nepieciešamību skaidri definēt to īstenošanas ietvaru, tostarp kvalitātes prasības, finansēšanas modeli, uzņēmumu iesaistes nosacījumus un rezultātu novērtēšanas kritērijus. Turpmākajā redakcijā tiks precizēts, ka darba vidē balstītas mācības tiek attīstītas kā kvalitātes un nodarbināmības instruments, nevis kā formāls mehānisms izglītojamo proporcijas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(80.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profesionālās izglītības proporcijas paātrinātu korekciju un stiprinātu tās atbilstību darba tirgus vajadzībām, precizēt uzņemšanas kvotas un mērķstipendijas prioritārajām nozarēm, vienlaikus attīstot nozares atbalstītas un darba vidē balstītas mācības ar skaidru kvalitātes, finansēšanas un rezultātu izvērtēšanas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attiecībā uz NAP uzdevumu [224]. Laika periodā no 2021. līdz 2024. gadam nav mainījies atvieglojuma par apgādībā esošu personu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“zemu ienākumu saņēmējiem” ir lietots korekti, ņemot vērā, ka uzdevums paredz mazināt slogu ne tikai personām ar atalgojumu no algota darba, bet no plašākiem ienākumiem, ko skar darbaspēka nodokļi.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Uzdevuma  Nr. 225 tvērums neskar minēto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Informatīvais ziņojums papildināts ar tekstu “Latvijā saglabājas salīdzinoši augsts ilgstošas darbnespējas un invaliditātes līmenis, veselības stāvoklis ir vidēji sliktāks nekā daudzās Rietumeirpas valstīs, kas veicina cilvēku agrāku izstāšanos no darba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Vēršam uzmanību, ka minētais attiecas uz nodokļu slogu zemiem un vidējiem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Latvijā tiesu sistēma balstās uz trīs instanču principu, kas ir tiesiskuma un taisnīguma garantija. Minētais mazina risku, ka kādā no instancēm ir nepareizi izvērtēti pierādījumi, nepareizi piemērots likums vai ir notikuši procesuāli pārkāpumi. Ikviena no pusēm tiesvedības procesā var saskarties ar minētajiem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Priekšikums par NAP uzdevumu [291] . Informācija pieņemta zināšanai. Vēršam uzmanību, ka esošā kompensāciju sistēma tiek pilnveidota.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Pamatojums: Latvija ir apņēmusies sasniegt klimatneitralitāti līdz 2050. gadam, virzot ekonomiku uz ilgtspējīgu, resursu ziņā efektīvu un zemu emisiju attīstības modeli. Turklāt EK nav mazinājusi klimata mērķu sasniegšanas ambīcijas, tāpat no nozaru ministrijām nav informācijas par klimata mērķu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Priekšikums par NAP uzdevumu [332]. Precizēts informatīvais ziņojums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 situāciju pēc Krievijas sāktā pilna apmēra agresijas kara pret Ukrainu un Austrumu pierobežas sociālekonomiskos izaicinājumus, kā arī to, ka Latgales reģions un Alūksnes novada pašvaldība ir arī ES un NATO ārējā robeža, kurai šā brīža ģeopolitiskajā situācijā jāpievērš daudz lielāka uzmanība, tika izstrādāts Rīcības plāns Latvijas Austrumu pierobežas ekonomiskajai izaugsmei un drošības stiprināšanai 2025.–2027. gadam. Plāns paredz 59 pasākumus ar kopējo finansējumu 644,6 milj. euro apmērā, no tiem 269,6 milj. euro ir valsts budžeta līdzekļi un 375 milj. euro – ES un cits ārvalstu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rīcības virzienā “Mājoklis” - 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statistikas datu avotiem - datu avoti jau norādīti NAP2027.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pārveidot 47. un 50. attēlu vizuālo noformējumu, gan skaitliskā informācija ir saplūdusi, gan rīcības virzienu apraksts nav salasāms.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attēlu vizuālais noformējums.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indikatoru novērtējumā netiek ievērota vienota pieeja un izsekojamība kā tiek pielietota ziņojumā ietvertā Nacionālo attīstības plānošanas dokumentu īstenošanas progresa novērtējuma metodika mērķa indikatora grafiskajam novērtējumam, it īpaši, tajos gadījumos, ja aktuālā vērtība pieejama uz 2024.gadu, kad ir noteikta sasniedzamā vērtība. Piemēram, 43 mērķa indikatoram - sniegts pozitīvs vērtējums, bet ziņojuma tekstā ietverts - </w:t>
            </w:r>
            <w:r w:rsidR="00000000" w:rsidRPr="00000000" w:rsidDel="00000000">
              <w:rPr>
                <w:i w:val="1"/>
                <w:rtl w:val="0"/>
              </w:rPr>
              <w:t xml:space="preserve">Darba ražīgums (eiro uz nostrādāto stundu) Latvijā relatīvi visaugstākais bija 2021. gadā, kad tas sasniedza 63,8% no ES vidējā. 2022. un 2023. gadā (provizoriskā rādītāja vērtība 2023. gadā ir 62,7%) produktivitātes līmenis Latvijā ir samazinājies, un, tendencei būtiski nemainoties, nebūs iespējams sasniegt NAP2027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mērķa indikatoram pēc metodikas vajadzētu būt - virzība uz mērķi nenotiek, indikatora vērtība svārstās ap bāzes vērtību, bet ziņojumā - vērtējums pozitīvs. 46.indikators nav sasniegts un ar negatīvu tendenci, bet novērtēts kā mazāk negatīvs. Lūdzam pārskatīt sniegto vērtējumu arī pie indikatoriem: 137, 162, 175, 176, 331, 416, 417, 436,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korekcijas, mainīsies 26.tabulā ietvertais mērķu snieguma kopējais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Mainīts novērtējums indikatoriem 46, 162, 176,331.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uzdevuma  Nr. 242 pēdējā rindkopā (nobeigumā) atbilstoši aktuālajai situācijāi (skat.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Latvija ir uzrādījusi būtisku progresu atvērto datu indeksā, nostiprinot savas pozīcijas Eiropas mērogā, 2024.gadā sasniedzot 13 vietu, bet 2025. gadā ierindojoties 12. vietā Eiropā atvērto datu jomā. Šo izaugsmi galvenokārt veicinājusi atvērto datu pieaugošā ietekme uz publiskās pārvaldes efektivitāti, ekonomikas attīstību un sabiedrības iesaisti, kā arī uzlabojumi datu kvalitātē un pieejamībā. Vienlaikus atvērto datu ietekmes pilnīga izmantošana un atvērtā datu portāla tālāka attīstība joprojām ir jomas ar attīstības potenciālu, kas arī turpmāk būs būtisks atvērto datu indeksa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Latvija ir uzrādījusi būtisku progresu atvērto datu indeksā, nostiprinot savas pozīcijas Eiropas mērogā, 2024.gadā sasniedzot 13 vietu, bet 2025. gadā ierindojoties 12. vietā Eiropā atvērto datu jomā. Šo izaugsmi galvenokārt veicinājusi atvērto datu pieaugošā ietekme uz publiskās pārvaldes efektivitāti, ekonomikas attīstību un sabiedrības iesaisti, kā arī uzlabojumi datu kvalitātē un pieejamībā. Vienlaikus atvērto datu ietekmes pilnīga izmantošana un atvērtā datu portāla tālāka attīstība joprojām ir jomas ar attīstības potenciālu, kas arī turpmāk būs būtisks atvērto datu indeksa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14. tabulas rādītāja (235) 'Atvērto datu rādītājs (indekss)' novērtējuma simbolu, nomainot to uz zaļu, augšupvērstu bultu. Tā kā rādītājs atspoguļo ikgadējo pozīciju ES dalībvalstu vidū, zemāka skaitliskā vērtība liecina par pozitīvu progresa tendenci.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gan pēdējos gados ir bijis būtisks progress virzībā uz mērķa vērtības sasniegšanu, analizējot pārskata periodu, ir secināms, ka virzība uz mērķa vērtības sasniegšanu nav bijusi viennozīmīga, 2022.gadā Latvijai indeksā pat nokrītoties uz 30. vietu. Ņemot vērā minēto, kā arī faktu, ka 2024.gada faktiskā vērtība uzrāda negatīvu tendenci pret bāzes gadu un 2024.gada mērķa vērtība netika sasniegta, indikatora mērķa vērtības sasniegšanas progresu nav iespējams novērtēt kā pozitīvu.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("Vidusdaugavas NVO centrs" - 15.02.2026.)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"Vidusdaugavas NVO centrs" ir iepazinusies ar informatīvo ziņojumu un uzskata to par nepilnīgu attiecībā uz sabiedrības neaizsargātāko un skaitliski nozīmīgu daļu- senioriem. Ziņojumā redzamā pieeja ir formāla un neatspoguļo reālo demogrāfisko situāciju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bez mērķētas politikas senioru dzīves kvalitātes uzlabošanai Latvijas ilgtspējīgas attīstības mērķi (t.sk. nabadzības mazināšana, digitālā transformācija un veselības aprūpe) nav sasniedzami.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apkopoti biedrības iebildumi un priekšlikumi, kas strukturēti atbilstoši ziņojumā definētajiem Rīcības virzieniem (RV), aicinot papildināt dokumentu ar mērķētiem pasākumiem senioru mērķauditorijai: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RV: Uz cilvēku centrēta veselības aprūpe (atsauce uz 3.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izklāsts: Ziņojumā atspoguļo neapmierinātu vajadzību pēc pakalpojumiem, personāla trūkumu un garus gaidīšanas laikus, kas īpaši ietekmē seniorus.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Paredzēt mērķētus pasākumus tieši senioru grupai, mazinot finansiālos un fiziskos šķēršļus pakalpojumu saņemšanai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RV: Psiholoģiskā un emocionālā labklājība (atsauce uz 4.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izklāsts: izvērtējumā nepietiekami iekļauta senioru (65+, 75+) mērķgrupa: trūkst vecumgrupu datu un pasākumu, lai mazinātu vientulību, sociālo izolāciju un depresijas risku. Pašnāvību rādītāji nav analizēts vecuma griezumā, līdz ar to nav iespējama mērķēta prevencija.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indikatoru analīzi vecumgrupās (65+, 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Iekļaut senioru vientulības un psihiskās veselības rādītājus kā uzraugāmus lielumus.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Noteikt valsts apmaksātu psiholoģisko atbalstu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Saglabāt un stiprināt klātienes (negitālu) pakalpojumu pieejamību, kas kritiski svarīga sociālās izolācijas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RV: Stipras ģimenes paaudzēs (atsauce uz 5.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izklāsts: Sadaļā nepietiekami iekļauta senioru dimensija. Netiek izvērtēts neformālās aprūpes slogs ģimenēs un pakalpojumu pieejamība reģionos, kas tieši ietekmē ģimeņu noturību un nabadzības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 vairāku paaudžu mājsaimniecību un senioru situācijas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 reālu atbalstu neformālajiem aprūpētājiem (t.sk. atelpas brīža pakalpojumu un pabalstus.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Stiprināt mājas un dienas aprūpes pieejamību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RV: Sociālā iekļaušana (atsauce uz 6.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izklāsts: Ziņojumā nepietiekami akcentēts, ka pensionāru (65+) nabadzības risks saglabājas kritiski augsts, tādēļ senioru sociālās iekļaušanas progress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senioru nabadzības mazināšanu kā prioritāti ar konkrētiem, izmērāmiem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minimālās pensijas un ieviestr mērķētu atbalstus (mājoklis, medikamenti, transports).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Stiprināt sociālo pakalpojumu (mājas aprūpe, dienas centri) pieejamību reģionos un celt sociālo dienestu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RV: Kvalitatīva, pieejama, iekļaujoša izglītība Apakšvirziens: Izglītība ekonomikas izaugsmei (atsauce uz 9.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izklāsts: Esošie dati par digitālajām prasmēm uzrāda negatīvu dinamiku (kritums no 48% 2017. g. uz 45,34% 2023. g.). Lai sasniegtu mērķi- 60% iedzīvotāju ar pamatlīmeņa digitālajām prasmēm 2027.gadā-, kritiski svarīga ir senioru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finansēt specifisku digitālo prasmju apguves programmu tieši senioriem, lai ne tikai apturēt kritumu, bet strauji kāpinātu digitālo pratību. Bez mērķēta atbalsta šai grupai kopējais programmas mērķis nav sasniedzams,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RV: Darbs un ienākumi (NAP2027) (atsauce uz 13.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izklāsts: Mērķu neatbilstība; Faktiskā nodarbinātība specifiskajās grupās. Nodarbinātības līmenis vecuma grupā 65–74 gadi, % (24,8%) jau tagad pārsniedz 2027.gada mērķi (22,5%), kas liecina, ka plāns ir novecojis un tam jābūt ambiciozākam.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vide: Smago nelaimes gadījumu skaita pieaugums (no 30 uz 36.3) signalize par nedrošu vidi, kas ir kritisks šķērslis senioru ilgākai palikšanai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ziņojumā minētās "sabiedrības vecumstruktūras izmaiņas" un darbaspēka trūkumu, nepieciešams paaugstināt nodarbinātības mērķus senioru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Ieviest “Aktīvās novecošanās” atbalsta programmu, fokusējoties uz veselību, darba drošību, ergonomiku un pārkvalifikāciju (t.sk. slodzes samazināšanas iespējām vecāka gadagājuma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RV: Kapitāls un uzņēmējdarbības vide (atsauce uz 14.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izklāsts: Kreditēšanas apjoms ir būtiski krities (no 13% uz 8,1%). Lai sasniegtu uzņēmējdarbības rādītājus, nepieciešams aktivizēt seniorus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atbalsta instrumentus "Sudraba uzņēmējdarbībai" (senioriem, kuri uzsāk biznesu), mazinot vecuma diskriminācijas riskus kapitāla piesaistē un veicinot pašnodarbinātību pirmspensijas un pensijas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RV: Daba un vide- Zaļais kurss (atsauce uz 15.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izklāsts: Sadzīves atkritumu apjoms uz iedzīvotāju pieaug. Ņemot vērā senioru ierobežotos ienākumus, jebkurš tarifa kāpums bez atbalsta mehānisma pasliktinās viņu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jaunus "Zaļā kursa" pasākumus (īpaši atkritumu apsaimniekošanā un energoefektivitātē), obligāti paredzēt kompensācijas mehānismus senioriem, lai ekoloģisko mērķu sasniegšana nepalielina nabadzības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RV: Tiesiskums un pārvaldība (atsauce uz 24.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izklāsts: Pilsoniskās līdzdalības indekss" (9,64) dramatiski atpaliek no mērķa (25). Seniori ir sociāli aktīva grupa, kuras potenciāls netiek izmantots.Savukārt krāpniecības gadījumi grauj senioru drošības sajūtu un uzticēšanos valstij (policijas reitings krities uz 57,8%).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zemo sabiedrības līdzdalību, nepieciešama mērķēta atbalsta programma senioru NVO stiprināšanai, kā arī pastiprināta cīņa ar finanšu krāpniecību, kuras upuri visbiežāk ir seniori.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RV: Drošība (atsauce uz 25.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izklāsts: Rādītājs "Mirušo skaits no ārējiem cēloņiem" (77,3) nav sasniedzis plānoto mērķi (75). Seniori ir riska grupa sadzīves traumām un ugunsnelaimēm.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mirstību no ārējiem cēloņiem, nepieciešama mājokļu drošības programma senioriem (dūmu detektori, kritienu riska mazināšana), kā arī krīzes apziņošanas risinājumi, kas sasniedz cilvēkus bez viedierīcēm.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RV: Drošības pēdējais priekšlikums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būtisku uzlabojumu, mazinot mirstību no ārējiem nāves cēloņiem, jāpievērš lielāka uzmanība šādu cēloņu izraisītas vīriešu mirstības (tā ir trīs reizes augstāka nekā sievietēm) mazināšanai, kā arī drošības faktoriem, kas saistīti ar sabiedrības novecošanos, piemēram dūmu detektoru pieejamība, rīcība kritienu riska samazināšanai un krīzes apziņošanas risinājumiem, kas sasniegtu cilvēkus bez viedierīcēm.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ņemti vērā, jo piedāvātās korekcijas būtu vairāk attiecināmas uz jaunizstrādātiem plānošanas dokumentiem, tajā pat laikā ir uzskatāmi par nozīmīgiem un var tikt izvērtēti nākamajā plānošanas periodā pēc plašākām diskusijām un detalizētas analīzes.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32.lp. otrajā rindkopā pirmajā teikumā ir rakstīts "Lai sasniegtu NAP2027 izvirzītos mērķus attiecībā uz atkarību izraisošo vielu lietošanas izplatības ierobežošanu, tiek nodrošināta pakāpeniska, </w:t>
            </w:r>
            <w:r w:rsidR="00000000" w:rsidRPr="00000000" w:rsidDel="00000000">
              <w:rPr>
                <w:i w:val="1"/>
                <w:u w:val="single"/>
                <w:rtl w:val="0"/>
              </w:rPr>
              <w:t xml:space="preserve">bet ne pietiekama </w:t>
            </w:r>
            <w:r w:rsidR="00000000" w:rsidRPr="00000000" w:rsidDel="00000000">
              <w:rPr>
                <w:rtl w:val="0"/>
              </w:rPr>
              <w:t xml:space="preserve">akcīzes nodokļa likmju paaugstināšana alkoholiskajiem dzērieniem, tabakas izstrādājumiem un nikotīna saturošiem produktiem, un pēc izmantošanas mērķa līdzīgiem produktiem.". Atzīmējam, ka akcīzes nodokļa likmju paaugstināšana minētajām akcīzes precēm tiek veikta katru gadu un tā tiek veikta, samērojot fiskālos un veselības mērķus, ņemot vērā arī iedzīvotāju vidējo ienākumu līmeni, pirktspēju. Svarīgi ir vienlaikus nodrošināt arī līdzsvaru starp sabiedrības veselības veicināšanu un uzņēmējdarbības aktivitātēm. Ar Saeimā 04.12.2025. pieņemtajiem grozījumiem likumā "Par akcīzes nodokli" ir pārskatīts un nostiprināta akcīzes nodokļa likmju paaugstināšana līdz 2028.gadam ieskaitot: tabakas izstrādājumiem tiek paaugstināts par 15% katru gadu un alkoholiskajiem dzērieniem par 7-10% katru gadu. Ņemot to vērā, nepieciešams ziņojuma projekta 32.lp. otrajā rindkopā pirmajā teikumā </w:t>
            </w:r>
            <w:r w:rsidR="00000000" w:rsidRPr="00000000" w:rsidDel="00000000">
              <w:rPr>
                <w:u w:val="single"/>
                <w:rtl w:val="0"/>
              </w:rPr>
              <w:t xml:space="preserve">svītrot vārdus "bet ne pietiekama".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Aktualizēts informatīvā ziņojuma teksts, svītrojot vārdus “bet ne pietiekama".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131.lpp. norādīto: uzņēmējdarbības attīstības finansējums vairākos pasākumos tika sadalīts pēc IKP – plānošanas reģionam ar mazāko IKP uz vienu iedzīvotāju piešķirot lielāku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tas attiecas ne tikai uz uzņemējdarbības attīstības finansējumu, bet arī citiem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attīstības atbalsta pasākumu finansējums vairākos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pasākumos tika sadalīts pēc IKP – plānošanas reģionam ar mazāko IKP uz vienu iedzīvotāju piešķirot lielāku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līdzsvarotu investīciju piesaisti no ES kohēzijas politikas programmas 2021.-2027. gadam ņemot vērā reģionālās attīstības atšķirības, reģionālās attīstības atbalsta pasākumu finansējums vairākos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pasākumos tika sadalīts pēc IKP – plānošanas reģionam ar mazāko IKP uz vienu iedzīvotāju piešķirot lielāku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ziņojumā minēto: "Uzņēmējdarbības vides attīstības dinamiku raksturo reģionālā IKP starpība – četru mazāk attīstīto plānošanas reģionu vidējais IKP uz vienu iedzīvotāju līmenis pret augstāk attīstīto plānošanas reģionu [328] tiek aprēķināts, balstoties uz CSP datiem par IKP un iedzīvotāju skaitu plānošanas reģionos, un raksturo Latvijas reģionu ekonomiskās attīstības izlīdzināšanās tendenci. Ņemot vērā, ka  </w:t>
            </w:r>
            <w:r w:rsidR="00000000" w:rsidRPr="00000000" w:rsidDel="00000000">
              <w:rPr>
                <w:b w:val="1"/>
                <w:rtl w:val="0"/>
              </w:rPr>
              <w:t xml:space="preserve">nav pieejami CSP dati par IKP plānošanas reģionos tajā reģionu dalījumā, kāds tie bija uz NAP2027 izstrādes brīdi, precīzs šī indikatora mērķa sasniegšanas novērtējums šobrīd nav iespējams.</w:t>
            </w:r>
            <w:r w:rsidR="00000000" w:rsidRPr="00000000" w:rsidDel="00000000">
              <w:rPr>
                <w:rtl w:val="0"/>
              </w:rPr>
              <w:t xml:space="preserve">" norādām, ka dati ir pārrēķināmi. VARAM rīcībā esošie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robežās - 47%, jaunajās robežās 39,8% (2016.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robežās - 50%, jaunajās robežās – 43,7% (2022.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2027.gads - 55%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plānošanas reģionu iepriekšējām robežām, tika aprēķināts, ka 4 zemāk attīstīto reģionu IKP uz vienu iedzīvotāju attiecība pret augstāk attīstīto reģionu 2016. gadā bija 47%, savukārt 2022. gadā tā sasniedza 50%, kas veido 3 procentpunktu pieaugumu 6 gadu laikā. Balstoties uz jaunajām plānošanas reģionu robežām, precizētā 2016. gada vērtība bija 39,8%, bet 2022. gadā sasniegtā vērtība ir 43,7%, kas veido 3,9 procentpunktu pieaugumu. Mērķa vērtība, ko paredzēts sasniegt 2027. gadā, ir 55%, kas attiecīgi RPP izstrādes brīdī veidoja 8 procentpuktu pieaugumu. Vērtējot pēc jaunajām robežām, reģioniem būtu jāsasniedz vēl 4,1 procentpunktu pieaugums, lai izpildītu vismaz ekvivalentu rādītāja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vides attīstības dinamiku raksturo reģionālā IKP starpība – četru mazāk attīstīto plānošanas reģionu vidējais IKP uz vienu iedzīvotāju līmenis pret augstāk attīstīto plānošanas reģionu [328] tiek aprēķināts, balstoties uz CSP datiem par IKP un iedzīvotāju skaitu plānošanas reģionos, un raksturo Latvijas reģionu ekonomiskās attīstības izlīdzināšanās tendenci. Sākotnēji NAP2027 izstrādes gaitā noteiktās indikatora vērtības bija: 47% (2017.gadā),  52% (2024.gadā) jeb pieaugums par 5 procentpunktiem, un 55% (2027.gadā) jeb pieaugums par 8 procentpunktiem pret bāzes gadu. Ņemot vērā statistikas datu precizējumus (zemsvītras atsaucē IKR070. Iekšzemes kopprodukts statistiskajos reģionos (līdz 01.01.2024.) (faktiskajās cenās) 2000 - 2023) tika veikts pārrēķins indikatora bāzes vērtībai: 45% (2017.gadā). Attiecīgi indikatora vērtība 2023.gadā ir 48,9% jeb pieaugums par 3,9 procentpunktiem pret bāzes gadu, savukārt, lai sasniegtu 2027.gada mērķa vērtību - 55% - būtu jāuzrāda indikatora vērtības pieaugums par 10 procentpunktiem pret bāzes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Konstatējams, ka reģionālā IKP starpība uzrāda pozitīvu dinamiku, bet nav pietiekama, lai sasniegtu 2027.gada plānoto mērķa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tekstu, lai tas precizāk atspoguļotu iepriekšējās lappusēs izklāstīto analīzi: "Attiecībā uz mērķi mazināt IKP atšķirības starp reģioniem, jāatgādina, ka plānošanas reģionu robežas kopš 2021.gada 1.jūlija ir mainījušās un vēsturiskie dati ir pārrēķināti atbilstoši pašlaik spēkā esošajām reģionu robežām un, atbilstoši šiem aprēķiniem,  atšķirības starp reģioniem ir pat būtiskākas nekā tas tika uzskatīts agrāk. Vienlaikus jānorāda, ka relatīvi salīdzinot pašlaik esošajām reģionu robežām atbilstoši veikto aprēķinu konstatēto atšķirību mazināšanas tempu un virzību ar plānoto mērķa trajektoriju attiecībā uz reģioniem to robežās līdz 2021.gada 1.jūlijam, var secināt, ka plānotais mērķis netiks sasniegts līdzvērtīgā apjomā." (17.lpp.)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mērķi mazināt IKP atšķirības starp reģioniem, jānorāda, ka, mainot plānošanas reģionu robežas (kopš 2021.gada 1.jūlija) un attiecīgi pārrēķinot datus atbilstoši pašlaik spēkā esošajām reģionu robežām, ir mainījusies gan bāzes vērtība, gan sasniegtā vērtība vidusposmā. Vienlaikus jānorāda, ka relatīvi salīdzinot pašlaik esošajām reģionu robežām atbilstoši veikto aprēķinu konstatēto atšķirību mazināšanas tempu un virzību ar plānoto mērķa trajektoriju attiecībā uz reģioniem to robežās līdz 2021.gada 1.jūlijam, var secināt, ka pastāv risks, ka plānotais mērķis netiks sasniegts līdzvērtīgā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mērķi mazināt IKP atšķirības starp reģioniem, jānorāda, ka, mainot plānošanas reģionu robežas (kopš 2021.gada 1.jūlija) un attiecīgi pārrēķinot datus atbilstoši pašlaik spēkā esošajām reģionu robežām, ir mainījusies gan bāzes vērtība, gan sasniegtā vērtība vidusposmā. Vienlaikus jānorāda, ka relatīvi salīdzinot pašlaik esošajām reģionu robežām atbilstoši veikto aprēķinu konstatēto atšķirību mazināšanas tempu un virzību ar plānoto mērķa trajektoriju attiecībā uz reģioniem to robežās līdz 2021.gada 1.jūlijam, var secināt, ka pastāv risks, ka plānotais mērķis netiks sasniegts līdzvērtīgā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informatīvā ziņojuma uzdevuma “NAP uzdevums [335] paredz vietējās mobilitātes nodrošināšanu nodarbinātībai un pakalpojumu saņemšanai, uzlabojot infrastruktūru, sniedzot atbalstu inovatīviem mikromobilitātes risinājumiem.” pirmās rindkopas teikumu “Rezultātā līdz 2025.gada 31.decembrim ir īstenoti būvdarbi uz 854 km valsts reģionālajiem un vietējiem autoceļiem, investējot turpat 177 milj. eiro.” (132. lpp.)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līdz 2025.gada 31.decembrim ir īstenoti būvdarbi uz 711 km valsts reģionālajiem un vietējiem autoceļiem, investējot turpat 177 milj. eiro”.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līdz 2025.gada 31.decembrim ir īstenoti būvdarbi uz 711 km valsts reģionālajiem un vietējiem autoceļiem, investējot turpat 177 milj. eiro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rindkopu “Neskatoties uz minētajiem izaicinājumiem, Latvijas aviācijas nozares uzņēmumi ir veiksmīgi spējuši pielāgoties mainīgajai ārējai videi. Rīgas lidosta ir  pārvarējusi Covid-19 pandēmijas radītās sekas un sasniegusi pakāpenisku pasažieru skaita pieaugumu - 2024. gadā apkalpoti 7,1 milj. pasažieru. Vienlaikus Krievijas iebrukums Ukrainā joprojām  rada būtiskus izaicinājumus, jo īpaši saistībā ar transfēra un tranzīta pasažieru, kā arī apkalpoto kravu apjoma samazināšanos.” (121.lpp.) ar tekstu šādā redakcijā: “Papildus jāmin, ka militārās mobilitātes programmas ietvaros valsts akciju sabiedrība “Latvijas gaisa satiksme” realizē jaunas infrastruktūras izbūvi Rīgas lidostas teritorijā, paredzot infrastruktūras izmantošanu gan civilajām, gan militārajām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militārās mobilitātes programmas ietvaros valsts akciju sabiedrība “Latvijas gaisa satiksme” realizē jaunas infrastruktūras izbūvi Rīgas lidostas teritorijā, paredzot infrastruktūras izmantošanu gan civilajām, gan militārajām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 tabulu indikators Nr.165 "Skolēnu proporcija vispārējā un profesionālajā izglītībā vidējās izglītības pakāpē, % ar aktuāliem datiem no IZM, jo dati liecina, ka  2025.gadā mācības vidusskolā turpina 56,7%, profesionālajā  izglītībā 34,4%, mācības neturpina 8,9% izglītojamo,  kā arī vērtēt atbilstību valsts īstenotajiem pasākumiem, jo pēdējo divu gadu laikā valsts budžetā nav piešķirts finansējums proporcijas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sagatavošanā izmantoti 2024./2025. m.g. dati. Lai gan valsts pamatbudžeta ieņēmumu un izdevumu atšifrējums pa programmām un apakšprogrammām nesatur tiešu norādi uz finansējumu proporcijas vispārējā un profesionālajā izglītībā vidējās izglītības pakāpē nodrošināšanai, profesionālās izglītības iestāžu stiprināšana kā nozaru izcilības centriem tiek īstenota caur strukturālām reformām, normatīvā regulējuma pilnveidi, darba vidē balstītu mācību paplašināšanu un ES fondu ieguldījumiem infrastruktūrā un digitalizācijā. Savukārt prestiža un pieejamības celšana notiek, modernizējot mācību vidi, stiprinot sadarbību ar darba devējiem, ieviešot elastīgas kvalifikāciju ieguves iespējas un karjeras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jāatzīst, ka ilgtermiņā izglītojamo proporcijas sabalansēšanai nozīme būs arī valsts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9. tabulu indikators Nr. 164 “15-24 gadus vecu personu īpatsvars, kuras nav iesaistītas izglītībā vai darba tirgū (NEET), %” - ar iespēju personām piedalīties darba vidē balstītu, apmaksātu mācību apguvē, kas būtu kā viens no jauniem pasākumiem šo jauniešu mērķtiecīgai iesaistei darba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80.lpp.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15–24 gadus vecu jauniešu īpatsvaru, kuri nav iesaistīti ne izglītībā, ne nodarbinātībā (NEET), nepieciešams ieviest iespēju piedalīties darba vidē balstītās, apmaksātās mācībās kā mērķētā pasākumā viņu integrācijai darba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NAP uzdevums [153] paredz jaunā mācību satura un pieejas kvalitatīvu ieviešanu vispārējā izglītībā, ka viens no progresu kavējošiem ietekmējošiem faktoriem ir nepietiekams atbalsta personāla un finansējuma nodrošinājums iekļaujošās izglītības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nepietiekams atbalsta personāla un finansējuma nodrošinājums iekļaujošās izglītības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tabulu Nr.8: Mērķa indikators [149] 15 gadus vecu skolēnu īpatsvars ar augstiem/zemiem mācību sasniegumiem lasīšanā, matemātikā un dabaszinātnēs, %" ar aktuālo informāciju, jo saskaņā ar IZM sniegtajiem datiem, strauji pieaug izglītojamo skaits ar zemiem mācību sasniegumiem, un 2025.gadā tie vidēji ir 20,47%, kas norāda, ka īstenotie pasākumi nav bijuši efektīvi. Papildināt ziņojumu ar pasākumiem, kas nodrošinātu šīs tendences mazināšanos.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sagatavošanā izmantoti jaunākie pieejamie PISA dati (2022. g.). 2025. gada pētījuma cikla dati tiks publiskoti 2026. gada 8.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NAP2027 uzdevuma [118] izpildi (50.lpp) lūdzam norādīt, ka bāriņtiesas vai pašvaldības sociālā dienesta darbiniekiem, kuri iesaistīti atbalsta sniegšanā Ukrainas civiliedzīvotājiem, virsstundu darbu vai piemaksu par papildu darbu pilnā apmērā sedza no valsts budžeta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minimālās algas pieaugumam regulāri tiek pārskatīta atlīdzība personām, kuras sniedz asistenta un pavadoņa pakalpojumu personām ar invaliditāti, un no 2022. gada 1. marta līdz 2025. gada 31. decembrim bāriņtiesas vai pašvaldības sociālā dienesta darbiniekiem, kuri iesaistīti atbalsta sniegšanā Ukrainas civiliedzīvotājiem, virsstundu darbs vai piemaksa par papildu darbu pilnā apmērā tika segta no valsts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minimālās algas pieaugumam regulāri tiek pārskatīta atlīdzība personām, kuras sniedz asistenta un pavadoņa pakalpojumu personām ar invaliditāti, un no 2022. gada 1. marta līdz 2025. gada 31. decembrim bāriņtiesas vai pašvaldības sociālā dienesta darbiniekiem, kuri iesaistīti atbalsta sniegšanā Ukrainas civiliedzīvotājiem, virsstundu darbs vai piemaksa par papildu darbu pilnā apmērā tika segta no valsts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NAP2027 uzdevuma [118] izpildi (51.lpp) lūdzam papildināt rindkopu par profesionālās kompetences pilnveides pasākumiem sociālā darba speciālistiem ar informāciju par to, ka rindkopā minētais atbalsts tiek sniegts ESF Plus projekta “Profesionāla un mūsdienīga sociālā darba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ESF Plus projekta “Profesionāla un mūsdienīga sociālā darba attīstība” ietvaros</w:t>
            </w:r>
            <w:r w:rsidR="00000000" w:rsidRPr="00000000" w:rsidDel="00000000">
              <w:rPr>
                <w:rtl w:val="0"/>
              </w:rPr>
              <w:t xml:space="preserve"> tiek sniegts atbalsts sociālā darba speciālistu profesionālās kompetences paaugstināšanai, tiek nodrošināta profesionālās kompetences pilnveide, metodiku izstrāde </w:t>
            </w:r>
            <w:r w:rsidR="00000000" w:rsidRPr="00000000" w:rsidDel="00000000">
              <w:rPr>
                <w:u w:val="single"/>
                <w:rtl w:val="0"/>
              </w:rPr>
              <w:t xml:space="preserve">un mācību nodrošināšana</w:t>
            </w:r>
            <w:r w:rsidR="00000000" w:rsidRPr="00000000" w:rsidDel="00000000">
              <w:rPr>
                <w:rtl w:val="0"/>
              </w:rPr>
              <w:t xml:space="preserve"> darbam ar dažādām klientu grupām,  informatīvi izglītojošo pasākumu un sabiedrības izpratnes un informētības veicināšanas pasākumu īstenošana, izvērtējumu veikšana par sociālās jomas speciālistu pašvaldības iestādēs darba efektivitāti, kā arī supervīzijas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Plus projekta “Profesionāla un mūsdienīga sociālā darba attīstība” ietvaros tiek sniegts atbalsts sociālā darba speciālistu profesionālās kompetences paaugstināšanai, tiek nodrošināta profesionālās kompetences pilnveide, metodiku izstrāde un mācību nodrošināšana darbam ar dažādām klientu grupām,  informatīvi izglītojošo pasākumu un sabiedrības izpratnes un informētības veicināšanas pasākumu īstenošana, izvērtējumu veikšana par sociālās jomas speciālistu pašvaldības iestādēs darba efektivitāti, kā arī supervīzijas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par NAP2027 uzdevuma [118] izpildi (51.lpp) ar informāciju par plānošanas periodā veiktajiem grozījumiem Sociālo pakalpojumu un sociālās palīdzības likumā, kas atvieglo prasības sociālā darba speciālistu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31. oktobrī stājās spēkā grozījumi Sociālo pakalpojumu un sociālās palīdzības likuma 42.pantā, kas padarīja elastīgāku sociālā darba speciālistu – sociālo aprūpētāju, sociālo rehabilitētāju un sociālās palīdzības organizatoru, horizontālo mobilitāti darba tirgū, radot iespējas mainīt nodarbinātības veidus, tomēr saglabājot konkrētas kvalifikācijas prasības, lai nodrošinātu klientu labbūtību un speciālistu sniegtie pakalpojumi būtu kvalitatīvi un sekmētu klientu dzīves kvalitātes uzlabošanos. Savukārt 2025. gada 17. decembrī stājās spēkā grozījumi Sociālo pakalpojumu un sociālās palīdzības likuma 41.pantā, kas atvieglo iespējas sociālo darbu veikt arī studējošajiem, tādejādi veicinot normatīvajā aktā noteiktā minimālā sociālā darba speciālistu skaita nodrošināšanu pašvaldībās, kā arī sociālā darba speciālistu piesaisti sociālo pakalpojumu sniegšanā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31. oktobrī stājās spēkā grozījumi Sociālo pakalpojumu un sociālās palīdzības likuma 42.pantā, kas padarīja elastīgāku sociālā darba speciālistu – sociālo aprūpētāju, sociālo rehabilitētāju un sociālās palīdzības organizatoru, horizontālo mobilitāti darba tirgū, radot iespējas mainīt nodarbinātības veidus, tomēr saglabājot konkrētas kvalifikācijas prasības, lai nodrošinātu klientu labbūtību un speciālistu sniegtie pakalpojumi būtu kvalitatīvi un sekmētu klientu dzīves kvalitātes uzlabošanos. Savukārt 2025. gada 17. decembrī stājās spēkā grozījumi Sociālo pakalpojumu un sociālās palīdzības likuma 41.pantā, kas atvieglo iespējas sociālo darbu veikt arī studējošajiem, tādejādi veicinot normatīvajā aktā noteiktā minimālā sociālā darba speciālistu skaita nodrošināšanu pašvaldībās, kā arī sociālā darba speciālistu piesaisti sociālo pakalpojumu sniegšanā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 priekšlikumu 56.lpp. priekšlikumu sadaļā ar nepieciešamību attīstīt sociālo pakalpojumu nodrošināšanā iesaistīto cilvēkresursu profesionālo kompetenci un pieejamību iedzīvotāju vajadzībām atbilstošu un kvalitatīvu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attīstīt sociālo pakalpojumu pieejamību visos valsts reģionos, ievērojot vienotus kvalitātes standartus, tai skaitā, attīstīt sociālo pakalpojumu nodrošināšanā iesaistīto cilvēkresursu profesionālo kompetenci un pieejamību iedzīvotāju vajadzībām atbilstošu un kvalitatīvu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attīstīt sociālo pakalpojumu pieejamību visos valsts reģionos, ievērojot vienotus kvalitātes standartus, tai skaitā, attīstīt sociālo pakalpojumu nodrošināšanā iesaistīto cilvēkresursu profesionālo kompetenci un pieejamību iedzīvotāju vajadzībām atbilstošu un kvalitatīvu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tekstu (25. lpp.)  “ES fondu projekta ietvaros paredzēts atbalstīt 4 550 bērnus vecumā līdz 18 gadiem ar smagu slimību, funkcionāliem traucējumiem, iespējamu vai esošu invaliditāti, izveidojot vienotu mehānismu psihosociālā atbalsta sniegšanai, kas ietvers gan atbalsta sniegšanu ārstēšanās periodā, atrodoties bērnu slimnīcas stacionārā, gan pēctecīgu atbalsta sniegšanas turpināšanu, bērnam un ģimenei atgriežoties dzīvesvietā. Paredzēta sadarbības pilnveidošana starp psihosociālā atbalsta sniegšanā iesaistītajiem iestādēm un organizācijām, t.sk., bērnu slimnīcu, pašvaldību sociālajiem dienestiem, ģimenes ārstu praksēm, nevalstiskajām organizācijām, pacientu un vecāku apvienībām, sociālo pakalpojumu sniedzējiem, ja nepieciešams, arī bāriņtiesām un citām tiesībsargājošajām institūcijām.”  aizstāt šādā redakcijā “ES fonda plus projekta ietvaros paredzēts atbalstīt 4 550 bērnus vecumā līdz 18 gadiem (neieskaitot) ar smagu slimību, funkcionāliem traucējumiem, iespējamu vai esošu invaliditāti, izveidojot vienotu mehānismu psihosociālā atbalsta sniegšanai, kas ietvers gan atbalsta sniegšanu ārstēšanās periodā, atrodoties Valsts SIA “Bērnu klīniskā universitātes slimnīcas” (turpmāk - bērnu slimnīca) stacionārā, gan pēctecīgu atbalsta sniegšanas turpināšanu, bērnam un ģimenei atgriežoties dzīvesvietā. Paredzēta sadarbības pilnveidošana starp psihosociālā atbalsta sniegšanā iesaistītajām iestādēm un organizācijām, t.sk., bērnu slimnīcu, pašvaldību sociālajiem dienestiem, ģimenes ārstu praksēm, nevalstiskajām organizācijām, pacientu un vecāku apvienībām, sociālo pakalpojumu sniedzējiem, ja nepieciešams, arī bāriņtiesām un citām tiesībsargājošajām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ziņojuma 25.lappusē.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papildus skaidrot ziņojuma projektā ietverto 2. secinājumu (Rīcības virziens "Sociālā iekļaušana")  - "Senioru un personu ar invaliditāti nabadzības risks joprojām ir augsts – nepieciešama mērķētu atbalsta risinājumu kombinācija tieši zemāko pensiju saņēmējiem, īpaši vientuļiem senioriem un senioriem ar invaliditāti, sasaistot to ar mājokļa izmaksu slogu un aprūpes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atbalsts senioriem un personām ar invaliditāti nabadzības un sociālās atstumtības riskā mazināšanai  ir skatāms plašāk, nekā tikai finansiālā atbalsta pārskatīšanā vai sociālās aprūpes pakalpojumu pieejamības veicināšanā. Vienlīdz svarīgi ir pieejami  un savlaicīgi veselības aprūpes pakalpojumi (t.sk., lai mazinātu invaliditātes iestāšanās risku), pieejama un piekļūstama sabiedriska transporta nodrošināšana, u.c. aspekti.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informatīvā ziņojuma teksts, priekšlikums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pārskatīt ziņojuma projekta Rīcības virzienā “Sociālā iekļaušana” ietverto 2. priekšlikumu  - “attīstīt atbalstītās nodarbinātības programmas un nostiprināt asistentu un aprūpētāju sistēmu, nodrošinot taisnīgu un ilgtspējīgu atalgojumu”, izvērtējot, vai priekšlikums, kas saistās ar atbalstīto darbu, nav nošķirams no asistenta un aprūpētāja sistēmas.  Atbalstītais darbs ir orientēts uz nodarbinātības veicināšanu cilvēkiem ar invaliditāti atvērtajā darba tirgū, it īpaši cilvēkiem ar garīga rakstura traucējumam, kamēr asistenta un aprūpētāja funkcija ir sniegt atbalstu personām ar dažāda veida funkcionālajiem traucējumiem pārvietošanās vai aprūpes nodrošināšanai.Turklāt ziņojuma projektā nav apskatīta problemātika, kas saistās ar  atbalstītās nodarbinātības programmām Latvijā, tādēļ kontekstuāli šis priekšlikums  nav pamatots un nesniedz skaidrību par priekšlikuma ieviešanas pozitīvo ietekmi uz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informatīvā ziņojuma teksts, priekšlikums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minēta piemaksas pie vecuma un invaliditātes pensijas atjaunošana, norādot provizorisko personu skaitu 2024., 2025. un 2026.gadā, kuram piešķirtas piemaksas (53.lpp., 89.lpp.). Tā kā ir zināmi faktiskie skaitļi, lūdzam precizēt ziņojuma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ziņojuma tekstu un informāciju par 2025.gadu izteikt pagātnes formā (šobrīd ir nākotnes formā - 53.lpp. informācija par pensionāra neapliekamo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pie pensijas piešķirtas 2024.gadā 28 tūkst. personām, 2025.gadā - 76 tūkst. personām un 2026.gadā - 123 tūkst.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un papildināts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pie pensijas piešķirtas 2024.gadā 28 tūkst. personām, 2025.gadā - 76 tūkst. personām un 2026.gadā - 123 tūkst.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izklāstu par NAP uzdevuma [317] izpildi ar šādu informāciju: LM 2021.gadā veica izvērtējumu ( https://www.lm.gov.lv/lv/analize-par-vides-pieejamibas-pasnovertejumu-valsts-un-pasvaldibu-iestades-31032021 ) par valsts un pašvaldību piekļūstamības pašnovērtējumu, kopumā novērtējot 672 valsts pārvaldes institūciju ēkas un 1516 pašvaldību institūciju ēkas, tai skaitā ēkas, kurās tika veikti ERAF ieguldījumi. Analizējot pašnovērtējumā iegūtos datus tika secināts, ka kopumā personām ar funkcionāliem traucējumiem piekļūstama vide ir tikai 9 % ēku, 26 % ēku tā ir daļēji piekļūstama un 65 % ēku vide nav piekļūstama. Balstoties uz iegūtajiem rezultātiem un izdarītajiem secinājumiem, LM 2023. un 2025.gadā organizēja plašas vides un informācijas piekļūstamības mācības valsts un pašvaldību iestādēs nodarbinātajiem un finansējuma saņēmējiem un sagatavoja ekspertus, kuri sniedz konsultācijas ERAF/KF projektu īstenotājiem par vides un informācijas piekļūstamību. LM plāno 2026. gadā atkārtot pašnovērtējumu, lai novērtētu progresu piekļūstamības jomā, tostarp ņemot vērā gan 2014.–2020. gada, gan 2021.–2027. gada ES fondu plānošanas perioda ERAF un ANM ieguldījumus publiskās infrastruktūras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Apvienoto Nāciju Organizācijas 2006.gada 13.decembra Konvencijas par personu ar invaliditāti tiesībām Latvijai izriet pienākums nodrošināt vides pieejamības prasību ievērošanu. Latvijas Republikas Senāts (Lieta Nr. A420291913, SKA-280/2022) aicināja Ministru kabinetu izvērtēt tiesisko regulējumu, kas paredz vides pieejamības prasību publiski pieejamās būvēs ievērošanas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2021.gadā veica izvērtējumu ( https://www.lm.gov.lv/lv/analize-par-vides-pieejamibas-pasnovertejumu-valsts-un-pasvaldibu-iestades-31032021 ) par valsts un pašvaldību piekļūstamības pašnovērtējumu, kopumā novērtējot 672 valsts pārvaldes institūciju ēkas un 1516 pašvaldību institūciju ēkas, tai skaitā ēkas, kurās tika veikti ERAF ieguldījumi. Analizējot pašnovērtējumā iegūtos datus tika secināts, ka kopumā personām ar funkcionāliem traucējumiem piekļūstama vide ir tikai 9 % ēku, 26 % ēku tā ir daļēji piekļūstama un 65 % ēku vide nav piekļūstama. Balstoties uz iegūtajiem rezultātiem un izdarītajiem secinājumiem, LM 2023. un 2025.gadā organizēja plašas vides un informācijas piekļūstamības mācības valsts un pašvaldību iestādēs nodarbinātajiem un finansējuma saņēmējiem un sagatavoja ekspertus, kuri sniedz konsultācijas ERAF/KF projektu īstenotājiem par vides un informācijas piekļūstamību. LM plāno 2026. gadā atkārtot pašnovērtējumu, lai novērtētu progresu piekļūstamības jomā, tostarp ņemot vērā gan 2014.–2020. gada, gan 2021.–2027. gada ES fondu plānošanas perioda ERAF un ANM ieguldījumus publiskās infrastruktūras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Apvienoto Nāciju Organizācijas 2006.gada 13.decembra Konvencijas par personu ar invaliditāti tiesībām Latvijai izriet pienākums nodrošināt vides pieejamības prasību ievērošanu. Latvijas Republikas Senāts (Lieta Nr. A420291913, SKA-280/2022) aicināja Ministru kabinetu izvērtēt tiesisko regulējumu, kas paredz vides pieejamības prasību publiski pieejamās būvēs ievērošanas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un papildināts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2021.gadā veica izvērtējumu ( https://www.lm.gov.lv/lv/analize-par-vides-pieejamibas-pasnovertejumu-valsts-un-pasvaldibu-iestades-31032021 ) par valsts un pašvaldību piekļūstamības pašnovērtējumu, kopumā novērtējot 672 valsts pārvaldes institūciju ēkas un 1516 pašvaldību institūciju ēkas, tai skaitā ēkas, kurās tika veikti ERAF ieguldījumi. Analizējot pašnovērtējumā iegūtos datus tika secināts, ka kopumā personām ar funkcionāliem traucējumiem piekļūstama vide ir tikai 9 % ēku, 26 % ēku tā ir daļēji piekļūstama un 65 % ēku vide nav piekļūstama. Balstoties uz iegūtajiem rezultātiem un izdarītajiem secinājumiem, LM 2023. un 2025.gadā organizēja plašas vides un informācijas piekļūstamības mācības valsts un pašvaldību iestādēs nodarbinātajiem un finansējuma saņēmējiem un sagatavoja ekspertus, kuri sniedz konsultācijas ERAF/KF projektu īstenotājiem par vides un informācijas piekļūstamību. LM plāno 2026. gadā atkārtot pašnovērtējumu, lai novērtētu progresu piekļūstamības jomā, tostarp ņemot vērā gan 2014.–2020. gada, gan 2021.–2027. gada ES fondu plānošanas perioda ERAF un ANM ieguldījumus publiskās infrastruktūras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Apvienoto Nāciju Organizācijas 2006.gada 13.decembra Konvencijas par personu ar invaliditāti tiesībām Latvijai izriet pienākums nodrošināt vides pieejamības prasību ievērošanu. Latvijas Republikas Senāts (Lieta Nr. A420291913, SKA-280/2022) aicināja Ministru kabinetu izvērtēt tiesisko regulējumu, kas paredz vides pieejamības prasību publiski pieejamās būvēs ievērošanas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izklāstu par NAP uzdevuma [87] izpildi ar šādu informāciju: Lai preventīvi novērstu riskus vardarbīgai rīcībai, Labklājības ministrija sadarbībā ar biedrību “Centrs MARTA” organizēja sarunu darbnīcas 15 līdz 19 gadus veciem jauniešiem par cieņpilnām attiecībām “Kā mācēt attiecības?”. Katru gadu, sākot ar 2022. gadu dažādās Latvijas pilsētās norisinājās sarunu darbnīcas, kuru laikā ar neformālo izglītības metožu palīdzību tika veicināta jauniešu izpratne par dzimumu līdztiesību un pilnveidotas jauniešu prasmes par cieņpilnu un līdztiesībā balstītu attiecību veidošanu, kā arī stiprinātas jauniešu prasmes atpazīt dažādus vardarbības veidus savstarpējās attiecībās.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preventīvi novērstu riskus vardarbīgai rīcībai, Labklājības ministrija sadarbībā ar biedrību “Centrs MARTA” organizēja sarunu darbnīcas 15 līdz 19 gadus veciem jauniešiem par cieņpilnām attiecībām “Kā mācēt attiecības?”. Katru gadu, sākot ar 2022. gadu dažādās Latvijas pilsētās norisinājās sarunu darbnīcas, kuru laikā ar neformālo izglītības metožu palīdzību tika veicināta jauniešu izpratne par dzimumu līdztiesību un pilnveidotas jauniešu prasmes par cieņpilnu un līdztiesībā balstītu attiecību veidošanu, kā arī stiprinātas jauniešu prasmes atpazīt dažādus vardarbības veidus savstarpējās attiecībās.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preventīvi novērstu riskus vardarbīgai rīcībai, sadarbībā ar biedrību “Centrs MARTA” organizētas sarunu darbnīcas 15 līdz 19 gadus veciem jauniešiem par cieņpilnām attiecībām “Kā mācēt attiecības?”. Katru gadu, sākot ar 2022. gadu dažādās Latvijas pilsētās organizētās darbnīcās ar neformālo izglītības metožu palīdzību veicināta jauniešu izpratne par dzimumu līdztiesību un pilnveidotas jauniešu prasmes par cieņpilnu un līdztiesībā balstītu attiecību veidošanu, kā arī stiprinātas jauniešu prasmes atpazīt dažādus vardarbības veidus savstarpējās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“Rīcības virziens "Darbs un ienākumi"” (90.lpp.), priekšlikumu sadaļas otrajā punktā lūdzam papildināt tekstu par fokusu un mērķētu sasniedzamību iedzīvotājiem ar zemāku vai nepietiekamu izglītības līmeni. Piemēram, tie, kas apguvuši profesionālo izglītību 20-30 gadus atpakaļ, šobrīd var vairs neatbilst darba tirgus prasībām un nepārzina jaunākās tehnoloģijas vai pieejas darba uzdevumu veikšanā.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rindkopu šādā redakcijā: Pārstrukturēt pieaugušo izglītības piedāvājumu, fokusējoties uz mazkvalificētajiem un ekonomiski neaktīvajiem iedzīvotājiem, ieviešot vienotu digitālu pieaugušo mācību platformu, sistemātisku profilēšanu un prasmju novērtēšanu, kā arī mērķētu sasniedzamību iedzīvotājiem ar zemāku vai nepietiekamu izglītības līmeni.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ir pieejami 2025.gada dati par uzņēmumu skaitu, kas ir ieguvuši sociālā uzņēmuma statusu: 2025.gada beigās kopumā Latvijā darbojās 282 uzņēmumi, kas sniedz sociālus pakalpojumus un veicina nodarbinātību sociāli mazāk aizsargātām grupām. Aicinām izvērtējumā izmantot jaunākos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“Rīcības virziens "Darbs un ienākumi"” (87.lpp.) lūdzam papildināt NAP uzdevuma [223] izpildes aprakstu ar kampaņas piemēru (kampaņa "Esi drošs, ka darbs ir drošs”).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Sadaļā “Rīcības virziens "Darbs un ienākumi"” (85.lpp.), skaidrojot NAP uzdevuma [221] izpildi, lūdzam papildināt esošo tekstu par prognozēšanu ar informāciju, ka turpmāk par prognozēšanu ir atbildīga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Sadaļā “Rīcības virziens "Darbs un ienākumi"” (85.lpp.) lūdzam papildināt NAP uzdevuma [221] izpildes izklāstu ar informāciju par mācībām tiešsaistes platfomās, kas šobrīd ir vienas no pieprasītākajām mācībām prasmju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Darbaspēka konkurētspējai un prasmju pilnveidei uzsākta jauna “Nākotnes prasmju iniciatīva”, kas reģistrētajiem bezdarbniekiem un bezdarba riskam pakļautām personām, t.sk. nodarbinātajiem, piedāvā iespēju apgūt atvērto tiešsaistes kursu platformu mācību programmas uzņēmējdarbības, datorzinību, datu zinātnes, informācijas tehnoloģiju jomās, kā arī profesionālās ievirzes svešvalodu apguvei.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papildināt NAP uzdevuma [221] izpildes progresu ar šādu informāciju: 2023. gada beigās tika pieņemts lēmums izveidot Apvienoto pieaugušo izglītības koordinācijas komisiju (APIKK), kas apvieno valsts un nevalstiskās institūcijas, lai saskaņotu un uzraudzītu pieaugušo izglītības politikas īstenošanu valstī un tās galvenais uzdevums ir izskatīt, apstiprināt un aktualizēt mācību jomu piedāvājumu pieaugušajiem. Šī komisija ir daļa no plašākas pieaugušo izglītības un mūžizglītības sistēmas Latvijā, apstiprinot arī NVA organizēto mācību piedāvājumu. 2025. gada 14. aprīlī APIKK saskaņoja NVA sagatavoto pieaugušo izglītības mācību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Sadaļā “Rīcības virziens "Darbs un ienākumi"” (85.lpp.), pirms sadaļas “NAP uzdevums [221] paredz aktīvās darba tirgus politikas attīstīšanu”, lūdzam papildināt tekstu ar informāciju par ārzemnieku nodarbināšanas pasākumiem NVA un NVA atbalstu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imigrācijas politika ir veidota ar mērķi aizsargāt vietējo darba tirgu. Darba devējam ir pienākums reģistrēt vakanci Nodarbinātības valsts aģentūrā (turpmāk – NVA), ja vēlas piesaistīt trešo valstu darbinieku. Lai nodrošinātu prioritāti vietējam darbaspēkam, normatīvais regulējums (2024. gada 10. decembrī tika apstiprināti Ministru kabineta noteikumi Nr. 803 “Grozījumi Ministru kabineta 2014. gada 28. janvāra noteikumos Nr. 55 "Noteikumi par ārzemnieku nodarbināšanu") no 2025.gada 1.janvāra nosaka darba devējiem pienākumu ne tikai reģistrēt vakanci NVA, bet arī sadarboties ar NVA un saņemt pozitīvu NVA atzinumu ārzemnieka nodarbināšanai. Sadarbības laikā darba devējam ir jāpamato brīvo darba vietu skaits, jāizvērtē NVA piedāvātie kandidāti un arī jāsniedz pamatojums kandidātu noraidījumam. Ja 10 darbdienu laikā piemērots kandidāts netiek atrasts, NVA sniedz pozitīvu atzinumu ārvalstu darbaspēka piesaistei, un darba devējs Pilsonības un migrācijas lietu pārvaldē var noformēt ielūgumu vai izsaukumu trešās valsts pilsoņa – darbinieka uzaicināšanai.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NVA ir saņēmusi pieprasījumu sniegt 5247 atzinumus (par 38 565 brīvām darba vietām), izsniegusi 4408 pozitīvus atzinumus par ārzemnieku piesaisti (par 32 840  neaizpildītām brīvajām darba vietām), izsniegusi 388 atzinumus ar atteikumu atļaut ārzemnieka piesaisti, un tai pašā laikā darba devēji ir akceptējuši 913 vietējos kandidātus uz pieteiktajām viesstrādnieku vakancēm.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marta Latvijā tiek īstenoti vairāki pasākumi Ukrainas civiliedzīvotāju nodarbinātības veicināšanai, gan pieņemot dažādus atvieglotos nosacījumus darba devējiem Ukrainas civiliedzīvotāju nodarbināšanā, gan īstenojot praktiskos pasākumus atbalsta sniegšanai, galvenokārt, ar NVA starpniecību.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darbinieki Ukrainas civiliedzīvotājiem nodrošina ar nodarbinātību saistīto informāciju, sniedz konsultācijas, palīdz piemeklēt darba iespējas un sazināties ar darba devēju. 2022. – 2025. gadā Ukrainas civiliedzīvotājiem bija pieejams pabalsts nodarbinātības vai pašnodarbinātības uzsākšanai (turpmāk – Pabalsts) vienas valstī noteiktās minimālās mēneša darba algas apmērā (2022. gadā - 500 euro, 2023. gadā - 620 euro, 2024. gadā - 700 euro, 2025.gadā - 740 euro), ko izmaksāja NVA, un tas netika aplikts ar iedzīvotāju ienākuma nodokli. Pabalsts kopumā tika izmaksāts 19 659 personām. Ņemot vērā bezdarba līmeņa samazināšanos Latvijā un Ukrainas civiliedzīvotāju samērā augsto nodarbinātības līmeni (pēc Centrālās statistikas pārvaldes aplēsēm – 54% 2025. gada sākumā), Pabalsta izmaksa sākot ar 2026.gadu tika pārtraukta. Ukrainas civiliedzīvotājiem, kuri NVA ir reģistrējušies kā bezdarbnieki, ir pieejami tādi paši aktīvie nodarbinātības atbalsta pasākumi kā Latvijas valstspiederīgajiem, tai skaitā, individuālā darba meklēšanas plāna sagatavošana, karjeras konsultācijas, latviešu valodas kursi, profesionālās kvalifikācijas ieguve, apmācība pie darba devēja, subsidētā nodarbinātība, reģionālās mobilitātes atbalsts u.c. Līdz 2026. gada 1. janvārim pavisam NVA ir bijuši reģistrēti 37 372 Ukrainas civiliedzīvotāji (konsultāciju laikā NVA pārrunā kādā profesijā ir strādājis, piedāvā vakances un sagatavo, izdrukā CV latviešu valodā), tostarp, 12 864 personām tika piešķirts bezdarbnieka vai darba meklētāja statuss. NVA piedāvātajos aktīvajos nodarbinātības un preventīvajos bezdarba samazināšanas pasākumos kopumā ir piedalījušies  5 868 Ukrainas civiliedzīvotāji (2022. gadā - 1 188, 2023. gadā - 1 552, 2024. gadā – 1 722, bet 2025.gadā – 1 406 personas), tajā skaitā 1 162 Ukrainas civiliedzīvotāji uzsāka dalību valsts valodas apguves kursos. 2025. gadā visvairāk Ukrainas civiliedzīvotāju ir izmantojuši iespēju saņemt karjeras konsultācijas (635), piedalīties neformālās izglītības ieguvē (375), visbiežāk - latviešu valodas apguvē (329), NVA informatīvās dienās (129), skolēnu vasaras nodarbinātības pasākumā (72),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Sadaļā “Rīcības virziens "Darbs un ienākumi"” (84.lpp.) pirmajā rindkopā aiz 13. tabulas lūdzam papildināt tekstu ar šādu informāciju: Atveseļošanās pēc Covid-19 notiek lēnāk kā ES valstīs vidēji, kur  nodarbinātības līmenis, salīdzinot ar 2018. gadu, ir pieaudzis par 3,9% punktiem, bet Latvijā tas ir pieaudzis tikai par 0,6%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Pārstrukturēt pieaugušo izglītības piedāvājumu, fokusējoties uz mazkvalificētajiem un ekonomiski neaktīvajiem iedzīvotājiem, ieviešot vienotu digitālu pieaugušo mācību platformu, sistemātisku profilēšanu un prasmju novērtēšanu, kā arī mērķētu sasniedzamību iedzīvotājiem ar zemāku vai nepietiekamu izglītības līmeni.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Pakāpeniski pieaug arī to uzņēmumus skaits, kas ieguvuši sociālā uzņēmuma statusu – 2025. gada beigās kopumā Latvijā darbojās 282 uzņēmumi, kas sniedz sociālus pakalpojumus un veicina nodarbinātību sociāli mazāk aizsargātām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Uzdevuma ietvarā tiek īstenoti daudzveidīgi pasākumi darba vides kvalitātes un sociāli atbildīgas uzņēmējdarbības veicināšanai, īstenošanā iesaistot visas ieinteresētās puses un sabiedrību kopumā. Pasākumu kopums ietver informatīvās kampaņas (piemēram, kampaņa “Esi drošs, ka darbs ir drošs”), izglītojošas apmācības un individuālas konsultācijas, kas veicina sabiedrības (īpaši darba devēju un nodarbināto) informētību un izpratnes līmeņa paaugstināšanos par drošu un veselībai nekaitīgu darba vidi, tādējādi samazinot nelaimes gadījumu darbā skaitu un arodslimību izplatību.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2021. gadā noslēdzās  darba tirgus prognožu platformas prognozes.nva.gov.lv izstrāde. Prognožu platforma sniedz iespēju ikvienam interesentam  iespējami ērtā, pieejamā un interaktīvā veidā iepazīties ar sagaidāmo situācijas attīstību darba tirgū. 2025. gadā Cilvēkkapitāla attīstības padomē tika panākta vienošanās, ka turpmāk visus darba tirgus prognozēšanas procesus valstī koordinēs un uzraudzīs Ekonomikas ministrija, tādējādi atbilstoši 2024.gada 18.decembra grozījumiem Bezdarbnieku un darba meklētāju atbalsta likumā Ekonomikas ministrija koordinē darba tirgus prognozēšanas procesu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2024. gadā tika uzsākta jauna mācību īstenošanas pieeja - ņemot vērā lielo pieprasījumu “Nākotnes prasmju iniciatīvas” ietvaros tieši “Coursera” mācību platformā, NVA noslēdza līgumu ar “Coursera” par apmaksātu mācību licenču izsniegšanu. Vienlaikus NVA turpina nodrošināt mācības arī citās starptautiskās tiešsaistes kursu platformās, tādās kā “Edx”, “Futurelearn”, “Getsmarter”, klientiem sedzot mācību maksu no saviem līdzekļiem un saņemot mācību maksas kompensāciju no NVA pēc programmas apguves.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2023. gada beigās tika pieņemts lēmums izveidot Apvienoto pieaugušo izglītības koordinācijas komisiju (APIKK), kas apvieno valsts un nevalstiskās institūcijas, lai saskaņotu un uzraudzītu pieaugušo izglītības politikas īstenošanu valstī un tās galvenais uzdevums ir izskatīt, apstiprināt un aktualizēt mācību jomu piedāvājumu pieaugušajiem. Šī komisija ir daļa no plašākas pieaugušo izglītības un mūžizglītības sistēmas Latvijā, apstiprinot arī NVA organizēto mācību piedāvājumu. 2025. gada 14. aprīlī APIKK saskaņoja NVA sagatavoto pieaugušo izglītības mācību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darba imigrācijas politika ir veidota ar mērķi aizsargāt vietējo darba tirgu. Darba devējam ir pienākums reģistrēt vakanci Nodarbinātības valsts aģentūrā (turpmāk – NVA), ja vēlas piesaistīt trešo valstu darbinieku. Lai nodrošinātu prioritāti vietējam darbaspēkam, normatīvais regulējums (2024. gada 10. decembrī tika apstiprināti Ministru kabineta noteikumi Nr. 803 “Grozījumi Ministru kabineta 2014. gada 28. janvāra noteikumos Nr. 55 "Noteikumi par ārzemnieku nodarbināšanu") no 2025.gada 1.janvāra nosaka darba devējiem pienākumu ne tikai reģistrēt vakanci NVA, bet arī sadarboties ar NVA un saņemt pozitīvu NVA atzinumu ārzemnieka nodarbināšanai. Sadarbības laikā darba devējam ir jāpamato brīvo darba vietu skaits, jāizvērtē NVA piedāvātie kandidāti un arī jāsniedz pamatojums kandidātu noraidījumam. Ja 10 darbdienu laikā piemērots kandidāts netiek atrasts, NVA sniedz pozitīvu atzinumu ārvalstu darbaspēka piesaistei, un darba devējs Pilsonības un migrācijas lietu pārvaldē var noformēt ielūgumu vai izsaukumu trešās valsts pilsoņa – darbinieka uzaicināšanai.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NVA ir saņēmusi pieprasījumu sniegt 5247 atzinumus (par 38 565 brīvām darba vietām), izsniegusi 4408 pozitīvus atzinumus par ārzemnieku piesaisti (par 32 840  neaizpildītām brīvajām darba vietām), izsniegusi 388 atzinumus ar atteikumu atļaut ārzemnieka piesaisti, un tai pašā laikā darba devēji ir akceptējuši 913 vietējos kandidātus uz pieteiktajām viesstrādnieku vakancēm.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marta Latvijā tiek īstenoti vairāki pasākumi Ukrainas civiliedzīvotāju nodarbinātības veicināšanai, gan pieņemot dažādus atvieglotos nosacījumus darba devējiem Ukrainas civiliedzīvotāju nodarbināšanā, gan īstenojot praktiskos pasākumus atbalsta sniegšanai, galvenokārt, ar NVA starpniecību.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darbinieki Ukrainas civiliedzīvotājiem nodrošina ar nodarbinātību saistīto informāciju, sniedz konsultācijas, palīdz piemeklēt darba iespējas un sazināties ar darba devēju. 2022. – 2025. gadā Ukrainas civiliedzīvotājiem bija pieejams pabalsts nodarbinātības vai pašnodarbinātības uzsākšanai (turpmāk – Pabalsts) vienas valstī noteiktās minimālās mēneša darba algas apmērā (2022. gadā - 500 euro, 2023. gadā - 620 euro, 2024. gadā - 700 euro, 2025.gadā - 740 euro), ko izmaksāja NVA, un tas netika aplikts ar iedzīvotāju ienākuma nodokli. Pabalsts kopumā tika izmaksāts 19 659 personām. Ņemot vērā bezdarba līmeņa samazināšanos Latvijā un Ukrainas civiliedzīvotāju samērā augsto nodarbinātības līmeni (pēc Centrālās statistikas pārvaldes aplēsēm – 54% 2025. gada sākumā), Pabalsta izmaksa sākot ar 2026.gadu tika pārtraukta. Ukrainas civiliedzīvotājiem, kuri NVA ir reģistrējušies kā bezdarbnieki, ir pieejami tādi paši aktīvie nodarbinātības atbalsta pasākumi kā Latvijas valstspiederīgajiem, tai skaitā, individuālā darba meklēšanas plāna sagatavošana, karjeras konsultācijas, latviešu valodas kursi, profesionālās kvalifikācijas ieguve, apmācība pie darba devēja, subsidētā nodarbinātība, reģionālās mobilitātes atbalsts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 janvārim pavisam NVA ir bijuši reģistrēti 37 372 Ukrainas civiliedzīvotāji (konsultāciju laikā NVA pārrunā kādā profesijā ir strādājis, piedāvā vakances un sagatavo, izdrukā CV latviešu valodā), tostarp, 12 864 personām tika piešķirts bezdarbnieka vai darba meklētāja statuss. NVA piedāvātajos aktīvajos nodarbinātības un preventīvajos bezdarba samazināšanas pasākumos kopumā ir piedalījušies  5 868 Ukrainas civiliedzīvotāji, tajā skaitā 1 162 Ukrainas civiliedzīvotāji uzsāka dalību valsts valodas apguves kursos.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Tomēr jāatzīmē, ka darbspējas vecuma iedzīvotāju nodarbinātības līmenis Latvijā ir virs ES valstu vidējā rādītāja (ES 27 – 75,8%), tomēr pēdējo gadu laikā  tajā nav vērojamas būtiskas izmaiņas. Atveseļošanās pēc Covid-19 notiek lēnāk kā ES valstīs vidēji, kur  nodarbinātības līmenis salīdzinot ar 2018. gadu ir pieaudzis par 3,9% punktiem, bet Latvijā tas ir pieaudzis tikai par 0,6% punktiem.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un papildināts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Pārstrukturēt pieaugušo izglītības piedāvājumu, fokusējoties uz mazkvalificētajiem un ekonomiski neaktīvajiem iedzīvotājiem, ieviešot vienotu digitālu pieaugušo mācību platformu, sistemātisku profilēšanu un prasmju novērtēšanu, kā arī mērķētu sasniedzamību iedzīvotājiem ar zemāku vai nepietiekamu izglītības līmeni.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pieaug arī to uzņēmumus skaits, kas ieguvuši sociālā uzņēmuma statusu – 2025. gada beigās kopumā Latvijā darbojās 282 uzņēmumi, kas sniedz sociālus pakalpojumus un veicina nodarbinātību sociāli mazāk aizsargātām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ietvarā tiek īstenoti daudzveidīgi pasākumi darba vides kvalitātes un sociāli atbildīgas uzņēmējdarbības veicināšanai, īstenošanā iesaistot visas ieinteresētās puses un sabiedrību kopumā. Pasākumu kopums ietver informatīvās kampaņas (piemēram, kampaņa “Esi drošs, ka darbs ir drošs”), izglītojošas apmācības un individuālas konsultācijas, kas veicina sabiedrības (īpaši darba devēju un nodarbināto) informētību un izpratnes līmeņa paaugstināšanos par drošu un veselībai nekaitīgu darba vidi, tādējādi samazinot nelaimes gadījumu darbā skaitu un arodslimību izplatību.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gadā noslēdzās  darba tirgus prognožu platformas prognozes.nva.gov.lv izstrāde. Prognožu platforma sniedz iespēju ikvienam interesentam  iespējami ērtā, pieejamā un interaktīvā veidā iepazīties ar sagaidāmo situācijas attīstību darba tirgū. 2025. gadā Cilvēkkapitāla attīstības padomē tika panākta vienošanās, ka turpmāk visus darba tirgus prognozēšanas procesus valstī koordinēs un uzraudzīs Ekonomikas ministrija, tādējādi atbilstoši 2024.gada 18.decembra grozījumiem Bezdarbnieku un darba meklētāju atbalsta likumā Ekonomikas ministrija koordinē darba tirgus prognozēšanas procesu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tika uzsākta jauna mācību īstenošanas pieeja - ņemot vērā lielo pieprasījumu “Nākotnes prasmju iniciatīvas” ietvaros tieši “Coursera” mācību platformā, NVA noslēdza līgumu ar “Coursera” par apmaksātu mācību licenču izsniegšanu. Vienlaikus NVA turpina nodrošināt mācības arī citās starptautiskās tiešsaistes kursu platformās, tādās kā “Edx”, “Futurelearn”, “Getsmarter”, klientiem sedzot mācību maksu no saviem līdzekļiem un saņemot mācību maksas kompensāciju no NVA pēc programmas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beigās tika pieņemts lēmums izveidot Apvienoto pieaugušo izglītības koordinācijas komisiju (APIKK), kas apvieno valsts un nevalstiskās institūcijas, lai saskaņotu un uzraudzītu pieaugušo izglītības politikas īstenošanu valstī un tās galvenais uzdevums ir izskatīt, apstiprināt un aktualizēt mācību jomu piedāvājumu pieaugušajiem. Šī komisija ir daļa no plašākas pieaugušo izglītības un mūžizglītības sistēmas Latvijā, apstiprinot arī NVA organizēto mācību piedāvājumu. 2025. gada 14. aprīlī APIKK saskaņoja NVA sagatavoto pieaugušo izglītības mācību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imigrācijas politika ir veidota ar mērķi aizsargāt vietējo darba tirgu. Darba devējam ir pienākums reģistrēt vakanci Nodarbinātības valsts aģentūrā (turpmāk – NVA), ja vēlas piesaistīt trešo valstu darbinieku. Lai nodrošinātu prioritāti vietējam darbaspēkam, normatīvais regulējums (2024. gada 10. decembrī tika apstiprināti Ministru kabineta noteikumi Nr. 803 “Grozījumi Ministru kabineta 2014. gada 28. janvāra noteikumos Nr. 55 "Noteikumi par ārzemnieku nodarbināšanu") no 2025.gada 1.janvāra nosaka darba devējiem pienākumu ne tikai reģistrēt vakanci NVA, bet arī sadarboties ar NVA un saņemt pozitīvu NVA atzinumu ārzemnieka nodarbināšanai. Sadarbības laikā darba devējam ir jāpamato brīvo darba vietu skaits, jāizvērtē NVA piedāvātie kandidāti un arī jāsniedz pamatojums kandidātu noraidījumam. Ja 10 darbdienu laikā piemērots kandidāts netiek atrasts, NVA sniedz pozitīvu atzinumu ārvalstu darbaspēka piesaistei, un darba devējs Pilsonības un migrācijas lietu pārvaldē var noformēt ielūgumu vai izsaukumu trešās valsts pilsoņa – darbinieka uzaicināšanai.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NVA ir saņēmusi pieprasījumu sniegt 5247 atzinumus (par 38 565 brīvām darba vietām), izsniegusi 4408 pozitīvus atzinumus par ārzemnieku piesaisti (par 32 840  neaizpildītām brīvajām darba vietām), izsniegusi 388 atzinumus ar atteikumu atļaut ārzemnieka piesaisti, un tai pašā laikā darba devēji ir akceptējuši 913 vietējos kandidātus uz pieteiktajām viesstrādnieku vakancēm.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marta Latvijā tiek īstenoti vairāki pasākumi Ukrainas civiliedzīvotāju nodarbinātības veicināšanai, gan pieņemot dažādus atvieglotos nosacījumus darba devējiem Ukrainas civiliedzīvotāju nodarbināšanā, gan īstenojot praktiskos pasākumus atbalsta sniegšanai, galvenokārt, ar NVA starpniecību.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darbinieki Ukrainas civiliedzīvotājiem nodrošina ar nodarbinātību saistīto informāciju, sniedz konsultācijas, palīdz piemeklēt darba iespējas un sazināties ar darba devēju. 2022. – 2025. gadā Ukrainas civiliedzīvotājiem bija pieejams pabalsts nodarbinātības vai pašnodarbinātības uzsākšanai (turpmāk – Pabalsts) vienas valstī noteiktās minimālās mēneša darba algas apmērā (2022. gadā - 500 euro, 2023. gadā - 620 euro, 2024. gadā - 700 euro, 2025.gadā - 740 euro), ko izmaksāja NVA, un tas netika aplikts ar iedzīvotāju ienākuma nodokli. Pabalsts kopumā tika izmaksāts 19 659 personām. Ņemot vērā bezdarba līmeņa samazināšanos Latvijā un Ukrainas civiliedzīvotāju samērā augsto nodarbinātības līmeni (pēc Centrālās statistikas pārvaldes aplēsēm – 54% 2025. gada sākumā), Pabalsta izmaksa sākot ar 2026.gadu tika pārtraukta. Ukrainas civiliedzīvotājiem, kuri NVA ir reģistrējušies kā bezdarbnieki, ir pieejami tādi paši aktīvie nodarbinātības atbalsta pasākumi kā Latvijas valstspiederīgajiem, tai skaitā, individuālā darba meklēšanas plāna sagatavošana, karjeras konsultācijas, latviešu valodas kursi, profesionālās kvalifikācijas ieguve, apmācība pie darba devēja, subsidētā nodarbinātība, reģionālās mobilitātes atbalsts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1. janvārim pavisam NVA ir bijuši reģistrēti 37 372 Ukrainas civiliedzīvotāji (konsultāciju laikā NVA pārrunā kādā profesijā ir strādājis, piedāvā vakances un sagatavo, izdrukā CV latviešu valodā), tostarp, 12 864 personām tika piešķirts bezdarbnieka vai darba meklētāja statuss. NVA piedāvātajos aktīvajos nodarbinātības un preventīvajos bezdarba samazināšanas pasākumos kopumā ir piedalījušies  5 868 Ukrainas civiliedzīvotāji, tajā skaitā 1 162 Ukrainas civiliedzīvotāji uzsāka dalību valsts valodas apguves kursos.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jāatzīmē, ka darbspējas vecuma iedzīvotāju nodarbinātības līmenis Latvijā ir virs ES valstu vidējā rādītāja (ES 27 – 75,8%), tomēr pēdējo gadu laikā  tajā nav vērojamas būtiskas izmaiņas. Atveseļošanās pēc Covid-19 notiek lēnāk kā ES valstīs vidēji, kur  nodarbinātības līmenis salīdzinot ar 2018. gadu ir pieaudzis par 3,9% punktiem, bet Latvijā tas ir pieaudzis tikai par 0,6%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(LLF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“Drošība”, Priekšlikumi - 176.lpp.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priekšlikumu ne tikai ar sabiedrības iesaiti metožu izvēlē un atgriezeniskās saites nodrošināšanā, bet arī spēcinot iedzīvotāju rīcībspēju.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jaunus uzdevumus gan ārējās, gan iekšējās drošības stiprināšanai, jāuztur un jāpalielina sabiedrības iesaiste piemērotāko metožu izvēlē,  atgriezeniskās saites nodrošināšanā, </w:t>
            </w:r>
            <w:r w:rsidR="00000000" w:rsidRPr="00000000" w:rsidDel="00000000">
              <w:rPr>
                <w:b w:val="1"/>
                <w:rtl w:val="0"/>
              </w:rPr>
              <w:t xml:space="preserve">kā arī jāspēcina kopienu pašorganizēšanās spēja, kapacitāte un resursu pieejamība krīzēs nodrošinot nepieciešamo rīcību un uzticēšanos.</w:t>
            </w:r>
            <w:r w:rsidR="00000000" w:rsidRPr="00000000" w:rsidDel="00000000">
              <w:rPr>
                <w:rtl w:val="0"/>
              </w:rPr>
              <w:t xml:space="preserve"> Tādējādi iespējams uzlabot gan sabiedrības informētību par noteiktajiem uzdevumiem, gan arī uzticību izvēlēto pasākumu lietderīgumam.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priekšlikums pie rīcības virziena “Drošība” priekšlikumiem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jaunus uzdevumus gan ārējās, gan iekšējās drošības stiprināšanai, jāuztur un jāpalielina sabiedrības iesaiste piemērotāko metožu izvēlē,  atgriezeniskās saites nodrošināšanā, kā arī jāspēcina kopienu pašorganizēšanās spēja, kapacitāte un resursu pieejamība krīzēs nodrošinot nepieciešamo rīcību un uzticēšanos. Tādējādi iespējams uzlabot gan sabiedrības informētību par noteiktajiem uzdevumiem, gan arī uzticību izvēlēto pasākumu lietderīgumam.”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(LLF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"Nepieciešamās politikas izmaiņas NAP2027 stratēģisko mērķu sasniegšanai" - 184.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dokumentā daudzviet minēto slikto pakalpojumu (īpaši veselības un izglītības) pieejmību reģionos, priekšlikums reģionālā politikas apakšpunkta redakcijai, papildinot to ar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uzsvērt nepieciešamību attīstības risinājumus nevienlīdzības (t.sk. novadu iekšienē) plānot un īstenot iespējami tuvu teritorijai, balstoties uz katras teritorijas unikālajām vajadzībām un attīstības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Infrastruktūras </w:t>
            </w:r>
            <w:r w:rsidR="00000000" w:rsidRPr="00000000" w:rsidDel="00000000">
              <w:rPr>
                <w:b w:val="1"/>
                <w:rtl w:val="0"/>
              </w:rPr>
              <w:t xml:space="preserve">un pakalpojumu pieejamības</w:t>
            </w:r>
            <w:r w:rsidR="00000000" w:rsidRPr="00000000" w:rsidDel="00000000">
              <w:rPr>
                <w:rtl w:val="0"/>
              </w:rPr>
              <w:t xml:space="preserve"> attīstība: ceļi, transports, mājokļi, digitālā pieejamība un sasniedzami publiskie pakalpojumi kā pamats reģionu izaugsmei.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finansējuma palielināšana: sasaistot to ar konkrētiem attīstības rezultātiem </w:t>
            </w:r>
            <w:r w:rsidR="00000000" w:rsidRPr="00000000" w:rsidDel="00000000">
              <w:rPr>
                <w:b w:val="1"/>
                <w:rtl w:val="0"/>
              </w:rPr>
              <w:t xml:space="preserve">un teritorijas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apakšsadaļa "Nepieciešamās politikas izmaiņas NAP2027 stratēģisko mērķu sasniegšanai" ir ekspertu aptaujas rezultātu kopsavilkuma daļa. Ekspertu aptauja šobrīd ir jau notikusi un nebūtu korekti papildināt tās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(LLF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"Līdzsvarota reģionālā attīstība". Priekšlikumi - 135.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priekšlikumu </w:t>
            </w:r>
            <w:r w:rsidR="00000000" w:rsidRPr="00000000" w:rsidDel="00000000">
              <w:rPr>
                <w:i w:val="1"/>
                <w:rtl w:val="0"/>
              </w:rPr>
              <w:t xml:space="preserve">"Definēt skaidru publisko pakalpojumu pieejamības standartu visā teritorijā. Jāturpina VPVKAC tīkla paplašināšanu un digitālo pakalpojumu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 </w:t>
            </w:r>
            <w:r w:rsidR="00000000" w:rsidRPr="00000000" w:rsidDel="00000000">
              <w:rPr>
                <w:b w:val="1"/>
                <w:rtl w:val="0"/>
              </w:rPr>
              <w:t xml:space="preserve">un normatīvi nostiprināt minimālo</w:t>
            </w:r>
            <w:r w:rsidR="00000000" w:rsidRPr="00000000" w:rsidDel="00000000">
              <w:rPr>
                <w:rtl w:val="0"/>
              </w:rPr>
              <w:t xml:space="preserve"> publisko pakalpojumu pieejamības standartu </w:t>
            </w:r>
            <w:r w:rsidR="00000000" w:rsidRPr="00000000" w:rsidDel="00000000">
              <w:rPr>
                <w:b w:val="1"/>
                <w:rtl w:val="0"/>
              </w:rPr>
              <w:t xml:space="preserve">kā būtisku teritoriju dzīvotspējas un attīstības priekšnoteikumu, nodrošinot, ka publisko pakalpojumu pieejamība tiek sistemātiski izvērtēta un nodrošināta visās teritorijās, īpaši lauku teritorijās, un integrējot šo principu teritoriālajā attīstībā un nozaru politikās.</w:t>
            </w:r>
            <w:r w:rsidR="00000000" w:rsidRPr="00000000" w:rsidDel="00000000">
              <w:rPr>
                <w:rtl w:val="0"/>
              </w:rPr>
              <w:t xml:space="preserve"> Jāturpina VPVKAC tīkla paplašināšanu un digitālo pakalpojumu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 un formulēts šādā redakcijā: “Jāturpina VPVKAC tīkla paplašināšanu un digitālo pakalpojumu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(LLF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"Līdzsvarota reģionālā attīstība". Priekšlikumi - 135.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 ietverto priekšlikumu, bet lūdzam priekšlikumu par lauku attīstības stratēģijas izstrādi papildināt ar skaidru koordinācijas mehānismu un lauku teritoriju ietekmes izvērtēšanas principu (rural proofing).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un ieviest koordinētu lauku attīstības stratēģiju, kas nodrošina vienotu, </w:t>
            </w:r>
            <w:r w:rsidR="00000000" w:rsidRPr="00000000" w:rsidDel="00000000">
              <w:rPr>
                <w:b w:val="1"/>
                <w:rtl w:val="0"/>
              </w:rPr>
              <w:t xml:space="preserve">starpnozaru</w:t>
            </w:r>
            <w:r w:rsidR="00000000" w:rsidRPr="00000000" w:rsidDel="00000000">
              <w:rPr>
                <w:rtl w:val="0"/>
              </w:rPr>
              <w:t xml:space="preserve"> pieeju lauku teritoriju </w:t>
            </w:r>
            <w:r w:rsidR="00000000" w:rsidRPr="00000000" w:rsidDel="00000000">
              <w:rPr>
                <w:b w:val="1"/>
                <w:rtl w:val="0"/>
              </w:rPr>
              <w:t xml:space="preserve">attīstībai, nosakot skaidru institucionālo atbildību, koordinācijas mehānismu un regulāru lauku teritoriju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lauku attīstības stratēģiju būs iespēja mērķtiecīgāk izmantot ES fondu finansējumu, kā arī novērtēt un uzraudzīt lauku teritoriju problēmu risināšanu, kas pārsniedz vienas institūcijas kompetences robežas, </w:t>
            </w:r>
            <w:r w:rsidR="00000000" w:rsidRPr="00000000" w:rsidDel="00000000">
              <w:rPr>
                <w:b w:val="1"/>
                <w:rtl w:val="0"/>
              </w:rPr>
              <w:t xml:space="preserve">nodrošinot dažādu nozaru politiku saskaņotību, uzraugot to ietekmi uz lauku teritorijām un veicina integrētu, uz teritoriju balstītu attīstības pieeju. Koordinētas un uz teritoriju balstītas lauku attīstības pieejas trūkums būtiski ierobežo valsts spēju efektīvi risināt demogrāfijas, ekonomiskās attīstības un publisko pakalpojumu pieejamības izaicinājumus lauku teritorijās, tādēļ šādas pieejas ieviešana ir būtisks priekšnoteikums NAP2027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Pielāgot lauku attīstības risinājumus konkrēto teritoriju specifikai, vajadzībām, resursiem un potenciālam, </w:t>
            </w:r>
            <w:r w:rsidR="00000000" w:rsidRPr="00000000" w:rsidDel="00000000">
              <w:rPr>
                <w:b w:val="1"/>
                <w:rtl w:val="0"/>
              </w:rPr>
              <w:t xml:space="preserve">sistemātiski izmantojot LEADER jeb sabiedrības virzītas vietējās attīstības (SVVA)</w:t>
            </w:r>
            <w:r w:rsidR="00000000" w:rsidRPr="00000000" w:rsidDel="00000000">
              <w:rPr>
                <w:rtl w:val="0"/>
              </w:rPr>
              <w:t xml:space="preserve">, kas balstās uz pieeju “no apakšas uz augšu” un vietējo kopienu, uzņēmēju un pašvaldību partnerību, veidojot vietējo rīcības grupu un sagatavojot vietējās attīstības stratēģiju. LEADER/SVVA pieeja sekmē inovatīvu risinājumu ieviešanu, atbalsta vietējās uzņēmējdarbības un pakalpojumu attīstību, sekmējot daudzveidīgas un noturīgas ekonomikas veidošanos, kā arī uzlabo lauku iedzīvotāju labbūtību un stiprina sociālo kapitālu, tādējādi radot priekšnoteikumus iedzīvotāju iespējai palikt laukos.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daļ'ji ņemts vērā un informatīvais ziņojums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lauku attīstības stratēģiju reģionālās politikas ietvaros, kas nodrošina vienotu pieeju lauku teritoriju problēmu risināšanā un nosaka dažādu nozaru politiku koordināciju un atbildību. Ieviešot lauku attīstības stratēģiju, būs iespēja mērķtiecīgāk izmantot ES fondu finansējumu, kā arī novērtēt un uzraudzīt lauku teritoriju problēmu risināšanu, kas pārsniedz vienas institūcijas kompetences robežas. Pielāgot lauku attīstības risinājumus konkrēto teritoriju specifikai, vajadzībām, resursiem un potenciālam, izmantojot LEADER jeb sabiedrības virzītas vietējās attīstības (SVVA) pieeju, kas balstās uz pieeju "no apakšas uz augšu" un vietējo kopienu, uzņēmēju un pašvaldību partnerību, veidojot vietējo rīcības grupu un sagatavojot vietējās attīstības stratēģiju. LEADER/SVVA pieeja sekmē inovatīvu risinājumu ieviešanu, atbalsta vietējās uzņēmējdarbības un pakalpojumu attīstību, sekmējot daudzveidīgas un noturīgas ekonomikas veidošanos, kā arī uzlabo lauku iedzīvotāju labbūtību un stiprina sociālo kapitālu, tādējādi radot priekšnoteikumus iedzīvotāju iespējai palikt laukos.”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atzinīgi novērtēt līdz šim paveikto darbu veselības aprūpes stiprināšanas jomā. Ir redzams mērķtiecīgs darbs pie pakalpojumu pieejamības paplašināšanas, digitālo risinājumu ieviešanas un speciālistu atalgojuma jautājumu risināšanas. Šie soļi ir būtisks pamats spēcīgākai un ilgtspējīgākai veselības sistēmai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analizējot Rīcības virziena “Uz cilvēku centrēta veselības aprūpe” mērķu indikatorus un salīdzinot tos ar faktisko situāciju Latvijā, ir skaidri redzams, ka vairākās jomās progress ir nevienmērīgs. Dati liecina, ka Latvija joprojām būtiski atpaliek gan no Eiropas, gan OECD valstu vidējiem rādītājiem, kā arī no mērķiem, kurus esam sev izvirzījuši. Tas norāda uz joprojām pastāvošām sistēmiskām problēmām un nepieciešamību pēc precīzākiem, uz rezultātu orientētiem rīcības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 investīciju atdevei nākamajā plānošanas posmā mūsu mērķi ir ciešāk jāsaista ar starptautiskiem kvalitātes kritērijiem un pacientu rezultātiem. Pieaugošu ģeopolitisko un demogrāfisko risku laikā sabiedrības veselība vairs nav tikai sociāls jautājums – tas ir valsts drošības un ekonomiskās noturības pamats. Veselības aprūpes investīcijas – īpaši tās, kas mazina profilaktiski un medicīniski novēršamu mirstību – ir tiešs ieguldījums darba tirgus stabilitātē un tam ir nozīmīga ietekme uz valsts ekonomisko attīstību. Ja netiks nodrošināts adekvāts finansējums stratēģiskajiem plāniem (piemēram, Onkoloģijas plāns, Sirds un asinsvadu slimību plāns u.c., kas ir savstarpēji sasaistīti ar šo slimību jomu ES līmeņa plāniem) gan profilaksei, gan inovatīvajiem medikamentiem un inovatīvajām ārstniecības metodēm, mēs turpināsim zaudēt iedzīvotājus slimību dēļ, kuras mūsdienās ir uzveicamas.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Jaunākie OECD dati (Health at a Glance 2025) iezīmē skaidras jomas, kurās Latvijas veselības rādītāji prasa īpašu uzmanību salīdzinājumā ar citām attīstītajām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Paredzamais dzīves ilgums: -5.2 gadi. Latvija atrodas starp 5 zemākajām OECD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Profilaktiski novēršamā mirstība (Preventable mortality): Vairāk nekā 2 reizes augstāka. Norāda uz nepieciešamību plānot un īstenot efektīvākus profilakses un dzīvesveida maiņas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Medicīniski novēršamā mirstība (Treatable mortality): Vairāk nekā 2 reizes augstāka. Norāda uz izaicinājumiem savlaicīgā diagnostikā un ārstēšanas pieejamībā.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izdevumi uz vienu iedzīvotāju: OECD norāda, ka Latvija ir starp zemākajām ES valstīm pēc izdevumiem uz vienu iedzīvotāju un tērē aptuveni uz pusi mazāk nekā ES vidēji, kā rezultātā rodas būtiska ietekme uz pakalpojumu groza apjomu un pacientu līdzmaksājumu.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izdevumi (% no IKP): Latvija investē veselības aprūpē būtiski mazāk, kas ietekmē pakalpojumu groza apjomu un pieejamību, kā arī ārstēšanas un diagnostikas kapacitāti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līdzmaksājumi (OOP): OECD vidēji 18%, Latvijā 30%. Augstais līdzmaksājumu līmenis kavē mazturīgāko iedzīvotāju piekļuvi ārstējamu slimību aprūpei un palielina socioekonomiskās nevienlīdzības plaisu.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Nākamajā periodā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Mērķēt uz profilaktiski novēršamās mirstības nozīmīgu samazināšanu: tas ir efektīvākais veids, kā pagarināt iedzīvotāju dzīvildzi, uzlabojot sabiedrības veselības kampaņas un agrīno skrīningu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Medicīniski novēršamās mirstības sasaiste ar budžetu: mēs aicinām nākamās investīcijas plānot, prioritizēt un vērtēt to ietekmi uz to nāves gadījumu samazināšanu, kas ir medicīniski novēršami. Papildus lēmumu pieņemšanas procesā ir jāskatās daudz plašāk un jāsaista ne tikai ar tiešajām investīcijām un izdevumiem veselības aprūpē, bet arī netiešajiem izdevumiem (darbnespējas lapas, invaliditāte u.c. indikatori, kas atspoguļo sociālo vērtību (societal value));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Vienlīdzības indikators: atzinīgi vērtējot pakalpojumu klāsta pieaugumu, būtu svarīgi ieviest indikatoru, kas mēra, vai šie uzlabojumi vienlīdz sasniedz iedzīvotājus reģionos un dažādās ienākumu grupās, tādējādi mazinot OECD atzīmēto plaisu.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Mērķēt uz finansiāli ilgtspējīgu veselības aprūpi, pakāpeniski palielinot valsts finansējumu līdz vismaz 6% no IKP kā tas norādīts Sabiedrības veselības pamatnostādnēs.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Latvija pietuvotos OECD vidējiem rādītājiem dzīvildzes ziņā, nākamajā plānošanas periodā ir svarīgi pāriet no procesu mērīšanas uz rezultātu orientētiem indikatoriem. Šāda pieeja ne tikai uzlabos sabiedrības veselību, bet arī stiprinās Latvijas tēlu starptautiskajā mērogā kā valstij, kas spēj efektīvi un mērķtiecīgi risināt savus lielākos demogrāfiskos un sociālos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veselības rādītājus, aicinām uzsākt darbu pie detalizētas indikatoru pārskatīšanas un plānošanas nākamajam plānošanas periodam veselības aprūpes jomā. Esam gatavi arī līdzdarboties šo indikatoru izvērtēšanas un definēšanas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Drīzumā tiks uzsākts darbs pie valsts augstākā līmeņa attīstības plānošanas dokumentu izstrādes nākamam  plānošanas periodam, tai skaitā  indikatoru pārskatīšanas veselības aprūpes jomā. Šajā procesā tiks iesaistītas arī nevalstiskās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rīcības virzienā  "Cilvēku līdzdalība kultūras un sporta aktivitātēs" iekļauto informāciju. Izskatās, ka trūkst informācijas par vairākiem uzdevumiem, sākot no 367. un turpmākajiem līdz 380.uzdevumam.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precizēts attiecīgais rīcības virziens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aprakstu par 285. uzdevuma izpildi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sabiedrība saskaras ar jauniem izaicinājumiem, kas ir saistīti ar apkārtējās vides ietekmi uz cilvēku veselību. Šīs izpausmes ir saistītas ar klimata pārmaiņām, vektoru pārnestām infekcijas slimībām, tai skaitā zoonozēm un antimikrobiālo rezistenci. Minētie izaicinājumi prasa vienotu cilvēku veselības, dzīvnieku veselības, pārtikas un vides jomu rīcību, ko paredz vienas veselības pieeja. Viens no pēdējo gadu nopietnākajiem izaicinājumiem sabiedrības veselībai ir antimikrobiālā rezistence, kas ir par cēloni augstākai letalitātei vai smagākām veselības komplikācijām, kuru ārstēšana prasa lielākus resursus un kas rada ievērojamu slogu veselības nozarei. Ja netiks ieviesti pietiekami efektīvi pasākumi antimikrobiālās rezistences ierobežošanai, tuvākajos gados varam nonākt situācijā, kad nav pietiekami efektīvu antibakteriālo līdzekļu infekciju ārstēšanai. Antimikrobiālās rezistences novēršanai efektīvākie līdzekļi ir infekcijas slimību izplatības ierobežošana gan veicot vakcināciju, gan ieviešot higiēnas pasākumus, kā arī nodrošinot piesardzīgu un atbildīgu antibiotiku lietošanu. Minētie pasākumi attiecas gan uz cilvēku, gan uz dzīvnieku veselību. Tāpat ne mazāk nozīmīgi ir rezistento mikroorganismu un antibiotiku izplatības monitorings un ierobežošana apkārtējā vidē, piemēram, notekūdeņos u.c. Ņemot vērā minēto, ar Ministru kabineta 2023. gada 4. jūlija rīkojumu Nr. 414 apstiprināts “Antimikrobiālās rezistences ierobežošanas un piesardzīgas antibiotiku lietošanas plāns “Viena veselība” 2023.-2027. gadam. Plāna darbības virzieni un pasākumi izstrādāti saskaņā ar Eiropas “Vienas veselības” pasākumu plānu antimikrobiālās rezistences ierobežošanai un ietver minētos pasākumus, kas ir nozīmīgi antimikrobiālās rezistences ierobežošanai, ierobežojot infekcijas slimību izplatību, īpaši veicot ar veselības aprūpi saistīto infekciju profilaksi, veikt pasākumus piesardzīgas un atbildīgas antibiotiku lietošanas veicināšanai, kā arī nodrošinot rezistento mikroorganismu monitoringu un antibiotiku patēriņa uzraudzību. Minēto plānu ir izstrādājusi Veselības ministrija sadarbībā ar Zemkopības ministriju vadoties no Vienas veselības pamatprincipa. Lai nodrošinātu minētā plāna pasākumu ieviešanu cilvēku veselības jomā, Veselības ministrija ir izveidojusi Antimikrobiālās rezistences kompetences centru veselības aprūpes jomai, kas nodrošina rekomendāciju un vadlīniju izstrādi, ārstniecības personu konsultēšanu un apmācību, kā arī uztur antimikrobiālās rezistences uzraudzības jomā strādājošo ārstniecības iestāžu speciālistu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sabiedrība saskaras ar jauniem izaicinājumiem, kas ir saistīti ar apkārtējās vides ietekmi uz cilvēku veselību. Šīs izpausmes ir saistītas ar klimata pārmaiņām, vektoru pārnestām infekcijas slimībām, tai skaitā zoonozēm un antimikrobiālo rezistenci. Minētie izaicinājumi prasa vienotu cilvēku veselības, dzīvnieku veselības, pārtikas un vides jomu rīcību, ko paredz vienas veselības pieeja. Viens no pēdējo gadu nopietnākajiem izaicinājumiem sabiedrības veselībai ir antimikrobiālā rezistence, kas ir par cēloni augstākai letalitātei vai smagākām veselības komplikācijām, kuru ārstēšana prasa lielākus resursus un kas rada ievērojamu slogu veselības nozarei. Ja netiks ieviesti pietiekami efektīvi pasākumi antimikrobiālās rezistences ierobežošanai, tuvākajos gados varam nonākt situācijā, kad nav pietiekami efektīvu antibakteriālo līdzekļu infekciju ārstēšanai. Antimikrobiālās rezistences novēršanai efektīvākie līdzekļi ir infekcijas slimību izplatības ierobežošana gan veicot vakcināciju, gan ieviešot higiēnas pasākumus, kā arī nodrošinot piesardzīgu un atbildīgu antibiotiku lietošanu. Minētie pasākumi attiecas gan uz cilvēku, gan uz dzīvnieku veselību. Tāpat ne mazāk nozīmīgi ir rezistento mikroorganismu un antibiotiku izplatības monitorings un ierobežošana apkārtējā vidē, piemēram, notekūdeņos u.c. Ņemot vērā minēto, ar Ministru kabineta 2023. gada 4. jūlija rīkojumu Nr. 414 apstiprināts “Antimikrobiālās rezistences ierobežošanas un piesardzīgas antibiotiku lietošanas plāns “Viena veselība” 2023.-2027. gadam. Plāna darbības virzieni un pasākumi izstrādāti saskaņā ar Eiropas “Vienas veselības” pasākumu plānu antimikrobiālās rezistences ierobežošanai un ietver minētos pasākumus, kas ir nozīmīgi antimikrobiālās rezistences ierobežošanai, ierobežojot infekcijas slimību izplatību, īpaši veicot ar veselības aprūpi saistīto infekciju profilaksi, veikt pasākumus piesardzīgas un atbildīgas antibiotiku lietošanas veicināšanai, kā arī nodrošinot rezistento mikroorganismu monitoringu un antibiotiku patēriņa uzraudzību. Minēto plānu ir izstrādājusi Veselības ministrija sadarbībā ar Zemkopības ministriju vadoties no Vienas veselības pamatprincipa. Lai nodrošinātu minētā plāna pasākumu ieviešanu cilvēku veselības jomā, Veselības ministrija ir izveidojusi Antimikrobiālās rezistences kompetences centru veselības aprūpes jomai, kas nodrošina rekomendāciju un vadlīniju izstrādi, ārstniecības personu konsultēšanu un apmācību, kā arī uztur antimikrobiālās rezistences uzraudzības jomā strādājošo ārstniecības iestāžu speciālistu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rindkopu: "2023. gadā NVD īsteno sabiedrības un interesentu nodrošināšanu ar Dienestam pieejamiem datiem. Papildus pārskatu publicēšanai iestādes tīmekļa vietnē, dati tiek sagatavoti un publicēti arī Latvijas atvērto datu portālā. Šajā pārskata periodā ir publicēti vakcinācijas dati, stacionāru operatīvie dati par Covid-19, dati par ambulatoro apmeklējumu skaitu pa pamatdiagnožu grupām, valsts budžeta līdzekļu izlietojumu, rindu garumus plānveida stacionāro pakalpojumu saņemšanai, ģimenes ārsta praksē reģistrēto pacientu skaitu, zobārstniecības apmeklējumu skaitu, kā arī veiktās medicīniskas manipulācijas valsts apmaksāto zobārstniecības, ambulatorās un stacionārās veselības aprūpes pakalpojumu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īsteno regulāru sabiedrības un interesentu nodrošināšanu ar NVD pieejamiem datiem. Papildus pārskatu publicēšanai iestādes tīmekļa vietnē, dati tiek sagatavoti un publicēti arī Latvijas atvērto datu portālā. Šajā pārskata periodā ir publicēti vakcinācijas dati, stacionāru operatīvie dati par Covid-19, dati par ambulatoro apmeklējumu skaitu pa pamatdiagnožu grupām un aprūpes epizožu veidiem, valsts budžeta līdzekļu izlietojumu valsts kompensējamo zāļu un medicīnisko ierīču apmaksai un valsts budžeta līdzekļu izlietojumu M saraksta medikamentiem, ģimenes ārsta praksē reģistrēto pacientu skaitu, zobārstniecības apmeklējumu skaitu, kā arī veiktajām medicīniskajām manipulācijām valsts apmaksāto zobārstniecības, ambulatorās un stacionārās veselības aprūpes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īsteno regulāru sabiedrības un interesentu nodrošināšanu ar NVD pieejamiem datiem. Papildus pārskatu publicēšanai iestādes tīmekļa vietnē, dati tiek sagatavoti un publicēti arī Latvijas atvērto datu portālā. Šajā pārskata periodā ir publicēti vakcinācijas dati, stacionāru operatīvie dati par Covid-19, dati par ambulatoro apmeklējumu skaitu pa pamatdiagnožu grupām un aprūpes epizožu veidiem, valsts budžeta līdzekļu izlietojumu valsts kompensējamo zāļu un medicīnisko ierīču apmaksai un valsts budžeta līdzekļu izlietojumu M saraksta medikamentiem, ģimenes ārsta praksē reģistrēto pacientu skaitu, zobārstniecības apmeklējumu skaitu, kā arī veiktajām medicīniskajām manipulācijām valsts apmaksāto zobārstniecības, ambulatorās un stacionārās veselības aprūpes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104. lpp. 2. rindkopu par uzkrātuvēm.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uzkrāšanas sistēmas (turpmāk – BESS) ir priekšnoteikums atjaunīgās enerģijas integrācijai Latvijas energosistēmā, kas nodrošina iespēju lieko elektroenerģiju no vēja un saules avotiem uzkrāt un izmantot brīžos, kad ražošana samazinās vai pieprasījums pieaug. Papildus elektroenerģijas pārvades sistēmas operatora 2025. gadā ekspluatācijā nodotajām 80 MW uzkrātuvēm, papildus liela mēroga BESS projekts Latvijā tiek īstenots Tārgalē, Ventspils novadā, ar 10 MW jaudu un 20 MWh uzkrāšanas ietilpību. Šādas sistēmas ļaus uzkrāt elektroenerģiju no vēja un saules avotiem, nodrošinot tās pieejamību laikā, kad elektroenerģijas ražošana nav iespējama. Kopējā 2026. gada sākumā pārvades tīklā pieslēgtā BESS jauda sasniedz 109 MW, bet līdz 2029. gadam plānots pieslēgt līdz pat 2335 MW uzkrātuves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uzkrāšanas sistēmas (turpmāk – BESS) ir priekšnoteikums atjaunīgās enerģijas integrācijai Latvijas energosistēmā, kas nodrošina iespēju lieko elektroenerģiju no vēja un saules avotiem uzkrāt un izmantot brīžos, kad ražošana samazinās vai pieprasījums pieaug. Papildus elektroenerģijas pārvades sistēmas operatora 2025. gadā ekspluatācijā nodotajām 80 MW uzkrātuvēm, papildus liela mēroga BESS projekts Latvijā tiek īstenots Tārgalē, Ventspils novadā, ar 10 MW jaudu un 20 MWh uzkrāšanas ietilpību. Šādas sistēmas ļaus uzkrāt elektroenerģiju no vēja un saules avotiem, nodrošinot tās pieejamību laikā, kad elektroenerģijas ražošana nav iespējama. Kopējā 2026. gada sākumā pārvades tīklā pieslēgtā BESS jauda sasniedz 109 MW, bet līdz 2029. gadam plānots pieslēgt līdz pat 2335 MW uzkrātuves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NAP indikators [135]: vēršam uzmanību, ka ir pieejami jaunāki dati, kas parāda strauju pietuvošanos izvirzītajai mērķa vērtībai. Dati pieejami gan CSB, gan EUrostat (2024.g. LV rādītājs - 0,92% no IKP; https://data.stat.gov.lv/pxweb/lv/OSP_PUB/START__IZG__ZP__ZPR/ZPR030/).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125. lpp. priekšpēdējā rindkopā, ka Transporta enerģijas likums ir pieņemts un stājies spēkā 2026. 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“Atjaunīgās transporta enerģijas izmantošanas veicināšanai (pieprasījuma veicināšanai) ir pieņemts un 2026. gada 1.janvārī stājies spēkā Transporta enerģijas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rindkopu: "2024.gadā vismaz vienu vai divas dienas pēdējo 30 dienu laikā cigaretes smēķējuši 10,5% 13-15 gadus vecie skolēni (zēni – 9,2%, meitenes – 11,5%). Salīdzinot ar 2019.gadu, minētais rādītājs ir samazinājies zēniem par 5,5%, bet meitenēm par 3,3%. Būtisks pieaugums ir e-cigarešu  lietošanas rādītājiem. Vismaz vienu dienu pēdējo 30 dienu laikā e-cigaretes lietojuši 21,9% 13-15 gadīgo skolēnu. Lai gan e-cigarešu lietošana kopš 2019. gada ir nedaudz samazinājusies zēniem (par 5,4%), meitenēm novērojams būtisks pieaugums (par 13,2%)."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vismaz vienu vai divas dienas pēdējo 30 dienu laikā cigaretes smēķējuši 10,5% 13-15 gadus vecie skolēni (zēni – 9,2%, meitenes – 11,5%). Salīdzinot ar 2019.gadu, minētais rādītājs ir samazinājies zēniem par 5,5 </w:t>
            </w:r>
            <w:r w:rsidR="00000000" w:rsidRPr="00000000" w:rsidDel="00000000">
              <w:rPr>
                <w:b w:val="1"/>
                <w:u w:val="single"/>
                <w:rtl w:val="0"/>
              </w:rPr>
              <w:t xml:space="preserve">procentpunktiem</w:t>
            </w:r>
            <w:r w:rsidR="00000000" w:rsidRPr="00000000" w:rsidDel="00000000">
              <w:rPr>
                <w:rtl w:val="0"/>
              </w:rPr>
              <w:t xml:space="preserve">, bet meitenēm par 3,3 </w:t>
            </w:r>
            <w:r w:rsidR="00000000" w:rsidRPr="00000000" w:rsidDel="00000000">
              <w:rPr>
                <w:b w:val="1"/>
                <w:u w:val="single"/>
                <w:rtl w:val="0"/>
              </w:rPr>
              <w:t xml:space="preserve">procentpunktiem</w:t>
            </w:r>
            <w:r w:rsidR="00000000" w:rsidRPr="00000000" w:rsidDel="00000000">
              <w:rPr>
                <w:rtl w:val="0"/>
              </w:rPr>
              <w:t xml:space="preserve">. Būtisks pieaugums ir e-cigarešu  lietošanas rādītājiem. Vismaz vienu dienu pēdējo 30 dienu laikā e-cigaretes lietojuši 21,9% 13-15 gadīgo skolēnu. Lai gan e-cigarešu lietošana kopš 2019. gada ir nedaudz samazinājusies zēniem (par 5,4 </w:t>
            </w:r>
            <w:r w:rsidR="00000000" w:rsidRPr="00000000" w:rsidDel="00000000">
              <w:rPr>
                <w:b w:val="1"/>
                <w:u w:val="single"/>
                <w:rtl w:val="0"/>
              </w:rPr>
              <w:t xml:space="preserve">procentpunktiem</w:t>
            </w:r>
            <w:r w:rsidR="00000000" w:rsidRPr="00000000" w:rsidDel="00000000">
              <w:rPr>
                <w:rtl w:val="0"/>
              </w:rPr>
              <w:t xml:space="preserve">), meitenēm novērojams būtisks pieaugums (par 13,2 </w:t>
            </w:r>
            <w:r w:rsidR="00000000" w:rsidRPr="00000000" w:rsidDel="00000000">
              <w:rPr>
                <w:b w:val="1"/>
                <w:u w:val="single"/>
                <w:rtl w:val="0"/>
              </w:rPr>
              <w:t xml:space="preserve">procentpunktiem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dokumenta redakcionālo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Veikt dokumenta redakcionālu un terminoloģisku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 konstatējama terminoloģijas un teikumu struktūras nevienmērība. Ņemot vērā dokumenta publisko nozīmi, ieteicams veikt pilnu redakcionālu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veikusi ziņojuma teksta rediģēšanu.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“Tiesiskums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Izvērtēt un stiprināt NVO sektora finansējuma ilgtspēju saliedētības politikas mērķu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Valsts budžeta programma “NVO fonds” nodrošina atbalstu pilsoniskās sabiedrības organizācijām. Vienlaikus, ņemot vērā ziņojumā konstatēto pilsoniskās līdzdalības līmeni, ieteicams izvērtēt atbalsta instrumentu ilgtermiņa ietekmi un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pilsoniskās sabiedrības atbalsta instrumentu, tostarp NVO fonda, finansējuma stabilitāti un tā sasaisti ar saliedētības politikas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konstatēto pilsoniskās līdzdalības līmeni, izvērtēt un atbilstoši izvērtējumam stiprināt NVO atbalsta instrumentus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Papildināt drošības sadaļu ar sabiedrības noturības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Ziņojuma ievaddaļā uzsvērta ģeopolitiskā situācija, bet drošības sadaļā nepietiekami integrēts sabiedrības noturības aspekts (kopienu līmenī, informatīvā drošība, kultūras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politikas ietvaros tiek stiprināta sabiedrības noturība pret hibrīddraudiem, attīstot kopienu līmeņa noturības iniciatīvas, latviešu valodas informatīvās telpas pieejamību visā Latvijas teritorijā un kultūras infrastruktūras lomu demokrātijas noturības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politikas ietvaros tiek stiprināta sabiedrības noturība pret hibrīddraudiem, attīstot kopienu līmeņa noturības iniciatīvas.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“Tiesiskums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Papildināt sadaļu ar īsu norādi par komunikācijas nozīmi sabiedrības uzticēšanās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Ziņojumā konstatēta savstarpējās uzticēšanās stagnācija. Lai analīze būtu pilnīgāka un vieglāk uztverama, ieteicams norādīt, ka uzticēšanos ietekmē arī valsts pārvaldes komunikācijas skaidrība un caurspīdīgums.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attiecīgo sadaļu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uzticēšanos veicina arī skaidra un caurspīdīga valsts pārvaldes komunikācija.”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komunikācijas ietekme uz uzticēšanos netika iekļauta kā apsvērums NAP uzdevumos vai rādītājos.  Mūsu rīcībā nav sniegti dati un pētījumi par komunikācijas ietekmi uz uzticēšanos, līdz ar šo var uzrunāt nākamajā plānošanas etapā.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virziens “Saliedētība” – pilsoniskās līdzdalības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Precizēt pilsoniskās līdzdalības analīzes sasaisti ar plašāku līdzdalības formu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-Ziņojumā pilsoniskā līdzdalība definēta plaši, iekļaujot līdzdalību kopienās, brīvprātīgajā darbā, sociāli atbildīgajā uzņēmējdarbībā un politikas veidošanā. Vienlaikus rīcības virziena progresa kvantitatīvais izvērtējums balstīts ESS politiskās līdzdalības indeksā, kas attiecas uz līdzdalību politikas veidošanā un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atsevišķās sadaļās ir aprakstītas arī citas līdzdalības formas (piemēram, NVO sektora atbalsts, kopienu iniciatīvas, kultūras līdzdalība), tomēr tās nav sistemātiski integrētas saliedētības progresa izvērtējumā. Lai nodrošinātu metodoloģisku skaidrību starp plašo pilsoniskās līdzdalības definīciju un tās kvantitatīvo izvērtējumu, ieteicams precizēt šo sasaisti.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attiecīgo sadaļu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“ESS politiskās līdzdalības indekss atspoguļo vienu no pilsoniskās līdzdalības dimensijām – līdzdalību politikas veidošanā un pārvaldībā, savukārt citas līdzdalības formas (kopienu aktivitātes, brīvprātīgais darbs, dalība NVO un kultūras līdzdalība) analizējamas kā papildu saliedētības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līdzdalības aspekti skatīti NAP uzdevumā.  [407] paredz sabiedrības pašorganizēšanās, sadarbības un līdzdarbības prasmju un iespēju paplašināšanu.  Sistemātisks integrēts saliedētības progresa izvērtējums (starp 407,  429 un demokrātiskas valsts apziņas veicināšanu 426) būtu jautājums, kura izrunājama nākamā NAP2027 gatavošanas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papildināti Saliedētības sadaļas priekšlikumi ar šādu tekstu: Ņemot vērā ģeopolitisko situāciju un informācijas telpas izaicinājumus, nākamajā plānošanas periodā saliedētība strukturējama arī sasaistē ar sabiedrības noturību un demokrātijas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Prioritāte “Vienota, droša un atvērta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Precizēt prioritātes ievaddaļu, papildinot to ar demokrātiskās noturības dimensiju.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-Ziņojumā saliedētība pārsvarā analizēta sociālās integrācijas un valodas politikas kontekstā, taču ģeopolitiskajā situācijā saliedētība ir arī valsts drošības komponents (hibrīddraudi, dezinformācija, informatīvās telpas fragmentācija). Ņemot vērā paša ziņojuma secinājumus par savstarpējās uzticēšanās stagnāciju un dezinformācijas pieaugumu, nepieciešams skaidri sasaistīt saliedētību ar demokrātisko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prioritātes ievaddaļu ar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“Saliedētība veicina demokrātijas noturību, īpaši ģeopolitisko izaicinājumu apstākļos, stiprinot uzticēšanos valsts institūcijām, savstarpēju solidaritāti un sabiedrības spēju kritiski izvērtēt informāciju, tostarp ārēju informatīvu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Saliedētības rīcības virziena priekšlikumi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 situāciju un informācijas telpas izaicinājumus, nākamajā plānošanas periodā saliedētība strukturējama arī sasaistē ar sabiedrības noturību un demokrātijas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NAP uzdevums [439] paredz stiprināt cilvēku rīcībspēju apdraudējuma gadījumos, ar šādu teikumu: Drošības politikas ietvaros tiek stiprināta sabiedrības noturība pret hibrīddraudiem,, attīstot kopienu līmeņa noturības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secinājumu "Straujāk pilnveidot e-veselības sistēmu, integrējot tajā datus no pacienta medicīniskās kartes, vizuālās diagnostikas izmeklējumus, rekomendācijas un anamnēzi un veidojot to ātru, intuitīvu un uzticamu lietotājiem", piemēram, ziskaot šādā redakcijā: "Straujāk pilnveidot e-veselības sistēmu, integrējot tajā visu izmeklējumu rezultātus un veidojot to ātru, intuitīvu un uzticamu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“Straujāk pilnveidot e-veselības sistēmu, integrējot tajā visu izmeklējumu rezultātus un veidojot to ātru, intuitīvu un uzticamu lietotājiem”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sniegto informāciju par [283] uzdevuma izpildi - 105 lpp. sniedzam šādus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105 lpp. lūdzam labot “PM2,5” - rakstot 2,5 ar apakšindeksu;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sniegtais apraksts pie uzdevuma [283] izpildes, jo vienā brīdī tiek skaidrots par siltumnīcefekta gāzu emisiju (turpmāk - SEG) samazinājumu, bet citur tekstā tiek skaidrots par gaisu piesārņojošo vielu emisijām. Jāņem vērā, ka ne vienmēr samazinot SEG emisijas, samazinās arī gaisu piesārņojošās vielas un uzlabojas gaisa kvalitātes un kopējā sabiedrības veselība un vides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īpaši, ja iet runa par pāreju uz AER izmantošanu rūpniecībā, mājsaimniecībās un citos sektoros, jo tāda AER kā biomasas izmantošanas veicināšana, kas Latvijā pēdējo gadu laikā ir bijusi plaši izplatīta, tieši pretēji palielina atsevišķu gaisu piesārņojošo vielu emisijas un pasliktina gaisa kvalitāti gadījumā, ja notiek pāreja no dabas gāzes uz biomasu,. Biomasas sadedzināšanas rezultātā rodas smalko daļiņu PM un benz(a)pirēna emisijas, kas ir kaitīgas cilvēku veselībai. Tādēļ aicinām atbilstoši precizēt informatīvajā ziņojumā sniegto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sniegto informāciju par gaisa kvalitātes uzlabošanu, aicinām informatīvo ziņojumu papildināt ar informāciju,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- 2020.gadā tika apstiprināts un tika īstenots “Gaisa piesārņojuma samazināšanas rīcības plānu 2020.–2030. gadam” (apstiprināts ar “Ministru kabineta 2020. gada 16. aprīlī rīkojumu Nr. 197).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plāns ir pārskatīts un 2026. gada 27.janvārī apstiprināts jauns “  "Smalko daļiņu, amonjaka, slāpekļa oksīdu, gaistošo organisko savienojumu un sēra dioksīda emisiju samazināšanas plāns 2026.‒2030. gadam" (apstiprināts ar Ministru kabineta 2026. gada 29. janvāra rīkojumu Nr.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Latvijai noteikto gaisu piesārņojošo vielu emisiju samazināšanas mērķu izpildi laika periodam no 2025. līdz 2030. gadam un uzlabotu gaisa kvalitāti, noteikti pasākumi, kas ietverti Plāna 4. nodaļā. Pasākumi ir strukturēti astoņos rīcības virzienos. Galvenās ietvertās pasākumu grupas vērstas uz turpmāku emisiju samazināšanu mājsaimniecību sektorā, enerģētikas sektorā saistībā ar sadedzināšanas iekārtu nomaiņu pret videi draudzīgākām, kā arī stingrākiem emisiju kontroles pasākumiem. Tāpat plānoti jauni pasākumi NH3 emisiju samazināšanai lauksaimniecības sektorā, tai skaitā, lai paaugstinātu slāpekļa izmantošanas efektivitāti un efektīvāk izmantotu putnkopības kūtsmēslus.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apstiprināti un tiek ieviesti MK 2021. gada 7. janvāra noteikumi Nr.17 “Noteikumi par gaisa piesārņojuma ierobežošanu no sadedzināšanas iekārtām”, kas vairākos periodos sākot (no 2025.gada, no 2027.gada, kā arī no 2030.gada atkarībā no iekārtu jaudas) noteikt stingrākas emisiju robežvērtības sadedzināšanas iekārtām sākot no 0,2 – 50 MW. Attiecīgi samazinot esošo sadedzināšanas iekārtu radītās gaisu piesārņojošo vielu emisijas un veicot pāreju uz jaunākām un efektīvākām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īstenoti gaisa kvalitātes uzlabošanas pasākumi pašvaldībās, izstrādājot pašvaldības līmeņa gaisa kvalitātes uzlabošanas plānus – apstiprināti Rīgā, Liepājā un Rēzeknē. Minētie plāni paredz papildus pasākumu veikšanu konkrētajās pašvaldībās, lai uzlabotu gaisa kvalitāti šajās pilsētās.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2,5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[283] uzdevums aptver pasākumus gan par gaisa piesārņojošo vielu emisiju mazināšanu, gan kopējo SEG emisiju mazināšanu. Skat: indikatīvais investīciju projektu kopums.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Daļēji ņemts vērā: NAP vidusposma ziņojums ir par tā izpildi uz 2024.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šādā redakcijā: “Tiek īstenoti gaisa kvalitātes uzlabošanas pasākumi pašvaldībās, izstrādājot pašvaldības līmeņa gaisa kvalitātes uzlabošanas plānus – apstiprināti Rīgā, Liepājā un Rēzeknē. Minētie plāni paredz papildus pasākumu veikšanu konkrētajās pašvaldībās, lai uzlabotu gaisa kvalitāti šajās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("Papardes zieds"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“Papardes zieds”  ir iepazinusies ar Ziņojumu un aicina prioritātes“Stipras ģimenes, veseli un aktīvi cilvēki” secinājumu un priekšlikumu sadaļu papildināt ar priekšlikumiem veselībpratības un seksuālās un reproduktīvās veselības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secinājumu un priekšlikumu sadaļu “Agrīnas profilakses un izglītības stiprināšana” papildināt ar priekšlikumu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"Izstrādāt un ieviest visaptverošu Seksuālās un reproduktīvās veselības un tiesību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STI izplatības statistiku Latvijā[1], kā arī “Pētījumā par kontracepcijas metodēm, to efektivitātes atšķirībām un seksuāli transmisīvo infekciju profilaksi Latvijā”[2] konstatētos izaicinājumus veselībpratībā, nepieciešams izstrādāt un ieviest sistemātisku, zinātnē balstītu un visaptverošu Seksuālās un reproduktīvās veselības un tiesību stratēgiju. Vēršam uzmanību, ka nepietiekama veselībpratība un nevienlīdzīga piekļuve kvalitatīvai dzimumizglītībai ir būtisks faktors, kas ietekmē nepietiekamu profilakses pasākumu izmantošanu visa mūža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secinājumu un priekšlikumu sadaļu “Veselīga dzīvesveida veicināšana un slimību profilakse” papildināt ar priekšlikumu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apmaksātas kontracepcijas pieejamības paplašināšana plašākam iedzīvotāju lokam, ne tikai noteiktām riska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Starptautiskas organizācijas, tostarp Pasaules Veselības organizācija[3] uzsver, ka pieejama un finansiāli nodrošināta kontracepcija ir viens no efektīvākajiem instrumentiem nevēlamu grūtniecību, abortu skaita un STI izplatības mazināšanā. Valsts apmaksātas kontracepcijas pieejamības paplašināšana būtu nozīmīgs ieguldījums sabiedrības veselībā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Slimību profilakses un kontroles centrs (2026). Gada statistikas pārskati par atsevišķām infekcijas un parazitārajām slimībām: https://www.spkc.gov.lv/lv/gada-statistikas-parskati-par-atseviskam-infekcijas-un-parazitarajam-slimibam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Ķīvīte-Urtāne A., Lazdāne G., Demčenko K., Gobiņa I., Isajeva L., Ivanovs A., Kezika S., Kursīte M., Libora I., Miķelsone A. I., Ozoliņa K., Penka E., Rakša V., Štolcere I. E., Zīverte M. L. (2023). Pētījums par Latvijas iedzīvotāju seksuālās un reproduktīvās veselības ietekmējošiem faktoriem un paradumiem. Pētījuma ziņojums. Rīga: LR 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PVO konsolidētās vadlīnijas seksuālās un reproduktīvās veselības un tiesību jomā https://www.who.int/publications/i/item/9789241549998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secinājumu un priekšlikumu sadaļu “Agrīnas profilakses un izglītības stiprināšana” papildināt ar priekšlikumu šādā redakcijā: "Izstrādāt un ieviest visaptverošu Seksuālās un reproduktīvās veselības un tiesību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secinājumu un priekšlikumu sadaļu “Veselīga dzīvesveida veicināšana un slimību profilakse” papildināt ar priekšlikumu šādā redakcijā: “Valsts apmaksātas kontracepcijas pieejamības paplašināšana plašākam iedzīvotāju lokam, ne tikai noteiktām riska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secinājumu un priekšlikumu sadaļa rīcības virzienā “Psiholoģiskā un emocionālā labklājība”: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“Izstrādājama un ieviešama seksuālās un reproduktīvās veselības stratēģija, tai skaitā pārskatot mērķa grupas, kam tiek nodrošināta bezmaksas kontracepcijas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Informatīvā ziņojuma 172. lpp pēdējo rindkopu papildināt ar 2025. gada datiem, attiecīgi precizējot 56.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2025. gada sabiedriskās domas aptauju: https://www.vugd.gov.lv/lv/media/12308/download?attachment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nogalē veiktajā sabiedriskās domas aptaujā “Latvijas sabiedrības izpratne par rīcību ārkārtas, katastrofu vai to draudu situācijās” noskaidrots, ka vairākums respondentu (59%) savu gatavību dažādiem krīzes/ārkārtas gadījumiem 10 punktu skalā novērtēja ar 5–7 punktiem. Vidēji iedzīvotāju gatavība dažādiem krīzes/ārkārtas gadījumiem 10 punktu skalā tika vērtēta ar 5,6 punktiem, kas salīdzinājumā ar 2024. gadu (5,5 punkti) ir par 0,1 punktu vairāk.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[172.lpp. pēdējā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nogalē veiktajā sabiedriskās domas aptaujā “Latvijas sabiedrības izpratne par rīcību ārkārtas, katastrofu vai to draudu situācijās” noskaidrots, ka vairākums respondentu (59%) savu gatavību dažādiem krīzes/ārkārtas gadījumiem 10 punktu skalā novērtēja ar 5–7 punktiem. Vidēji iedzīvotāju gatavība dažādiem krīzes/ārkārtas gadījumiem 10 punktu skalā tika vērtēta ar 5,6 punktiem, kas salīdzinājumā ar 2024. gadu (5,5 punkti) ir par 0,1 punktu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atsauce:] “https://www.vugd.gov.lv/lv/media/12308/download?attachment”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sadaļas "Mājoklis" 1. priekšlikumu "Paātrināt jaunu mājokļu būvniecību, ieviešot papildu atbalsta instrumentus pašvaldībām un attīstītājiem, paplašinot zemas īres mājokļu programmu un attīstot kapitāla līdzdalības modeļus" aicinām izteikt šādā redakcijā: </w:t>
            </w:r>
            <w:r w:rsidR="00000000" w:rsidRPr="00000000" w:rsidDel="00000000">
              <w:rPr>
                <w:b w:val="1"/>
                <w:rtl w:val="0"/>
              </w:rPr>
              <w:t xml:space="preserve">Veicināt </w:t>
            </w:r>
            <w:r w:rsidR="00000000" w:rsidRPr="00000000" w:rsidDel="00000000">
              <w:rPr>
                <w:rtl w:val="0"/>
              </w:rPr>
              <w:t xml:space="preserve">jaunu mājokļu būvniecību, ieviešot papildu atbalsta instrumentus pašvaldībām un attīstītājiem, paplašinot zemas īres </w:t>
            </w:r>
            <w:r w:rsidR="00000000" w:rsidRPr="00000000" w:rsidDel="00000000">
              <w:rPr>
                <w:b w:val="1"/>
                <w:rtl w:val="0"/>
              </w:rPr>
              <w:t xml:space="preserve">maksas </w:t>
            </w:r>
            <w:r w:rsidR="00000000" w:rsidRPr="00000000" w:rsidDel="00000000">
              <w:rPr>
                <w:rtl w:val="0"/>
              </w:rPr>
              <w:t xml:space="preserve">mājokļu programmu un attīstot kapitāla līdzdalības modeļus.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teksts izteikts šādā redakcijā “Veicināt jaunu mājokļu būvniecību, ieviešot papildu atbalsta instrumentus pašvaldībām un attīstītājiem, paplašinot zemas īres maksas mājokļu programmu un attīstot kapitāla līdzdalības modeļus.”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rādītāja "(62) Pacientu apmierinātība ar veselības aprūpes pakalpojumiem, %" vērtību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2018.gada dati iegūti no VM pasūtīta pētījuma "Latvijas iedzīvotāju uzskati par veselības aprūpi. Latvijas iedzīvotāju aptauja". Tas ir, respondentu, kuriem bija pieredze ar ĢĀ pēd.12 mēnešu laikā un kuri uz jautājumu "Kā Jūs novērtētu savu un/ vai citu Jūsu ģimenes locekļu pieredzi pēdējā gada laikā ar ģimenes ārstu" atbildējuši "Labi" (76,2%). Pēc tādas pašas metodoloģijas VM pētījumu atkārtoja 2019., 2020., 2022.gadā un 2025.gada nogalē. 2018.gada dati nav salīdzināmi ar pētījuma datiem, kas veikts pēc citas metodoloģijas.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rādītāja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datus tabulā Nr.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indikators: (379) Latvijā sarīkoto starptautisko sporta sacensību, skaits/dalībnieku skaits gadā - no 42366 uz 42233.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datu precizēšanas tabulā nr. 22, lūdzu precizēt datus NAP2027 un Latvija2030 mērķu indikatoru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 Latvijā sarīkoto starptautisko sporta sacensību dalībnieku skaits  - 42233.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lietoti saīsinājumi, kas nav atšifrēti ziņojuma sākumā, piemēram, saīsinājums IDB nav skaidrots, tas būtu jāatšifrē, ka tas ir Iekšējās drošības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sadaļā par NAP izpildi - stratēģiskā prioritāte "Vienota, droša un atvērta sabiedrība", nesatur aktuālus datus par izpildi, piemēram, nav iekļauti dati par 2025.gadu korupcijas uztveres indeksu, par reģistrēto noziedzīgo nodarījumu skaitu uz 10 000 iedzīvotājiem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169.lpp. sniegtās ziņas par IDB izglītoto amatpersonu skaitu ir kontekstā ar 2024.gada izpildi un neietver visu izpildes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171 .lpp aktualizēt rīcības virziena “Drošība” tabulā Nr. 25  datus par reģistrēto noziedzīgo nodarījumu skaitu uz 10 000 iedzīvotājiem 2025. gadā,  izsakot  to ar skaitli: 187.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169.lpp. pirmspēdējo rindkopas pēdējo teikumu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IDB ikgadēji ir nodrošinājis informatīvi izglītojošus pasākumus Iekšlietu nozares un Ieslodzījuma vietu pārvaldes amatpersonām (2024.gadā - vairāk kā 800 amatpersonām, 2025.gadā - vairāk kā 860 amatpersonām) gan par amatpersonu vienotu izpratni par vardarbīgiem, gan koruptīviem noziegumiem un to nepieļaušanu. Stiprinot sabiedrības iesaisti noziedzīgu nodarījumu atklāšanā un novēršanā, IDB sadarbojas ar nevalstiskajām organizācijām -  organizējot seminārus NVO pārstāvjiem, piedaloties NVO organizētajās konferencēs sabiedrības izglītošanai amatpersonu noziedzīgas rīcības atpazīšanai un ziņošanas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[Saīsinājumi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reģistrēto noziedzīgo nodarījumu skaitu uz 10 000 iedzīvotājiem 2025. gadā izteikti ar skaitli] “187”;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[169.lpp. pirmspēdējās rindkopas pēdējais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IDB ikgadēji ir nodrošinājis informatīvi izglītojošus pasākumus Iekšlietu nozares un Ieslodzījuma vietu pārvaldes amatpersonām (2024.gadā - vairāk kā 800 amatpersonām, 2025.gadā - vairāk kā 860 amatpersonām) gan par amatpersonu vienotu izpratni par vardarbīgiem, gan koruptīviem noziegumiem un to nepieļaušanu. Stiprinot sabiedrības iesaisti noziedzīgu nodarījumu atklāšanā un novēršanā, IDB sadarbojas ar nevalstiskajām organizācijām -  organizējot seminārus NVO pārstāvjiem, piedaloties NVO organizētajās konferencēs sabiedrības izglītošanai amatpersonu noziedzīgas rīcības atpazīšanai un ziņošanas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sekmīgai īstenošanai nepieciešama Vienas pieturas aģentūras koordinējošās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lomas stiprināšana trešo valstu pilsoņu integrācijai Latvijas sabiedrībā, t.sk. sekmējot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valstu pilsoņu līdzdalību un latviešu valodas apguvi. Latviešu valodas 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organizēšanā, veidojot vienotu valsts valodas apguves sistēmu, būtiski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profesionālās kompetences pilnveidi darbam lingvistiski daudzveidīgā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sekmīgai īstenošanai nepieciešama Vienas pieturas aģentūras koordinējošās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lomas stiprināšana trešo valstu pilsoņu integrācijai Latvijas sabiedrībā, t.sk. sekmējot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valstu pilsoņu līdzdalību. IZM kā valodas politikas īstenotājas vadībā izstrādājama sistēmiska un sistemātiska pieeja latviešu valodas mācību piedāvājumam pieaugušajiem, skatot to pieaugušo izglītības kontekstā, nodrošināma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pedagogu profesionālās kompetences pilnveide darbam lingvistiski daudzveidīgā vidē, kā arī pilnveidojams mācību materiālu piedāvājums.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Palielināmi saliedējoši pasākumi, lai uzlabotu valsts valodas prasmes un, lai stiprinātu</w:t>
            </w:r>
            <w:r w:rsidR="00000000" w:rsidRPr="00000000" w:rsidDel="00000000">
              <w:rPr>
                <w:i w:val="1"/>
                <w:rtl w:val="0"/>
              </w:rPr>
              <w:t xml:space="preserve">sociālo atmiņu, īpaši tiem, kuri pavada laiku krievu valodas informatīvajā telpā.</w:t>
            </w:r>
            <w:r w:rsidR="00000000" w:rsidRPr="00000000" w:rsidDel="00000000">
              <w:rPr>
                <w:i w:val="1"/>
                <w:rtl w:val="0"/>
              </w:rPr>
              <w:t xml:space="preserve">Iesaiste Latvijas ekonomikā ir nepietiekami attīstīta nacionālās identitātes dimensija,</w:t>
            </w:r>
            <w:r w:rsidR="00000000" w:rsidRPr="00000000" w:rsidDel="00000000">
              <w:rPr>
                <w:i w:val="1"/>
                <w:rtl w:val="0"/>
              </w:rPr>
              <w:t xml:space="preserve">to var stiprināt darba devēji. Vienlaikus nepieciešama pietiekama sākotnēja</w:t>
            </w:r>
            <w:r w:rsidR="00000000" w:rsidRPr="00000000" w:rsidDel="00000000">
              <w:rPr>
                <w:i w:val="1"/>
                <w:rtl w:val="0"/>
              </w:rPr>
              <w:t xml:space="preserve">informācija mātes valodā, lai radītu izredzes uzzināt vairāk latviski.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informāciju visu jauniebraucēju un Latvijas iedzīvotāju mātes valodā nav iespējams (Latvijā ir vismaz 170 dažādu tautību pārstāvju, kam ir atšķirīgas mātes valodas). Pēc konteksta var spriest, ka nepieciešams palielināt informācijas daudzumu krievu valodā. Dzēst ja ne visu rindkopu, tad vismaz pēdējo teikumu šajā gadījumā ir uztverams kā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Palielināmi saliedējoši pasākumi, lai uzlabotu valsts valodas prasmes un, lai stiprinātu</w:t>
            </w:r>
            <w:r w:rsidR="00000000" w:rsidRPr="00000000" w:rsidDel="00000000">
              <w:rPr>
                <w:i w:val="1"/>
                <w:rtl w:val="0"/>
              </w:rPr>
              <w:t xml:space="preserve">sociālo atmiņu, īpaši tiem, kuri pavada laiku krievu valodas informatīvajā telpā.</w:t>
            </w:r>
            <w:r w:rsidR="00000000" w:rsidRPr="00000000" w:rsidDel="00000000">
              <w:rPr>
                <w:i w:val="1"/>
                <w:rtl w:val="0"/>
              </w:rPr>
              <w:t xml:space="preserve">Iesaiste Latvijas ekonomikā ir nepietiekami attīstīta nacionālās identitātes dimensija,</w:t>
            </w:r>
            <w:r w:rsidR="00000000" w:rsidRPr="00000000" w:rsidDel="00000000">
              <w:rPr>
                <w:i w:val="1"/>
                <w:rtl w:val="0"/>
              </w:rPr>
              <w:t xml:space="preserve">to var stiprināt darba devēji.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tabulā Nr. 14. mērķa indikatoram "(236) Jaunu Latvijas emitentu skaits Nasdaq Baltijas akciju sarakstos" novērtējums ir piešķirts pareizi, ņemot vērā, ka aktuālās vērtības gads ir norādīts 2024.g. ar vērtību 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vērtējuma atbilstība indikatora trendam.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Ziņojuma projekta 29 lpp. mērķa indikatoram (79) Bērnu un jauniešu ar speciālām vajadzībām īpatsvars, kas turpina izglītību pēc obligātās izglītības iegūšanas, %,  kolonnā - aktuālā vērtība mainīt gadu no 2022 uz 2024.g., t.i., 33 (2024).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lpp. ir teksts "Šobrīd dažādā attīstības stadijā ir bija 12 28 duālā pielietojuma un militārās jomas investīciju projekti ar kopējo potenciālo </w:t>
            </w:r>
            <w:r w:rsidR="00000000" w:rsidRPr="00000000" w:rsidDel="00000000">
              <w:rPr>
                <w:u w:val="single"/>
                <w:rtl w:val="0"/>
              </w:rPr>
              <w:t xml:space="preserve">investīciju apjomu 700 1,14 miljrd. euro apmērā.</w:t>
            </w:r>
            <w:r w:rsidR="00000000" w:rsidRPr="00000000" w:rsidDel="00000000">
              <w:rPr>
                <w:rtl w:val="0"/>
              </w:rPr>
              <w:t xml:space="preserve">" Lūdzam pārbaudīt, vai teikums nav kļūdains.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informatīvā ziņojuma teksts, dzēšot skaitli “700”.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lpp. minēts, ka par vairākiem rīcības virziena mērķa indikatoriem dati vairs nav pieejami vai nav salīdzināmi un izmantojami analīzē metodoloģijas izmaiņu dēļ. Tālāk tiek piedāvāti alternatīvi indikatori. Lūdzam izvērtēt, vai nebūtu noderīgi ziņojumā vai pielikumā iekļaut šo alternatīvo indikatoru grafikus, lai novērtētu rādītāju attīstības tendences.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nepieciešamība iekļaut ziņojumā alternatīvo indikatoru grafisko attēlojumu.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148.lapā (NAP uzdevums [384]) norādīts, ka </w:t>
            </w:r>
            <w:r w:rsidR="00000000" w:rsidRPr="00000000" w:rsidDel="00000000">
              <w:rPr>
                <w:i w:val="1"/>
                <w:rtl w:val="0"/>
              </w:rPr>
              <w:t xml:space="preserve">Nacionālā kino attīstības veicināšanai tiek izstrādāts regulējums, lai ieviestu straumēšanas vietņu nodevu Latvijā radīta audiovizuālā satura atbalstam</w:t>
            </w:r>
            <w:r w:rsidR="00000000" w:rsidRPr="00000000" w:rsidDel="00000000">
              <w:rPr>
                <w:rtl w:val="0"/>
              </w:rPr>
              <w:t xml:space="preserve">. Nav saproams, kāpēc attiecībā uz konkrēto maksājumu tiek lietots vārds "nodeva". Esam informēti, ka ir bijis sagatavots regulējums - likumprojekts "Grozījumi Elektronisko plašsaziņas līdzekļu likumā", kurā noteiktais maksājums apzīmēts kā "iemaksa", nevis "nodeva". Līdz ar to attiecībā uz šo maksājumu lūdzam lietot korektu terminoloģiju - </w:t>
            </w:r>
            <w:r w:rsidR="00000000" w:rsidRPr="00000000" w:rsidDel="00000000">
              <w:rPr>
                <w:u w:val="single"/>
                <w:rtl w:val="0"/>
              </w:rPr>
              <w:t xml:space="preserve">straumēšanas vietņu iemaksa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Aktualizēts informatīvā ziņojuma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53.lpp. minēts: "</w:t>
            </w:r>
            <w:r w:rsidR="00000000" w:rsidRPr="00000000" w:rsidDel="00000000">
              <w:rPr>
                <w:i w:val="1"/>
                <w:rtl w:val="0"/>
              </w:rPr>
              <w:t xml:space="preserve">No 2025. gada pensionāra ar iedzīvotāju ienākuma nodokli neapliekamais minimums </w:t>
            </w:r>
            <w:r w:rsidR="00000000" w:rsidRPr="00000000" w:rsidDel="00000000">
              <w:rPr>
                <w:b w:val="1"/>
                <w:i w:val="1"/>
                <w:u w:val="single"/>
                <w:rtl w:val="0"/>
              </w:rPr>
              <w:t xml:space="preserve">tiks </w:t>
            </w:r>
            <w:r w:rsidR="00000000" w:rsidRPr="00000000" w:rsidDel="00000000">
              <w:rPr>
                <w:i w:val="1"/>
                <w:rtl w:val="0"/>
              </w:rPr>
              <w:t xml:space="preserve">paaugstināts no 500 uz 1 000 euro mēnesī.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no 2025. gada pensionāra neapliekamais minimums ir palielināts no 500 uz 1000 </w:t>
            </w:r>
            <w:r w:rsidR="00000000" w:rsidRPr="00000000" w:rsidDel="00000000">
              <w:rPr>
                <w:i w:val="1"/>
                <w:rtl w:val="0"/>
              </w:rPr>
              <w:t xml:space="preserve">euro </w:t>
            </w:r>
            <w:r w:rsidR="00000000" w:rsidRPr="00000000" w:rsidDel="00000000">
              <w:rPr>
                <w:rtl w:val="0"/>
              </w:rPr>
              <w:t xml:space="preserve">mēnesī, ierosinām minēto teikumu precizēt šādi: "</w:t>
            </w:r>
            <w:r w:rsidR="00000000" w:rsidRPr="00000000" w:rsidDel="00000000">
              <w:rPr>
                <w:i w:val="1"/>
                <w:rtl w:val="0"/>
              </w:rPr>
              <w:t xml:space="preserve">No 2025. gada pensionāra ar iedzīvotāju ienākuma nodokli neapliekamais minimums </w:t>
            </w:r>
            <w:r w:rsidR="00000000" w:rsidRPr="00000000" w:rsidDel="00000000">
              <w:rPr>
                <w:b w:val="1"/>
                <w:i w:val="1"/>
                <w:u w:val="single"/>
                <w:rtl w:val="0"/>
              </w:rPr>
              <w:t xml:space="preserve">ir</w:t>
            </w:r>
            <w:r w:rsidR="00000000" w:rsidRPr="00000000" w:rsidDel="00000000">
              <w:rPr>
                <w:b w:val="1"/>
                <w:i w:val="1"/>
                <w:rtl w:val="0"/>
              </w:rPr>
              <w:t xml:space="preserve"> </w:t>
            </w:r>
            <w:r w:rsidR="00000000" w:rsidRPr="00000000" w:rsidDel="00000000">
              <w:rPr>
                <w:i w:val="1"/>
                <w:rtl w:val="0"/>
              </w:rPr>
              <w:t xml:space="preserve">paaugstināts no 500 uz 1 000 euro mēnesī.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Aktualizēts informatīvā ziņojuma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skaidrojot 3. attēlā redzamo informāciju 9.lpp. sākumā, nebūtu noderīgi pieminēt, ka rezultāti būtu jāinterpretē piesardzīgi, ņemot vērā, ka no 2021-2023 gadam bija novērojama augsta inflācija. Minētie dati ir norādīti tirgus (jeb tekošajās) cenās nevis salīdzināmās un šobrīd var tikt radīts maldīgs priekštats par ļoti strauju ekonomisko attīstību no 2021.g. - 2023.g.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sakārtot ziņojumā atšķirīgo attēlu un tabulu pieraksta formu ievērojot latviešu valodas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un vienādota attēlu un tabulu pieraksta forma.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105.lpp. ceturto rindkopu (attiecībā uz NAP uzdevumu [282]) par pašvaldību ieguldījumiem pasākumiem, lai pielāgotos klimata pārmaiņām) precizēt VARAM 19.01.2025. vēstulē Nr. P-1-13-1/242 “Par NAP2027 vidusposma izvērtējuma ziņojumu” piedāvātajā redakcijā. Norādām, ka ir būtiski ietvert norādi par ES fondu investīciju programmām, jo ES fondi ir vienīgie finanšu avoti, kas tiek izmantoti šādu pasākumu īstenošanā. Ņemot vērā minēto, aicinām 105. lpp. iekļauto ceturto rindkopu izteikt šādā redakcijā: "Ieviešot ES fondu investīciju programmu specifiski pasākumiem pašvaldībās, lai pielāgotos klimata pārmaiņām, pašvaldībās tiek izveidoti un atjaunoti zaļās un zilās infrastruktūras risinājumi, tāpat tiek īstenoti pielāgošanās klimata pārmaiņām pasākumi, piemēram, dzeramā ūdens piekļuves vietu izveidošana, krasta erozijas mazināšana, pilsētu lietus ūdens noteces sistēmu uzlabošana, tā risinot noteiktas klimata pārmaiņu izraisītas vides problēmas."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Pašvaldībās tiek attīstīti un atjaunoti zaļās un zilās infrastruktūras risinājumi, kā arī īstenoti pasākumi pielāgošanās klimata pārmaiņām. Tie ietver dzeramā ūdens piekļuves punktu izveidi, krasta erozijas mazināšanu, pilsētu lietusūdens noteces sistēmu uzlabošanu un citus preventīvus pasākumus, kas vērsti uz klimata pārmaiņu izraisīto vides problēmu mazināšanu, ieviešot Eiropas Savienības fondu investīciju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135. lpp. sesto rindkopu papildināt ar vārdu "piemēram", ņemot vērā VARAM 19.01.2025 vēstulē Nr. P-1-13-1/242 “Par NAP2027 vidusposma izvērtējuma ziņojumu” norādīto nepieciešamību plašākai elastībai, definējot atbilstošākos ekonomiskās atdeves rādītājus,  piemēram, saistībā ar programmām, kas plānotas jaunā ES fondu plānošanas perioda ietvarā. Vienlaikus tiek veikts arī Reģionālās politikas pamatnostādņu starpposma novērtējums, kura rezultātā sagaidāmi priekšlikumi par iespējamiem papildu ekonomiskās atdeves rādītājiem. Aicinām 135. lpp. sesto rindkopas otro teikumu izteikt šādā redakcijā: "Nepieciešams  ieviest rezultātos balstītu rādītāju sistēmu (“Results-based planning” un “Performance-based budgeting” principi), kur mērķu rādītāji tiek sasaistīti ar konkrētiem ekonomiskajiem rezultātiem - piemēram, radītām darbavietām, privāto investīciju apjomu, pieaugumu algu fondā un uzņēmumu noturību teritorijā, nevis ar infrastruktūras būvniecības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ieviest rezultātos balstītu rādītāju sistēmu (“Results-based planning” un “Performance-based budgeting” principi), kur mērķu rādītāji tiek sasaistīti ar konkrētiem ekonomiskajiem rezultātiem - piemēram, radītām darbavietām, privāto investīciju apjomu, pieaugumu algu fondā un uzņēmumu noturību teritorijā, nevis ar infrastruktūras būvniecības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128. lpp. pēdējo rindkopu izteikt VARAM 19.01.2025 vēstulē Nr. P-1-13-1/242 “Par NAP2027 vidusposma izvērtējuma ziņojumu” piedāvātajā redakcijā, vienlaikus veicot tajā arī tehniskus precizējumus: “ES kohēzijas politikas programmas 2021.–2027. gadam ietvaros tiek veiktas investīcijas uzņēmējdarbībai nepieciešamās publiskās infrastruktūras attīstībai 203 milj.  apjomā (no tiem 139,23 milj. eiro paredzēti no ERAF un 63,97 milj. eiro no Taisnīgas pārkārtošanās fonda finansējuma). Investīciju mērķis ir sakārtot un attīstīt uzņēmējdarbības publisko infrastruktūru, t.sk. attīstot uzņēmējdarbībai nepieciešamās ēkas un laukumus un uzlabojot satiksmes infrastruktūras un inženierkomunikāciju pieejamību, kā arī veicināt pāreju uz klimatneitrālu uzņēmējdarbības vidi, izmantojot energoefektīvus risinājumus un atjaunojamos resursus. Līdz 2025. gada beigām pašvaldībās ir noslēgti 72 līgumi par projektu īstenošanu 112,82 milj. eiro apmērā, un atlikušais finansējums tiek novirzīts jaunām projektu iesniegumu atlasēm. Plānots, ka šie ieguldījumi kopumā ļaus piesaistīt vismaz 109,5 milj. eiro privāto investīciju, radīs vismaz 486 jaunas darbavietas un palielinās darba samaksas fondu par vairāk nekā 60,24 milj. eiro. Kopumā no šīs infrastruktūras attīstības labumu gūs vismaz 79 uzņēmumi visos Latvijas reģionos, sekmējot līdzsvarotu ekonomisko izaugsmi ārpus Rīgas."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kohēzijas politikas programmas 2021.–2027. gadam ietvaros tiek veiktas investīcijas uzņēmējdarbībai nepieciešamās publiskās infrastruktūras attīstībai 203 milj.  apjomā (no tiem 139,23 milj. eiro paredzēti no ERAF un 63,97 milj. eiro no Taisnīgas pārkārtošanās fonda finansējuma). Investīciju mērķis ir sakārtot un attīstīt uzņēmējdarbības publisko infrastruktūru, t.sk. attīstot uzņēmējdarbībai nepieciešamās ēkas un laukumus un uzlabojot satiksmes infrastruktūras un inženierkomunikāciju pieejamību, kā arī veicināt pāreju uz klimatneitrālu uzņēmējdarbības vidi, izmantojot energoefektīvus risinājumus un atjaunojamos resursus. Līdz 2025. gada beigām pašvaldībās ir noslēgti 72 līgumi par projektu īstenošanu 112,82 milj. eiro apmērā, un atlikušais finansējums tiek novirzīts jaunām projektu iesniegumu atlasēm. Plānots, ka šie ieguldījumi kopumā ļaus piesaistīt vismaz 109,5 milj. eiro privāto investīciju, radīs vismaz 486 jaunas darbavietas un palielinās darba samaksas fondu par vairāk nekā 60,24 milj. eiro. Kopumā no šīs infrastruktūras attīstības labumu gūs vismaz 79 uzņēmumi visos Latvijas reģionos, sekmējot līdzsvarotu ekonomisko izaugsmi ārpus Rīgas."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128. lpp. trešo rindkopu izteikt VARAM 19.01.2025 vēstulē Nr. P-1-13-1/242 “Par NAP2027 vidusposma izvērtējuma ziņojumu” piedāvātajā redakcijā, tādejādi korekti atspoguļojot informāciju par noslēgto vienošanos finansējumu un sasniedzamo rādītāju apmēru: "Uzņēmējdarbībai nepieciešamās publiskās infrastruktūras attīstībai pašvaldībās 2025. gada beigās ir noslēgtas vienošanās par projektu īstenošanu, izmantojot ES Atveseļošanas un noturības mehānisma finansējumu vairāk kā 67,12 milj. </w:t>
            </w:r>
            <w:r w:rsidR="00000000" w:rsidRPr="00000000" w:rsidDel="00000000">
              <w:rPr>
                <w:i w:val="1"/>
                <w:rtl w:val="0"/>
              </w:rPr>
              <w:t xml:space="preserve">euro</w:t>
            </w:r>
            <w:r w:rsidR="00000000" w:rsidRPr="00000000" w:rsidDel="00000000">
              <w:rPr>
                <w:rtl w:val="0"/>
              </w:rPr>
              <w:t xml:space="preserve"> apmērā, kā rezultātā tiks piesaistītas komersantu nefinanšu investīcijas vismaz 85 milj. </w:t>
            </w:r>
            <w:r w:rsidR="00000000" w:rsidRPr="00000000" w:rsidDel="00000000">
              <w:rPr>
                <w:i w:val="1"/>
                <w:rtl w:val="0"/>
              </w:rPr>
              <w:t xml:space="preserve">euro</w:t>
            </w:r>
            <w:r w:rsidR="00000000" w:rsidRPr="00000000" w:rsidDel="00000000">
              <w:rPr>
                <w:rtl w:val="0"/>
              </w:rPr>
              <w:t xml:space="preserve"> apmērā, kas dos iespēju radīt ar augstu pievienoto vērtību un uz eksportu orientētas jaunas darbavietas Projektu īstenošanas rezultātā tiks izveidoti četri nacionālas nozīmes industriālie parki reģionos:"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"Uzņēmējdarbībai nepieciešamās publiskās infrastruktūras attīstībai pašvaldībās 2025. gada beigās ir noslēgtas vienošanās par projektu īstenošanu, izmantojot ES Atveseļošanas un noturības mehānisma finansējumu vairāk kā 67,12 milj. euro apmērā, kā rezultātā tiks piesaistītas komersantu nefinanšu investīcijas vismaz 85 milj. euro apmērā, kas dos iespēju radīt ar augstu pievienoto vērtību un uz eksportu orientētas jaunas darbavietas Projektu īstenošanas rezultātā tiks izveidoti četri nacionālas nozīmes industriālie parki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Izsakām priekšlikumu pirms 160. lapas otrās rindkopas </w:t>
            </w:r>
            <w:r w:rsidR="00000000" w:rsidRPr="00000000" w:rsidDel="00000000">
              <w:rPr>
                <w:rtl w:val="0"/>
              </w:rPr>
              <w:t xml:space="preserve">("Pārskata periodā NEPLP organizējusi 9 tiešsaistes apmācības mediju profesionāļiem par tādām tēmām kā dezinformācijas veidi Latvijā, manipulācijas ar attēliem un video, datu pratība, dezinformācijas kampaņas, mediji un uzticēšanās, medijpratība un drošība, kognitīvā karadarbība, hibrīdkara tehnikas, mākslīgais intelekts un mediji u.c. 2023. gadā tā atklāja Latvijas Medijpratības datubāzi.") </w:t>
            </w:r>
            <w:r w:rsidR="00000000" w:rsidRPr="00000000" w:rsidDel="00000000">
              <w:rPr>
                <w:b w:val="1"/>
                <w:rtl w:val="0"/>
              </w:rPr>
              <w:t xml:space="preserve">iekļaut sekojošu papildrindkopu:</w:t>
            </w:r>
            <w:r w:rsidR="00000000" w:rsidRPr="00000000" w:rsidDel="00000000">
              <w:rPr>
                <w:rtl w:val="0"/>
              </w:rPr>
              <w:t xml:space="preserve"> "Lai stiprinātu Latvijas diasporas noturību un veicinātu tās spēju pretoties informācijas manipulācijām un dezinformācijai, kā arī paust starptautiski Latvijas vēstījumus mītnes zemes medijiem un sabiedrībai, 2025. gada septembrī tika izveidota Sabiedrības noturības, stratēģiskās komunikācijas un mediju darba grupa, kurā gan darbojas gan diasporas organizācijas, gan diasporas žurnālisti, gan atbildīgie valsts pārvaldes iestāžu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Latvijas diasporas noturību un veicinātu tās spēju pretoties informācijas manipulācijām un dezinformācijai, kā arī paust starptautiski Latvijas vēstījumus mītnes zemes medijiem un sabiedrībai, 2025. gada septembrī tika izveidota Sabiedrības noturības, stratēģiskās komunikācijas un mediju darba grupa, kurā gan darbojas gan diasporas organizācijas, gan diasporas žurnālisti, gan atbildīgie valsts pārvaldes iestāžu darbinieki."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Latvijas diasporas noturību un veicinātu tās spēju pretoties informācijas manipulācijām un dezinformācijai, kā arī paust starptautiski Latvijas vēstījumus mītnes zemes medijiem un sabiedrībai, 2025. gada septembrī tika izveidota Sabiedrības noturības, stratēģiskās komunikācijas un mediju darba grupa, kurā gan darbojas gan diasporas organizācijas, gan diasporas žurnālisti, gan atbildīgie valsts pārvaldes iestāžu darbinieki."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Izsakām priekšlikumu 153. lapas 3. rindkopu:</w:t>
            </w:r>
            <w:r w:rsidR="00000000" w:rsidRPr="00000000" w:rsidDel="00000000">
              <w:rPr>
                <w:rtl w:val="0"/>
              </w:rPr>
              <w:t xml:space="preserve"> "ĀM koordinē diasporas saliedētības iniciatīvas, atbilstoši Diasporas likumā paredzēto un ar saturisku atbalstu no Diasporas konsultatīvās padomes (DKP), kurā sadarbojas valsts iestādes, pašvaldības un diasporas organizācijas. Starp ievērojamākām iniciatīvām ir ĀM diasporas grantu projektu konkursi, kuru rezultātā ar vidēji aptuveni 150 000 eiro gadā, ik gadu latvietību stiprinājušas ap 50 diasporas organizācijas gandrīz 30 pasaules valstīs."</w:t>
            </w:r>
            <w:r w:rsidR="00000000" w:rsidRPr="00000000" w:rsidDel="00000000">
              <w:rPr>
                <w:b w:val="1"/>
                <w:rtl w:val="0"/>
              </w:rPr>
              <w:t xml:space="preserve">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"ĀM koordinē diasporas saliedētības iniciatīvas, atbilstoši Diasporas likumā paredzēto un ar saturisku atbalstu no Diasporas konsultatīvās padomes (DKP), kurā sadarbojas valsts iestādes, pašvaldības un diasporas organizācijas. Starp ievērojamākajām iniciatīvām ir ĀM diasporas atbalsta projektu programma, kuras rezultātā ar vidēji aptuveni 122 000 eiro gadā, ik gadu latvietību stiprinājušas ap 46 diasporas organizācijas 26 pasaules 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"ĀM koordinē diasporas saliedētības iniciatīvas, atbilstoši Diasporas likumā paredzēto un ar saturisku atbalstu no Diasporas konsultatīvās padomes (DKP), kurā sadarbojas valsts iestādes, pašvaldības un diasporas organizācijas. Starp ievērojamākajām iniciatīvām ir ĀM diasporas atbalsta projektu programma, kuras rezultātā ar vidēji aptuveni 122 000 eiro gadā, ik gadu latvietību stiprinājušas ap 46 diasporas organizācijas 26 pasaules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ĀM koordinē diasporas saliedētības iniciatīvas, atbilstoši Diasporas likumā paredzēto un ar saturisku atbalstu no Diasporas konsultatīvās padomes (DKP), kurā sadarbojas valsts iestādes, pašvaldības un diasporas organizācijas. Starp ievērojamākajām iniciatīvām ir ĀM diasporas atbalsta projektu programma, kuras rezultātā ar vidēji aptuveni 122 000 eiro gadā, ik gadu latvietību stiprinājušas ap 46 diasporas organizācijas 26 pasaules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Izsakām priekšlikumu 85. lapas 3. rindkopu</w:t>
            </w:r>
            <w:r w:rsidR="00000000" w:rsidRPr="00000000" w:rsidDel="00000000">
              <w:rPr>
                <w:rtl w:val="0"/>
              </w:rPr>
              <w:t xml:space="preserve"> "Ārlietu ministrija kā atbildīgā par diasporas politiku ir izveidojusi Diasporas konsultatīvo padomi, kuras viens no uzdevumiem ir sekmēt remigrācijas politikas attīstību, iekļaujot gan valsts pārvaldes, gan diasporas organizāciju, gan nevalstiskā sektora pārstāvjus. Lai veicinātu diasporas uzņēmēju investīcijas Latvijā, veidotu kontaktus Latvijas platformas uzņēmumiem ar citu valstu līdzīgu biznesa jomu pārstāvjiem, reizi divos gados notiek Pasaules latviešu ekonomikas un inovāciju forums (PLEIF), kas 2023. gadā pulcēja 500 diasporas uzņēmējus no 25 valstīm." </w:t>
            </w:r>
            <w:r w:rsidR="00000000" w:rsidRPr="00000000" w:rsidDel="00000000">
              <w:rPr>
                <w:b w:val="1"/>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kā atbildīgā par diasporas politiku ir izveidojusi Diasporas konsultatīvo padomi (DKP), kuras viens no uzdevumiem ir sekmēt remigrācijas politikas attīstību, iekļaujot gan valsts pārvaldes, gan diasporas organizāciju, gan nevalstiskā sektora pārstāvjus. DKP sastāvā kā viena no trīs darba grupām darbojas Remigrācijas koordinācijas darba grupa, kura sniedz priekšlikumus, konsultē politikas veidotājus par remigrantiem nozīmīgiem jautājumiem.  Lai veicinātu diasporas uzņēmēju investīcijas Latvijā, veidotu kontaktus Latvijas platformas uzņēmumiem ar citu valstu līdzīgu biznesa jomu pārstāvjiem, reizi divos gados notiek Pasaules latviešu ekonomikas un inovāciju forums (PLEIF), kas 2025. gadā pulcēja 618 dalībniekus klātienē un 842 – attālināti. 2024. gadā noorganizēti trīs biznesa forumi Eiropas diasporas organizācijām ar mērķi piesaistīt diasporas uzņēmējus Latvijas tautsaimniecības attīstībai. 2025. gadā tika organizēts ceturtais “Starptautiskajās organizācijās strādājošo Latvijas profesionāļu forums” ar mērķi nodrošināt kontaktus, pieredzes un zināšanu apmaiņu ar Latvijas ekspertiem. Forumā piedalījās 108 eksperti no vismaz 14 starptautiskām organizācijām. Pārskata periodā uzsākts darbs pie 2026. gadā plānotajiem trim biznesa forumiem “Latvija fokusā” Eiropas diasporas organizācijās ar mērķi piesaistīt diasporas uzņēmējus Latvijas tautsaimniecības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kā atbildīgā par diasporas politiku ir izveidojusi Diasporas konsultatīvo padomi (DKP), kuras viens no uzdevumiem ir sekmēt remigrācijas politikas attīstību, iekļaujot gan valsts pārvaldes, gan diasporas organizāciju, gan nevalstiskā sektora pārstāvjus. DKP sastāvā kā viena no trīs darba grupām darbojas Remigrācijas koordinācijas darba grupa, kura sniedz priekšlikumus, konsultē politikas veidotājus par remigrantiem nozīmīgiem jautājumiem.  Lai veicinātu diasporas uzņēmēju investīcijas Latvijā, veidotu kontaktus Latvijas platformas uzņēmumiem ar citu valstu līdzīgu biznesa jomu pārstāvjiem, reizi divos gados notiek Pasaules latviešu ekonomikas un inovāciju forums (PLEIF), kas 2025. gadā pulcēja 618 dalībniekus klātienē un 842 – attālināti. 2024. gadā noorganizēti trīs biznesa forumi Eiropas diasporas organizācijām ar mērķi piesaistīt diasporas uzņēmējus Latvijas tautsaimniecības attīstībai. 2025. gadā tika organizēts ceturtais “Starptautiskajās organizācijās strādājošo Latvijas profesionāļu forums” ar mērķi nodrošināt kontaktus, pieredzes un zināšanu apmaiņu ar Latvijas ekspertiem. Forumā piedalījās 108 eksperti no vismaz 14 starptautiskām organizācijām. Pārskata periodā uzsākts darbs pie 2026. gadā plānotajiem trim biznesa forumiem “Latvija fokusā” Eiropas diasporas organizācijās ar mērķi piesaistīt diasporas uzņēmējus Latvijas tautsaimniecības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kā atbildīgā par diasporas politiku ir izveidojusi Diasporas konsultatīvo padomi, kuras remigrācijas koordinācijas darba grupā iekļauti valsts pārvaldes, diasporas organizāciju, un citi pārstāvji. Lai veicinātu diasporas uzņēmēju investīcijas Latvijā, reizi divos gados notiek Pasaules latviešu ekonomikas un inovāciju forums (PLEIF), kas 2025. gadā pulcēja 618 dalībniekus klātienē un 842 – attālināti. 2024. gadā noorganizēti trīs biznesa forumi Eiropas diasporas organizācijām ar mērķi piesaistīt diasporas uzņēmējus Latvijas tautsaimniecības attīstībai. 2025. gadā  4.  Starptautiskajās organizācijās strādājošo Latvijas profesionāļu forums pulcēja 108 ekspertus no vismaz 14 starptautiskām organizācijām. Uzsākts darbs pie 2026. gadā plānotajiem trim biznesa forumiem “Latvija fokusā”.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135.lpp. teikumu "Izstrādāt lauku attīstības stratēģiju, kas nodrošina vienotu pieeju lauku teritoriju problēmu risināšanā un nosaka dažādu nozaru politiku koordināciju un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lauku attīstības stratēģiju </w:t>
            </w:r>
            <w:r w:rsidR="00000000" w:rsidRPr="00000000" w:rsidDel="00000000">
              <w:rPr>
                <w:b w:val="1"/>
                <w:rtl w:val="0"/>
              </w:rPr>
              <w:t xml:space="preserve">reģionālās politikas ietvaros</w:t>
            </w:r>
            <w:r w:rsidR="00000000" w:rsidRPr="00000000" w:rsidDel="00000000">
              <w:rPr>
                <w:rtl w:val="0"/>
              </w:rPr>
              <w:t xml:space="preserve">, kas nodrošina vienotu pieeju lauku teritoriju problēmu risināšanā un nosaka dažādu nozaru politiku koordināciju un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lauku attīstības stratēģiju reģionālās politikas ietvaros, kas nodrošina vienotu pieeju lauku teritoriju problēmu risināšanā un nosaka dažādu nozaru politiku koordināciju un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135.lpp. ar skaidrojumu, kas domāts ar integrētu mobilitātes pieejamības modeli.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izdzēšot teikumu: “Veidot integrētu mobilitātes pieejamības modeli (piekļuve darbavietām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168. lapā (NAP uzdevums [429]) norādīts, ka jāatzīmē arī Iekšlietu ministrijas paveiktais, kam ir labvēlīga ietekme uz uzdevuma sasniegšanu. Tostarp ir paaugstināta atlīdzība IeM sistēmas iestāžu, IeVP amatpersonām ar speciālajām dienesta pakāpēm (amatpersonas), kā arī </w:t>
            </w:r>
            <w:r w:rsidR="00000000" w:rsidRPr="00000000" w:rsidDel="00000000">
              <w:rPr>
                <w:u w:val="single"/>
                <w:rtl w:val="0"/>
              </w:rPr>
              <w:t xml:space="preserve">VID Nodokļu un muitas policijas pārvaldē</w:t>
            </w:r>
            <w:r w:rsidR="00000000" w:rsidRPr="00000000" w:rsidDel="00000000">
              <w:rPr>
                <w:rtl w:val="0"/>
              </w:rPr>
              <w:t xml:space="preserve">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skaidrs rindkopā norādītais par Iekšlietu ministrijas paveikto attiecībā uz VID Nodokļu un muitas policijas pārvaldes nodarbināto atlīdzību. Lūdzam precizēt. Vienlaikus informējam, ka no 2026.gada 1.janvāra Nodokļu un muitas policija ir atsevišķa iestāde Iekšlietu ministrijas resorā (nevis VID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informatīvā ziņojuma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redakcionālus prcizējumus 134.-135.lpp. rindkopā: "Izvērtēt iespējas izveidot pastāvīgu reģionālās izaugsmes investīciju fondu, kas nodrošina stabilu un nepārtrauktu investīciju plūsmu reģioniem neatkarīgi no ES fondu cikliem. Fonda mehānisms jāveido apvienojot subsīdijas ar izdevīgākiem kredīta nosacījumiem, privāto sektoru, ārvalstu investīcijām, attīstības shēmām un inovatīviem finanšu instrumentiem, t.sk. veidojot uz IIN pieaugumu  balstītu  modeli. Fonds būtu instruments, kur projektos tiek finansēta rezultāta sasniegšana, nevis process, piemēram, atbalsts projektiem tiek piešķirts, ja prognozētie nodokļi 3–5 gados pārsniedz investīciju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iespējas izveidot pastāvīgu reģionālās izaugsmes investīciju fondu, kas nodrošina stabilu un nepārtrauktu investīciju plūsmu reģioniem neatkarīgi no ES fondu cikliem. Fonda mehānisma</w:t>
            </w:r>
            <w:r w:rsidR="00000000" w:rsidRPr="00000000" w:rsidDel="00000000">
              <w:rPr>
                <w:b w:val="1"/>
                <w:rtl w:val="0"/>
              </w:rPr>
              <w:t xml:space="preserve"> kontekstā jāapsver tā veidošana</w:t>
            </w:r>
            <w:r w:rsidR="00000000" w:rsidRPr="00000000" w:rsidDel="00000000">
              <w:rPr>
                <w:rtl w:val="0"/>
              </w:rPr>
              <w:t xml:space="preserve">,  apvienojot subsīdijas ar izdevīgākiem kredīta nosacījumiem, privāto sektoru, ārvalstu investīcijām, attīstības shēmām un inovatīviem finanšu instrumentiem, t.sk. veidojot uz IIN pieaugumu  balstītu  modeli. Fonds </w:t>
            </w:r>
            <w:r w:rsidR="00000000" w:rsidRPr="00000000" w:rsidDel="00000000">
              <w:rPr>
                <w:b w:val="1"/>
                <w:rtl w:val="0"/>
              </w:rPr>
              <w:t xml:space="preserve">varētu būt</w:t>
            </w:r>
            <w:r w:rsidR="00000000" w:rsidRPr="00000000" w:rsidDel="00000000">
              <w:rPr>
                <w:rtl w:val="0"/>
              </w:rPr>
              <w:t xml:space="preserve"> instruments, kur projektos tiek finansēta rezultāta sasniegšana, nevis process, piemēram, atbalsts projektiem tiek piešķirts, ja prognozētie nodokļu </w:t>
            </w:r>
            <w:r w:rsidR="00000000" w:rsidRPr="00000000" w:rsidDel="00000000">
              <w:rPr>
                <w:b w:val="1"/>
                <w:rtl w:val="0"/>
              </w:rPr>
              <w:t xml:space="preserve">ieņēmumi</w:t>
            </w:r>
            <w:r w:rsidR="00000000" w:rsidRPr="00000000" w:rsidDel="00000000">
              <w:rPr>
                <w:rtl w:val="0"/>
              </w:rPr>
              <w:t xml:space="preserve"> 3–5 gados pārsniedz investīciju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ņemot vērā arī FM izteiktos iebildumus,  priekšlikumu izsakot šādā redakcijā: “Izvērtēt iespējas izveidot pastāvīgu reģionālās izaugsmes investīciju fondu ar rezultātos balstītu finansēšanas pieeju, nodrošinot stabilu investīciju plūsmu neatkarīgi no ES fondu cikliem. Fonda darbība tiktu balstīta uz grantu, aizdevumu un privātā kapitāla sinerģiju. Atbalsts projektiem tiktu piesaistīts, pamatojoties uz pozitīvu kopējo fiskālo ietekmi un ekonomiskās aktivitātes pieaugumu, ko raksturo jaunu darba vietu radīšana un bruto darba samaksas fonda palielinājums noteiktā periodā pēc investīciju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157.lpp teikumu: Latvijas mediju politikas pamatnostādnes 2024.-2027. gadam nosaka latviešu valodas lietojuma stiprināšanu mediju saturā, tostarp ar Mediju atbalsta fonda (MAF)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oktobrī MK tika apstiprinātas Latvijas mediju politikas pamatnostādnes 2024.-2027. gadam, viens no uzdevumiem informatīvās telpas stiprināšanai ir veicināt latviešu valodas lietojumu mediju saturā, tostarp Mediju atbalsta fonda (MAF)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mainīta teksta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Latvijas mediju politikas pamatnostādņu 2024.-2027. gadam uzdevumiem uzdevumiem informatīvās telpas stiprināšanai ir latviešu valodas lietojumu paplašināšana mediju saturā, tostarp Mediju atbalsta fonda (MAF)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158.lpp. Nacionālajiem un komerciālajiem elektroniskās plašsaziņas līdzekļiem tiek paplašināts latviešu valodas lietojums. - Nav elektroniskās plašsaziņas līdzekļi, ir elektroniskie plašsaziņas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Vairākās vietās (59.-61., 66.-67., 71.-72., 74. un 75.-75. lpp.) teksts ir pelēkā krāsā. Šajā tekstā ir arī viens nesanumurēts attēls.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attiecīgas korekcija ziņojuma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w:t>
            </w:r>
            <w:r w:rsidR="00000000" w:rsidRPr="00000000" w:rsidDel="00000000">
              <w:rPr>
                <w:b w:val="1"/>
                <w:rtl w:val="0"/>
              </w:rPr>
              <w:t xml:space="preserve">NAP uzdevums [286] paredz zemes dzīļu resursu apzināšanu, kā vietējo resursu ilgtspējīgu apsaimniekošanu un pārvaldīšanu</w:t>
            </w:r>
            <w:r w:rsidR="00000000" w:rsidRPr="00000000" w:rsidDel="00000000">
              <w:rPr>
                <w:rtl w:val="0"/>
              </w:rPr>
              <w:t xml:space="preserve"> ar informāciju par 2025. gada 3. aprīļa grozījumiem likumā "Par zemes dzīlēm", kas paredz administratīvā sloga mazināšanu derīgo izrakteņu jomā. Ar 2025. gada 1. jūliju vairs netiek izsniegtas dabas resursu lietošanas atļaujas, ar 2026. gada 1. jūliju pašvaldības vairs neizsniedz bieži sastopamo derīgo izrakteņu ieguves atļaujas, kā arī kopumā ir efektivizēta ar derīgo izrakteņu ieguvi saistītās iesniedzamās dokumentācijas kārtība un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iekļautā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3. aprīļa grozījumiem likumā “Par zemes dzīlēm” valdība ir īstenojusi nozīmīgu soli administratīvā sloga mazināšanā derīgo izrakteņu ieguves jomā. Grozījumi paredz būtisku atvieglotu procedūru ieviešanu: no 2025. gada 1. jūlija vairs netiek izsniegtas dabas resursu lietošanas atļaujas, savukārt no 2026. gada 1. jūlija pašvaldībām vairs nebūs jāizsniedz bieži sastopamo derīgo izrakteņu ieguves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157.lpp. Apmaksāta priekšvēlēšanu aģitācija publiskajos plašsaziņas līdzekļos veicama valsts valodā (t.sk.latgaliešu rakstu valodā) vai lībiešu valodā. - Termins publiskie plašsaziņas līdzekļi netiek izmantots, ir sabiedriskie vai komerciālie (elektroniskie) plašsaziņas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157.lpp  Teikums "Mediju vidē sabiedrisko elektronisko plašsaziņas līdzekļi drīkst raidīt svešvalodu raidījumiem tikai vienā radio un vienā televīzijas programmā (vai daļā)." ir gramatiski nepareizs un lieks, jo iepriekšējā rindkopa jau paskaidro to pašu: Atbilstoši Sabiedrisko elektronisko plašsaziņas līdzekļu un to pārvaldības likumam, sabiedriskais elektroniskais plašsaziņas līdzeklis savu programmu veido valsts valodā. Ja sabiedriskais medijs veido vairākas programmas, tad vienu radio un vienu televīzijas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vai daļu vienas radio un vienas televīzijas programmas raidlaika var atvēlēt raidījumiem svešvalodās.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 izsaka priekšlikumu/ierosinājumu precizēt vienu no priekšlikumiem Ziņojuma 99.lpp., papildinot to ar Nodokļu un muitas policiju: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starpinstitucionālo sadarbību starp VID, FID, Valsts policiju, Nodokļu un muitas policiju un prokuratūru, lai samazinātu finanšu noziegumu riskus un uzlabotu uzraudzības 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starpinstitucionālo sadarbību starp VID, FID, Valsts policiju, Nodokļu un muitas policiju un prokuratūru, lai samazinātu finanšu noziegumu riskus un uzlabotu uzraudzības 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teikuma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SIF administrētas valsts budžeta Mediju atbalsta fonda (MAF) programmu ietvaros noslēgti vairāk nekā 420 līgumi ar komerciālajiem un nekomerciālajiem medijiem par kopējo summu 19,1 milj. eiro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-sabiedriski nozīmīga satura veidošanu un nacionālās kultūrtelpas stiprināšanu latviešu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valodā (gan nacionālā, gan reģionālā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vietējo un diasporas mediju atbalstu (tostarp savstarpējai sadarbībai, kā arī Latgales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ziņu un novada televīzijas sižetu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-specifiskām mērķa grupām (diaspora, personas ar invaliditāti) un mediju kritikas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-vēlēšanu diskusiju nodrošināšanu elektroniskajos plašsaziņas līdzekļos,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SIF administrēto valsts budžeta Mediju atbalsta fonda (MAF) programmu ietvaros apstiprināti vairāk nekā 500 projekti ar kopējo finansējumu 19 miljonu euro apmērā, tostarp atbalstot: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-sabiedriski nozīmīga satura veidošanu un nacionālās kultūrtelpas stiprināšanu latviešu valodā (gan nacionālā, gan reģionālā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reģiona mediju ziņu un informatīvi analītiskā satura radīšanas kapacitātes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ziņu un novada televīzijas sižetu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-sabiedriski nozīmīga satura veidošanu latviešu valodā tematiskajās kategorijās (piemēram, satura veidošana diasporai, personām ar invaliditāti, un mediju kritikas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-vēlēšanu diskusiju nodrošināšanu elektroniskajos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teksta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SIF administrēto valsts budžeta Mediju atbalsta fonda (MAF) programmu ietvaros apstiprināti vairāk nekā 500 projekti ar kopējo finansējumu 19 miljonu euro apmērā, tostarp atbalstot: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-sabiedriski nozīmīga satura veidošanu un nacionālās kultūrtelpas stiprināšanu latviešu valodā (gan nacionālā, gan reģionālā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reģiona mediju ziņu un informatīvi analītiskā satura radīšanas kapacitātes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ziņu un novada televīzijas sižetu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-sabiedriski nozīmīga satura veidošanu latviešu valodā tematiskajās kategorijās (piemēram, satura veidošana diasporai, personām ar invaliditāti, un mediju kritikas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-vēlēšanu diskusiju nodrošināšanu elektroniskajos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domāts ar 166.lpp. minēto redakciju saistībā ar rīcības virziena “Tehnoloģiskā vide un pakalpojumi” [316] uzdevumu, kuras ietvaros VARAM nodrošina pāreju uz digitālajiem valsts un pašvaldību vienotiem klientu apkalpošanas pakalpojumiem (tādu 2025.gadā ir ap 600).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izdzēšot teikumu: ”Uzdevums saistīts ar rīcības virzienu “Tehnoloģiskā vide un pakalpojumi” [316] uzdevumu, kuras ietvaros VARAM nodrošina pāreju uz digitālajiem valsts un pašvaldību vienotiem klientu apkalpošanas pakalpojumiem (tādu 2025.gadā ir ap 600), nodrošina digitālās pamatprasmes iedzīvotājiem, un IKT risinājumus pārvaldības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136.lpp. pēdējā secinājuma pirmo teikumu: "Definēt skaidru publisko pakalpojumu pieejamības standartu visā teritorijā", jo jāņem vērā teritoriālās atšķirības un pašvaldību autonomija pakalpojumu organizēšanā.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dzēsts teikums “Definēt skaidru publisko pakalpojumu pieejamības standartu visā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2026.gadā valstī ir 315 VPVKAC, tādēļ lūdzam labot informāciju 134.lpp.,precizējot skaitli "279" uz skaitli "315".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lielākais klientu apkalpošanas tīkls valstī ar kopā 315 centriem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lielākais klientu apkalpošanas tīkls valstī ar kopā 315 centriem (t.sk. 128 centriem bibliotēkās) 35 pašvaldībās, kas nodrošina iedzīvotājiem ērtu piekļuvi valsts un pašvaldību pakalpojumiem neatkarīgi no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142.lpp. ietverto priekšlikumu "Mērķtiecīgāk saskaņot mājokļu politiku ar reģionālo attīstību, stiprinot pašvaldību kapacitāti, pilnveidojot teritorijas plānošanu un veidojot mājokļu piedāvājumu vietās, kur attīstās uzņēmējdarbība un pieaug darbavietu skaits.", norādām, ka mājokļu piedāvājums ir būtisks arī teritorijām, kurās nepieciešams noturēt un piesaistīt iedzīvotājus, ņemot vērā, ka tas ir viens no būtiskiem teritorijas pievilcību nosakošiem faktoriem, t.sk. saskaņā ar OECD atziņām (OECD, 2025, Reģionu pievilcības pārskatīšana Latgales reģionā, Latvijā). Aicinām attiecīgi precizēt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izsakot priekšlikumu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"Mērķtiecīgāk saskaņot mājokļu politiku ar reģionālo attīstību, stiprinot pašvaldību kapacitāti un pilnveidojot teritorijas plānošanu, lai nodrošinātu atbilstošu mājokļu piedāvājumu gan teritorijās ar pieaugošu darbavietu skaitu, gan teritorijās, kur mājokļu pieejamība ir būtisks priekšnosacījums iedzīvotāju noturēšanai un teritorijas pievilcības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Prioritātes "Kvalitatīva dzīves vide un teritoriju attīstība" tabulā Nr. 15 mērķa indikatoram (271) SEG emisiju intensitāte; t CO2 ekv /milj. euro aktualizēt datus pie Aktualizētā vērtība uz vērtību 305 par 2023.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indikatora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NAP uzdevumu [287], kurš paredz radīto atkritumu un apglabājamo atkritumu apjoma samazināšanu, kā arī augstāku atkritumu pārstrādes īpatsvaru, ar sekojošu informāciju: Azbests ir videi un cilvēku veselībai bīstams materiāls, kura pareiza savākšana un izņemšana no apkārtējās vides ir būtiska, lai novērstu tā kaitīgo šķiedru izplatīšanos. Ar Latvijas Vides aizsardzības fonda finansiālu atbalstu 2025.gadā īstenota Azbesta atbalsta programma, savācot un droši apsaimniekojot atkritumu poligonos 684,41 tonnas azbestu saturoša šīfera, kā arī sniedzot atbalstu 260 Latvijas Goda ģimenēm. Azbesta atbalsta programma ir turpinājums 2024.gadā īstenotam pilotprojektam, kas īstenots LIFE integrētā projekta “Atkritumi kā resursi Latvijā – Reģionālās ilgtspējas un aprites veicināšana, ieviešot atkritumu kā resursu izmantošanas koncepciju”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“Azbests ir videi un cilvēku veselībai bīstams materiāls, kura pareiza savākšana un izņemšana no apkārtējās vides ir būtiska, lai novērstu tā kaitīgo šķiedru izplatīšanos. Ar Latvijas Vides aizsardzības fonda finansiālu atbalstu 2025.gadā īstenota Azbesta atbalsta programma, savācot un droši apsaimniekojot atkritumu poligonos 684,41 tonnas azbestu saturoša šīfera, kā arī sniedzot atbalstu 260 Latvijas Goda ģimenēm. Azbesta atbalsta programma ir turpinājums 2024.gadā īstenotam pilotprojektam, kas īstenots LIFE integrētā projekta “Atkritumi kā resursi Latvijā – Reģionālās ilgtspējas un aprites veicināšana, ieviešot atkritumu kā resursu izmantošanas koncepciju”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tekstu pie </w:t>
            </w:r>
            <w:r w:rsidR="00000000" w:rsidRPr="00000000" w:rsidDel="00000000">
              <w:rPr>
                <w:i w:val="1"/>
                <w:rtl w:val="0"/>
              </w:rPr>
              <w:t xml:space="preserve">NAP uzdevuma [287] paredz radīto atkritumu un apglabājamo atkritumu apjoma samazināšanu, kā arī augstāku atkritumu pārstrādes īpatsvaru</w:t>
            </w:r>
            <w:r w:rsidR="00000000" w:rsidRPr="00000000" w:rsidDel="00000000">
              <w:rPr>
                <w:rtl w:val="0"/>
              </w:rPr>
              <w:t xml:space="preserve">. 109. un 110.lpp.: "Plānā ietverta arī atkritumu rašanās novēršanas valsts programma, tostarp ziedošanas mehānismu pilnveidošanas instrumenti. Paralēli tiek īstenotas sabiedrības informēšanas un izglītošanas kampaņas, lai veicinātu sabiedrības uzvedības maiņu un izpratni par atkritumu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Īstenota atkritumu apsaimniekošanas reģionu reforma, pārejot no 10 uz 5 reģioniem, lai uzlabotu sistēmas efektivitāti un nodrošinātu mērķtiecīgu investīciju plānošanu un infrastruktūras attīstību. Attīstīti priekšnosacījumi pārstrādes kapacitātes palielināšanai, tostarp veicinot kompostēšanas, biogāzes ieguves un atkritumu reģenerācijas tehnoloģiju ieviešanu." </w:t>
            </w:r>
            <w:r w:rsidR="00000000" w:rsidRPr="00000000" w:rsidDel="00000000">
              <w:rPr>
                <w:b w:val="1"/>
                <w:rtl w:val="0"/>
              </w:rPr>
              <w:t xml:space="preserve">Pirms vārdiem "rašanās" un "ziedojumu" ievietot vārdu "pārtikas" un vārdu "reģenerācijas" aizstāt ar vārdu "šķirošanas".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ietverta arī </w:t>
            </w:r>
            <w:r w:rsidR="00000000" w:rsidRPr="00000000" w:rsidDel="00000000">
              <w:rPr>
                <w:u w:val="single"/>
                <w:rtl w:val="0"/>
              </w:rPr>
              <w:t xml:space="preserve">pārtikas</w:t>
            </w:r>
            <w:r w:rsidR="00000000" w:rsidRPr="00000000" w:rsidDel="00000000">
              <w:rPr>
                <w:rtl w:val="0"/>
              </w:rPr>
              <w:t xml:space="preserve"> atkritumu rašanās novēršanas valsts programma, tostarp </w:t>
            </w:r>
            <w:r w:rsidR="00000000" w:rsidRPr="00000000" w:rsidDel="00000000">
              <w:rPr>
                <w:u w:val="single"/>
                <w:rtl w:val="0"/>
              </w:rPr>
              <w:t xml:space="preserve">pārtikas</w:t>
            </w:r>
            <w:r w:rsidR="00000000" w:rsidRPr="00000000" w:rsidDel="00000000">
              <w:rPr>
                <w:rtl w:val="0"/>
              </w:rPr>
              <w:t xml:space="preserve"> ziedošanas mehānismu pilnveidošanas instrumenti. Paralēli tiek īstenotas sabiedrības informēšanas un izglītošanas kampaņas, lai veicinātu sabiedrības uzvedības maiņu un izpratni par atkritumu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Īstenota atkritumu apsaimniekošanas reģionu reforma, pārejot no 10 uz 5 reģioniem, lai uzlabotu sistēmas efektivitāti un nodrošinātu mērķtiecīgu investīciju plānošanu un infrastruktūras attīstību. Attīstīti priekšnosacījumi pārstrādes kapacitātes palielināšanai, tostarp veicinot kompostēšanas, biogāzes ieguves un atkritumu </w:t>
            </w:r>
            <w:r w:rsidR="00000000" w:rsidRPr="00000000" w:rsidDel="00000000">
              <w:rPr>
                <w:strike w:val="1"/>
                <w:rtl w:val="0"/>
              </w:rPr>
              <w:t xml:space="preserve">reģenerācijas</w:t>
            </w:r>
            <w:r w:rsidR="00000000" w:rsidRPr="00000000" w:rsidDel="00000000">
              <w:rPr>
                <w:rtl w:val="0"/>
              </w:rPr>
              <w:t xml:space="preserve"> </w:t>
            </w:r>
            <w:r w:rsidR="00000000" w:rsidRPr="00000000" w:rsidDel="00000000">
              <w:rPr>
                <w:u w:val="single"/>
                <w:rtl w:val="0"/>
              </w:rPr>
              <w:t xml:space="preserve">šķirošanas</w:t>
            </w:r>
            <w:r w:rsidR="00000000" w:rsidRPr="00000000" w:rsidDel="00000000">
              <w:rPr>
                <w:rtl w:val="0"/>
              </w:rPr>
              <w:t xml:space="preserve"> tehnoloģiju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ietverta arī pārtikas atkritumu rašanās novēršanas valsts programma, tostarp pārtikas ziedošanas mehānismu pilnveidošanas instrumenti. Paralēli tiek īstenotas sabiedrības informēšanas un izglītošanas kampaņas, lai veicinātu sabiedrības uzvedības maiņu un izpratni par atkritumu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Īstenota atkritumu apsaimniekošanas reģionu reforma, pārejot no 10 uz 5 reģioniem, lai uzlabotu sistēmas efektivitāti un nodrošinātu mērķtiecīgu investīciju plānošanu un infrastruktūras attīstību. Attīstīti priekšnosacījumi pārstrādes kapacitātes palielināšanai, tostarp veicinot kompostēšanas, biogāzes ieguves un atkritumu  šķirošanas tehnoloģiju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Nr. 2 ir nepareizi attēlots Džini indekss novērtējums. Aktuālā vērtība ir pasliktinājusies no bāzes vērtības, tādējādi attālinoties no sasniedzamās vērtības. Līdz ar to novērtējums "virzība uz mērķi ir pozitīva, tomēr nepietiekama mērķa vērtības sasniegšanai" ir maldinošs.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jāizvērtē arī 17.lpp. teksta "Izvērtējot NAP2027 stratēģisko mērķu sasniegšanas progresu, kopumā secināms, ka notiek sekmīga virzība uz stratēģisko mērķu sasniegšanu, jo ienākumu nevienlīdzība (vērtējot pēc Džini indeksa izmaiņām) samazinās....."  korektums.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Novērtējuma pamatā ir tendence par laika periodu no 2008.gada līdz 2024.gadam.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 līdz 6. attēlam nav norādītas bāzes vērtības, kas ir norādītas tabulā Nr. 1, jo attēli norāda vērtības tikai sākot ar 2012.g. 2015. vai 2018.g.. Ieteikums šos grafikus pārveidot tā, lai tie ir labāk saistīti ar tabulā Nr.1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LIAS2030 indikatoriem tiek piemērota atšķirīga pieeja, nekā NAP2027 indikatoriem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iespējas papildināt Nacionālā attīstības plāna 2021.-2027.gadam (NAP2027) vidusposma izvērtējuma ziņojuma projekta secinājumu sadaļu ar informāciju par NAP2027 līdzšinējā procesa spēju pielāgoties mainīgajiem sociāli-ekonomiskajiem un drošības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informāciju saskaņā ar pēdējo progresa pārskatu,  lūdzam precizēt sadaļā Rīcības virziens "Līdzsvarota reģionālā attīstība"  NAP uzdevumā [335] norādīto invstīcijas apmēru no 177 milj eiro uz 205  milj.eiro.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 pārrakstīšanās kļūdu NAP uzdevumā [332] (129.lpp.), norādot 2027.gadu  nevis 20277.gadu.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līdz 2025.gada 31.decembrim ir īstenoti būvdarbi uz 854 km valsts reģionālajiem un vietējiem autoceļiem, investējot turpat 205  milj.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Konstatējams, ka neskatoties uz ārējiem satricinājumiem (energoresursu krīze, inflācija, ģeopolitiskā nenoteiktība), reģionālā IKP starpība uzrāda pozitīvu dinamiku, kas gan nav pietiekama, lai sasniegtu 2027.gada plānoto mērķa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līdz 2025.gada 31.decembrim ir īstenoti būvdarbi uz 854 km valsts reģionālajiem un vietējiem autoceļiem, investējot turpat 205  milj.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“Konstatējams, ka reģionālā IKP starpība uzrāda pozitīvu dinamiku, bet nav pietiekama, lai sasniegtu 2027.gada plānoto mērķa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pie 429.uzdevuma.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tika uzsākts Tieslietu ministrijas un Tiesu administrācijas kopīgs projekts “Tieslietu akadēmija” (finansēts no Eiropas Savienības Atveseļošanas fonda). Projekts paredz izveidot jaunu institūciju- Tieslietu akadēmiju; izstrādāt un ieviest profesionālās pilnveides tālākizglītības programmas; iegādāties mācību resursus un veikt telpu pārbūvi un pielāgošanu akadēmijas vajadzībām (11. novembra krastmalā 31, Rīgā). Tieslietu akadēmija kā neatkarīga institūcija savu darbību uzsāka 2025. gada 1. janvārī. Apmācības ietver mācību tēmas tiesnešiem, prokuroriem un tiesu darbiniekiem, mācību organizēšanā tiek īstenota elastīga pieeja, kas ļauj pielāgot saturu tiesu sistēmas profesionāļu vajadzībām un darba specifikai. Tieslietu akadēmija mērķtiecīgi sadarbojas ar valsts institūcijām, Latvijas augstskolām, kā arī tiesnešiem un prokuroriem. Tāpat tiek stiprināta starptautiskā sadarbība, izmantotas Eiropas Tiesību akadēmijas un Eiropas tieslietu mācību tīkla piedāvātās mācības un attīstības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Ziņojums papildināts ar šādu informāciju pie 429. uzdevuma: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tika uzsākts Tieslietu ministrijas un Tiesu administrācijas kopīgs projekts “Tieslietu akadēmija” (finansēts no Eiropas Savienības Atveseļošanas fonda). Projekts paredz izveidot jaunu institūciju- Tieslietu akadēmiju; izstrādāt un ieviest profesionālās pilnveides tālākizglītības programmas; iegādāties mācību resursus un veikt telpu pārbūvi un pielāgošanu akadēmijas vajadzībām (11. novembra krastmalā 31, Rīgā). Tieslietu akadēmija kā neatkarīga institūcija savu darbību uzsāka 2025. gada 1. janvārī. Apmācības ietver mācību tēmas tiesnešiem, prokuroriem un tiesu darbiniekiem, mācību organizēšanā tiek īstenota elastīga pieeja, kas ļauj pielāgot saturu tiesu sistēmas profesionāļu vajadzībām un darba specifikai. Tieslietu akadēmija mērķtiecīgi sadarbojas ar valsts institūcijām, Latvijas augstskolām, kā arī tiesnešiem un prokuroriem. Tāpat tiek stiprināta starptautiskā sadarbība, izmantotas Eiropas Tiesību akadēmijas un Eiropas tieslietu mācību tīkla piedāvātās mācības un attīstības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ir izskatījusi Valsts kancelejas sagatavoto informatīvo ziņojumu Ziņojums par Latvijas ilgtspējīgas attīstības stratēģijas līdz 2030. gadam un Nacionālā attīstības plāna 2021.–2027. gadam īstenošanu un valsts ilgtspējīgu attīstību (turpmāk - Ziņojums) un savas kompetences ietvaros sniedz sekojošu priekšlikumu. Aicinām Ziņojuma sadaļas Prioritāte "Kvalitatīva dzīves vide un teritoriju attīstība" apakšsadaļā Rīcības virziens "Līdzsvarota reģionālā attīstība" pie NAP uzdevuma [334], kas paredz plānošanas reģionu, pašvaldību un citu teritorijas attīstībā iesaistīto pušu kapacitātes, zināšanu un administratīvo procesu uzlabošanu, lai palielinātu pašvaldību sadarbību un spēju nodrošināt iedzīvotāju mobilitāti, investīcijām labvēlīgu vidi un augstu pašvaldību sniegto pakalpojumu kvalitāti un izmaksu efektivitāti, precizēt sekojošu informāciju: lūgums atkāpē par Atveseļošanas un noturības mehānisma plāna investīciju papildināt teksta redakciju ar vārdu "vismaz", attiecīgi "(..) projekta rezultātā tiks apmācīti vismaz 1300 pašvaldību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budžets ir vairāk kā 3 milj. eiro, projekta rezultātā tiks apmācīti vismaz 1300 pašvaldību speciālisti.”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26-TA-357</w:t>
    </w:r>
    <w:r>
      <w:br/>
    </w:r>
    <w:r w:rsidR="00000000" w:rsidRPr="00000000" w:rsidDel="00000000">
      <w:rPr>
        <w:rtl w:val="0"/>
      </w:rPr>
      <w:t xml:space="preserve">Izdrukāts 02.03.2026. 08.55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26-TA-357</w:t>
    </w:r>
    <w:r>
      <w:br/>
    </w:r>
    <w:r w:rsidR="00000000" w:rsidRPr="00000000" w:rsidDel="00000000">
      <w:rPr>
        <w:rtl w:val="0"/>
      </w:rPr>
      <w:t xml:space="preserve">Izdrukāts 02.03.2026. 08.55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Izziņa_26-TA-357.docx</dc:title>
</cp:coreProperties>
</file>

<file path=docProps/custom.xml><?xml version="1.0" encoding="utf-8"?>
<Properties xmlns="http://schemas.openxmlformats.org/officeDocument/2006/custom-properties" xmlns:vt="http://schemas.openxmlformats.org/officeDocument/2006/docPropsVTypes"/>
</file>