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6. oktobra noteikumos Nr. 1151 "Noteikumi par radiofrekvenču spektra joslu sadalījumu radiosakaru veidiem un iedalījumu radiosakaru sistēmām, kā arī par radiofrekvenču spektra joslu izmantošanas vispārīgajiem nosacījumiem (Nacionālais radiofrekvenču plāns)"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nesniedz visaptverošu informāciju par pašreizējo situāciju, kāda ir tās sasaiste ar piedāvāto risinājumu un turpmākā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tiesību akta projekta sākotnējās ietekmes izvērtēšanas ziņojuma (anotācijas) 1.3.sadaļā ir nepieciešams sniegt izvērstu informāciju par pastāvošo regulējumu, tā nepilnībām, vienlaikus norādot, kādēļ Eiropas Elektronisko sakaru komitejas 2017.gada 30.jūnija lēmumā ECC/DEC/(17)04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nepieciešams paredzēt konkrētajā normatīvajā aktā (t.sk. kurus pielikumu punktus skar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 ir iepriekšminētā lēmuma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ir sekas, ja lēmumā noteiktais netiks paredzēts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ieinteresētās puses, citi publisko tiesību subjekti, kā arī šī regulējuma pieņemšanā iesaistītās personas saņemtu vispusīgu informāciju par tiesību akta projektu un tiktu nodrošināts sākotnējās ietekmes izvērtēšanas ziņojuma (anotācijas)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1.pielikumā papildināts 351., 351.</w:t>
            </w:r>
            <w:r w:rsidR="00000000" w:rsidRPr="00000000" w:rsidDel="00000000">
              <w:rPr>
                <w:vertAlign w:val="superscript"/>
                <w:rtl w:val="0"/>
              </w:rPr>
              <w:t xml:space="preserve">1</w:t>
            </w:r>
            <w:r w:rsidR="00000000" w:rsidRPr="00000000" w:rsidDel="00000000">
              <w:rPr>
                <w:rtl w:val="0"/>
              </w:rPr>
              <w:t xml:space="preserve">, 351.</w:t>
            </w:r>
            <w:r w:rsidR="00000000" w:rsidRPr="00000000" w:rsidDel="00000000">
              <w:rPr>
                <w:vertAlign w:val="superscript"/>
                <w:rtl w:val="0"/>
              </w:rPr>
              <w:t xml:space="preserve">2</w:t>
            </w:r>
            <w:r w:rsidR="00000000" w:rsidRPr="00000000" w:rsidDel="00000000">
              <w:rPr>
                <w:rtl w:val="0"/>
              </w:rPr>
              <w:t xml:space="preserve">, 351.</w:t>
            </w:r>
            <w:r w:rsidR="00000000" w:rsidRPr="00000000" w:rsidDel="00000000">
              <w:rPr>
                <w:vertAlign w:val="superscript"/>
                <w:rtl w:val="0"/>
              </w:rPr>
              <w:t xml:space="preserve">3</w:t>
            </w:r>
            <w:r w:rsidR="00000000" w:rsidRPr="00000000" w:rsidDel="00000000">
              <w:rPr>
                <w:rtl w:val="0"/>
              </w:rPr>
              <w:t xml:space="preserve"> , 352., 353. punkti, 358. – 362. punkti ar ECC/DEC/(17)04 – ECC 2017. gada 30. jūnija lēmumu (2021. gada 5. novembra redakcijā) par fiksēto Zemes staciju, kuras darbojas NGSO FSS satelītu sistēmās radiofrekvenču joslās 10,7–12,75 GHz un 14,0–14,50 GHz, saskaņotu lietošanu un atbrīvošanu no individuālajām atļaujām - pārņemošu atsauci, norādot iedalījumu radiosakaru sistēmām Latvijā - NGSO (neģeostacionāro satelītu orbīta) Zemes stacijas.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3.pielikuma I sadaļas Radioiekārtu grupas papildināts ar attiecīgo grupu: "Zemes stacijas kustībā (ESIM)"un "NGSO Zemes stacijas" , savukārt, tehniskie nosacījumi pārņemti 3. pielikuma II. sadaļas 9. punkta ar 9.8. apakšpunktā "Tehniskās prasības NGSO Zemes stacijām".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22-TA-821</w:t>
    </w:r>
    <w:r>
      <w:br/>
    </w:r>
    <w:r w:rsidR="00000000" w:rsidRPr="00000000" w:rsidDel="00000000">
      <w:rPr>
        <w:rtl w:val="0"/>
      </w:rPr>
      <w:t xml:space="preserve">08.04.2022. 10.17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22-TA-821</w:t>
    </w:r>
    <w:r>
      <w:br/>
    </w:r>
    <w:r w:rsidR="00000000" w:rsidRPr="00000000" w:rsidDel="00000000">
      <w:rPr>
        <w:rtl w:val="0"/>
      </w:rPr>
      <w:t xml:space="preserve">08.04.2022. 10.17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Izziņa_22-TA-821.docx</dc:title>
</cp:coreProperties>
</file>

<file path=docProps/custom.xml><?xml version="1.0" encoding="utf-8"?>
<Properties xmlns="http://schemas.openxmlformats.org/officeDocument/2006/custom-properties" xmlns:vt="http://schemas.openxmlformats.org/officeDocument/2006/docPropsVTypes"/>
</file>