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21-TA-796: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Sprāgstvielu prekursoru aprites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Sprāgstvielu prekursoru noteiktās aprites īstenošanas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jau iepriekš lūgusi apsvērt nepieciešamību izstrādāt regulējumu, kas nodrošina Regulas 10. pantā minēto prasību pēc apmācību īstenošanas izpildi. Likumprojekta anotācijā ir norādīts, ka Valsts drošības dienests jau šobrīd to darot, atsaucoties uz Valsts drošības iestāžu likumā minētajām funkcijām terorisma apkarošanas jomā. Tomēr pirmšķietami atsauce uz funkciju, nevis konkrētu prasību īstenošanu, varētu būt nepietiekama Regulas prasību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likumprojektā paredzēt, ka attiecīgā iestāde nodrošina šo Regulas prasību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attiecīgo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Sprāgstvielu prekursoru aprites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Administratīvo sodu likums par pārkāpumiem sprāgstvielu prekursoru aprites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2019/1148 10. pantā ir noteikti pienākumi nodrošināt noteiktas apmācības un izpratnes veicināšanas pasākumus, tostarp pienākums vismaz vienu reizi gadā organizēt izpratnes veicināšanas pasākumus, kas pielāgoti katra atsevišķā sektora īpatnībām, kuros izmanto reglamentētus sprāgstvielu prekursorus. Lūdzam apsvērt nepieciešamību izstrādāt normatīvo regulējumu, kas nodrošinātu šo prasību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apsvērta un tika konstatēts, ka Valsts drošības dienests reizi gadā veic komersantu informēšanu par aktualitātēm saistībā ar sprāgstvielu prekursoriem, kā arī veic informatīvo materiālu izplatīšanu komersantiem saistībā ar Regulu 2019/1148. Līdz ar to atsevišķa regulējuma izstrāde nav nepieciešama.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Sprāgstvielu prekursoru aprites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Administratīvo sodu likums par pārkāpumiem sprāgstvielu prekursoru aprites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pieņemti Ministru kabineta 2021. gada 11. februāra noteikumi Nr. 95 "Kārtība, kādā ziņo par sprāgstvielu prekursoriem". To izdošanas pilnvarojums – Ministru kabineta iekārtas likuma 31. panta pirmās daļas 3. punkts –, ievērojot regulējuma saturu, ir apšaubāms. Lai to novērstu, lūdzam, atbilstošu pilnvarojumu iekļaut šajā likumprojektā vai pat izvērtēt iespējamību šobrīd Ministru kabineta noteikumos esošo regulējumu daļēji vai pilnībā iekļaut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pilnvarojuma Ministru kabinetam nepieciešamību arī gadījumiem, lai Latvija varētu efektīvi īstenot Regulas 2019/1148 14. pantā paredzēto drošības klauzulu.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papildinot to ar regulējumu par kontaktpunktu.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Sprāgstvielu prekursoru aprites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Administratīvo sodu likums par pārkāpumiem sprāgstvielu prekursoru aprites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6. punktu likumprojekta nosaukumu veido iespējami īsu un atbilstošu likumprojekta saturam. Likumprojekta nosaukumu veido no vārdiem, kas atklāj likumprojekta saturu, un noslēdz ar vārdu "likums". Lakonisku nosaukumu ir viegli iegaumēt un uz to ir ērti atsaukties. Savukārt nosaukuma atbilstība likumprojekta saturam ir nepieciešama, lai pēc tā varētu spriest, kādas sabiedriskās attiecības likums regulēs. Nosaukums nedrīkst būt plašāks vai šaurāks par likumprojekta saturu (</w:t>
            </w:r>
            <w:r w:rsidR="00000000" w:rsidRPr="00000000" w:rsidDel="00000000">
              <w:rPr>
                <w:i w:val="1"/>
                <w:rtl w:val="0"/>
              </w:rPr>
              <w:t xml:space="preserve">Normatīvo aktu projektu izstrādes rokasgrāmata, https://tai.mk.gov.lv/book/1/chapter/89</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likumprojekta nosaukums neatbilst tā saturam, nemaz nevērtējot to regulējumu, ko būtu nepieciešams vai iespējams šobrīd vai nākotnē iekļaut šajā likumprojektā (piemēram, licencēšanas režīms, drošības klauzulas izmantošana, pilnvarojums Ministru kabinetam). Šobrīd likumprojekta 4. pantā ir paredzēts regulējums saistībā ar valsts inspekcijas iestādi, kam nav tieša sakara ar administratīvo sodīšanu vai administratīvo atbildību kā tādu.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nosaukumu (piemēram, Sprāgstvielu prekursoru aprites likums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nosaukums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Sprāgstvielu prekursoru aprites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sprāgstvielu prekursoru aprites noteikumu ievērošanu un atturēt personas no pārkāpumu izdarīšanas šajā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ka likuma mērķis ir "ir nodrošināt sprāgstvielu prekursoru aprites noteikumu ievērošanu un atturēt personas no pārkāpumu izdarīšanas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Formulējot likuma mērķi, pēc iespējas jākoncentrējas uz to, kas jāsasniedz ar šo likumu, nevis, ko likums regulē vai nosaka. Regulēšana kā tāda nav un nevar būt likuma mērķis. Likuma mērķis ir sasniegt labāku, tiesiskāku, efektīvāku, veiksmīgāku vai ekonomiski pamatotāku kādas situācijas risinājumu tiesisko attiecību virzību. Likuma mērķa formulēšana palīdz noskaidrot vispārējos likumdevēja mērķus, identificē problēmu, kuras noregulēšanai ir domāts konkrētais likums, un parāda, kā likumdevējs ir iecerējis problēmu atrisināt. Mērķa formulējums palīdz tiesību piemērotājiem likuma normu interpretācijā un atvieglo tiesību tālākveidošanu (</w:t>
            </w:r>
            <w:r w:rsidR="00000000" w:rsidRPr="00000000" w:rsidDel="00000000">
              <w:rPr>
                <w:i w:val="1"/>
                <w:rtl w:val="0"/>
              </w:rPr>
              <w:t xml:space="preserve">Normatīvo aktu projektu izstrādes rokasgrāmata, https://tai.mk.gov.lv/book/1/chapter/95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 raksta likuma sākumā. Ja likumā tiek ietverts pants par terminu skaidrojumiem, pantu, kurā noteikts likuma mērķis, raksta kā likuma otro pantu. Ja terminu skaidrojums nav paredzēts, likuma mērķi ietver likuma pirmajā pantā (</w:t>
            </w:r>
            <w:r w:rsidR="00000000" w:rsidRPr="00000000" w:rsidDel="00000000">
              <w:rPr>
                <w:i w:val="1"/>
                <w:rtl w:val="0"/>
              </w:rPr>
              <w:t xml:space="preserve">Normatīvo aktu projektu izstrādes rokasgrāmata, https://tai.mk.gov.lv/book/1/chapter/95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likuma mērķa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Eiropas Parlamenta un Padomes 2019. panta 20. jūnija Regulā (ES) 2019/1148 par sprāgstvielu prekursoru tirdzniecību un lietošanu, ar ko groza Regulu (EK) Nr.1907/2006 un atceļ Regulu (ES) Nr.98/2013 (turpmāk – Regula 2019/1148) noteiktie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noteic, ka likuma mērķis ir nodrošināt</w:t>
            </w:r>
            <w:r w:rsidR="00000000" w:rsidRPr="00000000" w:rsidDel="00000000">
              <w:rPr>
                <w:i w:val="1"/>
                <w:rtl w:val="0"/>
              </w:rPr>
              <w:t xml:space="preserve"> sabiedriskās kārtības </w:t>
            </w:r>
            <w:r w:rsidR="00000000" w:rsidRPr="00000000" w:rsidDel="00000000">
              <w:rPr>
                <w:rtl w:val="0"/>
              </w:rPr>
              <w:t xml:space="preserve">ievērošanu sprāgstvielu prekursoru aprites jomā. Tomēr šāds likuma mērķa formulējums neatklāj, kam konkrētais likums ir domāts, kā arī, kādu problēmu likumdevējs ar likumu ir vēlējies atrisināt. Vienlaikus atzīmējam, ka arī jēdziens "sabiedriskā kārtība" Latvijas normatīvajos aktos joprojām nav saistāms ar viennozīmīgu tā izpratni. Piemēram, krimināltiesībās un administratīvo pārkāpumu tiesībās "sabiedriskā kārtība"  ir tiesību normām un sadzīves noteikumiem atbilstoša kārtība sabiedrībā, kas nodrošina iestāžu, uzņēmumu un organizāciju netraucētu darbību, cilvēku mierīgu dzīvi, darbu un atpūtu, kā arī īpašuma un citu tiesību un interešu aizsardzību. Savukārt, aplūkojot šo jēdzienu plašāk, ar to saprot jebkuru tiesību normu pārkāpumu. Attiecīgi būtu rūpīgi izvērtējama šāda jēdziena lietošana likumprojektā.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izvērtēt likuma mērķa precizēšanu (piemēram, likuma mērķis ir nodrošināt pārvaldes un sabiedrības kārtību, kā arī sprāgstvielu prekursoru lietošanu atbilstoši normatīvajiem aktiem un atturēt personas no pārkāpumu izdarīšanas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precizēts atbilstoši Tieslietu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pārvaldes un sabiedrības kārtību, kā arī sprāgstvielu prekursoru lietošanu atbilstoši normatīvajiem aktiem un atturēt personas no pārkāpumu izdarīšanas šajā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precizēt likuma mērķi, ievērojot Tieslietu ministrijas 2023. gada 3. novembra atzinumā norādītos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2019/1148 mērķis ir nodrošināt pietiekamu sabiedrības drošības līmeni, ierobežojot piekļuvi sprāgstvielu prekursoriem un to lietošanu un novēršot sprāgstvielu nelikumīgu izgatavošanu, tad projekta mērķim vajadzētu būt atvasinātam vai citādi saistītam ar šo regulas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vērš uzmanību, ka Tieslietu ministrija savā 2023. gada 8. augusta atzinumā ir izteikusi iebildumu par likumprojekta mērķi, iebildumā piedāvājot konkrēto likumprojekta mērķa redakciju. Iekšlietu ministrija minēto Tieslietu ministrijas iebildumu ir ņēmusi vērā, attiecīgi precizējot likumprojektu.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pārvaldes un sabiedrības kārtību, kā arī sprāgstvielu prekursoru lietošanu atbilstoši normatīvajiem aktiem un atturēt personas no pārkāpumu izdarīšanas šajā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pārvaldes un sabiedrības kārtību, kā arī sprāgstvielu prekursoru lietošanu atbilstoši normatīvajiem aktiem un atturēt personas no pārkāpumu izdarīšanas šajā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Likuma mērķis konkretizējams atbilstoši projektā tieši regulētajiem jautājumiem, kā arī saskaņojams ar projekta pamatā esošās Regulas 2019/1148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iepriekšējos atzinumos ir norādīti tie kritēriji, kādiem ir jāatbilst likuma mērķa formulējumam. Vienlaikus Tieslietu ministrijas 2023. gada 8. augusta atzinumā piemērveidā ir vispārīgi norādītas tās jomas un jautājumi, kurus projekts varētu skart. Ievērojot arī Regulas 2019/1148 mērķi, nepieciešams vien izvērtēt, kuri no minētajiem elementiem iekļaujami projekta mērķa saturā, un šie elementi konkretizējami atbilstoši projektā regulētajiem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projektā ir paredzēti vairāki administratīvie pārkāpumi. Saprotams, ka šāda regulējuma mērķis ir atturēt personas no attiecīgo pārkāpumu izdarīšanas. Tas atbilst daļai no administratīvā soda mērķa elementiem (Administratīvās atbildības likuma 13. pants). Līdz ar to projektā šos mērķus (soda mērķa elementus) nav nepieciešams atkārtot.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protams, ir vērsts uz to, lai nodrošinātu "sprāgstvielu prekursoru lietošanu atbilstoši normatīvajiem aktiem". Taču būtībā tas vairāk ir saistīts ar regulēšanu kā tādu un nebūtu izmantojams kā tiešais projekta mērķis. Jautājums ir par to, ko tādā veidā vēlas sasniegt (kādu problēmu atrisināt).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kaut kādā mērā varētu būt saistīts arīdzan ar pārvaldes kārtību un sabiedrisko kārtību. Taču projektā būtu jānorāda konkrētāki tā izpausmes aspekti.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mērķis ir saskaņojams ar Regulas 2019/1148 mērķi. Tā kā projekts ir saistīts ar šīs regulas īstenošanu, tad tā mērķi nevarētu būt pretrunā vai būtiski atšķirties no šīs regulas mērķiem (virsmērķiem). Regula 2019/1148 ir saistīta ar sabiedrības drošības apsvērumiem un nolūku novērst iespējas iegūt sprāgstvielu prekursorus.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norādītajam mērķim ir jābūt jēgpilnam. Likuma mērķim ir visai liela nozīme likuma piemērošanā (</w:t>
            </w:r>
            <w:r w:rsidR="00000000" w:rsidRPr="00000000" w:rsidDel="00000000">
              <w:rPr>
                <w:i w:val="1"/>
                <w:rtl w:val="0"/>
              </w:rPr>
              <w:t xml:space="preserve">Krūmiņa V., Skujiņa V. Normatīvo aktu izstrādes rokasgrāmata. Rīga: Valsts kanceleja, 2002, 26. lpp.</w:t>
            </w:r>
            <w:r w:rsidR="00000000" w:rsidRPr="00000000" w:rsidDel="00000000">
              <w:rPr>
                <w:rtl w:val="0"/>
              </w:rPr>
              <w:t xml:space="preserve">). Tas palīdz atklāt patieso regulējuma saturu, tostarp arī konkretizēt ar administratīvo pārkāpumu aizsargājamos tiesiskos labumus (intereses). Līdz ar to likuma mērķis formulējams tā, lai tas būtu praktiski pielietojams likuma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vērš uzmanību, ka Tieslietu ministrija savā 2023. gada 8. augusta atzinumā ir izteikusi iebildumu par likumprojekta mērķi, iebildumā piedāvājot konkrēto likumprojekta mērķa redakciju. Iekšlietu ministrija minēto Tieslietu ministrijas iebildumu ir ņēmusi vērā, attiecīgi precizējot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pārvaldes un sabiedrības kārtību, kā arī sprāgstvielu prekursoru lietošanu atbilstoši normatīvajiem aktiem un atturēt personas no pārkāpumu izdarīšanas šajā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nosaka administratīvos pārkāpumus sprāgstvielu prekursoru aprites jomā un sodus par tiem, kā arī to institūciju kompetenci, kuras veic administratīvo pārkāpumu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Likumiem var būt noteikta konkrēta darbības joma, ierobežota piemērojamība vai izņēmumi. Šie jautājumi, ja nepieciešams, arī ir jāietver likumprojektā, un tos ietver likuma sākuma daļā (aiz likuma mērķa). Tādējādi tiek identificēta (sašaurināta) likuma piemērojamība attiecībā pret personām un noteiktiem tiesisko attiecību veidiem, savukārt, definējot darbības jomas, iespējams precīzāk atšifrēt likuma nosaukumu un atspoguļot tā saturu (</w:t>
            </w:r>
            <w:r w:rsidR="00000000" w:rsidRPr="00000000" w:rsidDel="00000000">
              <w:rPr>
                <w:i w:val="1"/>
                <w:rtl w:val="0"/>
              </w:rPr>
              <w:t xml:space="preserve">Normatīvo aktu projektu izstrādes rokasgrāmata, https://tai.mk.gov.lv/book/1/chapter/96</w:t>
            </w:r>
            <w:r w:rsidR="00000000" w:rsidRPr="00000000" w:rsidDel="00000000">
              <w:rPr>
                <w:rtl w:val="0"/>
              </w:rPr>
              <w:t xml:space="preserve">). Tomēr likuma darbības joma nav vienkāršs tā satura izklāsts. Pašreizējam likumprojekta 2. pantam nav ne juridiskas, ne kādas citas nozīmes. Turklāt tas pat pilnībā neaptver visu likumprojekta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likumprojekta 2. pantu vai arī, ja tas nepieciešams, noteikt ierobežotu likuma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darbības joma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pārvaldes un sabiedrības kārtību, kā arī sprāgstvielu prekursoru lietošanu atbilstoši normatīvajiem aktiem un atturēt personas no pārkāpumu izdarīšanas šajā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inspekcijas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projektā iekļaut pienācīgu valsts inspekcijas iestādes pilnvaru regulējumu, it īpaši paredzēt tiesības izdot administratīvos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šobrīd norādīts, ka "Valsts drošības dienests varēs piemērot Administratīvā procesa likumā noteiktos mehānismus". Taču šādam apgalvojumam nav juridiska pamatojuma. Daļu no regulas pārkāpumiem iespējams novērst, nosakot pienākumu noteiktā laikā vai veidā novērst konstatētās nepilnības. Tam nav nepieciešams administratīvās atbildības regulējums. Tomēr šādos gadījumos nepieciešams skaidrs likumā noteikts pamats izdot administratīvu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dienesta kompetence īstenot darbības terorisma novēršanas nolūkā tipiskā gadījumā nešķiet piemērojama vispārīgām administratīvās uzraudzības darbībām. Izziņā minētās Valsts drošības iestāžu likuma normas nav attiecināmas uz projektā paredzētajiem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aplūkojamas arī citas tiesības (pienākumi), piemēram, tiesības ņemt vielu paraugus vai tiesības veikt noteiktas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atbilstoši Tieslietu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inspekcijas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ja likumā paredzēta vairāku terminu skaidrošana, to lietderīgi ietvert likuma pirmajā pantā (ja likums sadalīts nodaļās, tad minētās normas ietver pirmajā nodaļā ar nosaukumu "Vispārīgie noteikumi"), jo tas palīdzēs labāk uztvert un saprast likumu (</w:t>
            </w:r>
            <w:r w:rsidR="00000000" w:rsidRPr="00000000" w:rsidDel="00000000">
              <w:rPr>
                <w:i w:val="1"/>
                <w:rtl w:val="0"/>
              </w:rPr>
              <w:t xml:space="preserve">Normatīvo aktu projektu izstrādes rokasgrāmata, https://tai.mk.gov.lv/book/1/chapter/92</w:t>
            </w:r>
            <w:r w:rsidR="00000000" w:rsidRPr="00000000" w:rsidDel="00000000">
              <w:rPr>
                <w:rtl w:val="0"/>
              </w:rPr>
              <w:t xml:space="preserve">). Prasība ietvert vairāku terminu skaidrojumu likumprojekta 1. pantā izriet arī no Ministru kabineta 2009. gada 3. februāra noteikumu Nr. 108 "Normatīvo aktu projektu sagatavošanas noteikumi" 40. punkta. Līdz ar to lūdzam likumā lietoto terminu skaidrojumu ietvert likumprojekta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precizēts, iekļaujot tā 1.pantā atsauci uz likumā lietotājiem terminiem.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inspekcijas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Regulas 2019/1148 11. panta 1. punktam valsts inspekcijas iestāde ir Valsts drošības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Projektā nav iekļauts valsts inspekcijas iestādes pilnvaru regulējums, tostarp tiesības (pienākums) izdot administratīvu aktu noteiktos gadījumos. Projekta anotācijā nav informācijas, kā tiks nodrošināti nepieciešamie pārbaudes un kontroles pasākumi. Projekts papildināms ar nepieciešamo regulējumu vai arī projekta anotācijā argumentēti skaidrojama kontroles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3. pantā paredzēts, ka valsts inspekcijas iestāde ir Valsts drošības dienests. Regulas 2019/1148 11. panta 2. punktā ir noteikts, ka katra dalībvalsts nodrošina, ka valsts inspekcijas iestādēm ir līdzekļi un izmeklēšanas pilnvaras, kas vajadzīgas, lai nodrošinātu pienācīgu to uzdevumu pārvaldību saskaņā ar šo regulu. No projekta un projekta anotācijas nav secināms, ka valsts inspekcijas iestādēm būtu nepieciešamās "izmeklēšanas pilnvaras" un kādas tās ir. Tas, ka Valsts drošības dienests ir viena no valsts drošības iestādēm, nenozīmē, ka arī projektā paredzētajos jautājumos būtu pieļaujams izmantot valsts drošības iestādēm raksturīgās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valsts inspekcijas iestāde ir tā iestāde, kas kontrolē un pārbauda noteiktu minētās regulas pantu piemērošanu, tad šiem kontroles pasākumiem jābūt efektīviem. Turklāt administratīvā atbildība (administratīvie pārkāpumi) ir nošķirami no kontroles pasākumiem. Salīdzinājumam, piemēram, Ķīmisko vielu likuma 5. pantā ir visai detalizēti regulētas uzraudzības un kontroles iestāžu tiesības. (Tas gan nenozīmē, ka minētais regulējums būtu nekritiski pārņemams, to iepriekš neizvērtējot atbilstoši projektā regulējamiem jautājumiem un pašreizējai tiesību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 par visiem Regulā 2019/1148 noteikto pienākumu pārkāpumiem projektā ir paredzēta administratīvā atbildība (to arī nebūtu pieļaujams paredzēt visos gadījumos). Turklāt administratīvo pārkāpumu apjoms varētu vēl tikt samazināts. Viens no administratīvās kontroles pasākumiem varētu būt tiesiska pienākuma noteikšana, izdodot attiecīga satura administratīvo aktu. Projektā šādas tiesības valsts inspekcijas iestādei nav paredzētas un nav arī noteikti iespējamie tiesiskie pienākumi u. tml. (sk. Administratīvā procesa likuma 11. pantā ietverto likuma atrunas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skatījumā nav nepieciešams izstrādāt atsevišķu Valsts drošības dienesta pilnvaru regulējumu, jo kā tas ir aprakstīts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dienestam jau ir noteikta kompetence būt par kontaktpunktu ziņošanai par aizdomīgiem darījumiem ar sprāgstvielu prekursoriem, to pazušanas gadījumiem un zādzībām atbilstoši Ministru kabineta 2021. gada 11. marta noteikumiem Nr.95 “Kārtība, kādā ziņo par sprāgstvielu prekursoriem” (likumprojekta 4. pants. Vienlaikus tiks izstrādāts Ministru kabineta noteikumu projekts, kas paredzēs atzīt minētos noteikumus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drošības dienests jau pašlaik: 1) organizē atsevišķus sprāgstvielu prekursoru aprites ierobežošanas un kontroles pasākumus Regulas Nr.2019/1148 prasību īstenošanai; 2) veic komersantu informēšanu, kā arī reizi gadā veic apmācību komersantu vidū par aktualitātēm saistībā ar sprāgstvielu prekursoriem; 3) veic informatīvo materiālu izplatīšanu komersantiem saistībā ar Regulas Nr.2019/1148 paredzējām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drošības dienesta kompetence īstenot darbības terorisma novēršanas nolūkā ir noteikta  Valsts   drošības   iestāžu   likuma 10. panta pirmās daļas 4. punktā kopsakarā ar 15. panta otrās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3.pantā ir iekļauta otrā daļa, kas paredz tiesības Valsts drošības dienestam pieņemt administratīvos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drošības dienestam ir tiesības izdot administratīvos aktus, kas attiecas uz sprāgstvielu prekursoriem, lai izpildītu Regulā 2019/1148 inspekcijas iestādei uzliktos pienākumus.  Valsts drošības iestādes izdotos lēmumus var apstrīdēt un pārsūdzēt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Regulas 2019/1148 11. panta 1.puntam valsts inspekcijas iestādes funkcijas pilda Valsts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paredzēts, ka "atbilstoši Regulas 2019/1148 11. panta 1. punktam valsts inspekcijas iestādes funkcijas pilda Valsts policija". Šīs regulas 11. panta 2. punktā ir noteikts, ka katra dalībvalsts nodrošina, ka valsts inspekcijas iestādēm ir līdzekļi un izmeklēšanas pilnvaras, kas vajadzīgas, lai nodrošinātu pienācīgu to uzdevumu pārvaldību saskaņā ar šo regulu. Līdz ar to rodas jautājums, vai Valsts policijai kā valsts inspekcijas iestādei ir arī atbilstoša kompetence, lai varētu pilnvērtīgi īstenot uzraudzību vai kontroli šajā jomā (salīdzinājumam skatīt, piemēram, Ķīmisko vielu likuma 5. pantu). Lūdzam izvērtēt šo jautājumu un iekļaut pienācīgu kompetences regulējumu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projektā ir paredzēta tikai administratīvā atbildība. Ir jānošķir administratīvā uzraudzība vai kontrole no administratīvās atbildības. Tās ir atšķirīgas valsts pārvaldes rīcības formas, kas veicamas atšķirīgā procesuālā kārtībā. Uzraudzība un kontrole ir valsts pārvaldes rīcības forma, kas attiecas uz t. s. materiālo administratīvo tiesību un administratīvā procesa jomu. Sodīšana kā tāda neietilpst uzraudzības un kontroles funkcijās. Tas ir patstāvīgs sodu tiesību jautājums ar atšķirīgiem materiālajiem un procesuālajiem priekšnoteikumiem. No projekta un projekta anotācijas nav skaidrs, kādas būs iestādes pilnvaras, pārbaudot un kontrolējot regulas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likumprojektā neizmantot vārdkopu "iestādes funkcijas". Tas ir saistīts ar jēdzienu "funkcija" un "uzdevums" izpratni un nošķiršanu valsts pārvaldē. Šajā gadījumā ir iespējams likumprojektā vienkārši norādīt, ka Valsts policija ir valsts inspekcijas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attiecīgi nosakot Valsts drošības dienestu par valsts inspekcijas iestādi Regulas 2019/1148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Kontaktpunkta funkcijas atbilstoši Regulas 2019/1148 9. panta 3. punktam pilda Valsts drošības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regulas 2019/1148 9.pantu pienākums ziņot Valsts drošības dienestam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likumprojekta 4.pants papildināts ar otro daļu, kas nosaka ekonomikas dalībnieku, tiešsaistes tirdzniecības vietu un profesionālu lietotāju pienākumus ziņot par iespējamu pārkāpumiem sprāgstvielu prekursoru apritē. Lūdzam svītrot vai precizēt minēto normu, lai novērstu regulas normu pārrakstīšanu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288.pantu Eiropas Savienības (ES) regulas uzliek saistības kopumā un ir </w:t>
            </w:r>
            <w:r w:rsidR="00000000" w:rsidRPr="00000000" w:rsidDel="00000000">
              <w:rPr>
                <w:u w:val="single"/>
                <w:rtl w:val="0"/>
              </w:rPr>
              <w:t xml:space="preserve">tieši piemērojamas</w:t>
            </w:r>
            <w:r w:rsidR="00000000" w:rsidRPr="00000000" w:rsidDel="00000000">
              <w:rPr>
                <w:rtl w:val="0"/>
              </w:rPr>
              <w:t xml:space="preserve"> visās dalībvalstīs. No minētā tostarp izriet, ka ir prettiesiski tādi nacionālie regulas normas īstenošanas mehānismi, kas rada šķēršļus regulas tiešam efektam un apdraud vienlaicīgu un vienādu tās piemērošanu ES. Dalībvalsts izstrādā tiesību aktus regulas piemērošanai tikai gadījumos, ja regulā ir tieši paredzēts dalībvalsts konkrēts pienākums, piemēram, jānosaka kompetentā vai atbildīgā iestāde, jāparedz sankcijas par regulas normu pārkāpumu vai nepildīšanu, jānosaka administratīvā procedūra regulā noteikto pasākumu īstenošanai vai nepieciešami citi normatīvi pasākumi, lai nodrošinātu regulas korektu piemērošanu nacionālajā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Regulas 2019/1148 9.panta 4.punkts nepārprotami nosaka ekonomikas dalībnieku un tiešsaistes tirdzniecības vietu pienākumu ziņot par aizdomīgo darījumu vai aizdomīga darījuma mēģinājumu 24 stundu laikā, kopš konstatēts, ka tas ir aizdomīgs. Savukārt minētā regulas panta 5.punkts nosaka ekonomikas dalībnieku un profesionālu lietotāju pienākumu ziņot par būtiskiem reglamentētu sprāgstvielu prekursoru pazušanas gadījumiem un zādzībām 24 stundu laikā, kopš tas konstatēts, ziņojumu sniedzot dalībvalsts valsts kontaktpunktam.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likumprojekta 4.panta otrā daļa šobrīd pārraksta un interpretē Regulas 2019/1148 9.panta 4. un 5.punkta noteikumus, līdz ar to attiecīgais regulējums no likumprojekta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izvērtēt arī likumprojekta </w:t>
            </w:r>
            <w:r w:rsidR="00000000" w:rsidRPr="00000000" w:rsidDel="00000000">
              <w:rPr>
                <w:u w:val="single"/>
                <w:rtl w:val="0"/>
              </w:rPr>
              <w:t xml:space="preserve">4.panta trešo daļu</w:t>
            </w:r>
            <w:r w:rsidR="00000000" w:rsidRPr="00000000" w:rsidDel="00000000">
              <w:rPr>
                <w:rtl w:val="0"/>
              </w:rPr>
              <w:t xml:space="preserve"> un nepieciešamības gadījumā to svītrot, ņemot vērā, ka tajā minētais valsts kontaktpunkta pienākums jau skaidri noteikts Regulas 2019/1148 9.panta 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precizēts atbilstoši Tieslietu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Neatļautās darbības ar ierobežotiem sprāgstvielu prekursoriem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un pamatot soda veida un apmēra izvēli visiem likumprojektā paredzētajiem administratīvajiem pārkāpumiem (sk. likumprojekta 5., 6., 7. un 8. pantu). Projekta anotācijā norādīts, piemēram: "Izvērtējot iespējamo minēto pārkāpumu kaitējumu un ietekmi uz sabiedrisko kārtību, veselību un drošību, sodi par šiem administratīvajiem pārkāpumiem tiek paredzēti pēc analoģijas ar tiem, kādi tie bija noteikti spēku zaudējušā Latvijas Administratīvo pārkāpumu kodeksa (turpmāk – LAPK) 167.</w:t>
            </w:r>
            <w:r w:rsidR="00000000" w:rsidRPr="00000000" w:rsidDel="00000000">
              <w:rPr>
                <w:vertAlign w:val="superscript"/>
                <w:rtl w:val="0"/>
              </w:rPr>
              <w:t xml:space="preserve">3</w:t>
            </w:r>
            <w:r w:rsidR="00000000" w:rsidRPr="00000000" w:rsidDel="00000000">
              <w:rPr>
                <w:rtl w:val="0"/>
              </w:rPr>
              <w:t xml:space="preserve"> pantā." Pirmkārt, tas nepamato, ka toreiz būtu noteikti atbilstoši sodi. Otrkārt, šobrīd administratīvo sodu sistēma ir mainījusies. Treškārt, nav vērtēta atbilstība regulā noteiktajām sankciju prasībām, proti, pienākumam paredzēt iedarbīgas, samērīgas un atturošas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w:t>
            </w:r>
            <w:r w:rsidR="00000000" w:rsidRPr="00000000" w:rsidDel="00000000">
              <w:rPr>
                <w:rtl w:val="0"/>
              </w:rPr>
              <w:t xml:space="preserve"> </w:t>
            </w:r>
            <w:r w:rsidR="00000000" w:rsidRPr="00000000" w:rsidDel="00000000">
              <w:rPr>
                <w:i w:val="1"/>
                <w:rtl w:val="0"/>
              </w:rPr>
              <w:t xml:space="preserve">25, Iss.</w:t>
            </w:r>
            <w:r w:rsidR="00000000" w:rsidRPr="00000000" w:rsidDel="00000000">
              <w:rPr>
                <w:rtl w:val="0"/>
              </w:rPr>
              <w:t xml:space="preserve"> </w:t>
            </w:r>
            <w:r w:rsidR="00000000" w:rsidRPr="00000000" w:rsidDel="00000000">
              <w:rPr>
                <w:i w:val="1"/>
                <w:rtl w:val="0"/>
              </w:rPr>
              <w:t xml:space="preserve">3, p.</w:t>
            </w:r>
            <w:r w:rsidR="00000000" w:rsidRPr="00000000" w:rsidDel="00000000">
              <w:rPr>
                <w:rtl w:val="0"/>
              </w:rPr>
              <w:t xml:space="preserve"> </w:t>
            </w:r>
            <w:r w:rsidR="00000000" w:rsidRPr="00000000" w:rsidDel="00000000">
              <w:rPr>
                <w:i w:val="1"/>
                <w:rtl w:val="0"/>
              </w:rPr>
              <w:t xml:space="preserve">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w:t>
            </w:r>
            <w:r w:rsidR="00000000" w:rsidRPr="00000000" w:rsidDel="00000000">
              <w:rPr>
                <w:rtl w:val="0"/>
              </w:rPr>
              <w:t xml:space="preserve"> </w:t>
            </w:r>
            <w:r w:rsidR="00000000" w:rsidRPr="00000000" w:rsidDel="00000000">
              <w:rPr>
                <w:i w:val="1"/>
                <w:rtl w:val="0"/>
              </w:rPr>
              <w:t xml:space="preserve">gada 26.</w:t>
            </w:r>
            <w:r w:rsidR="00000000" w:rsidRPr="00000000" w:rsidDel="00000000">
              <w:rPr>
                <w:rtl w:val="0"/>
              </w:rPr>
              <w:t xml:space="preserve"> </w:t>
            </w:r>
            <w:r w:rsidR="00000000" w:rsidRPr="00000000" w:rsidDel="00000000">
              <w:rPr>
                <w:i w:val="1"/>
                <w:rtl w:val="0"/>
              </w:rPr>
              <w:t xml:space="preserve">maija secinājumu lietā C-176/03 46.</w:t>
            </w:r>
            <w:r w:rsidR="00000000" w:rsidRPr="00000000" w:rsidDel="00000000">
              <w:rPr>
                <w:rtl w:val="0"/>
              </w:rPr>
              <w:t xml:space="preserve"> </w:t>
            </w:r>
            <w:r w:rsidR="00000000" w:rsidRPr="00000000" w:rsidDel="00000000">
              <w:rPr>
                <w:i w:val="1"/>
                <w:rtl w:val="0"/>
              </w:rPr>
              <w:t xml:space="preserve">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tiesību akti parasti tieši nenoteic, kāda veida sankcijas dalībvalstij ir jāparedz. Tas nav vērojams arī šajā gadījumā. Tādējādi ir iespējams pat kombinēt krimināltiesiskus, administratīvi tiesiskus vai civiltiesiskus pasākumus. Šādā gadījumā sankciju efektivitāte, samērīgums un preventīvā ietekme izvērtējama, ievērojot visu pasākumu kopumu (</w:t>
            </w:r>
            <w:r w:rsidR="00000000" w:rsidRPr="00000000" w:rsidDel="00000000">
              <w:rPr>
                <w:i w:val="1"/>
                <w:rtl w:val="0"/>
              </w:rPr>
              <w:t xml:space="preserve">sal. Damjan M., Lutman K. Article 25. In: Collective Commentary about The New Package Travel Directive. Estoril: Estoril Higher Institute for Tourism and Hostel Studies, 2020, p.</w:t>
            </w:r>
            <w:r w:rsidR="00000000" w:rsidRPr="00000000" w:rsidDel="00000000">
              <w:rPr>
                <w:rtl w:val="0"/>
              </w:rPr>
              <w:t xml:space="preserve"> </w:t>
            </w:r>
            <w:r w:rsidR="00000000" w:rsidRPr="00000000" w:rsidDel="00000000">
              <w:rPr>
                <w:i w:val="1"/>
                <w:rtl w:val="0"/>
              </w:rPr>
              <w:t xml:space="preserve">529</w:t>
            </w:r>
            <w:r w:rsidR="00000000" w:rsidRPr="00000000" w:rsidDel="00000000">
              <w:rPr>
                <w:rtl w:val="0"/>
              </w:rPr>
              <w:t xml:space="preserve">). Nav pamata uzskatīt, ka šī regula pieprasītu tieši krimināltiesiska, represīva rakstura pasākumus (tostarp paredzēt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Tiesas judikatūrā un tiesību doktrīnā ir atklāts iedarbīgu, samērīgu un atturošu sankciju kritēriju saturs, kas ļauj izvērtēt iespējamo pasākumu atbilstību tiem (</w:t>
            </w:r>
            <w:r w:rsidR="00000000" w:rsidRPr="00000000" w:rsidDel="00000000">
              <w:rPr>
                <w:i w:val="1"/>
                <w:rtl w:val="0"/>
              </w:rPr>
              <w:t xml:space="preserve">sk., piemēram: Cafaggi F., Iamiceli P. The Principles of Effectiveness, Proportionality and Dissuasiveness in the Enforcement of EU Consumer Law: The Impact of a Triad on the Choice of Civil Remedies and Administrative Sanctions. European Review of Private Law, 2017, Vol.</w:t>
            </w:r>
            <w:r w:rsidR="00000000" w:rsidRPr="00000000" w:rsidDel="00000000">
              <w:rPr>
                <w:rtl w:val="0"/>
              </w:rPr>
              <w:t xml:space="preserve"> </w:t>
            </w:r>
            <w:r w:rsidR="00000000" w:rsidRPr="00000000" w:rsidDel="00000000">
              <w:rPr>
                <w:i w:val="1"/>
                <w:rtl w:val="0"/>
              </w:rPr>
              <w:t xml:space="preserve">25, Iss.</w:t>
            </w:r>
            <w:r w:rsidR="00000000" w:rsidRPr="00000000" w:rsidDel="00000000">
              <w:rPr>
                <w:rtl w:val="0"/>
              </w:rPr>
              <w:t xml:space="preserve"> </w:t>
            </w:r>
            <w:r w:rsidR="00000000" w:rsidRPr="00000000" w:rsidDel="00000000">
              <w:rPr>
                <w:i w:val="1"/>
                <w:rtl w:val="0"/>
              </w:rPr>
              <w:t xml:space="preserve">3, p.</w:t>
            </w:r>
            <w:r w:rsidR="00000000" w:rsidRPr="00000000" w:rsidDel="00000000">
              <w:rPr>
                <w:rtl w:val="0"/>
              </w:rPr>
              <w:t xml:space="preserve"> </w:t>
            </w:r>
            <w:r w:rsidR="00000000" w:rsidRPr="00000000" w:rsidDel="00000000">
              <w:rPr>
                <w:i w:val="1"/>
                <w:rtl w:val="0"/>
              </w:rPr>
              <w:t xml:space="preserve">575-618; Faure M. Effective, Proportional and Dissuasive Penalties in the Implementation of the Environmental Crime and Shipsource Pollution Directives: Questions and Challenges. European Energy and Environmental Law Review, 2010, p.</w:t>
            </w:r>
            <w:r w:rsidR="00000000" w:rsidRPr="00000000" w:rsidDel="00000000">
              <w:rPr>
                <w:rtl w:val="0"/>
              </w:rPr>
              <w:t xml:space="preserve"> </w:t>
            </w:r>
            <w:r w:rsidR="00000000" w:rsidRPr="00000000" w:rsidDel="00000000">
              <w:rPr>
                <w:i w:val="1"/>
                <w:rtl w:val="0"/>
              </w:rPr>
              <w:t xml:space="preserve">256-278; Evaluation Study on the Implementation of Directive 2008/99/EC on the Protection of the Environment through Criminal Law by Member States. Brussels: 2014, p.</w:t>
            </w:r>
            <w:r w:rsidR="00000000" w:rsidRPr="00000000" w:rsidDel="00000000">
              <w:rPr>
                <w:rtl w:val="0"/>
              </w:rPr>
              <w:t xml:space="preserve"> </w:t>
            </w:r>
            <w:r w:rsidR="00000000" w:rsidRPr="00000000" w:rsidDel="00000000">
              <w:rPr>
                <w:i w:val="1"/>
                <w:rtl w:val="0"/>
              </w:rPr>
              <w:t xml:space="preserve">80 et seq.</w:t>
            </w:r>
            <w:r w:rsidR="00000000" w:rsidRPr="00000000" w:rsidDel="00000000">
              <w:rPr>
                <w:rtl w:val="0"/>
              </w:rPr>
              <w:t xml:space="preserve">). Administratīvā atbildība pati par sevi automātiski negarantē, ka sankcijas būs iedarbīgas, atturošas un samērīgas.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anotācijā atrodami skaidrojumi, ka sodi par attiecīgu pārkāpumu "tiek noteikti, ņemot vērā nodarīta pārkāpumu būtību, bīstamību, sekas, aktualitāti un attiecināmību uz publiski tiesiskajām attiecībām, kā arī sabiedrisko kaitīgumu". Tie tomēr neatklāj soda veida un apmēra izvēles pamatojumu. Turklāt minētie kritēriji ir paredzēti, lai izvērtētu administratīvā pārkāpuma kā tāda pieļaujamību un nepieciešamību, nevis soda veida un apmēra 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soda radīto ietekmi, jāvērtē tā maksimālā apmēra piemērošanas ietekme. Līdz ar to nav korekti, piemēram, šāda veida apgalvojumi: "Ņemot vērā paredzētā soda minimālo robežu (fiziskām personām – 5,00 </w:t>
            </w:r>
            <w:r w:rsidR="00000000" w:rsidRPr="00000000" w:rsidDel="00000000">
              <w:rPr>
                <w:i w:val="1"/>
                <w:rtl w:val="0"/>
              </w:rPr>
              <w:t xml:space="preserve">euro</w:t>
            </w:r>
            <w:r w:rsidR="00000000" w:rsidRPr="00000000" w:rsidDel="00000000">
              <w:rPr>
                <w:rtl w:val="0"/>
              </w:rPr>
              <w:t xml:space="preserve"> un juridiskai personai – 70,00 </w:t>
            </w:r>
            <w:r w:rsidR="00000000" w:rsidRPr="00000000" w:rsidDel="00000000">
              <w:rPr>
                <w:i w:val="1"/>
                <w:rtl w:val="0"/>
              </w:rPr>
              <w:t xml:space="preserve">euro</w:t>
            </w:r>
            <w:r w:rsidR="00000000" w:rsidRPr="00000000" w:rsidDel="00000000">
              <w:rPr>
                <w:rtl w:val="0"/>
              </w:rPr>
              <w:t xml:space="preserve">),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likumprojekts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Neatļautās darbības ar ierobežotiem sprāgstvielu prekursoriem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Neatļautās darbības ar ierobežotiem sprāgstvielu prekursoriem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2019/1148 13. pantā noteikts, ka dalībvalstis paredz noteikumus par sankcijām, kas piemērojamas par šīs regulas pārkāpumiem, un veic visus vajadzīgos pasākumus, lai nodrošinātu to īstenošanu. Tādējādi dalībvalstij ir pienākums paredzēt sankciju regulējumu. Lai tas būtu tiesisks, pārkāpumu formulējumam ir jāatbilst sodu tiesībās valdošajiem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atzīts, ka atbildību noteicošas normas nevar atzīt par neskaidrām tāpēc vien, ka to saturs noskaidrojams, pamatojoties uz citām tiesību normām vai normatīvajiem aktiem (</w:t>
            </w:r>
            <w:r w:rsidR="00000000" w:rsidRPr="00000000" w:rsidDel="00000000">
              <w:rPr>
                <w:i w:val="1"/>
                <w:rtl w:val="0"/>
              </w:rPr>
              <w:t xml:space="preserve">sal. Satversmes tiesas 19.02.2021. sprieduma lietā Nr. 2020-23-01 15. punkts</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arī regulas pārkāpumi definējami pietiekami skaidri, neskatoties uz to, ka tie satur atsauci uz konkrētu regulas vienību. Likumprojektā ietvertajam pārkāpuma aprakstam, lai arī ļoti vispārīgi, bet ir jāsatur visas administratīvā pārkāpuma pazīmes. Arī no juridiskās tehniskas viedokļa atsauču lietojumam jābūt tādam, lai likumprojekta regulējumu varētu vispārīgi saprast, neizlasot atsaucē norādīto cita normatīvā akta 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precizēt likumprojektā paredzēto pārkāpumu pazīmes (sk. likumprojekta 5., 6., 7. un 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6., 7. un 8.pants precizēts atbilstoši Tieslietu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Neatļautās darbības ar ierobežotiem sprāgstvielu prekursoriem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drošības dienests veic apmācību un organizē izpratnes veicināšanas pasākumus atbilstoši Regulas 2019/1148 10. panta 1. un 2. 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Projekts neizveido mērķtiecīgu, efektīvu un paredzamu apmācību un izpratnes veicināšanas pasākumu sistēmu. Nepieciešams konkrētāks regulējums, nevis vispārīga norāde uz Regulas 2019/1148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pantā paredzēts, ka Valsts drošības dienests veic apmācību un organizē izpratnes veicināšanas pasākumus atbilstoši Regulas 2019/1148 10. panta 1. un 2. punktā noteiktajam. Minētās regulas vienības noteic, ka dalībvalstis nodrošina pienācīgus līdzekļus apmācībai un sniedz apmācību, lai panāktu, ka tiesībaizsardzības iestādes, pirmās palīdzības sniedzēji un muitas dienesti, pildot savus pienākumus, spēj atpazīt reglamentētu sprāgstvielu prekursorus un laikus un pienācīgi reaģēt uz aizdomīgu darbību. Tāpat dalībvalstis vismaz vienu reizi gadā organizē izpratnes veicināšanas pasākumus, kas pielāgoti katra atsevišķā sektora īpatnībām, kuros izmanto reglamentētus sprāgstvielu prekursorus. Projektā ietvertā norāde uz šīm regulas vienībām pati par sevi ir visai nelietderīga (varbūt vienīgi konkretizē, ka tas ir Valsts drošības dienesta pienākums). Iespējamie regulējamie jautājumi, it īpaši attiecībā uz ekonomikas dalībniekiem, varētu būt, piemēram, apmācību biežums, norādīti attiecīgie sektori (nozares) vai apmācību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2019/1148 18. apsvērumā norādīts: "Lai uzlabotu šīs regulas piemērošanu, gan ekonomikas dalībniekiem, gan publiskajām iestādēm būtu jāparedz atbilstoša apmācība par šīs regulas noteiktajiem pienākumiem. Dalībvalstīs vajadzētu būt inspekcijas iestādēm, būtu regulāri jāorganizē izpratnes veicināšanas pasākumi, kas pielāgoti atsevišķu sektoru īpatnībām, un būtu jāuztur pastāvīgs dialogs ar ekonomikas dalībniekiem visos piegādes ķēdes līmeņos, tostarp ar tiem ekonomikas dalībniekiem, kas darbojas tiešsaistē." Piemēram, regulāri izpratnes veicināšanas pasākumi varētu nebūt vienmēr savienojami ar minimālo prasību "reizi gadā". Tāpat nav skaidrs, kā noritēs minētais "pastāvīgais dialogs ar ekonomikas dalībniekiem visos piegādes ķēdes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paskaidrojusi projekta anotācijā, ka Regulas Nr.2019/1148 10. pants nosaka, ka dalībvalstis nodrošina pienācīgus līdzekļus apmācībai un sniedz apmācību, lai panāktu, ka tiesībaizsardzības iestādes, pirmās palīdzības sniedzēji un muitas dienesti, pildot savus pienākumus, spēj atpazīt reglamentētu sprāgstvielu prekursorus un laikus un pienācīgi reaģēt uz aizdomīgu darbību. Turklāt dalībvalstīm vismaz vienu reizi gadā jāorganizē izpratnes veicināšanas pasākumi, kas pielāgoti katra atsevišķā sektora īpatnībām, kuros izmanto reglamentētus sprāgstvielu prekursorus.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 veic komersantu informēšanu, kā arī reizi gadā veic apmācību komersantu vidū par aktualitātēm saistībā ar sprāgstvielu prekursoriem; veic informatīvo materiālu izplatīšanu komersantiem saistībā ar Regulas Nr.2019/1148 paredzētajām prasībām. Valsts drošības dienests sadarbojas arī ar citām izmeklēšanas iestādēm un kompetentajām iestādēm saistībā ar sprāgstvielu prekursoru aprites ierobežošanas un kontroles pasākumiem. Ņemot vērā minēto, likumprojekts paredz, ka Valsts drošības dienests veic apmācību un organizē izpratnes veicināšanas pasākumus atbilstoši Regulas 2019/1148 10. panta 1. un 2.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un Valsts drošības dienesta skatījumā apmācības un izpratnes veicināšanas pasākumi, kas jau pašlaik notiek praksē ir pietiekošs Regulas 2019/1148 prasības īstenošanas pasākums, līdz ar ko papildus regulējums nav nepieciešams. Regula ir tieši piemērojams normatīvais kas, kas neprasa atsevišķa nacionālā normatīvā akta izstrādi, izņemot tos gadījumus, kad regulā noteiktam pasākumam ir nepieciešams īstenošanas regulējums. Šajā gadījumā Iekšlietu ministrijas skatījumā tas ir izpildāms ar kompetentās iestādes noteikšanu, kas izpilda attiecīgās Regulas 2019/1148 prasības izpildi. Iekšlietu ministrijas ieskatā, izvēle par īstenošanas pasākuma izpildes formu ir atstājama Iekšlietu ministrijai un Valsts drošības dienestam, kas attiecīgi ir kompetentā iestāde Regulas 2019/1148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drošības dienests veic apmācību un organizē izpratnes veicināšanas pasākumus atbilstoši Regulas 2019/1148 10. panta 1. un 2. 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2019/1148 5. panta 1. punktā noteiktā ierobežojuma nedarīt pieejamus ierobežotus sprāgstvielu prekursorus plašas sabiedrības locekļiem pārkāpšanu, piemēro naudas sodu fiziskajām personām no septiņām līdz simt četrdesmit naudas soda vienībām, bet juridiskajām personām — no piecdesmit sešām līdz divtūkstoš astoņsimt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panta dispozījas precizēšanu, lai tiesību normu piemērotājiem un adresātiem būtu saprotams, kas saprotams ar apzīmējumu "nedarīt pieejamus". Atgādinām, ka jebkurā gadījumā pārkāpuma formulējumam ir jāsatur visas nepieciešamās pārkāpuma pazīmes. Tādēļ likumprojektā administratīvo pārkāpumu saturošā vienība veidojama tā, lai atsauci var izņemt vai lasot izlaist un tas neietekmētu pārkāpuma pazīmju esību un regulējuma skaidrību un saprotamību. Projektā esošais administratīvās atbildības regulējums pamatā neatbilst šai prasībai.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savā iebildumā ierosina apsvērt panta dispozīcijas precizēšanu, lai tiesību normu piemērotājiem un adresātiem būtu saprotams, kas saprotams ar apzīmējumu "nedarīt pieejamus". Izvērtējot minēto ierosinājumu, tika konstatēts, ka Regulas  2019/1148 5. panta 1.punktā lietotais termins "nedarīt pieejamus" netiek skaidrots detalizētāk ne minētās regulas pantos, ne tās preambulā. Izejot no tā, nebūtu korekti interpretēt Regulā 2019/1148 ievērto jēdzienu. Vienlaikus uzmanība būtu vēršama tam, ka visticamāk minētais termins ietver visplašāko darbību (kā arī bezdarbību) klāstu, piemēram, pārdošanu, izplatīšanu, dāvināšanu, atstāšanu bez uzraudzības un jebkuras citas darbības vai bezdarbību, kuras rezultātā ierobežotie sprāgstvielu prekursori varētu nonākt plašas sabiedrības locekļu rīcībā. Ņemot vērā minēto, Iekšlietu ministrijas skatījumā nav iespējas paredzēt normas dispozīcijā visas iepriekš minētās darbības, jo nevar izsmeļoši tās aptvert, turklāt, dispozīcijas precizēšana likumprojektā konkrētajā gadījumā nozīmētu Regulā Nr. 2019/1148 ietverta termina interpretēšanu, līdz ar to jēdziens "nedarīt pieejamu" ir saglabājams attiecīgajā likumprojekta normā.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2019/1148 5. panta 1. punktā noteiktā ierobežojuma nedarīt pieejamus ierobežotus sprāgstvielu prekursorus plašas sabiedrības locekļiem pārkāpšanu, piemēro naudas sodu fiziskajām personām no septiņām līdz simt četrdesmit naudas soda vienībām, bet juridiskajām personām — no piecdesmit sešām līdz divtūkstoš astoņsimt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Neatļautās darbības ar ierobežotiem sprāgstvielu prekursoriem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pilnībā izvērtēt projektā iekļauto administratīvo pārkāpumu atbilstību administratīvās atbildības nepieciešamības un pieļaujamības kritērijiem (administratīvā akta (procesa) prioritātes princips, sabiedriskās kārtības mērķa sasniegšanas efektivitāte, problēmsituācijas attiecināmība uz publiski tiesiskajām attiecībām, problēmsituācijas bīstamība un kaitīgums, aizliegums paredzēt administratīvos sodus par administratīvā akta labprātīgu neizpildīšanu utt.), konkretizēt soda veida un apmēra izvēles pamatojumu un ietvert informāciju par sankcijām citu pārkāpumu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izziņā norādīto, ir redzams, ka par katru no projekta 6., 7. un 8. pantā iekļauto pārkāpumu projekta anotācijā nav atrodams visu šo administratīvās atbildības kritēriju argumentēts izvērtējums. Neskaitot atsevišķus redakcionālus precizējumus, projekta anotācijas saturs būtībā nav mainīts. Līdz ar to Tieslietu ministrija uztur 2023. gada 3. novembra atzinumā iekļauto 4.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ka arī likumprojekts, precizējot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projekta sākotnējās ietekmes novērtējuma ziņojumā (anotācijā) ietverto skaidrojumu, secināms, ka tas paredz pilnvērtīgu, sistēmisku un viegli uztveramu administratīvās atbildības kritēriju izvērtējumu par katru projektā paredzēto administratīvo pārkāpumu, kā arī paredzēto pārkāpumu satura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Neatļautās darbības ar ierobežotiem sprāgstvielu prekursoriem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Neatļautās darbības ar ierobežotiem sprāgstvielu prekursoriem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Nav pienācīgi izvērtēta projektā iekļauto administratīvo pārkāpumu atbilstība administratīvās atbildības nepieciešamības un pieļaujamības kritērijiem. Pieļautas atsevišķas neatbilstības pārkāpumu definēšanas prasībām. Atkārtoti izvērtējama projektā iekļauto administratīvo pārkāpumu nepieciešamība un pieļaujamība, papildināms soda veida un apmēra izvēles pamatojums, kā arī precizējamas pārkāpumu pazīmes. Projekta anotācijā iekļaujama informācija par iespējamām sankcijām tajos gadījumos, kad nav ievēroti citi Regulā 2019/1148 noteiktie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6., 7. un 8. pantā ir ietverti vairāki administratīvie pārkāpumi, taču projekta anotācijā atrodams vien fragmentārs un visnotaļ vispārīgs administratīvās atbildības kritēriju izvērtējums. Iepriekšējos Tieslietu ministrijas atzinumos ir norādīti gan vērtējamie kritēriji, gan arī iekļauts to plašāks raksturojums un norādīti citi avoti, kur iespējams vairāk uzzināt par attiecīgo kritēriju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 katru no projektā iekļautajiem administratīvajiem pārkāpumiem projekta anotācijā ietverams pilnvērtīgs, sistēmisks un viegli uztverams vismaz šādu administratīvās atbildības kritēriju izvērtējums: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Nozīmīgs rādītājs ir arī problēmsituācijas aktualitāte, proti, vai attiecīgi pārkāpumi faktiski tiek izdarīti pietiekami bieži, lai par to būtu nepieciešams paredzēt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izslēgta iespēja apvienot skaidrojumu par atsevišķiem kritērijiem, ja tie ir līdzīgi vairākiem pārkāpumiem (piemēram, mērķa sasniegšanas efektivitātes elementi, aizliegums paredzēt administratīvos sodus par administratīvā akta labprātīga neizpildīšanu un attiecināmība uz publiski tiesiskajām attiecībām saistībā ar vairākiem pārkāpumiem varētu būt līdzīgi vērtējama). Taču ir jābūt redzamam, ka šie kritēriji ir vērtēti par katru pārkāpumu, un vērtējumam kopumā jābūt viegli pārskatāmam.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Īpaša uzmanība pievēršama administratīvā procesa prioritātes principam. Projekta anotācijā vairākkārt norādīts apmēram šādi: attiecīgie pārkāpumi "vairs nav novēršami, turklāt minēto pārkāpumu bīstamība un sabiedriskais kaitīgums ir ievērojams, ņemot vērā sprāgstvielu prekursoru izmantošanu terorismā un citu smagu noziegumu izdarīšanā, kad ir apdraudēta sabiedrības drošība un veselība". Tomēr jāvērtē ne tikai katra atsevišķā pārkāpuma absolūta novēršamība, bet lielāka uzmanība jāpievērš administratīvās atbildības esības mērķim, proti, tiesiskās iekārtas aizsardzībai kopumā. Ja arī nav iespējams pilnībā novērst viena konkrēta pārkāpuma sekas, bet ir iespējams izveidot mehānismu, lai turpmāk šāda veida pārkāpumi vairs netiktu pieļauti, administratīvā soda esību nevar pamatot vien ar atsevišķa pārkāpuma nenovēršamību.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Regulas 2019/1148 7. pantā ir noteikti dažādi informēšanas pienākumi. Kā tas izriet no šīs regulas apsvērumiem, tad informēšanas pienākumu dažkārt var izpildīt, iekļaujot attiecīgu informāciju produkta svītrkodā vai iepakojumam piestiprinot etiķeti (9. un 10. apsvērums). Turklāt informēšana nereti attiecas uz Regulā 2019/1148 noteiktajiem pienākumiem, kas jāievēro tāpat, neatkarīgi no informēšanas esības. Līdz ar to ir apšaubāms, ka pilnīgi visos gadījumos pārkāpumi būtu principiāli nenovēršami un ar augstu bīstamības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Saistībā ar soda veida un apmēra izvēles pamatojumu projekta anotācijā pamatā ir norādītas citu likumu vienības, kur ir ietverti šķietami salīdzināmi pārkāpumi. Tomēr ne vienmēr ir saprotams, kur tieši izpaužas pārkāpumu salīdzināmība (kādas ir tās tiesiskās intereses, kuras aizsargā šie pārkāpumi) un vai tiešām sods būtu paredzams identisks vai līdzvērtīgs. Tostarp jautājumus rada naudas soda minimālās robežas, kuru nepieciešamība prasa īpašu pamatojumu, it īpaši, ja pārkāpumu izpausmes varētu būt daudzveidīgas.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tas norādīts iepriekšējos Tieslietu ministrijas atzinumos, lai arī projektā ir ietverta atsauce uz Regulas 2019/1148 vienībām, pārkāpuma formulējumā jānorāda visas pārkāpuma pazīmes. Atsaucei uz regulu ir tikai informatīvs raksturs, pārkāpumam jābūt saprotamam arī tad, ja attiecīgo atsauci izņemtu. Projektā šī prasība nereti nav ievērota. Detalizētāk skaidrojums ir norādīts iebildumos pie attiecīgajām projekta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pantā ir izmantota izteiksme "nedarīt pieejamus". Izziņā norādīts, ka šis termins Regulā netiek skaidrots detalizētāk un varētu ietvert visplašāko darbību klāstu. Tomēr Regulas 2019/1148 3. panta 4. punktā ir skaidrots, ka ar terminu "darīšana par pieejamu" ir saprotama jebkura piegāde – par maksu vai bez maksas. Līdz ar to, skatoties kopsakarā ar izziņā ietverto skaidrojumu, rodas šaubas par projektā ietverto pārkāpumu patieso saturu. Projekta anotācijā pārkāpumu būtība (to pazīmes) arī pamatā netiek skaidrotas.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izvērtējams saikļa "un" lietojums pārkāpumu definējumā. Saiklis "un" lietojams vien tad, ja nepieciešamas visas norādītās pazīmes, lai varētu piemērot atbildību par pārkāpumu. Piemēram, apšaubāms, ka projekta 6. panta otrajā daļā vienmēr vajag vienlaikus pārkāpt ierobežojumu neievest, turēt īpašumā un nelietot ierobežotus sprāgstvielu prekursorus. Līdzīgi izvērtējams arī 7. un 8. pants, tostarp atsauces uz regulas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projekta ir izslēgti atsevišķi pārkāpumi, tādā veidā reaģējot uz Tieslietu ministrijas izteiktajiem iepriekšējiem iebildumiem. Taču tas rada jautājumu, kādā veidā šajos gadījumos tiks nodrošināts Regulas 2019/1148 13. pantā ietvertais pienākums noteikt iedarbīgas, samērīgas un atturošas sankcijas. Protams, sankcijas nav tikai administratīvā atbildība un nereti administratīvā atbildība nemaz nav piemērotākais risinājums, taču projekts teksts un anotācija nerada priekšstatu, ka pastāvētu citi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ka arī likumprojekts, precizējot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projekta sākotnējās ietekmes novērtējuma ziņojumā (anotācijā) ietverto skaidrojumu, secināms, ka tas paredz pilnvērtīgu, sistēmisku un viegli uztveramu administratīvās atbildības kritēriju izvērtējumu par katru projektā paredzēto administratīvo pārkāpumu, kā arī paredzēto pārkāpumu satura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Neatļautās darbības ar ierobežotiem sprāgstvielu prekursoriem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Informēšanas un instruēšanas pienākuma nepildīšana sprāgstvielu prekursoru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paredzētie pārkāpumi vairs nav novēršami, tādēļ nav iespējams piemērot citus līdzekļus, kā administratīvos sodus. Tomēr  norādām, ka administratīvā atbildība paredzama par tādiem pārkāpumiem, kuri vairs nav novēršami un ir ar augstu bīstamības pakāpi (piemēram, salīdzinoši daudzu ceļu satiksmes noteikumu pārkāpumu gadījumā personas rīcība ir neatgriezeniska un ir ar augstu bīstamības pakāpi), kā arī, protams, atbilst pārējiem administratīvās atbildības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pārkāpumam jābūt tādam, kas principiāli nav novēršams. Proti, nodarījums ir tāda konkrēta rīcība, kuru vairs nevar padarīt par nebijušu, tostarp novēršot tā radītās sekas vai citādā veidā </w:t>
            </w:r>
            <w:r w:rsidR="00000000" w:rsidRPr="00000000" w:rsidDel="00000000">
              <w:rPr>
                <w:i w:val="1"/>
                <w:rtl w:val="0"/>
              </w:rPr>
              <w:t xml:space="preserve">(sk. arī: Smiltēna A. Svarīgākie administratīvās atbildības reformas elementi. Jurista Vārds, 17.12.2019., Nr. 50/51/52).</w:t>
            </w:r>
            <w:r w:rsidR="00000000" w:rsidRPr="00000000" w:rsidDel="00000000">
              <w:rPr>
                <w:rtl w:val="0"/>
              </w:rPr>
              <w:t xml:space="preserve"> Otrkārt, pārkāpuma novēršamība skatāma nevis tieši saistībā ar konkrētu personu vai gadījumu, bet no tiesiskās iekārtas skatpunkta. Ja ir iespējams nodrošināt, ka pārkāpums netiks pieļauts vai izdarīts turpmāk (novērst tā cēloņus, izveidot noteiktu pienākumu īstenošanas mehānismu u. tml.), tad administratīvā atbildība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tiesību norma, kas paredz tiešsaistes tirdzniecības vietām pienākumu informēt savus darbiniekus vai  ekonomikas dalībniekus par saviem pienākumiem, pirmšķietami neatbilst administratīvās atbildības kritērijiem. Tādējādi minētais pants būtu izslēdzams no likumprojekta un tā vietā izmantojami administratīvā procesa līdzekļi vai arī anotācijā jāsniedz atbilstošs skaidrojums minētā panta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attiecīgo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Informēšanas un instruēšanas pienākuma nepildīšana sprāgstvielu prekursoru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Informēšanas un instruēšanas pienākuma nepildīšana sprāgstvielu prekursoru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izvērtēt administratīvās atbildības nepieciešamību un pieļaujamību, uzmanība pievēršama  regulējuma efektivitātei un  arī praktiskai realizācijai. Proti, likumprojekta anotācijā ir norādīts, ka “Latvijas Republikā nav izveidots tāds licencēšanas mehānisms, saskaņā ar kuru ierobežotus sprāgstvielu prekursorus varētu darīt pieejamus plašas sabiedrības locekļiem, līdz ar to jebkāda rīcība  sabiedrības locekļiem ar tiem ir aizliegta.”  Attiecīgi, cik var noprast no likumprojekta un anotācijas, ierobežotas sprāgstvielu prekursorus nav likumīgi iespējams iegādāties un tirgot Latvijā, tādējādi vairāki paredzētie administratīvās atbildības panti (likumprojekta 6., 7., 8., 9.panti), kas izriet no pienākumu pārkāpumiem tiešsaistes tirdzniecības vietām un ekonomikas dalībniekiem, netiks praktiski izmantoti. Tādējādi būtu abšaubāma arī administratīvās atbildības paredzēšana.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darbības ar sprāgstvielu prekursoriem likumīgi nav iespējamas (un dalībvalsts izmantojusi Regulā noteikto rīcības brīvību minētos prekursorus nedarīt pieejamus sabiedrībai ar atbilstošu licencēšanas mehānismu), tad pirmškietami attaisnojama būtu administratīvās atbildības paredzēšana tikai par pārkāpumiem, kas saistīti ar sprāgstvielu prekursoru neatļautu iegādi, glabāšanu, pārdošanu u.tml.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minētos likumprojekta pantus vai arī precizēt anotāciju, pamatojot, ka administratīvās atbildības noteikšanai ir pamats un no Regulas izrietošie pienākumi ekonomikas dalībniekiem un tiešsaistes tirdzniecības vietām ir saistoši, neatkarīgi no dalībvalstī izveidotā licencēšanas mehānisma.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atbilstoši Tieslietu ministrijas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uzmanība būtu vēršama tam, ka Latvija ir izmantojusi Regulā Nr.2019/1148 paredzēto rīcības brīvību un nav ieviesusi licencēšanas mehānismu, kas ļautu plašas sabiedrības locekļiem darītu pieejamu ierobežotus sprāgstvielu prekursorus.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2019/1148 neaizliedz ierobežotus sprāgstvielu prekursorus darīt pieejamus, piemēram, profesionāliem lietotājiem, līdz ar to, ierobežotu sprāgstvielu prekursoru aprite Latvijā pati par sevi nav aizliegta, taču pastāv virkne ar Regulā Nr.2019/1148 noteiktajiem nosacījumiem, kuri ir jāievēro gan ekonomikas dalībniekiem, gan tiešsaistes tirdzniecības vietām, kas dara pieejamus ierobežotus sprāgstvielu prekursorus. Līdz ar to plašas sabiedrības locekļu rīcībā minētie prekursori var nonākt tikai neatļauti, tāpēc ir jāparedz atbildība par neatļautām darbībām ar sprāgstvielu prekursoriem, kura arī ir paredzēta likumprojekta 6.pantā (bijušais likumprojekta 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reglamentētie sprāgstvielu prekursori atbilstoši Regulas Nr.2019/1148 noteiktajam ir pieejami ne tikai profesionāliem lietotājiem, bet arī plašas sabiedrības locekļiem, kā arī to apritei nav nepieciešams licencēšanas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attiecībā uz reglamentēto sprāgstvielu prekursoru apriti Regula 2019/1148 paredz virkni ar nosacījumiem, kuri ir jāievēro, gan ekonomikas dalībniekiem, gan tiešsaistes tirdzniecības vietām, kas dara pieejamus ierobežotus sprāgstvielu prekursorus (attiecīgi tikai profesionāliem lietotājiem, citiem ekonomikas dalībniekiem un tiešsaistes tirdzniecības vietām) un reglamentētus sprāgstvielu prekursorus.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nevar uzskatīt, ka likumprojekta 6., 7., 8. un 9.pants, kas paredz administratīvo atbildību, netiks praktiski izmantots, jo ārpus licencēšanas mehānisma, kas Latvijā nepastāv, nav aizliegta ierobežotu sprāgstvielu prekursoru un reglamentētu sprāgstvielu prekursoru tirdzniecība, taču tā var tikt īstenota tikai un vienīgi atbilstoši Regulā Nr.2019/1148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arī jābūt paredzētai atbildībai par minēto prasību neievērošanu, jo attiecīgie pārkāpumi var novest pie tā, ka sprāgstvielu prekursori nonāks to personu rīcībā, kas var tos ļaunprātīgi izmantot, tai skaitā terorisma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Informēšanas un instruēšanas pienākuma nepildīšana sprāgstvielu prekursoru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Informēšanas un instruēšanas pienākuma nepildīšana sprāgstvielu prekursoru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precizēt administratīvo pārkāpumu pazīmes, turklāt neizmantojot jaunas atsauces uz regulas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Neskarot iepriekš izteikto iebildumu par administratīvās atbildības kritēriju izvērtējumu, projekta 7. pantā esošā pārkāpuma saturs nav saprotams, nelasot atsaucē norādītās regulas vienības. Precizējams, kāda veida (satura) ir šie informēšanas vai instruēšanas pienākumi. Minētais precizējums veicams, izmantojot pienākuma vārdisku aprakstu, nevis jaunas atsauces uz regulu. Atsauces nekādā veidā nepadara pārkāpumu saprotamāku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ir tieši piemērojams normatīvais kas, kas neprasa atsevišķa nacionālā normatīvā akta izstrādi, izņemot tos gadījumus, kad regulā noteiktam pasākumam ir nepieciešams īstenošanas regulējums. No regulu tiešas iedarbības principa izriet regulu pārrakstīšanas aizliegums. Iekšlietu ministrija ir precizējusi normas dispozīciju atbilstoši Tieslietu ministrijas iebildumiem, cenšoties maksimāli saglabāt balansu starp regulu pārrakstīšanas aizliegumu un normas skaidrības nodrošināšanu. Ievērojot minēto, Iekšlietu ministrijas skatījumā, norma saglabājama Iekšlietu ministrijas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Informēšanas un instruēšanas pienākuma nepildīšana sprāgstvielu prekursoru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Informēšanas un instruēšanas pienākuma nepildīšana sprāgstvielu prekursoru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Precizējamas projekta 7. pantā ietvertā pārkāpuma pazīmes, ja šāda administratīvā atbildība tiks saglabāta.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Neskarot iepriekš izteikto iebildumu par administratīvās atbildības kritēriju izvērtējumu, projekta 7. pantā esošā pārkāpuma saturs nav saprotams, nelasot atsaucē norādītās regulas vienības ("par ekonomikas dalībnieku informēšanas pienākuma nepildīšanu" vai "par darbinieku informēšanas un instruēšanas pienākuma nepildīšanu"). Precizējams, kāda veida (satura) ir šie informēšanas vai instruēšanas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Tieslietu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Informēšanas un instruēšanas pienākuma nepildīšana sprāgstvielu prekursoru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Regulas 2019/1148 8. panta 2. punktā paredzētās informācijas nesniegšanu vai nepatiesas informācijas sniegšanu pēc valsts inspekcijas iestādes vai tiesībaizsardzības iestādes lūguma, piemēro brīdinājumu vai naudas sodu fiziskajai personai līdz simt četrdesmit naudas soda vienībām, bet juridiskajai personai — no četrpadsmit līdz divtūkstoš astoņsimt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normatīvajos tiesību aktos noteiktas informācijas nesniegšanu, informācijas nepienācīgu sniegšanu vai nepatiesas informācijas sniegšanu iestādei ir paredzēta Administratīvo sodu likuma par pārkāpumiem pārvaldes, sabiedriskās kārtības un valsts valodas lietošanas jomā 3. pantā. Šajā pantā ir paredzēts apvienot visus administratīvos pārkāpumus, kas saistīti ar normatīvajos aktos noteiktas informācijas sniegšanu iestādei </w:t>
            </w:r>
            <w:r w:rsidR="00000000" w:rsidRPr="00000000" w:rsidDel="00000000">
              <w:rPr>
                <w:i w:val="1"/>
                <w:rtl w:val="0"/>
              </w:rPr>
              <w:t xml:space="preserve">(sk. likumprojekta "Administratīvo sodu likums par pārkāpumiem pārvaldes, sabiedriskās kārtības un valsts valodas lietošanas jomā" (Nr. 342/Lp13) sākotnējās ietekmes novērtējuma ziņojuma (anotācijas) I sadaļas 2. punktā esošo skaidrojumu par administratīvajiem pārkāpumiem pārvaldes jomā</w:t>
            </w:r>
            <w:r w:rsidR="00000000" w:rsidRPr="00000000" w:rsidDel="00000000">
              <w:rPr>
                <w:rtl w:val="0"/>
              </w:rPr>
              <w:t xml:space="preserve">). Ievērojot minēto, citos attiecīgo nozari regulējošajos likumos nav iekļaujami administratīvie pārkāpumi, kas izpaužas kā normatīvajos tiesību aktos noteiktas informācijas nesniegšana, informācijas nepienācīga sniegšana vai nepatiesas informācijas sniegšana iestādei. Savukārt iestādes pieprasītas informācijas nesniegšanas sekas risināmas ar administratīvā procesa piespiedu izpildes līdzekļiem vai citiem procesuālajiem līdzekļiem (atkarībā no procesa veida, informācijas pieprasījuma juridiskās kvalifikācijas u.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Tieslietu ministrijas iebildumam, svītrojot 8.pantu.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Regulas 2019/1148 8.panta 2. un 3.punktā paredzētās informācijas  nesniegšanu, informācijas nepienācīgu sniegšanu vai nepatiesas informācijas sniegšanu pēc valsts inspekcijas iestādes lūguma, piemēro brīdinājumu vai naudas sodu fiziskajai personai līdz simt četrdesmit naudas soda vienībām, bet juridiskajai personai — no četrpadsmit līdz tūkstoš četri simti divdesmit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"ar informācijas nesniegšanu iestādei saprot gadījumus, kad informācija nav iesniegta vispār vai ir nepilnīgi iesniegta vai netika glabāta Regulas Nr.2019/1148 8. panta 4. punktā noteiktajā laika periodā un kā rezultātā nevar tikt iesniegta. Ar informācijas nepienācīgu sniegšanu iestādei saprot informācijas nesniegšanu normatīvajos aktos noteiktajā kārtībā. Ja iesniegtajā informācijā ir pārrakstīšanās kļūdas, šāda informācija nav uzskatāma par nepatiesi sniegtu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nesniegšana un informācijas glabāšana, lai arī var būt saistīti, tomēr ir patstāvīgi pienākumi. Līdz ar to nevar piekrist apgalvojumam, ka ar informācijas nesniegšanu ir saprotami arī gadījumi, kad informācija netiek glabāta noteikto laika periodu. Tie var būt patstāvīgi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informācijas nepienācīgu sniegšanu norādīts, ka ar to saprot informācijas nesniegšanu normatīvajos aktos noteiktajā kārtībā. Konkrētajā gadījumā nav saprotams, kuri normatīvie akti noteic minētās informācijas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"Par likumprojekta 7. pantā paredzēto administratīvo pārkāpumu sodi ir noteikti, ņemot vērā Administratīvo sodu likuma par pārkāpumiem pārvaldes, sabiedriskās kārtības un valsts valodas lietošanas jomā 3. pantā noteiktos minimālos sodus par tādiem pašiem administratīvajiem pārkāpumiem pārvaldes jomā, tomēr paredzot mazāku maksimālo sodu." Tomēr šie pārkāpumi nav savstarpēji salīdzināmi. Administratīvā atbildība par normatīvajos tiesību aktos noteiktas informācijas nesniegšanu, informācijas nepienācīgu sniegšanu vai nepatiesas informācijas sniegšanu iestādei ir paredzēta Administratīvo sodu likuma par pārkāpumiem pārvaldes, sabiedriskās kārtības un valsts valodas lietošanas jomā 3. pantā. Šajā pantā ir paredzēts apvienot visus administratīvos pārkāpumus, kas saistīti ar normatīvajos aktos noteiktas informācijas sniegšanu iestādei (</w:t>
            </w:r>
            <w:r w:rsidR="00000000" w:rsidRPr="00000000" w:rsidDel="00000000">
              <w:rPr>
                <w:i w:val="1"/>
                <w:rtl w:val="0"/>
              </w:rPr>
              <w:t xml:space="preserve">sk. likumprojekta "Administratīvo sodu likums par pārkāpumiem pārvaldes, sabiedriskās kārtības un valsts valodas lietošanas jomā" (Nr. 342/Lp13) sākotnējās ietekmes novērtējuma ziņojuma (anotācijas) I sadaļas 2. punktā esošo skaidrojumu par administratīvajiem pārkāpumiem pārvaldes jomā</w:t>
            </w:r>
            <w:r w:rsidR="00000000" w:rsidRPr="00000000" w:rsidDel="00000000">
              <w:rPr>
                <w:rtl w:val="0"/>
              </w:rPr>
              <w:t xml:space="preserve">). Ievērojot minēto, citos attiecīgo nozari regulējošajos likumos nav iekļaujami administratīvie pārkāpumi, kas izpaužas kā normatīvajos tiesību aktos noteiktas informācijas nesniegšana, informācijas nepienācīga sniegšana vai nepatiesas informācijas sniegšana iestādei. Savukārt iestādes pieprasītas informācijas nesniegšanas sekas risināmas ar administratīvā procesa piespiedu izpildes līdzekļiem vai citiem procesuālajiem līdzekļiem (atkarībā no procesa veida, informācijas pieprasījuma juridiskās kvalifikācijas u. tml.). Tāpat jāpievērš uzmanība krimināltiesiskajam regulējumam. Piemēram, Krimināllikuma 272. pantā ir paredzēta kriminālatbildība par apzināti nepatiesu ziņu sniegšanu valsts institūcijai. Līdz ar to gadījumos, kad informācijas sniegšanas pamats ir iestādes pieprasījums, administratīvā atbildība vispār nebūtu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kritiski vērtējams projekta anotācijā norādītais, ka "būtībā informācijas nesniegšana pēc noteikto iestāžu pieprasījuma varētu liecināt par to, ka iespējams notika neatļautās darbības ar ierobežotiem sprāgstvielu prekursoriem (jo nav dokumentu, kas varētu pierādīt pretējo)". Šādu pieņēmums, vismaz ne likumprojekta 7. pantā paredzētā pārkāpuma kontekstā, nav korekts un neatbilst pierādīšanas pienākuma izpratnei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un skaidrojumu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anotācija precizēta atbilstoši Tieslietu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Regulas 2019/1148 8.panta 2. un 3.punktā paredzētās informācijas  nesniegšanu, informācijas nepienācīgu sniegšanu vai nepatiesas informācijas sniegšanu pēc valsts inspekcijas iestādes lūguma, piemēro brīdinājumu vai naudas sodu fiziskajai personai līdz simt četrdesmit naudas soda vienībām, bet juridiskajai personai — no četrpadsmit līdz tūkstoš četri simti divdesmit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regulas Nr. 2019/1148 8. panta 4. punktam informācija darāma pieejamu pārbaudei pēc ne vien valsts inspekcijas iestāžu, bet arī tiesībaizsardzības iestāžu lūguma, nepieciešams izvērtēt un papildināt likumprojekta 7. pantu ar atbilstošu regulējumu vai alternatīvi nepieciešams likumprojekta anotācijā sniegt pamatotu skaidrojumu (nepieciešamības gadījumā papildinot arī likumprojekta anotācijas 5.4. sadaļas 1. tabulu), kādēļ likumprojektā nav jāparedz administratīvā atbildība cita starpā arī par attiecīgas informācijas nesniegšanu, informācijas nepienācīgu sniegšanu vai nepatiesas informācijas sniegšanu pēc citu tiesībaizsardzības iestāžu lūguma.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paredzot sodu par informācijas nesniegšanu arī pēc tiesībaizsardzības iestādes lūguma.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Regulas 2019/1148 8.panta 2. un 3.punktā paredzētās informācijas  nesniegšanu, informācijas nepienācīgu sniegšanu vai nepatiesas informācijas sniegšanu pēc valsts inspekcijas iestādes lūguma, piemēro brīdinājumu vai naudas sodu fiziskajai personai līdz simt četrdesmit naudas soda vienībām, bet juridiskajai personai — no četrpadsmit līdz tūkstoš četri simti divdesmit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2019. gada 20. jūnija Regulas (ES) 2019/1148 par sprāgstvielu prekursoru tirdzniecību un lietošanu, ar ko groza Regulu (EK) Nr. 1907/2006 un atceļ Regulu (ES) Nr. 98/2013 (turpmāk - regula Nr. 2019/1148), 8. panta 4. punkts paredz, lai pārbaudītu šīs regulas ievērošanu un lai novērstu un atklātu sprāgstvielu nelikumīgu izgatavošanu, ekonomikas dalībnieki 1. un 2. punktā minēto informāciju glabā 18 mēnešus no darījuma norises dienas. Minētajā laikposmā informāciju dara pieejamu pārbaudei pēc valsts inspekcijas iestāžu vai tiesībaizsardzības iestāžu lūguma. Attiecīgi secināms, ka pēc valsts inspekcijas iestāžu vai tiesībaizsardzības iestāžu lūguma ekonomikas dalībniekam cita starpā jāsniedz regulas Nr. 2019/1148 8. panta 1., nevis 3. punktā minētā informācija (8. panta 3. punkts paredz ekonomikas dalībnieka pienākumu veikt noteiktu izvērtējumu). Ievērojot minēto, nepieciešams atbilstoši precizēt likumprojekta 7. pantu vai alternatīvi - sniegt pamatotu skaidrojumu par minētā panta atbilstību regulas Nr. 2019/1148 8. panta 4. punktam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Tieslietu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Neziņošana par aizdomīgiem darījumiem ar sprāgstvielu prekursoriem, to zādzību un pazušanu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Precizējamas projekta 8.</w:t>
            </w:r>
            <w:r w:rsidR="00000000" w:rsidRPr="00000000" w:rsidDel="00000000">
              <w:rPr>
                <w:rtl w:val="0"/>
              </w:rPr>
              <w:t xml:space="preserve"> </w:t>
            </w:r>
            <w:r w:rsidR="00000000" w:rsidRPr="00000000" w:rsidDel="00000000">
              <w:rPr>
                <w:b w:val="1"/>
                <w:i w:val="1"/>
                <w:rtl w:val="0"/>
              </w:rPr>
              <w:t xml:space="preserve">pantā ietvertā pārkāpuma pazīmes, ja šāda administratīvā atbildība tiks saglabāta.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Neskarot iepriekš izteikto iebildumu par administratīvās atbildības kritēriju izvērtējumu, projekta 8. pantā ietvertais administratīvais pārkāpums nesatur visas nepieciešamās pazīmes. Izteiksme "par ziņošanas pienākuma nepildīšanu" neļauj saprast, kāds tieši ziņošanas pienākums ir paredzēts. To var noskaidrot vienīgi Regulā 2019/1148, taču administratīvā pārkāpuma formulējumam pašam par sevi jāsatur visas nepieciešamās pārkāpuma pazīmes un jābūt pietiekami skaidram un paredzamam, neatkarīgi no atsauces uz regulu 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Jāievēro, ka Regulas 2019/1148 9. pantā noteiktais ziņošanas pienākums nav absolūts. Piemēram, ekonomikas dalībnieki ziņo vien par "būtiskiem reglamentētu sprāgstvielu prekursoru pazušanas gadījumiem un zādzībām 24 stundu laikā". Projektā nevajadzētu paplašināt vai citādi izmainīt pārkāpuma saturu. Līdz ar to projektā pārkāpums formulējams iespējami precīzi.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vai zādzība vai pazušanas gadījums ir "būtisks", ir atkarīgs no tā, vai daudzums ir neparasts, ņemot vērā visus konkrētā gadījuma apstākļus. Ja rodas šaubas par to, vai zādzība vai pazušanas gadījums ir būtisks, ekonomikas dalībniekiem, profesionāliem lietotājiem un plašas sabiedrības locekļiem ir pienākums sazināties ar dalībvalsts valsts kontaktpunktu (</w:t>
            </w:r>
            <w:r w:rsidR="00000000" w:rsidRPr="00000000" w:rsidDel="00000000">
              <w:rPr>
                <w:i w:val="1"/>
                <w:rtl w:val="0"/>
              </w:rPr>
              <w:t xml:space="preserve">Pamatnostādnes par to, kā īstenot Regulu (ES) 2019/1148 par sprāgstvielu prekursoru tirdzniecību un lietošanu; V.5. iedaļa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Likuprojekts precizēts atbilstoši Tieslietu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Neziņošana par aizdomīgiem darījumiem ar sprāgstvielu prekursoriem, to zādzību vai pazušanu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Regulas 2019/1148 9. panta 1., 4. un 5. punktā paredzētā ziņošanas pienākuma par aizdomīgu darījumu vai tā mēģinājumu ar sprāgstvielu prekursoriem, to zādzību vai pazušanu nepildīšanu, piemēro brīdinājumu vai naudas sodu fiziskajai personai līdz simt četrdesmit naudas soda vienībām, bet juridiskajai personai — no četrpadsmit līdz divtūkstoš astoņsimt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precizēt administratīvo pārkāpumu pazīmes, turklāt neizmantojot jaunas atsauces uz regulas vienībām un neizmainot regulā noteikto pienākumu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pantā paredzēta atbildība par ziņošanas pienākuma par aizdomīgu darījumu vai tā mēģinājumu ar sprāgstvielu prekursoriem, to zādzību vai pazušanu nepildīšanu. Jāievēro, ka Regulas 2019/1148 9. pantā noteiktais ziņošanas pienākums nav absolūts. Piemēram, ekonomikas dalībnieki ziņo vien par "būtiskiem reglamentētu sprāgstvielu prekursoru pazušanas gadījumiem un zādzībām 24 stundu laikā". Projektā nevajadzētu paplašināt vai citādi izmainīt pārkāpuma saturu. Līdz ar to projektā pārkāpums formulējams iespējami precīzi.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pantā nav uzsvērts aspekts, ka ziņošanas pienākums attiecas vien uz </w:t>
            </w:r>
            <w:r w:rsidR="00000000" w:rsidRPr="00000000" w:rsidDel="00000000">
              <w:rPr>
                <w:u w:val="single"/>
                <w:rtl w:val="0"/>
              </w:rPr>
              <w:t xml:space="preserve">būtiskiem</w:t>
            </w:r>
            <w:r w:rsidR="00000000" w:rsidRPr="00000000" w:rsidDel="00000000">
              <w:rPr>
                <w:rtl w:val="0"/>
              </w:rPr>
              <w:t xml:space="preserve"> pazušanas gadījumiem vai zādzībām. Taču tam ir izšķiroša nozīme gan attiecīgā ziņošanas pienākuma, gan iespējamās atbildības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ir tieši piemērojams normatīvais kas, kas neprasa atsevišķa nacionālā normatīvā akta izstrādi, izņemot tos gadījumus, kad regulā noteiktam pasākumam ir nepieciešams īstenošanas regulējums. No regulu tiešas iedarbības principa izriet regulu pārrakstīšanas aizliegums. Iekšlietu ministrija ir precizējusi normas dispozīciju atbilstoši Tieslietu ministrijas iebildumiem, cenšoties maksimāli saglabāt balansu starp regulu pārrakstīšanas aizliegumu un normas skaidrības nodrošināšanu. Ievērojot minēto, Iekšlietu ministrijas skatījumā, norma saglabājama Iekšlietu ministrijas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Regulas 2019/1148 9. panta 1., 4. un 5. punktā paredzētā ziņošanas pienākuma nepildīšanu, piemēro brīdinājumu vai naudas sodu fiziskajai personai līdz simt četrdesmit naudas soda vienībām, bet juridiskajai personai — no četrpadsmit līdz divtūkstoš astoņsimt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Regulas 2019/1148 9.panta 1. un 5.punktā paredzētā ziņošanas pienākuma nepildīšanu piemēro naudas sodu fiziskajai personai līdz simt četrdesmit naudas soda vienībām, bet juridiskajai personai — no četrpadsmit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Dažādi pienākumi, kas saistīti ar ziņošanu par aizdomīgiem darījumiem, pazušanas gadījumiem un zādzībām ir noteikti ne tikai Regulas 2019/1148 9. panta 1. un 5. punktā. Piemēram, ekonomikas dalībnieku un tiešsaistes tirdzniecības vietu pienākums ziņot par aizdomīgu darījumu vai aizdomīga darījuma mēģinājumu 24 stundu laikā ir noteikts šīs regulas 9. panta 4. punktā. Līdz ar to likumprojekta 8. pantā esošā atsauce ir neskaidra vai var būt maldinoša.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2019/1148 9. panta 2. punktā ir noteikts pienākums ekonomikas dalībniekiem un tiešsaistes tirdzniecības vietām izveidot piemērotas, saprātīgas un samērīgas procedūras aizdomīgu darījumu atklāšanai, kas pielāgotas specifiskajai videi, kurā tiek darīti pieejami reglamentēti sprāgstvielu prekursori. Šādu procedūru neesība pati par sevi ir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rūpīgi pārskatīt visus Regulā 2019/1148 noteiktos pienākumus un izvērtēt, vai pastāv atbilstošas sankcijas par to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precizēts atbilstoši Tieslietu ministrijas iebildumam, precizējot 8.pantu un papildinot ar jauno 9.pantu.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Regulas 2019/1148 9. panta 1., 4. un 5. punktā paredzētā ziņošanas pienākuma nepildīšanu, piemēro brīdinājumu vai naudas sodu fiziskajai personai līdz simt četrdesmit naudas soda vienībām, bet juridiskajai personai — no četrpadsmit līdz divtūkstoš astoņsimt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Piemērotu, saprātīgu un samērīgu procedūru aizdomīgu darījumu atklāšanai nenodrošināšana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Republikas Satversmes 90. panta izriet prasība par tiesību normas paredzamību, skaidrību un saprotamību. Normas saturam ir jābūt tādam, lai privātpersona zinātu, kādas tiesiskās sekas rodas no noteiktiem juridiskiem faktiem vai noteiktas rīcības (darbības vai bezdarbības), lai viņa varētu izdarīt apzinātu izvēli un vajadzības gadījumā pielāgot savu rīcību normas prasībām. Latvijas Republikas Satversmes 90. pantam ir īpaša nozīme krimināltiesību, kā arī citu krimināltiesiska (sodoša) rakstura sankciju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rada šaubas, vai ir izpildīts likumdevēja pienākums formulēt panta dispozīciju pietiekami skaidri. Proti, ir apšaubāma pārkāpuma plaša vai neskaidra formulēšana, izmantojot ģenerālklauzulas, kā, piemēram, "piemērotas, saprātīgas un samērīgas procedūras". Minēto jēdzienu lietojums neļauj izprast normas saturu, kā arī rada bažas par normas piemērošanas robežām, jo tās piemērošana lielākoties būs atkarīga no prakses, kāda izveidosies.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minēto pantu vai veikt atbilstošus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Tieslietu ministrijas iebildumam, svītrojot 9.pantu.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anotācijā pamatot soda veidu un apmēru </w:t>
            </w:r>
            <w:r w:rsidR="00000000" w:rsidRPr="00000000" w:rsidDel="00000000">
              <w:rPr>
                <w:b w:val="1"/>
                <w:rtl w:val="0"/>
              </w:rPr>
              <w:t xml:space="preserve">par katru</w:t>
            </w:r>
            <w:r w:rsidR="00000000" w:rsidRPr="00000000" w:rsidDel="00000000">
              <w:rPr>
                <w:rtl w:val="0"/>
              </w:rPr>
              <w:t xml:space="preserve"> no paredzētajiem pārkāpumiem. Kā kritērijus tam var izmantot - pārkāpuma smagumu, iespējamās sekas, ar attiecīgajām tiesību normām aizsargātā tiesiskā labuma (interešu) svarīgums un pārkāpuma sabiedriskais nosodījums.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atbilstoši Tieslietu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pienācīgi izvērtēts, vai ir nepieciešama un pieļaujama administratīvā atbildība. Atsevišķos gadījumos projekta anotācijā ir atrodami fragmentāri skaidrojumi, tomēr nepieciešams pilnīgs un sistēmisks izvērtējums.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noteikt jaunu administratīvās atbildības pamatu,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 atbildību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iekļaujams pilnvērtīgs, sistēmisks un viegli uztverams </w:t>
            </w:r>
            <w:r w:rsidR="00000000" w:rsidRPr="00000000" w:rsidDel="00000000">
              <w:rPr>
                <w:b w:val="1"/>
                <w:rtl w:val="0"/>
              </w:rPr>
              <w:t xml:space="preserve">administratīvās atbildības kritēriju izvērtējums par katru administratīvo pārkāpumu</w:t>
            </w:r>
            <w:r w:rsidR="00000000" w:rsidRPr="00000000" w:rsidDel="00000000">
              <w:rPr>
                <w:rtl w:val="0"/>
              </w:rPr>
              <w:t xml:space="preserve">. Ja vērtējums par vairākiem pārkāpumiem ir līdzīgs vai pat identisks, tad izvērtējumu var grupēt secīgi pēc administratīvās kritērijiem, taču ir jābūt redzamam, ka katrs pārkāpums individuāli arī ir vērtēts (piemēram, sākumā vispārīgs kritērija izvērtējums par visu precīzi norādīto pārkāpumu grupu, tad atsevišķa argumentācija, kas atteicas īpaši uz kādu no šiem pārkāpumiem). Ievērojot minēto, lai varētu izvērtēt administratīvās atbildības nepieciešamību un pieļaujamību projektā paredzētajos gadījumos, projekta anotācijā jāietver argumentēts visu iepriekš minēto kritēriju izvērtējums.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atbilstoši Tieslietu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"Strādājot pie Regulas Nr.98/2013 prasību izvērtēšanas Iekšlietu ministrija veica aptauju starp dažādās jomās atbildīgajām institūcijām (Zemkopības ministrija, Ekonomikas ministrija, Veselības ministrija, Vides aizsardzības un reģionālās attīstības ministrija) par nepieciešamību noteikt licenču izsniegšanas procedūru sprāgstvielu prekursoriem vai saglabāt jau esošu licencēšanas mehānismu, ja tāds pastāv. Iekšlietu ministrijā netika saņemta informācija no minētajām institūcijām, ka šāds regulējums nozarēs būtu nepieciešams. Vienlaikus ir norādāms, ka licencēšanas mehānisms nekad nav pastāvējis un gan Eiropas Parlamenta un Padomes 2013. gada 15. janvāra Regulas (ES) Nr. 98/2013 par sprāgstvielu prekursoru tirdzniecību un lietošanu, pieņemšanas brīdī, gan tagad, pieņemot un īstenojot Regulas prasības, neviena no valsts pārvaldes nozarēm (aptaujas laikā, sabiedriskās apspriešanas brīdī un konsultējoties ar atsevišķo nozaru ministrijām) nav izteikusi vēlmi uzsākt veidot licencēšanas mehānismu savā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regulā noteiktās rīcības brīvības izmantošanu, nav pieļaujams atsaukties uz 2013. gadā veiktu aptauju. Aptauja ir veikta pirms astoņiem gadiem, šobrīd varētu būt pilnīgi cita situācija. Tāpat nav ziņu, vai šā jautājuma izlemšanā ir bijusi nodrošināta pienācīga sabiedrības līdzdalība (arī projekta saturs un projekta anotācijā minētās formālās sabiedrības līdzdalības aktivitātes neliecina, ka šobrīd personām būtu bijusi pienācīga iespēja izteikt viedokli par licencēšanas režīmu). Satversmes tiesa ir daudzkārt norādījusi, ka likumdevējam ir pienākums periodiski apsvērt, vai konkrētais tiesiskais regulējums joprojām ir efektīvs, piemērots un nepieciešams un vai tas kādā veidā nebūtu pilnveidojams (</w:t>
            </w:r>
            <w:r w:rsidR="00000000" w:rsidRPr="00000000" w:rsidDel="00000000">
              <w:rPr>
                <w:i w:val="1"/>
                <w:rtl w:val="0"/>
              </w:rPr>
              <w:t xml:space="preserve">sk., piemēram, Satversmes tiesas 2012. gada 2. maija sprieduma lietā Nr. 2011-17-03 14.1. punktu</w:t>
            </w:r>
            <w:r w:rsidR="00000000" w:rsidRPr="00000000" w:rsidDel="00000000">
              <w:rPr>
                <w:rtl w:val="0"/>
              </w:rPr>
              <w:t xml:space="preserve">). Projekta anotācijā nav arī nekādas konkrētas informācijas, ka šobrīd būtu notikušas šeit minētās konsultācijas ar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likumprojekta 9. pantu (kompetence administratīvā pārkāpuma procesā) projekta anotācijā norādīts: "Konkrētajā gadījumā atbilstoši Regulas 2019/1148 11. panta 1. punktam un likumprojekta 4. pantam par kompetento iestādi (valsts inspekcijas iestādi), kas būs tiesīga veikt attiecīgā administratīvā pārkāpuma procesu ir noteicama Valsts policija." Šāds pamatojums, ievērojot arī Latvijas tiesību sistēmu, nav gluži precīzs. Regulas piemērošanas pārbaude un kontrole nav tas pats, kas sodīšana. Arī likumprojekta 4. pantā paredzētā kompetence ir atšķirīga no likumprojekta 9. pantā ietvertās kompetences. Līdz ar to nepieciešams precizēt minēto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ietverts pilnvērtīgs, sistēmisks un viegli uztverams administratīvās atbildības kritēriju izvērtējums katram likumprojektā paredzētajam administratīvajam pārkāpumam (anotācijā turklāt lietots neskaidrs apzīmējums "administratīvo pārkāpumu atbildības izvērtējuma izklāsts").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gaitā kritēriji ir attīstīti un šobrīd pirms noteikt jaunu administratīvās atbildības pamatu,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w:t>
            </w:r>
            <w:r w:rsidR="00000000" w:rsidRPr="00000000" w:rsidDel="00000000">
              <w:rPr>
                <w:rtl w:val="0"/>
              </w:rPr>
              <w:t xml:space="preserve"> </w:t>
            </w:r>
            <w:r w:rsidR="00000000" w:rsidRPr="00000000" w:rsidDel="00000000">
              <w:rPr>
                <w:i w:val="1"/>
                <w:rtl w:val="0"/>
              </w:rPr>
              <w:t xml:space="preserve">Danovska un G.</w:t>
            </w:r>
            <w:r w:rsidR="00000000" w:rsidRPr="00000000" w:rsidDel="00000000">
              <w:rPr>
                <w:rtl w:val="0"/>
              </w:rPr>
              <w:t xml:space="preserve"> </w:t>
            </w:r>
            <w:r w:rsidR="00000000" w:rsidRPr="00000000" w:rsidDel="00000000">
              <w:rPr>
                <w:i w:val="1"/>
                <w:rtl w:val="0"/>
              </w:rPr>
              <w:t xml:space="preserve">Kūtra zinātniskajā redakcijā. Rīga: Tiesu namu aģentūra, 2020, 54.</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w:t>
            </w:r>
            <w:r w:rsidR="00000000" w:rsidRPr="00000000" w:rsidDel="00000000">
              <w:rPr>
                <w:rtl w:val="0"/>
              </w:rPr>
              <w:t xml:space="preserve"> </w:t>
            </w:r>
            <w:r w:rsidR="00000000" w:rsidRPr="00000000" w:rsidDel="00000000">
              <w:rPr>
                <w:i w:val="1"/>
                <w:rtl w:val="0"/>
              </w:rPr>
              <w:t xml:space="preserve">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administratīvā akta prioritātes princips nebūt nav ierobežots tikai ar licencēšanas režīmu (kā to varētu saprast no projekta anotācijā ietvertā skaidrojuma). Administratīvā procesa līdzekļus var izmantot arī citos gadījumos (piemēram, ja nav izveidotas piemērotas, saprātīgas un samērīgas procedūras aizdomīgu darījumu atklāšanai vai nav nodrošināti pienācīgi informēšanas pasākumi piegādes ķēdē).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w:t>
            </w:r>
            <w:r w:rsidR="00000000" w:rsidRPr="00000000" w:rsidDel="00000000">
              <w:rPr>
                <w:rtl w:val="0"/>
              </w:rPr>
              <w:t xml:space="preserve"> </w:t>
            </w:r>
            <w:r w:rsidR="00000000" w:rsidRPr="00000000" w:rsidDel="00000000">
              <w:rPr>
                <w:i w:val="1"/>
                <w:rtl w:val="0"/>
              </w:rPr>
              <w:t xml:space="preserve">Danovska un G.</w:t>
            </w:r>
            <w:r w:rsidR="00000000" w:rsidRPr="00000000" w:rsidDel="00000000">
              <w:rPr>
                <w:rtl w:val="0"/>
              </w:rPr>
              <w:t xml:space="preserve"> </w:t>
            </w:r>
            <w:r w:rsidR="00000000" w:rsidRPr="00000000" w:rsidDel="00000000">
              <w:rPr>
                <w:i w:val="1"/>
                <w:rtl w:val="0"/>
              </w:rPr>
              <w:t xml:space="preserve">Kūtra zinātniskajā redakcijā. Rīga: Tiesu namu aģentūra, 2020, 56.-57.</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w:t>
            </w:r>
            <w:r w:rsidR="00000000" w:rsidRPr="00000000" w:rsidDel="00000000">
              <w:rPr>
                <w:rtl w:val="0"/>
              </w:rPr>
              <w:t xml:space="preserve"> </w:t>
            </w:r>
            <w:r w:rsidR="00000000" w:rsidRPr="00000000" w:rsidDel="00000000">
              <w:rPr>
                <w:i w:val="1"/>
                <w:rtl w:val="0"/>
              </w:rPr>
              <w:t xml:space="preserve">Danovska un G.</w:t>
            </w:r>
            <w:r w:rsidR="00000000" w:rsidRPr="00000000" w:rsidDel="00000000">
              <w:rPr>
                <w:rtl w:val="0"/>
              </w:rPr>
              <w:t xml:space="preserve"> </w:t>
            </w:r>
            <w:r w:rsidR="00000000" w:rsidRPr="00000000" w:rsidDel="00000000">
              <w:rPr>
                <w:i w:val="1"/>
                <w:rtl w:val="0"/>
              </w:rPr>
              <w:t xml:space="preserve">Kūtra zinātniskajā redakcijā. Rīga: Tiesu namu aģentūra, 2020, 57.</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 Projekta anotācijā, balstoties uz dažādos dokumentos ietvertu klasifikāciju, norādīts, ka uz projektā minēto sprāgstvielu prekursoru apriti neattiecas Krimināllikuma 233., 236., 237. un 346. pants. Tomēr šāds apgalvojums pats par sevi nepamato, ka sankcijas būtu ieviešamas, izmantojot administratīvās atbildības sistēmu. Citiem vārdiem sakot, nav izvērtēta pārkāpumu atbilstība administratīvo pārkāpumu pazīmēm un to atšķirība pēc būtības no minētajiem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Kā norādījis Senāts, lietās par pienākuma nepildīšanu, kas ir uzlikts ar administratīvo aktu, šā pienākuma izpildi būtu jācenšas panākt, piemērojot Administratīvā procesa likumā noteiktos piespiedu izpildes līdzekļus (piemēram, piespiedu naudu), nevis piemērojot administratīvo atbildību. Administratīvās atbildības piemērošana minētajos gadījumos neveido saturiski un loģiski vienotu procesu, tādējādi apdraudot tiesisko noteiktību un skaidrību (</w:t>
            </w:r>
            <w:r w:rsidR="00000000" w:rsidRPr="00000000" w:rsidDel="00000000">
              <w:rPr>
                <w:i w:val="1"/>
                <w:rtl w:val="0"/>
              </w:rPr>
              <w:t xml:space="preserve">Senāta Administratīvo lietu departamenta 2019. gada 15. februāra lēmuma lietā Nr. SKA-946/2019 6.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varētu izvērtēt administratīvās atbildības nepieciešamību un pieļaujamību projektā paredzētajos gadījumos, projekta anotācijā jāietver argumentēts visu iepriekš minēto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"Patlaban nav indikāciju, kas ļautu uzskatīt, ka sodi būtu nesamērīgi vai būtu nepieciešams tos pārskatīt. Paredzētās sankcijas ir ar pietiekamu preventīvu raksturu, lai atturētu personas no attiecīgajām prettiesiskajām darbībām. Turklāt, veicot Regulas Nr. 2019/1148 prasību izvērtēšanu sadarbībā ar Valsts drošības dienestu, tika konstatēts, ka administratīvās atbildības noteikšana par Regulā Nr. 2019/1148 paredzēto pārkāpumu būs pietiekoši efektīvs, iedarbīgs un atturošs risinājums, kas pilnībā atbilstu gan Regulas Nr. 2019/1148 prasībām, gan nacionālajai tiesību aktu sistēmai." Šādiem deklaratīviem apgalvojumiem nav juridiskas nozīmes, lai vērtētu administratīvās atbildības pieļaujamību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tiesiskais regulējums neietekmē juridiskas personas. Tas acīmredzami neatbilst projekta saturam (piemēram, administratīvā atbildība ir paredzēta arī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anotāciju un norādīt, kā projekts ietekmēs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Tieslietu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9.19. apakšpunktu nepieciešams papildināt likumprojekta anotācijas 5.4. sadaļas 1. tabulu, skaidrojot, kā paredzēts ieviest arī regulas Nr. 2019/1148 10. (šobrīd norādīts vienīgi uz 10. panta 3. punkta otrā teikuma ieviešanu) un 13. pantā paredzētās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pienācīgi izvērtēta projekta izpildes ietekme uz pārvaldes funkcijām un institucionālo struktūru (Ministru kabineta 2021. gada 7. septembra noteikumu Nr. 617 "Tiesību akta projekta sākotnējās ietekmes izvērtēšanas kārtība" 14.7. apakšpunkts). Piemēram, ir acīmredzams, ka Valsts policijas uzdevumi tiks mainīti.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Sprāgstvielu prekursoru noteiktās aprites īstenošanas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6. punktu likumprojekta nosaukumu veido iespējami īsu un atbilstošu likumprojekta saturam. Pirmškietami no likuma nosaukuma būtu izslēdzami vārdi "noteiktās" un "īstenošanas", ievērojot, ka tiem nav nozīmes likuma satura atklāšanai.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nosaukums precizēts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Sprāgstvielu prekursoru aprites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Eiropas Parlamenta un Padomes 2019. panta 20. jūnija Regulas (ES) 2019/1148 par sprāgstvielu prekursoru tirdzniecību un lietošanu, ar ko groza Regulu (EK) Nr.1907/2006 un atceļ Regulu (ES) Nr.98/2013 (turpmāk – Regula 2019/1148) 3. pantā noteiktie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cik plaši likumprojektā tiek lietoti Regulas 2019/1148 termini. Piemēram, likumprojekta 3. pants atsaucas vienīgi uz minētās Regulas 3. pantā lietotajiem terminiem, tomēr arī citviet likumprojektā tiek lietoti dažādi no citiem Regulas pantiem izrietoši termini (piemēram, valsts inspekcijas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Tieslietu ministrijas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Eiropas Parlamenta un Padomes 2019. panta 20. jūnija Regulā (ES) 2019/1148 par sprāgstvielu prekursoru tirdzniecību un lietošanu, ar ko groza Regulu (EK) Nr.1907/2006 un atceļ Regulu (ES) Nr.98/2013 (turpmāk – Regula 2019/1148) noteiktie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inspekcijas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normatīvajos aktos, lai nostiprinātu kādas iestādes kompetenci Eiropas Savienības tiesību akta ieviešanai, tiek lietots termins "kompetentā iestāde". Arī Regulā  Nr. 2019/1148 tiek lietots termins "kompetenta iestāde" līdzās terminam "valsts inspekcijas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būtu izvērtējams minēto terminu lietojums, lai tas atbilstu ne tikai minētās Regulas izpratnei, bet arī saskanīgi iederētos Latvijas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Nr.2019/1148 termins "kompetentā iestāde" pamatā tiek lietots attiecībā uz tām institūcijām, kas var izsniegt licences komersantiem darbībās ar ierobežotajiem sprāgstvielu prekursoriem (Regulas Nr.2019/1148 5.panta 3.punkts, 6.pants). Par kompetento iestādi Regulas Nr.2019/1148 izpratnē ir uzskatāma arī inspekcijas iestāde, kurai ir noteikta cita kompetence - kontrolēt pareizu Regulas Nr.2019/1148 konkrētu pantu izpildi. Ņemot vērā to, ka Latvija ir izvēlējusies izmantot Regulā Nr.2019/1148 paredzēto rīcības brīvību un neieviest licencēšanas mehānismu, likumprojektā ir izmantots termins "inspekcijas iestāde", jo izstrādātais regulējums ir vērsts, cita starpā, tieši uz inspekcijas iestādes kompetenci.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inspekcijas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Eiropas Parlamenta un Padomes Regulas (ES) 2019/1148 (2019. gada 20. jūnijs) par sprāgstvielu prekursoru tirdzniecību un lietošanu, ar ko groza Regulu (EK) Nr. 1907/2006 un atceļ Regulu (ES) Nr. 98/2013 (turpmāk – Regula 2019/1148) 3. pantā noteiktie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172. punktu nepieciešams likumprojekta 3. pantā regulas pieņemšanas datumu norādīt pirms regulas izdevējinstitūcijas nosaukuma, neizmantojot pieturzīmi iekavas.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1.pants (bijušais 3.pants).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drošības dienestam ir tiesības izdot administratīvos aktus, kas attiecas uz sprāgstvielu prekursoriem, lai izpildītu Regulā 2019/1148 inspekcijas iestādei uzliktos pienākumus.  Valsts drošības iestādes izdotos lēmumus var apstrīdēt un pārsūdzēt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mērķi. Domājams, tas varētu būt līdzīgs projektā ietvertajam likuma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vēlamais stāvoklis, kuru plānots sasniegt ar noteiktu rīcību. Tam jābūt vērstam uz problēmu izraisošo cēloņu mazināšanu vai likvidēšanu. Parasti mērķi formulējami kā pozitīvi atrisinātas problēmas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10. lpp.</w:t>
            </w:r>
            <w:r w:rsidR="00000000" w:rsidRPr="00000000" w:rsidDel="00000000">
              <w:rPr>
                <w:rtl w:val="0"/>
              </w:rPr>
              <w:t xml:space="preserve">). Projekta saturs, tostarp administratīvās atbildības esība, nevar tikt uzskatīta par projekta mērķi. It īpaši sodīšana nevar būt pašmērķīga.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regulas Nr. 2019/1148 7. panta 1. punkts paredz, ka komersants, kas ierobežoto sprāgstvielu prekursoru dara pieejamu citam komersantam, informē attiecīgo komersantu par to, ka ierobežotus sprāgstvielu prekursorus nedara pieejamus plašas sabiedrības locekļiem. Vēršam uzmanību, ka minētais regulas punkts sastāv no divām daļām un anotācijas 1.3. sadaļā sniegtais skaidrojums attiecas vienīgi uz pirmo daļu (vienlaikus gan anotācijā arī norādīts, ka informēšanas un instruēšanas pienākuma tvērums precīzi noteikts regulas Nr.2019/1148 7. panta 1., 2., 3.punktā). Attiecīgi likumprojekta anotācijā ietvertās informācijas nepārprotamam atspoguļojumam nepieciešams likumprojekta anotāciju papildināt ar attiecīgu skaidrojumu par regulas Nr. 2019/1148 7. panta 1. punkta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kā juridiskas personas, kuras projekts varētu ietekmēt, norādīti "visi uzņēmumi", Valsts drošības dienests un Valsts policija. Uzņēmumi varētu būt lietoti kā neprecīzs komersantu apzīmējums. Taču Valsts drošības dienests un Valsts policija nav nedz juridiska persona, nedz arī sabiedrības grupa. Iestādes šajā projekta anotācijas sadaļā nav jānorāda.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“3. Tiesību akta projekta ietekme uz valsts budžetu un pašvaldību budžetiem" punktā "Cita informācija" sniegto skaidrojumu atbilstoši 31.10.2023. no Iekšlietu ministrijas elektroniski saņemtajiem papildinājumiem, proti, ka likumprojektā noteiktās funkcijas un uzdevumi tiks īstenoti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likumprojekta anotācijā norādīt Regulas Nr.2019/1148 </w:t>
            </w:r>
            <w:r w:rsidR="00000000" w:rsidRPr="00000000" w:rsidDel="00000000">
              <w:rPr>
                <w:u w:val="single"/>
                <w:rtl w:val="0"/>
              </w:rPr>
              <w:t xml:space="preserve">10.panta</w:t>
            </w:r>
            <w:r w:rsidR="00000000" w:rsidRPr="00000000" w:rsidDel="00000000">
              <w:rPr>
                <w:rtl w:val="0"/>
              </w:rPr>
              <w:t xml:space="preserve"> ieviešanas pasākumus (apmācību un izpratnes veicināšanas pasākumi), piemēram, norādot tos likumprojekta anotācijas i.3.apakšpunktā vai 5.4.apakšpunktā sadaļā "Cita informācija". Šobrīd limprojekta anotācijas 1.3.apakšpunktā norādīts, ka Valsts drošības dienests jau pašlaik organizē atsevišķus sprāgstvielu prekursoru aprites ierobežošanas un kontroles pasākumus Regulas Nr.2019/1148 prasību īstenošanai,veic komersantu informēšanu, kā arī reizi gadā veic apmācību komersantu vidū par aktualitātēm saistībā ar sprāgstvielu prekursoriem, kā arī veic informatīvo materiālu izplatīšanu komersantiem saistībā ar Regulas Nr.2019/1148 paredzējām prasībām, tomēr no anotācijas nav secināms, vai ar minētajām darbībam saprotami Regulas Nr.2019/1148 10.panta ieviešanas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papildinot to ar jauno 5.pantu par apmācībām un izpratnes veicināšanas pasākumiem. Attiecīgi 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21-TA-796</w:t>
    </w:r>
    <w:r>
      <w:br/>
    </w:r>
    <w:r w:rsidR="00000000" w:rsidRPr="00000000" w:rsidDel="00000000">
      <w:rPr>
        <w:rtl w:val="0"/>
      </w:rPr>
      <w:t xml:space="preserve">03.04.2024. 15.11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21-TA-796</w:t>
    </w:r>
    <w:r>
      <w:br/>
    </w:r>
    <w:r w:rsidR="00000000" w:rsidRPr="00000000" w:rsidDel="00000000">
      <w:rPr>
        <w:rtl w:val="0"/>
      </w:rPr>
      <w:t xml:space="preserve">03.04.2024. 15.11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Izziņa_21-TA-796.docx</dc:title>
</cp:coreProperties>
</file>

<file path=docProps/custom.xml><?xml version="1.0" encoding="utf-8"?>
<Properties xmlns="http://schemas.openxmlformats.org/officeDocument/2006/custom-properties" xmlns:vt="http://schemas.openxmlformats.org/officeDocument/2006/docPropsVTypes"/>
</file>