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25-TA-548: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Tiesībsarga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Tiesībsarga likumā (Latvijas Republikas Saeimas un Ministru Kabineta Ziņotājs, 2006, 10. nr.; 2008, 13. nr.; 2009, 2., 14. nr.; Latvijas Vēstnesis, 2009, 193. nr.; 2011, 103. nr.; 2014, 199. nr.; 2021, 16.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Birojs) konceptuāli atbalsta grozījumu veikšanu Tiesībsarga likumā, nosakot tiesībsarga pilnvaras Eiropas Parlamenta un Padomes 2024.gada 13. jūnija regulas Nr.2024/1689, ar ko nosaka saskaņotas normas mākslīgā intelekta jomā (un groza Regulas (EK) Nr.300/2008, (ES) Nr.167/2013, (ES) Nr.168/2013, (ES) 2018/858, (ES) 2018/1139 un (ES) 2019/2144 un Direktīvas 2014/90/ES, (ES) 2016/797 un (ES) 2020/1828 un citu mākslīgā intelekta jomu regulējošo tiesību aktu prasību izpildei. Vienlaikus Birojs vērš uzmanību, ka 2025.gada 6.martā ir pieņemti un 2.aprīlī stājušies spēkā grozījumi Tiesībsarga likumā, ar kuriem cita starpā papildinātas Tiesībsarga likuma 13. pantā tiesībsargam noteiktās tiesības, proti, minētais pants papildināts ar 13. un 14.punktu, kā arī precizēta Tiesībsarga likuma 27. panta pirmā daļa. Ņemot vērā minēto, aicinām izvērtēt iespēju precizēt likumprojektu un tā anotāciju, jo pirmsšķietami, izstrādājot likumprojektu, nav ņemtas vērā šobrīd spēkā esošās Tiesībsarga likuma attiecīgo normu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un tā anotācijā veikti redakcionāli precizējumi, precizēta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Tiesībsarga likumā (Latvijas Republikas Saeimas un Ministru Kabineta Ziņotājs, 2006, 10. nr.; 2008, 13. nr.; 2009, 2., 14. nr.; Latvijas Vēstnesis, 2009, 193. nr.; 2011, 103. nr.; 2014, 199. nr.; 2021, 16. nr.; 2025, 55.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13.pantu ar 13. un 14.punktu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PTAC kā tirgus uzraudzības iestādei ir paredzēta uzraudzības kompetence tikai attiecībā uz fiziskām precēm Eiropas Parlamenta un Padomes 2024. gada 13. jūnija Regulas (ES) 2024/1689, ar ko nosaka saskaņotas normas mākslīgā intelekta jomā un groza Regulas (EK) Nr. 300/2008, (ES) Nr. 167/2013, (ES) Nr. 168/2013, (ES) 2018/858, (ES) 2018/1139 un (ES) 2019/2144 un Direktīvas 2014/90/ES, (ES) 2016/797 un (ES) 2020/1828  I pielikuma A un B iedaļā norādītajās jomās. Līdz ar to PTAC tirgus uzraudzības ietvaros nav paredzēts pārbaudīt tādas mākslīgā intelekta sistēmas, kuras nav saistāmas ar konkrētu preci, bet darbojas atsevišķās programmatūras vai tiešsaistes pakalpojumu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13.panta 14) punktu ierosinām 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 iesniegt tirgus uzraudzības iestādei pamatotu pieprasījumu </w:t>
            </w:r>
            <w:r w:rsidR="00000000" w:rsidRPr="00000000" w:rsidDel="00000000">
              <w:rPr>
                <w:i w:val="1"/>
                <w:u w:val="single"/>
                <w:rtl w:val="0"/>
              </w:rPr>
              <w:t xml:space="preserve">atbilstoši tās uzraudzības kompetencei</w:t>
            </w:r>
            <w:r w:rsidR="00000000" w:rsidRPr="00000000" w:rsidDel="00000000">
              <w:rPr>
                <w:i w:val="1"/>
                <w:rtl w:val="0"/>
              </w:rPr>
              <w:t xml:space="preserve"> organizēt mākslīgā intelekta sistēmas testēšanu ar tehniskiem līdzekļiem, ja dokumentācija, kas nepieciešama pārbaudes lietā, nav pietiekama.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saistībā ar šo tiesību normu ierosinām anotācijā iekļaut šādu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Patērētāju tiesību aizsardzības centram kā tirgus uzraudzības iestādei ir paredzēta uzraudzības kompetence tikai attiecībā uz fiziskām precēm, līdz ar to šīs iestādes tirgus uzraudzības ietvaros nav paredzēts pārbaudīt tādas mākslīgā intelekta sistēmas, kuras nav saistāmas ar konkrētu preci, bet darbojas atsevišķās programmatūras vai tiešsaistes pakalpojumu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 attiecīgi precizēta, iekļaujot vārdus "atbilstoši tās uzraudzības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TSL 13.pantu "Tiesībsarga tiesības" ar 15. un 16.punktu, reglamentējot tiesībsarga pilnvaras pieprasīt un piekļūt mākslīgā intelekta sistēmu dokumentācijai, kas nepieciešama pārbaudes lietā, kā arī iesniegt tirgus uzraudzības iestādei atbilstoši tās uzraudzības kompetencei pamatotu pieprasījumu organizēt mākslīgā intelekta sistēmas testēšanu ar tehniskiem līdzekļiem, ja dokumentācija, kas nepieciešama pārbaudes lietā, nav pietiekama. Latvija ir noteikusi daudzas tirgus uzraudzības institūcijas MI akta prasību izpildei. TSL tvērumā neietilpst tirgus uzraudzības iestāžu kompetences atspoguļošana, tā izriet no speciālajiem, tirgus uzraudzības iestāžu darbību reglamentējošajiem normatīvajiem aktiem un politikas plānošanas dokumentiem MI akta ieviešanas jomā, līdz ar to TSL un tā anotācijā netiek ietverts papildu skaidrojums par tirgus uzraudzības iestāžu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 pantu ar 15. un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pieprasīt un piekļūt mākslīgā intelekta sistēmu dokumentācijai, kas nepieciešama pārbaudes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iesniegt tirgus uzraudzības iestādei pamatotu pieprasījumu organizēt mākslīgā intelekta sistēmas testēšanu ar tehniskiem līdzekļiem, ja dokumentācija, kas nepieciešama pārbaudes lietā, nav pietiekama."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grozāmā 13. panta punktu numerāciju un atbilstošo informāciju arī likumprojekta anotācijā. Vēršam uzmanību, ka Tiesībsarga likuma 13. pantā jau ir 13. un 14. punkts (redakcijā, kas ir spēkā no 2025. gada 2. aprīļa).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veikti redakcionāli precizējumi, precizēta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pieprasīt un piekļūt mākslīgā intelekta sistēmu dokumentācijai, kas nepieciešama pārbaudes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iesniegt tirgus uzraudzības iestādei pamatotu pieprasījumu atbilstoši tās uzraudzības kompetencei organizēt mākslīgā intelekta sistēmas testēšanu ar tehniskiem līdzekļiem, ja dokumentācija, kas nepieciešama pārbaudes lietā, nav pietiekama."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2025.gada 1.augustā.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paredzētais spēkā stāšanās datums, proti, 01.08.2025. ir pagājis, aicinām noteikt jaunu spēkā stāšanās datumu, to precizējot likumprojektā un tā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2025.gada 1.novembrī.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 punktā noteikts, ka gadījumā, ja netiks piešķirts pietiekams finansējums tiesībsarga noteikto uzdevumu veikšanai kārtējā gadā, Tiesībsarga birojam jānodrošina: ”</w:t>
            </w:r>
            <w:r w:rsidR="00000000" w:rsidRPr="00000000" w:rsidDel="00000000">
              <w:rPr>
                <w:b w:val="1"/>
                <w:i w:val="1"/>
                <w:rtl w:val="0"/>
              </w:rPr>
              <w:t xml:space="preserve">tie pasākumi, kurus var nodrošināt</w:t>
            </w:r>
            <w:r w:rsidR="00000000" w:rsidRPr="00000000" w:rsidDel="00000000">
              <w:rPr>
                <w:i w:val="1"/>
                <w:rtl w:val="0"/>
              </w:rPr>
              <w:t xml:space="preserve"> piešķirto valsts budžeta līdzekļu ietvaros.</w:t>
            </w:r>
            <w:r w:rsidR="00000000" w:rsidRPr="00000000" w:rsidDel="00000000">
              <w:rPr>
                <w:rtl w:val="0"/>
              </w:rPr>
              <w:t xml:space="preserve">” Lūdzam attiecīgi anotācijā skaidrot, kā un cik lielā mērā tiks nodrošināta attiecīgo Eiropas Parlamenta un Padomes 2024.gada 13. jūnija regulas Nr.2024/1689, ar ko nosaka saskaņotas normas mākslīgā intelekta jomā (un groza Regulas (EK) Nr.300/2008, (ES) Nr.167/2013, (ES) Nr.168/2013, (ES) 2018/858, (ES) 2018/1139 un (ES) 2019/2144 un Direktīvas 2014/90/ES, (ES) 2016/797 un (ES) 2020/1828 (turpmāk - MI akts) prasības izpilde gadījumā, ja netiks piešķirts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Ministru kabineta sēdes protokollēmuma 3. punkts, jo esošo līdzekļu ietvaros Tiesībsargs nevar nodrošināt MI akta prasību ieviešanas izpildi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Tiesībsarga birojs MI akta pamattiesību aizsardzības iestādes funkcijas un uzdevumus 2025. gadā īsteno esošo valsts budžeta līdzekļu ietvaros. Ja pasākumu īstenošanai turpmākajos gados rodas nepieciešamība pēc papildu valsts budžeta finansējuma, jautājums par tā piešķiršanu ir izskatāms Ministru kabinetā likumprojekta par valsts budžetu kārtējam gadam un vidēja termiņa budžeta ietvaru sagatavošanas un izskatīšanas procesā kopā ar visu ministriju un citu centrālo valsts iestāžu prioritāro pasākumu pieteikumiem, ievērojot valsts budžeta finansiālās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Tiesībsarga birojs ir vidēja lieluma iestāde, attiecīgi Tiesībsarga birojam nav iekšēju resursu, lai veiktu pārdales. Tādejādi, ja papildus finansējums netiek piešķirts, tad tiesībsargs nesaskata iespēju kā kvalitatīvi veikt MI regulā paredzētās funkcijas, līdz ar to tiesībsargam nav iespēju veikt visas MI akta 77.pantā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5.punktā norādīts, ka FM iebildums nav ņemts vērā, un likumprojekta anotācijas 3.sadaļā joprojām tiek norādīta informācija, ka likumprojekta īstenošanai ir negatīva ietekme uz budžetu, attiecīgi FM uztur iepriekš izteikto iebildumu, norādot, ka nav atbalstāma tāda likumprojekta virzība, kurā noteiktās prasības nav iespējams īstenot nepietiekamā finansējuma dēļ, līdz ar to pirms likumprojekta virzīšanas ir jāatrisina jautājums par tā īstenošanai nepieciešamā finansējuma avotu. Ņemot vērā minēto, lūdzam precizēt anotācijas 3.sadaļu, norādot konkrētu risinājumu finansējuma nodrošināšanai, kā arī precizēt protokollēmuma projekta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budžeta finansiālās iespējas ir ierobežotas, ņemot vērā valdības apstiprinātajā Latvijas Fiskāli strukturālā plāna 2025.-2028.gadam 2025.gada Progresa ziņojumā (MK 15.04.2025. sēdes prot. Nr. 15 36. §) norādīto par negatīvu indikatīvo fiskālo telpu, valdības noteikto, ka 2026.-2028. gada budžeta prioritātes ir aizsardzība un demogrāfija (MK 27.03.2025. rīkojums Nr.179), kā arī valdības doto uzdevumu veikt publiskā sektora efektivizācijas un vispārējās valdības izdevumu samazinājumu 2026.-2028. gadā (MK 13.05.2025. sēdes prot. Nr.19 50. §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valdība attiecībā uz Mākslīgā intelekta akta prasību ieviešanu jau ir lēmusi, ka situācijā, ja nav iespējams piešķirt papildu finansējumu, pasākumi tiek īstenoti ministrijām un iestādēm pieejamo budžeta līdzekļu ietvaros, sagatavojot priekšlikumus finansējuma pārdalei starp programmām un apakšprogrammām (MK 25.02.2025. sēdes prot. Nr.8 49.§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Ministru kabineta sēdes protokollēmuma 3. punkts, jo Tiesībsarga birojs MI akta pamattiesību aizsardzības iestādes funkcijas un uzdevumus īstenos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3.sadaļas tabulas 4.punkts, svītrojot informāciju 5.punktā, vienlaikus sadaļā “Cita informācija” paskaidrojot, ka ar likumprojekta normu izpildi saistītos izdevumus Tiesībsarga birojs nodrošinās esošā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atbalstāma tāda likumprojekta ieviešana, kuru nevarēs īstenot nepietiekama finansējuma dēļ, tai skaitā nav atbalstāmi pie likumprojekta virzīt norādes protokollēmuma projekta 3.punktā, ka likumprojekta normas varētu īstenot tikai daļēji, līdz ar to pirms likumprojekta virzīšanas ir jāatrisina jautājums par tā īstenošanai nepieciešamā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15.04.2025. sēdē apstiprinātajam Latvijas Fiskāli strukturālā plāna 2025.-2028. gadam 2025. gada Progresa ziņojumam valsts budžeta fiskālā telpa turpmākajiem gadiem ir negatīvam, kā arī saskaņā ar Ministru kabineta 27.03.2025. rīkojumā Nr.179 par valsts budžeta likumprojekta sagatavošanas grafikā paredzēto budžeta prioritātes ir aizsardzība un demogrāfija, tad, balstoties uz šī brīža prognozēm, iespējas piešķirt papildu finanšu resursus turpmākajos gados būs ierobežotas, kas ministrijām un citām centrālajām iestādēm jāņem vērā normatīvo aktu izstrādē, attiecīgi pasākumu īstenošanai nepieciešamais finansējums jārod esošā finansējuma ietvaros, pārskatot un optimizējot esošos valsts budžeta līdzekļus. Līdz ar to likumprojekta tālāka virzība ir atbalstāma tikai tādā gadījumā, ja tā īstenošanu Tiesībsarga birojs var nodrošināt piešķirto valsts budžeta līdzekļu ietvaros, veicot esošo valsts budžeta līdzekļu izvērtēšanu un pārskatīšanu. Attiecīgi lūdzam precizēt anotācijas 3. sadaļu, norādot konkrētu risinājumu finansējuma nodrošināšanai, kā arī svītrot protokollēmuma projekta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anotācijas 3.sadaļas tabulā ir aizpildītas gan ailes “saskaņā ar vidēja termiņa budžeta ietvaru”, gan ailes “izmaiņas, salīdzinot ar vidēja termiņa budžeta ietvaru”, bet, ņemot vērā 6.punktā norādīto informāciju, informācija būtu norādāma tikai ailēs “izmaiņas, salīdzinot ar vidēja termiņa budžeta ietvaru”, tai skaitā aizpildot 4.punktu atbilstoši nepieciešamībai piedāvāt konkrētu risinājumu finansējuma nodrošināšanai, lai likumprojektu varētu virzīt tālāk.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Ministru kabineta sēdes protokollēmuma 3. punkts, jo esošo līdzekļu ietvaros Tiesībsargs nevar nodrošināt MI akta prasību ieviešanas izpildi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3.sadaļas tabula, dzēšot informāciju ailē "saskaņā ar vidēja termiņa budžeta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Tiesībsarga birojs ir vidēja lieluma iestāde, attiecīgi Tiesībsarga birojam nav iekšēju resursu, lai veiktu pārdales. Tādejādi, ja papildu finansējums netiek piešķirts, tad tiesībsargs nesaskata iespēju kā kvalitatīvi veikt MI regulā paredzētās funkcijas, līdz ar to tiesībsargam nav iespēju pilnvērtīgi veikt visas MI akta 77.pantā noteiktās pamattiesību aizsardzības iestādes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akta 77.pants paredz, ka pēc dalībvalsts tirgus uzraudzības iestāde saprātīgā laikposmā pēc (dalībvalsts pamattiesību aizsardzības iestādes) pieprasījuma organizē testēšanu, cieši iesaistot pieprasījuma iesniedzēju publisku iestādi vai struktūru. Līdz ar to pēc Tiesībsarga pamatota pieprasījumu tirgus uzraudzības iestādes faktiski būs pienākums veikt šādu testēšanu ar tehniskiem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veikti aprēķini par to, cik lielas izmaksas tiks radītas dalībvalsts pamattiesību aizsardzības iestādei tās funkciju/uzdevumu izpildei, kas izriet no MI akta 77.pantā. Vienlaikus norādāmx, ka MI akta 77.pantā noteiktais faktiski uzliek papildus slogu un izmaksas tirgus uzraudzības iestādēm, kam būs jāveic MI sistēmu testēšana, tostarp, iespējams, atsevišķu MI sistēmas būs jāsūta uz ārzemju laboratorijām, kas varētu radīt ievērojamas izmaksas. Jau šobrīd tirgus uzraudzībā dažādi produkti tiek sūtīti uz ārzemju laboratorijām, ņemot vērā, ka Latvijā nav pieejamas plaša spektra testēšanas laboratorijas.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anotācijas 3.punktā būtu jāsniedz skaidrojums ar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cik potenciāli gadā šādus pieprasījumus Tiesībsargs varētu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cik potenciāli MI sistēmu testēšana varētu izmaksāt?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kādu papildus slogu/izmaksas tas radīs tirgus uzraudzības iestādēm (finanšu slogu + kādi ir nepieciešamie cilvēkresursi)?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akta 77.pantā paredzēts pienākums tirgus uzraudzības iestādei saprātīgā laikposmā pēc pamattiesību aizsardzības iestādes (tiesībsarga) pieprasījuma organizēt testēšanu. Norādāms, ka tirgus uzraudzības iestādes sedz testēšanas un testēšanas organizēšanas izmaksas. Šobrīd nav indikatīvi nosakāmas izmaksas, jo nav zināms potenciāli veicamo testējamo MI sistēmu skaits un testēšanas nosacījumi. Likumprojekta grozījumu tvērumā neietilpst MI akta tirgus uzraudzības iestāžu kompetences un to funkciju/uzdevumu izpildei nepieciešamā finansējuma atspoguļošana. Ņemot vērā minēto, MI sistēmu testēšanas izmaksas ir iekļaujamas attiecīgo tirgus uzraudzības iestāžu darbību regulējošo normatīvo aktu grozījumu anotācijās saistībā ar MI akta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punkts paredz papildināt Tiesībsarga likumu ar informatīvajām atsaucēm uz četrām Eiropas Parlamenta un Padomes direktīvām. Tomēr par šo direktīvu pārņemšanu likumā nav aizpildīta anotācijas 5. sadaļa, līdz ar to lūdzam to attiecīgi precizēt, jo īpaši detalizēti aizpildot anotācijas 5.4.1.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anotācijas 5.sadaļa, ietverot atbilstības izvērtējumu par direktīvu pārņemšanu.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13.pantu ar 15. un 16.punktu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kārtas skaitļa vārdu, kas apzīmēts cipariem un tam sekojošo vārdu lietojamas atstarpes (piemēram: 13. pantu – starp skaitli un vārdu liekama atstarpe), tādējādi norādot uz divu atsevišķi lasāmu vārdu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šo precizēt visā likumprojekta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 pantu ar 15. un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13.pantu ar 13. un 14.punktu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Tiesībsarga likuma 13. pantu ar 13. un 14. punktu. Vēršam uzmanību, ka 2025. gada 2. aprīlī ir stājušies spēkā grozījumi Tiesībsarga likumā, ar kuriem 13. pants ir papildināts ar 13. un 14. punktu, līdz ar to lūdzam precizēt likumprojektā piedāvāto 13. panta punktu numerāciju, izsakot tos kā 15. un 16.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13. pantu ar 15. un 16.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 likumprojektā un tā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 pantu ar 15. un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13.pantu ar 13. un 14.punktu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PTAC kā tirgus uzraudzības iestādei ir paredzēta uzraudzības kompetence tikai attiecībā uz fiziskām precēm Eiropas Parlamenta un Padomes 2024. gada 13. jūnija Regulas (ES) 2024/1689, ar ko nosaka saskaņotas normas mākslīgā intelekta jomā un groza Regulas (EK) Nr. 300/2008, (ES) Nr. 167/2013, (ES) Nr. 168/2013, (ES) 2018/858, (ES) 2018/1139 un (ES) 2019/2144 un Direktīvas 2014/90/ES, (ES) 2016/797 un (ES) 2020/1828  I pielikuma A un B iedaļā norādītajās jomās. Līdz ar to PTAC tirgus uzraudzības ietvaros nav paredzēts pārbaudīt tādas mākslīgā intelekta sistēmas, kuras nav saistāmas ar konkrētu preci, bet darbojas atsevišķās programmatūras vai tiešsaistes pakalpojumu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13.panta 14) punktu ierosinām precizēt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 iesniegt tirgus uzraudzības iestādei pamatotu pieprasījumu </w:t>
            </w:r>
            <w:r w:rsidR="00000000" w:rsidRPr="00000000" w:rsidDel="00000000">
              <w:rPr>
                <w:i w:val="1"/>
                <w:u w:val="single"/>
                <w:rtl w:val="0"/>
              </w:rPr>
              <w:t xml:space="preserve">atbilstoši tās uzraudzības kompetencei</w:t>
            </w:r>
            <w:r w:rsidR="00000000" w:rsidRPr="00000000" w:rsidDel="00000000">
              <w:rPr>
                <w:i w:val="1"/>
                <w:rtl w:val="0"/>
              </w:rPr>
              <w:t xml:space="preserve"> organizēt mākslīgā intelekta sistēmas testēšanu ar tehniskiem līdzekļiem, ja dokumentācija, kas nepieciešama pārbaudes lietā, nav pietiekama.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saistībā ar šo tiesību normu ierosinām anotācijā iekļaut šādu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Patērētāju tiesību aizsardzības centram kā tirgus uzraudzības iestādei ir paredzēta uzraudzības kompetence tikai attiecībā uz fiziskām precēm, līdz ar to šīs iestādes tirgus uzraudzības ietvaros nav paredzēts pārbaudīt tādas mākslīgā intelekta sistēmas, kuras nav saistāmas ar konkrētu preci, bet darbojas atsevišķās programmatūras vai tiešsaistes pakalpojumu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 attiecīgi precizēta, iekļaujot vārdus "atbilstoši tās uzraudzības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TSL 13.pantu "Tiesībsarga tiesības" ar 15. un 16.punktu, reglamentējot tiesībsarga pilnvaras pieprasīt un piekļūt mākslīgā intelekta sistēmu dokumentācijai, kas nepieciešama pārbaudes lietā, kā arī iesniegt tirgus uzraudzības iestādei atbilstoši tās uzraudzības kompetencei pamatotu pieprasījumu organizēt mākslīgā intelekta sistēmas testēšanu ar tehniskiem līdzekļiem, ja dokumentācija, kas nepieciešama pārbaudes lietā, nav pietiekama. Latvija ir noteikusi daudzas tirgus uzraudzības institūcijas MI akta prasību izpildei. TSL tvērumā neietilpst tirgus uzraudzības iestāžu kompetences atspoguļošana, tā izriet no speciālajiem, tirgus uzraudzības iestāžu darbību reglamentējošajiem normatīvajiem aktiem un politikas plānošanas dokumentiem MI akta ieviešanas jomā, līdz ar to TSL un tā anotācijā netiek ietverts papildu skaidrojums par tirgus uzraudzības iestāžu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 pantu ar 15. un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13.pantu ar 13. un 14.punktu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6.martā tika pieņemti (2025.gada 2. aprīlī stājās spēkā) grozījumi Tiesībsarga likumā papildinot likuma 13. pantu ar 13. un 14. punktu šādā redakcijā: "13) sniegt ieteikumus jautājumos, kas saistīti ar izturēšanos pret personām, kuras uzturas brīvības ierobežošanas vietās, kā arī par nepieciešamajiem pilnveidojumiem attiecībā uz uzturēšanās apstākļu uzlabošanu šajās vietās un citus ieteikumus privātpersonas cilvēktiesību aizsardzībai, kā arī saņemt informāciju par attiecīgo ieteikumu ieviešanas rezultātiem un ar to saistīto informāciju; 14) saņemt tiesu informatīvajā sistēmā esošo informāciju par tiesvedības gaitu un tiesu nolēmumus personu iesniegumu un pārbaudes lietu izskatīšanai, kā arī pētījumu, situāciju analīzes veikšanai un atzinumu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likumprojektā paredzēto papildinājumu attiecībā uz Tiesībsarga likuma 13. pantu aizstāt ar 15. un 16.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13.pantu ar 15. un 16.punktu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un tā anotācijā veikti redakcionāli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 pantu ar 15. un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 Pieprasot šā likuma 13.panta 1., 5., un 13.punktā minēto informāciju, tiesībsargs nosaka šīs informācijas apjomu un norāda saprātīgu tās sniegšanas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Tieslietu ministrijas priekšlikumu attiecībā uz likumprojekta 1. pantu un attiecīgi precizēt nepieciešamības gadījumā likumprojekta 2. pantu, kas paredz izteikt jaunā redakcijā Tiesībsarga likuma 27.panta pirmo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un tā anotācijā veikti redakcionāl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 Pieprasot šā likuma 13. panta 1., 1.</w:t>
            </w:r>
            <w:r w:rsidR="00000000" w:rsidRPr="00000000" w:rsidDel="00000000">
              <w:rPr>
                <w:vertAlign w:val="superscript"/>
                <w:rtl w:val="0"/>
              </w:rPr>
              <w:t xml:space="preserve">1</w:t>
            </w:r>
            <w:r w:rsidR="00000000" w:rsidRPr="00000000" w:rsidDel="00000000">
              <w:rPr>
                <w:rtl w:val="0"/>
              </w:rPr>
              <w:t xml:space="preserve">, 5., 13., 15. un 16.punktā minēto informāciju, tiesībsargs nosaka šīs informācijas apjomu un norāda saprātīgu tās sniegšanas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 Pieprasot šā likuma 13.panta 1., 5., un 13.punktā minēto informāciju, tiesībsargs nosaka šīs informācijas apjomu un norāda saprātīgu tās sniegšanas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grozāmā 27. panta pirmajā daļā atsauci uz 13. panta punktiem, ņemot vērā Tiesībsarga likuma redakciju, kas ir spēkā no 2025. gada 2. aprīļa. Lūdzu precizēt atbilstošo informāciju arī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un tā anotācijā veikti redakcionāli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 Pieprasot šā likuma 13. panta 1., 1.</w:t>
            </w:r>
            <w:r w:rsidR="00000000" w:rsidRPr="00000000" w:rsidDel="00000000">
              <w:rPr>
                <w:vertAlign w:val="superscript"/>
                <w:rtl w:val="0"/>
              </w:rPr>
              <w:t xml:space="preserve">1</w:t>
            </w:r>
            <w:r w:rsidR="00000000" w:rsidRPr="00000000" w:rsidDel="00000000">
              <w:rPr>
                <w:rtl w:val="0"/>
              </w:rPr>
              <w:t xml:space="preserve">, 5., 13., 15. un 16.punktā minēto informāciju, tiesībsargs nosaka šīs informācijas apjomu un norāda saprātīgu tās sniegšanas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dzēst 1. un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pareizi norādīts likumprojekta anotācijā, Tiesībsarga likuma informatīvajā atsaucē uz Eiropas Savienības direktīvām ir nepieciešams dzēst norādi uz Padomes 1976. gada 9. februāra direktīvu 76/207/EEK par tāda principa īstenošanu, kas paredz vienlīdzīgu attieksmi pret vīriešiem un sievietēm attiecībā uz darba, profesionālās izglītības un izaugsmes iespējām un darba apstākļiem un Eiropas Parlamenta un Padomes 2002. gada 23. septembra direktīvu 2002/73/EK, ar kuru groza Padomes direktīvu 76/207/EEK par tāda principa īstenošanu, kas paredz vienlīdzīgu attieksmi pret vīriešiem un sievietēm attiecībā uz darba, profesionālās izglītības un izaugsmes iespējām un darba apstākļiem, jo abas minētās direktīvas vairs nav spēkā esošas.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likumprojektā atbilstoši precizēt, ka tiek dzēsts informatīvās atsauces 1. un 4. punkts, nevis 3.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dzēst 1. un 4.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informatīvo atsauci ar 8., 9., 10. un 11.punktu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Eiropas Parlamenta un Padomes 2006.gada 5.jūlija direktīvas 2006/54/EK par tāda principa īstenošanu, kas paredz vienlīdzīgas iespējas un attieksmi pret vīriešiem un sievietēm nodarbinātības un profesijas jautājumos (pārstrādāta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Eiropas Parlamenta un Padomes 2010.gada 7.jūlija direktīvas 2010/41/ES par to, kā piemērot vienlīdzīgas attieksmes principu vīriešiem un sievietēm, kas darbojas pašnodarbinātas personas statusā, un ar kuru atceļ Padomes Direktīvu 86/613/EEK;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Eiropas Parlamenta un Padomes 2019.gada 20.jūnija direktīvas (ES) 2019/1158 par darba un privātās dzīves līdzsvaru vecākiem un aprūpētājiem un ar ko atceļ Padomes Direktīvu 2010/18/ES;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Parlamenta un Padomes 2016.gada 26.oktobra direktīvas (ES) 2016/2102 par publiskā sektora struktūru tīmekļvietņu un mobilo lietotņu piekļūstamību (Dokuments attiecas uz EEZ).".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Tiesībsarga likuma (redakcija, kas spēkā no 2025. gada 2. aprīļa) informatīvā atsauce uz Eiropas Savienības direktīvām ir papildināta ar 6. un 7. punktu, kur norādītas divas 2024. gadā pieņemtās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likumprojektā norādītās informatīvajā atsaucē iekļaujamās direktīvas sakārtot hronoloģiskā secībā, ievērojot to pieņemšanas gadu, un numurēt kā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5.</w:t>
            </w:r>
            <w:r w:rsidR="00000000" w:rsidRPr="00000000" w:rsidDel="00000000">
              <w:rPr>
                <w:vertAlign w:val="superscript"/>
                <w:rtl w:val="0"/>
              </w:rPr>
              <w:t xml:space="preserve">3</w:t>
            </w:r>
            <w:r w:rsidR="00000000" w:rsidRPr="00000000" w:rsidDel="00000000">
              <w:rPr>
                <w:rtl w:val="0"/>
              </w:rPr>
              <w:t xml:space="preserve"> un 5.</w:t>
            </w:r>
            <w:r w:rsidR="00000000" w:rsidRPr="00000000" w:rsidDel="00000000">
              <w:rPr>
                <w:vertAlign w:val="superscript"/>
                <w:rtl w:val="0"/>
              </w:rPr>
              <w:t xml:space="preserve">4</w:t>
            </w:r>
            <w:r w:rsidR="00000000" w:rsidRPr="00000000" w:rsidDel="00000000">
              <w:rPr>
                <w:rtl w:val="0"/>
              </w:rPr>
              <w:t xml:space="preserve">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redakcionāli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informatīvo atsauci ar 8., 9.,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Eiropas Parlamenta un Padomes 2006.gada 5.jūlija direktīvas 2006/54/EK par tāda principa īstenošanu, kas paredz vienlīdzīgas iespējas un attieksmi pret vīriešiem un sievietēm nodarbinātības un profesijas jautājumos (pārstrādāta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Eiropas Parlamenta un Padomes 2010.gada 7.jūlija direktīvas 2010/41/ES par to, kā piemērot vienlīdzīgas attieksmes principu vīriešiem un sievietēm, kas darbojas pašnodarbinātas personas statusā, un ar kuru atceļ Padomes Direktīvu 86/613/EEK;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Eiropas Parlamenta un Padomes 2019.gada 20.jūnija direktīvas (ES) 2019/1158 par darba un privātās dzīves līdzsvaru vecākiem un aprūpētājiem un ar ko atceļ Padomes Direktīvu 2010/18/ES;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Parlamenta un Padomes 2016.gada 26.oktobra direktīvas (ES) 2016/2102 par publiskā sektora struktūru tīmekļvietņu un mobilo lietotņu piekļūstamību (Dokuments attiecas uz EEZ).".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2025.gada 1.augustā.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paredzētais spēkā stāšanās datums, proti, 01.08.2025. ir pagājis, aicinām likumprojekta spēkā stāšanās normu izslēgt vai arī, ja nepieciešams noteikt atšķirīgu no vispārējā likumprojekta spēkā stāšanās datumu, aicinām noteikt jaunu spēkā stāšanās datumu, to precizējot arī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likmprojekts un tā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2025.gada 1.novembrī.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2025.gada 1.augustā.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(25-TA-548) ir norādīts, ka tas stājas spēkā 2025. gada 1. augustā. Lūdzu precizējiet likumprojekta (25-TA-548) spēkā stāšanās termiņu, lai tas nestātos spēkā ar atpakaļejošu datumu, jo likuma spēkā stāšanās laiku nosaka Satversmes 69. pants. Likums stājas spēkā četrpadsmit dienas pēc tā izsludināšanas vai pašā likumā noteiktajā laikā. Likumam nav atpakaļvērsta spēka, izņemot likumā īpaši paredzētus gadījumus, un tas izriet no tiesiskas valsts pamatprincipiem un personu uzticības spēkā esošajām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2025.gada 1.novembrī.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2025.gada 1.augustā.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likumprojektā norādīto spēkā stāšanās datumu, ievērojot, ka likums nevar stāties spēkā ar datumu, kas jau ir pagājis.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2025.gada 1.novembrī.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Kā arī, ja konkrētais apzīmējums tiek saīsināts, tad šis saīsinājums lietojams arī turpmāk tekstā (piemēram, dažviet tiek lietots saīsinājums „TSL”, citviet tiek lietots pilns nosaukums „Tiesībsarga likums”). Ievērojot minēto,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redakcionāli precizējumi likumprojekta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lpp. norādīts, ka ”s</w:t>
            </w:r>
            <w:r w:rsidR="00000000" w:rsidRPr="00000000" w:rsidDel="00000000">
              <w:rPr>
                <w:i w:val="1"/>
                <w:rtl w:val="0"/>
              </w:rPr>
              <w:t xml:space="preserve">askaņā ar Tiesībsarga likuma (turpmāk - TSL) </w:t>
            </w:r>
            <w:r w:rsidR="00000000" w:rsidRPr="00000000" w:rsidDel="00000000">
              <w:rPr>
                <w:b w:val="1"/>
                <w:i w:val="1"/>
                <w:rtl w:val="0"/>
              </w:rPr>
              <w:t xml:space="preserve">25.pantu tiesībsarga atzinumam ir rekomendējošs raksturs</w:t>
            </w:r>
            <w:r w:rsidR="00000000" w:rsidRPr="00000000" w:rsidDel="00000000">
              <w:rPr>
                <w:i w:val="1"/>
                <w:rtl w:val="0"/>
              </w:rPr>
              <w:t xml:space="preserve">, kas ir atbilstošs ombuda vietai un lomai. [..] Ņemot vērā faktu, ka tiesībsargs sniedz rekomendācijas, bet nesoda, savukārt MI akts paredz konkrētus sodus par darbību un/vai bezdarbību, </w:t>
            </w:r>
            <w:r w:rsidR="00000000" w:rsidRPr="00000000" w:rsidDel="00000000">
              <w:rPr>
                <w:b w:val="1"/>
                <w:i w:val="1"/>
                <w:rtl w:val="0"/>
              </w:rPr>
              <w:t xml:space="preserve">nepieciešams nacionālā līmenī paredzēt sadarbības kārtību starp tiesībsargu un tirgus uzraudzības iestādēm</w:t>
            </w:r>
            <w:r w:rsidR="00000000" w:rsidRPr="00000000" w:rsidDel="00000000">
              <w:rPr>
                <w:i w:val="1"/>
                <w:rtl w:val="0"/>
              </w:rPr>
              <w:t xml:space="preserve">,</w:t>
            </w:r>
            <w:r w:rsidR="00000000" w:rsidRPr="00000000" w:rsidDel="00000000">
              <w:rPr>
                <w:rtl w:val="0"/>
              </w:rPr>
              <w:t xml:space="preserve">” vienlaikus ietverts, ka:” </w:t>
            </w:r>
            <w:r w:rsidR="00000000" w:rsidRPr="00000000" w:rsidDel="00000000">
              <w:rPr>
                <w:b w:val="1"/>
                <w:i w:val="1"/>
                <w:u w:val="single"/>
                <w:rtl w:val="0"/>
              </w:rPr>
              <w:t xml:space="preserve">TSL jau šobrīd</w:t>
            </w:r>
            <w:r w:rsidR="00000000" w:rsidRPr="00000000" w:rsidDel="00000000">
              <w:rPr>
                <w:b w:val="1"/>
                <w:i w:val="1"/>
                <w:rtl w:val="0"/>
              </w:rPr>
              <w:t xml:space="preserve"> nosaka tiesībsarga pilnvaras pārbaudes lietās, cita starpā reglamentējot tiesībsarga atzinuma tvērumu</w:t>
            </w:r>
            <w:r w:rsidR="00000000" w:rsidRPr="00000000" w:rsidDel="00000000">
              <w:rPr>
                <w:i w:val="1"/>
                <w:rtl w:val="0"/>
              </w:rPr>
              <w:t xml:space="preserve">. Tādejādi, ja tiesībsarga atzinumā ir konstatēts pamattiesību aizskārums, pārkāpjot MI jomu regulējošo normatīvo aktu prasības, </w:t>
            </w:r>
            <w:r w:rsidR="00000000" w:rsidRPr="00000000" w:rsidDel="00000000">
              <w:rPr>
                <w:b w:val="1"/>
                <w:i w:val="1"/>
                <w:rtl w:val="0"/>
              </w:rPr>
              <w:t xml:space="preserve">tas var būt par pamatu tirgus uzraudzības iestādēm ierosināt administratīvo vai administratīvo pārkāpumu procesu</w:t>
            </w:r>
            <w:r w:rsidR="00000000" w:rsidRPr="00000000" w:rsidDel="00000000">
              <w:rPr>
                <w:i w:val="1"/>
                <w:rtl w:val="0"/>
              </w:rPr>
              <w:t xml:space="preserve">, kura ietvaros piemērot administratīvos naudas sodus vai citas sankcijas un izpildes pasākumus saskaņā ar MI akta 99.pantu.</w:t>
            </w:r>
            <w:r w:rsidR="00000000" w:rsidRPr="00000000" w:rsidDel="00000000">
              <w:rPr>
                <w:rtl w:val="0"/>
              </w:rPr>
              <w:t xml:space="preserve">” Aicinām izvērtēt nepieciešamību papildināt anotācijas risinājuma aprakstu ar atsaucēm uz attiecīgajiem normatīvajiem aktiem, kuri paredz, ka, balstoties uz Tiesībsarga likuma 25. panta 4. daļu (tiesībsargam pārbaudes lietas atzinumā konstatējot pamattiesību aizskārumu), var tikt uzsākts administratīvais pārkāpuma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izvērtēt, vai nepieciešams likumprojektā ietvert papildus punktus, kuri noteiktu nepieciešamo sadarbību starp tiesībsargu un tirgus uzraudzības iestādēm, lai īstenotu darbības, kas noteiktas MI akta XII nodaļā “Sodi”. Lūdzam attiecīgi izvērst skaidrojumu anotācijā vai precizēt likumprojektu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izvērtējumu, secināts, ka likumprojektā nav nepieciešams ietvert papildu punktus par sadarbību starp tiesībsargu un tirgus uzraudzības iestādēm, lai īstenotu darbības, kas noteiktas MI akta XII nodaļā “Sodi.” Šādi punkti būtu iekļaujami tirgus uzraudzības iestāžu regulējošos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anotācijā ir norādīts, tad tiesībsargs nav sodošā institūcija. Pašlaik, ja tiesībsargs konstatē pārkāpumu, tiesībsargs rekomendē novērst pārkāpumu, kā arī pārkāpuma nenovēršanas gadījumā, tiesībsargs var vērsties Satversmes tiesā, vispārējās jurisdikcijas tiesā (diskriminācijas gadījumos) vai administratīvajā tiesā. MI sistēmu pārkāpumu gadījumos ir jānorāda, ka pārkāpums visticamāk netiks veikts pret vienu cilvēku, bet gan pret sabiedrības grupu vai sabiedrību kopumā, tādejādi veidojot sistēmisku pārkāpumu. Līdz ar to būtu nepieciešams, lai tirgus uzraudzības iestāde sadarbotos ar tiesībsargu gadījumā, ja tiek konstatēts pamattiesību pārkāpums mākslīgā intelekta sistēmā, attiecīgi veicot darbības, lai to novērstu.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priekšlikumu par nepieciešamību likumprojektā paredzēto papildinājumu attiecībā uz Tiesībsarga likuma 13. pantu aizstāt ar 15. un 16. punktu, aicinām attiecīgi precizēt anotācijas 5. sadaļā ietvertās MI akta ieviešanas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redakcionāli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25-TA-548</w:t>
    </w:r>
    <w:r>
      <w:br/>
    </w:r>
    <w:r w:rsidR="00000000" w:rsidRPr="00000000" w:rsidDel="00000000">
      <w:rPr>
        <w:rtl w:val="0"/>
      </w:rPr>
      <w:t xml:space="preserve">15.09.2025. 12.32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25-TA-548</w:t>
    </w:r>
    <w:r>
      <w:br/>
    </w:r>
    <w:r w:rsidR="00000000" w:rsidRPr="00000000" w:rsidDel="00000000">
      <w:rPr>
        <w:rtl w:val="0"/>
      </w:rPr>
      <w:t xml:space="preserve">15.09.2025. 12.32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Izziņa_25-TA-548.docx</dc:title>
</cp:coreProperties>
</file>

<file path=docProps/custom.xml><?xml version="1.0" encoding="utf-8"?>
<Properties xmlns="http://schemas.openxmlformats.org/officeDocument/2006/custom-properties" xmlns:vt="http://schemas.openxmlformats.org/officeDocument/2006/docPropsVTypes"/>
</file>