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F358C" w:rsidRDefault="00A05C7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7F358C">
        <w:tc>
          <w:tcPr>
            <w:tcW w:w="750" w:type="dxa"/>
            <w:shd w:val="clear" w:color="auto" w:fill="FFFFFF"/>
            <w:noWrap/>
            <w:tcMar>
              <w:top w:w="75" w:type="dxa"/>
              <w:left w:w="75" w:type="dxa"/>
              <w:bottom w:w="75" w:type="dxa"/>
              <w:right w:w="75" w:type="dxa"/>
            </w:tcMar>
            <w:vAlign w:val="center"/>
          </w:tcPr>
          <w:p w:rsidR="007F358C" w:rsidRDefault="00A05C70">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rsidR="007F358C" w:rsidRDefault="00A05C7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rsidR="007F358C" w:rsidRDefault="00A05C7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rsidR="007F358C" w:rsidRDefault="00A05C7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rsidR="007F358C" w:rsidRDefault="00A05C70">
            <w:pPr>
              <w:jc w:val="center"/>
            </w:pPr>
            <w:r>
              <w:rPr>
                <w:b/>
              </w:rPr>
              <w:t>Pamatojums, ja iebildums / priekšlikums nav ņemts vērā</w:t>
            </w:r>
          </w:p>
        </w:tc>
      </w:tr>
      <w:tr w:rsidR="007F358C">
        <w:tc>
          <w:tcPr>
            <w:tcW w:w="750" w:type="dxa"/>
            <w:shd w:val="clear" w:color="auto" w:fill="FFFFFF"/>
            <w:noWrap/>
            <w:tcMar>
              <w:top w:w="75" w:type="dxa"/>
              <w:left w:w="75" w:type="dxa"/>
              <w:bottom w:w="75" w:type="dxa"/>
              <w:right w:w="75" w:type="dxa"/>
            </w:tcMar>
            <w:vAlign w:val="center"/>
          </w:tcPr>
          <w:p w:rsidR="007F358C" w:rsidRDefault="00A05C70" w:rsidP="0061642D">
            <w:r>
              <w:t>1.</w:t>
            </w:r>
          </w:p>
        </w:tc>
        <w:tc>
          <w:tcPr>
            <w:tcW w:w="4155" w:type="dxa"/>
            <w:shd w:val="clear" w:color="auto" w:fill="FFFFFF"/>
            <w:noWrap/>
            <w:tcMar>
              <w:top w:w="75" w:type="dxa"/>
              <w:left w:w="75" w:type="dxa"/>
              <w:bottom w:w="75" w:type="dxa"/>
              <w:right w:w="75" w:type="dxa"/>
            </w:tcMar>
            <w:vAlign w:val="center"/>
          </w:tcPr>
          <w:p w:rsidR="007F358C" w:rsidRDefault="00A05C70" w:rsidP="0061642D">
            <w:r>
              <w:t xml:space="preserve">Mihails </w:t>
            </w:r>
            <w:proofErr w:type="spellStart"/>
            <w:r>
              <w:t>Simvulidi</w:t>
            </w:r>
            <w:proofErr w:type="spellEnd"/>
          </w:p>
        </w:tc>
        <w:tc>
          <w:tcPr>
            <w:tcW w:w="4156" w:type="dxa"/>
            <w:shd w:val="clear" w:color="auto" w:fill="FFFFFF"/>
            <w:noWrap/>
            <w:tcMar>
              <w:top w:w="75" w:type="dxa"/>
              <w:left w:w="75" w:type="dxa"/>
              <w:bottom w:w="75" w:type="dxa"/>
              <w:right w:w="75" w:type="dxa"/>
            </w:tcMar>
            <w:vAlign w:val="center"/>
          </w:tcPr>
          <w:p w:rsidR="007F358C" w:rsidRDefault="00A05C70" w:rsidP="0061642D">
            <w:r>
              <w:t>23. panta 1.1 punktā piedāvātā redakcija paredz, ka kriminālprocesa pret 100 vai vairāk gadus vecu personu izbeigšanas gadījumā dati no reģistra arhīva datubāzes būs jāizdzēš uzreiz. Tas pats attiecas uz spēkā esošo 1. punktu.</w:t>
            </w:r>
          </w:p>
        </w:tc>
        <w:tc>
          <w:tcPr>
            <w:tcW w:w="1350" w:type="dxa"/>
            <w:shd w:val="clear" w:color="auto" w:fill="FFFFFF"/>
            <w:noWrap/>
            <w:tcMar>
              <w:top w:w="75" w:type="dxa"/>
              <w:left w:w="75" w:type="dxa"/>
              <w:bottom w:w="75" w:type="dxa"/>
              <w:right w:w="75" w:type="dxa"/>
            </w:tcMar>
            <w:vAlign w:val="center"/>
          </w:tcPr>
          <w:p w:rsidR="007F358C" w:rsidRDefault="0061642D" w:rsidP="0061642D">
            <w:r>
              <w:t>Nav ņemts vērā.</w:t>
            </w:r>
            <w:bookmarkStart w:id="0" w:name="_GoBack"/>
            <w:bookmarkEnd w:id="0"/>
          </w:p>
        </w:tc>
        <w:tc>
          <w:tcPr>
            <w:tcW w:w="4156" w:type="dxa"/>
            <w:shd w:val="clear" w:color="auto" w:fill="FFFFFF"/>
            <w:noWrap/>
            <w:tcMar>
              <w:top w:w="75" w:type="dxa"/>
              <w:left w:w="75" w:type="dxa"/>
              <w:bottom w:w="75" w:type="dxa"/>
              <w:right w:w="75" w:type="dxa"/>
            </w:tcMar>
            <w:vAlign w:val="center"/>
          </w:tcPr>
          <w:p w:rsidR="007F358C" w:rsidRDefault="0061642D" w:rsidP="0061642D">
            <w:r>
              <w:t>P</w:t>
            </w:r>
            <w:r>
              <w:t xml:space="preserve">ubliskās apriešanas laikā </w:t>
            </w:r>
            <w:r>
              <w:t>tika saņemts komentārs</w:t>
            </w:r>
            <w:r>
              <w:t>, ka likumprojektā piedāvātā 23. panta 1.</w:t>
            </w:r>
            <w:r>
              <w:rPr>
                <w:vertAlign w:val="superscript"/>
              </w:rPr>
              <w:t>1</w:t>
            </w:r>
            <w:r>
              <w:t> punkta redakcija paredz, ka kriminālprocesa pret 100 vai vairāk gadus vecu personu izbeigšanas gadījumā ziņas no Sodu reģistra arhīva datubāzes tiks dzēstas uzreiz. Minētais ir arī attiecināms arī uz Sodu reģistra likuma 23. panta 1. punktā paredzēto.</w:t>
            </w:r>
            <w:r>
              <w:br/>
            </w:r>
            <w:r>
              <w:br/>
              <w:t>Norādāms, ka Sodu reģistra likuma 23. panta 1. un 1.</w:t>
            </w:r>
            <w:r>
              <w:rPr>
                <w:vertAlign w:val="superscript"/>
              </w:rPr>
              <w:t>1</w:t>
            </w:r>
            <w:r>
              <w:t xml:space="preserve"> punktā ietvertais tiesiskais regulējums ir attiecināms uz Sodu reģistra arhīva datubāzi. Saskaņā ar Sodu reģistra likuma 22. panta otro daļu ziņas no Sodu reģistra aktuālās datubāzes pārvieto uz reģistra arhīva datubāzi, ja ir zudis šajā likumā noteiktais ziņu </w:t>
            </w:r>
            <w:r>
              <w:lastRenderedPageBreak/>
              <w:t>glabāšanas pamatojums vai beidzies ziņu glabāšanas termiņš.</w:t>
            </w:r>
            <w:r>
              <w:br/>
            </w:r>
            <w:r>
              <w:br/>
              <w:t>100 gadu glabāšanas termiņš ir izvēlēts, jo vairs netiek saskatīts ziņu glabāšanas pamatojums, jo iespējams persona būs jau mirusi vai arī bīstamības faktors ir ļoti zems.</w:t>
            </w:r>
          </w:p>
        </w:tc>
      </w:tr>
    </w:tbl>
    <w:p w:rsidR="00A05C70" w:rsidRDefault="00A05C70" w:rsidP="0061642D"/>
    <w:sectPr w:rsidR="00A05C7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C70" w:rsidRDefault="00A05C70">
      <w:r>
        <w:separator/>
      </w:r>
    </w:p>
  </w:endnote>
  <w:endnote w:type="continuationSeparator" w:id="0">
    <w:p w:rsidR="00A05C70" w:rsidRDefault="00A05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58C" w:rsidRDefault="00A05C70">
    <w:pPr>
      <w:jc w:val="right"/>
    </w:pPr>
    <w:r>
      <w:rPr>
        <w:sz w:val="24"/>
        <w:szCs w:val="24"/>
      </w:rPr>
      <w:fldChar w:fldCharType="begin"/>
    </w:r>
    <w:r>
      <w:rPr>
        <w:sz w:val="24"/>
        <w:szCs w:val="24"/>
      </w:rPr>
      <w:instrText>PAGE</w:instrText>
    </w:r>
    <w:r w:rsidR="0061642D">
      <w:rPr>
        <w:sz w:val="24"/>
        <w:szCs w:val="24"/>
      </w:rPr>
      <w:fldChar w:fldCharType="separate"/>
    </w:r>
    <w:r w:rsidR="0061642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A05C7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C70" w:rsidRDefault="00A05C70">
      <w:r>
        <w:separator/>
      </w:r>
    </w:p>
  </w:footnote>
  <w:footnote w:type="continuationSeparator" w:id="0">
    <w:p w:rsidR="00A05C70" w:rsidRDefault="00A05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58C" w:rsidRDefault="00A05C70">
    <w:pPr>
      <w:pStyle w:val="Header"/>
      <w:contextualSpacing w:val="0"/>
    </w:pPr>
    <w:r>
      <w:t>Viedokļu pārskats 23-TA-615</w:t>
    </w:r>
    <w:r>
      <w:br/>
    </w:r>
    <w:r>
      <w:t>Izdrukāts 08.05.2023. 08.15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58C" w:rsidRDefault="00A05C70">
    <w:pPr>
      <w:pStyle w:val="Header"/>
      <w:contextualSpacing w:val="0"/>
    </w:pPr>
    <w:r>
      <w:t>Viedokļu pārskats 23-TA-615</w:t>
    </w:r>
    <w:r>
      <w:br/>
    </w:r>
    <w:r>
      <w:t>Izdrukāts 08.05.2023. 08.15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58C"/>
    <w:rsid w:val="0061642D"/>
    <w:rsid w:val="007F358C"/>
    <w:rsid w:val="00A05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4F50"/>
  <w15:docId w15:val="{C141BAFB-6D06-411E-B3BA-573DF28B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497</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viedoklu_parskats_23-TA-615.docx</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viedoklu_parskats_23-TA-615.docx</dc:title>
  <dc:creator>Dace Radzeviča</dc:creator>
  <cp:lastModifiedBy>Dace Radzeviča</cp:lastModifiedBy>
  <cp:revision>2</cp:revision>
  <cp:lastPrinted>2023-05-08T05:15:00Z</cp:lastPrinted>
  <dcterms:created xsi:type="dcterms:W3CDTF">2023-05-08T05:25:00Z</dcterms:created>
  <dcterms:modified xsi:type="dcterms:W3CDTF">2023-05-08T05:25:00Z</dcterms:modified>
</cp:coreProperties>
</file>