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Azartspēļu un izložu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82. pants. Valsts ieņēmumu dienesta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realizēt valsts politiku azartspēļu un izložu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azartspēļu un izložu organizētāju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ar azartspēļu un izložu organizēšanu saistītu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azartspēļu un izložu tirgus sistemātisku uzskaiti un statistisku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 azartspēļu automātus un iekārtas un sniegt valsts un pašvaldību institūcijām azartspēļu un izložu nodokļa administrēšanai nepieciešamās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vienotās azartspēļu automātu kontroles un uzraudzības sistēmas darbību, izmantojot tiešsaistes datu apmaiņu ar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veikt azartspēļu pakalpojumu sniedzēju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uzturēt šā likuma 4.</w:t>
            </w:r>
            <w:r w:rsidR="00000000" w:rsidRPr="00000000" w:rsidDel="00000000">
              <w:rPr>
                <w:vertAlign w:val="superscript"/>
                <w:rtl w:val="0"/>
              </w:rPr>
              <w:t xml:space="preserve">1</w:t>
            </w:r>
            <w:r w:rsidR="00000000" w:rsidRPr="00000000" w:rsidDel="00000000">
              <w:rPr>
                <w:rtl w:val="0"/>
              </w:rPr>
              <w:t xml:space="preserve"> pantā minēto pašatteikušos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lai azartspēļu, tai skaitā interaktīvo azartspēļu, un interaktīvo izložu organizētājs varētu saņemt informāciju no pašatteikušos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šā likuma 4.</w:t>
            </w:r>
            <w:r w:rsidR="00000000" w:rsidRPr="00000000" w:rsidDel="00000000">
              <w:rPr>
                <w:vertAlign w:val="superscript"/>
                <w:rtl w:val="0"/>
              </w:rPr>
              <w:t xml:space="preserve">1</w:t>
            </w:r>
            <w:r w:rsidR="00000000" w:rsidRPr="00000000" w:rsidDel="00000000">
              <w:rPr>
                <w:rtl w:val="0"/>
              </w:rPr>
              <w:t xml:space="preserve"> panta pirmajā daļā minēto fiziskās personas pieprasījumu pēc pārliecināšanās par fiziskās personas identitāti un iekļaut šo fizisko personu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veikt šā likuma 4.</w:t>
            </w:r>
            <w:r w:rsidR="00000000" w:rsidRPr="00000000" w:rsidDel="00000000">
              <w:rPr>
                <w:vertAlign w:val="superscript"/>
                <w:rtl w:val="0"/>
              </w:rPr>
              <w:t xml:space="preserve">1</w:t>
            </w:r>
            <w:r w:rsidR="00000000" w:rsidRPr="00000000" w:rsidDel="00000000">
              <w:rPr>
                <w:rtl w:val="0"/>
              </w:rPr>
              <w:t xml:space="preserve"> pantā minētajā pašatteikušos personu reģistrā iekļauto fizisko personu lieguma izpildes kontroles un uzraudzības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azartspēļu un izložu nozares uzraudzības būtiskiem aspektiem ir azartspēļu un izložu reklāmas uzraudzība. Azartspēļu un izložu likuma 41.panta piektā daļa nosaka, ka azartspēļu un interaktīvo azartspēļu organizēšanas vietņu reklāma ir aizliegta ārpus azartspēļu organizēšanas vietām. Azartspēļu organizēšanas vietās atļauts norādīt tikai azartspēļu vietas nosaukumu un azartspēļu organizētāja reģistrētu preču zīmi. No iepriekš minētā izriet, ka likumdevējs ir noteicis, ka vienīgais reklāmas veids, ko ir atļauts azartspēļu organizētājam izplatīt ārpus azartspēļu organizēšanas vietām (tikai tieši pie azartspēļu organizēšanas vietas), ir katra konkrētā azartspēļu organizētāja reģistrētas preču zīmes attēlošana, tādējādi saskaņā ar  Preču zīmju likuma 1.panta 8.punktu ļaujot ar šādu apzīmējumu atšķirt konkrētā uzņēmuma sniegtos pakalpojumus un informēt attiecīgo telpu apmeklētāju par šajās telpās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Strauji attīstoties azartspēļu piedāvājumam, licencētie azartspēļu organizētāji bieži izmanto normatīvo aktu nepilnības vai maldīgu interpretāciju un reģistrē tādas preču zīmes, kas sastāv arī no pilniem teikumiem, saukļiem, interneta adrešu tiešām norādēm, mobilo aplikāciju lejupielādes iespējām u.c. informācijas. Ļoti plaši tiek reklamēti "sporta bāri", kuros ir iespējams skatīties sporta spēles un piedalīties totalizatorā, lai liktu likmi par konkrēto spēli. Preču zīmes - "sporta bārs" un to lietošana bieži tiek reģistrētas uz azartspēļu organizēšanu nesaistītiem komersantiem, tādējādi cenšoties izvairīties no azartspēļu organizētājiem likumā noteiktā reklāmas izplatīšanas aizlieguma. Līdz ar to ir nepieciešama efektīva azartspēļu un izložu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Azartspēļu un izložu likumā nav noteikta kompetentā iestāde, kurai ir jāveic azartspēļu un izložu reklāmu uzraudzība. Azartspēļu un izložu likuma 81.pants nosaka, ka kontroli un uzraudzību pār to, kā azartspēļu un izložu organizētāji ievēro šo likumu, citus normatīvos aktus, azartspēles vai izlozes noteikumus, veic Izložu un azartspēļu uzraudzības inspekcija Ministru kabineta noteiktajā kārtībā, Valsts ieņēmumu dienests likumā "Par Valsts ieņēmumu dienestu" noteiktajā kārtībā un Valsts policija likumā "Par policiju" noteiktajā kārtībā.  Izložu un azartspēļu inspekcijas kompetence noteikta likuma 82.panta otrajā daļā, kur nav noteikts, ka inspekcija uzrauga azartspēļu un izložu reklāmas.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Reklāmas likuma 13.panta pirmajai daļai savas kompetences ietvaros Reklāmas likuma ievērošanu uzrauga Patērētāju tiesību aizsardzības centrs, Konkurences padome, Nacionālā elektronisko plašsaziņas līdzekļu padome, zāļu reklāmas jomā — Veselības inspekcija, veterinārmedicīnisko un veterinārfarmaceitisko pakalpojumu sniedzējiem paredzētās veterināro zāļu reklāmas jomā — Pārtikas un veterinārais dienests. Tādejādi azartspēļu un izložu reklāmas uzraudzība atbilstoši vispārējam likumā noteiktajam kompetenču sadalījumam piekrīt Patērētāju tiesību aizsardzības centram. Šobrīd spēkā esošajos normatīvajos aktos nav noteikta konkrēti PTAC paredzēta azartspēļu reklāmas uzraudzības kārtība, bet gan ir noteikta PTAC vispārējā kompetence uzraudzīt dažāda veida reklāmu dažādās tirgus produktu un pakalpojumu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2018.gadā tika uzsāktas diskusijas par azartspēļu un izložu reklāmas uzraudzības efektivitāti, ņemot vērā to, ka azartspēļu un izložu nozares licencēšanu un uzraudzību veic Azartspēļu un izložu inspekcija, bet Patērētāju tiesību aizsardzības centrs veic reklāmas uzraudzību, pamatojoties uz vispārēju piekritību reklāmas uzraudzībā. Tika secināts, ka šāds uzraudzības mehānisms nav efektīvs un ar 14.07.2021. Ministru kabineta rīkojumu Nr.509 “Par Azartspēļu un izložu politikas pamatnostādnēm 2021.-2027. gadam” (https://likumi.lv/ta/id/324799-par-azartspelu-un-izlozu-politikas-pamatnostadnem-2021-2027-gadam  ), tika definēts, ka Azartspēļu un izložu inspekcijai jāveic azartspēļu un izložu reklāmas uzraudzība. Tika sagatavoti un iesniegti grozījumi Azartspēļu un izložu likumā (https://tapportals.mk.gov.lv/structuralizer/data/nodes/3dce122f-e089-457d-8f14-a63bef355681/preview ), kuri ilgstoši netika virzīti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atbalsta izvirzīto mērķi, uzlabot valsts pārvaldes efektivitāti, pārskatīt iestāžu organizatorisko modeli, nodrošināt efektīvāku resursu izmantošanu un optimizēt izmaksas, samazināt sadrumstalotību vienas jomas uzraudzībā un tādejādi celt pārvaldības kvalitāti. Kā jau PTAC aprakstīja, tad viena no līdz šim azartspēļu un izložu nozares uzraudzības sadrumstalotajām būtiskajām funkcijām ir azartspēļu un izložu reklāmas uzraudzība. Lai panāktu izvirzītos mērķus, ir nepieciešams noteikt par azartspēļu un izložu reklāmas uzraudzību atbildīgu to iestādi, kura veic azartspēļu un izložu nozares licencēšanu un uzraudzību. Līdz ar to nepieciešams papildināt Azartspēļu un izložu likuma 82.panta otro daļu, nosakot, ka turpmāk Valsts ieņēmumu dienesta uzdevumos, veicot azartspēļu un izložu nozares uzraudzību, ietilpst arī azartspēļu reklāmas un izložu reklāmas uzraudzība. Neveicot reklāmas uzraudzības funkcijas nodošanu Valsts ieņēmumu dienestam kā par nozares licencēšanu un uzraudzību atbildīgajai iestādei, netiek sasniegti izvirzītie mērķi un PTAC/Ekonomikas ministrija nesaskata iespēju saskaņot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veikt azartspēļu reklāmas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veikt izložu reklāmas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ir aizstāt Izložu un azartspēļu uzraudzības inspekciju ar Valsts ieņēmumu dienestu un neparedzot citas izmaiņas, kas saistītas ar uzdevumu, funkciju vai procesu pārskatīšanu. Vēršam uzmanību, ka atbilstoši Reklāmas likumā noteiktajam, šobrīd atbildīgā iestāde par reklāmas uzraudzību ir Patērētāju tiesību aizsardzības centrs, tai skaitā par azartspēļu reklāmas uzraudzību. Finanšu ministrija ir izstrādājusi likumprojektu "Grozījums Reklāmas likumā", kas paredz, ka turpmāk atbildīgā iestāde par azartspēļu reklāmas uzraudzību ir nosakāma Izložu un azartspēļu uzraudzības inspekcija. Tomēr likumprojekts šobrīd atrodas Saeimā un nav pieņemts, līdz ar to, likumdevējs nav pieņēmis lēmumu, jeb izteicis savu piekrišanu. Uzskatām, ka šobrīd veikt izmaiņas likumā, nosakot, ka turpmāk par azartspēļu reklāmas uzraudzību ir nosakāms Valsts ieņēmumu dienests, par sasteigtu, neizdiskutētu un neatbilstošu likumprojekta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82. pants. Valsts ieņēmumu dienesta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realizēt valsts politiku azartspēļu un izložu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azartspēļu un izložu organizētāju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ar azartspēļu un izložu organizēšanu saistītu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azartspēļu un izložu tirgus sistemātisku uzskaiti un statistisku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 azartspēļu automātus un iekārtas un sniegt valsts un pašvaldību institūcijām azartspēļu un izložu nodokļa administrēšanai nepieciešamās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vienotās azartspēļu automātu kontroles un uzraudzības sistēmas darbību, izmantojot tiešsaistes datu apmaiņu ar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veikt azartspēļu pakalpojumu sniedzēju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uzturēt šā likuma 4.</w:t>
            </w:r>
            <w:r w:rsidR="00000000" w:rsidRPr="00000000" w:rsidDel="00000000">
              <w:rPr>
                <w:vertAlign w:val="superscript"/>
                <w:rtl w:val="0"/>
              </w:rPr>
              <w:t xml:space="preserve">1</w:t>
            </w:r>
            <w:r w:rsidR="00000000" w:rsidRPr="00000000" w:rsidDel="00000000">
              <w:rPr>
                <w:rtl w:val="0"/>
              </w:rPr>
              <w:t xml:space="preserve"> pantā minēto pašatteikušos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lai azartspēļu, tai skaitā interaktīvo azartspēļu, un interaktīvo izložu organizētājs varētu saņemt informāciju no pašatteikušos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šā likuma 4.</w:t>
            </w:r>
            <w:r w:rsidR="00000000" w:rsidRPr="00000000" w:rsidDel="00000000">
              <w:rPr>
                <w:vertAlign w:val="superscript"/>
                <w:rtl w:val="0"/>
              </w:rPr>
              <w:t xml:space="preserve">1</w:t>
            </w:r>
            <w:r w:rsidR="00000000" w:rsidRPr="00000000" w:rsidDel="00000000">
              <w:rPr>
                <w:rtl w:val="0"/>
              </w:rPr>
              <w:t xml:space="preserve"> panta pirmajā daļā minēto fiziskās personas pieprasījumu pēc pārliecināšanās par fiziskās personas identitāti un iekļaut šo fizisko personu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veikt šā likuma 4.</w:t>
            </w:r>
            <w:r w:rsidR="00000000" w:rsidRPr="00000000" w:rsidDel="00000000">
              <w:rPr>
                <w:vertAlign w:val="superscript"/>
                <w:rtl w:val="0"/>
              </w:rPr>
              <w:t xml:space="preserve">1</w:t>
            </w:r>
            <w:r w:rsidR="00000000" w:rsidRPr="00000000" w:rsidDel="00000000">
              <w:rPr>
                <w:rtl w:val="0"/>
              </w:rPr>
              <w:t xml:space="preserve"> pantā minētajā pašatteikušos personu reģistrā iekļauto fizisko personu lieguma izpildes kontroles un uzraudzības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7.punktā ir norāde par amata vietu samazinājumu tas jāietver arī MK protokollēmumā.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punktu: "Pieņemt zināšanai, ka Finanšu ministrijas resorā tiek likvidētas 2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PTAC iebildumam saistībā ar azartspēļu un izložu reklāmas uzraudzības nodošanu VID kompetencē šajā likumprojektā. Ekonomikas ministrija uzstāj uz šādas rīcības nepieciešamību un ir gatava atbalstīt šī likumprojekta virzību, tikai tad, ja PTAC iebildums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Ekonomikas ministrija aicina papildināt anotācijas 4.sadaļu ar norādi par nepieciešamību grozīt arī Reklāmas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kāpēc iebildums nav ņemts vērā, ir iekļauts pie iepriekšējā iebilduma, ko sniedzis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punktu šādā redakcijā: "Pieņemt zināšanai, ka Finanšu ministrijas resorā tiek likvidētas 2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punktu: "Pieņemt zināšanai, ka Finanšu ministrijas resorā tiek likvidētas 2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33., 34., un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regulējuma nepieciešamība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nepieciešams pārejas regulējums saistībā ar administratīvā pārkāpuma procesu (procesa norise dažādās tā stadijās vai posmos, augstākas amatpersonas noteikšana u. tml.). Pat tad, ja nav nepieciešams normatīvs regulējums, šādu skaidrojumu ieteicams ietvert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IAUI un VID funkcijas administratīvā pārkāpuma procesā ir līdzīgas un VID struktūrā jau ir paredzēta augstākas amatpersonas loma lēmumu apstrīdēšanā, nav nepieciešams īpašs pārejas regulējums. Administratīvā procesa likums nodrošina pietiekamu tiesisko ietvaru procesa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33., 34., un 35.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Ietverta neprecīza informācija par grozījumu nepieciešamību citos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ka nepieciešami grozījumi Administratīvo sodu likumā par pārkāpumiem pārvaldes, sabiedriskās kārtības un valsts valodas lietošanas jomā, lai "aktualizētu atbildīgo iestādi, kas turpmāk veiks administratīvo pārkāpumu procesu azartspēļu un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šis likums īpaši neregulē azartspēļu un izložu jomu, tas attiecas uz pārvaldes jomu. Tāpat administratīvā pārkāpuma procesu veic nevis iestāde, bet šīs iestādes amatpersonas. Aicinām arī izmantot atbilstošu procesa apzīmējumu – "administratīvā pārkāpuma process". Līdz ar to grozījumi šajā likumā varētu būt nepieciešami, lai noteiktu iestādi, kuras amatpersonas turpmāk veiks administratīvā pārkāpuma procesu par normatīvi noteiktas informācijas azartspēļu un izložu jomā sniegšanas pārkāpumiem, kā arī amatpersonas prasību nepildīšanu vai tās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ka nepieciešami grozījumi Administratīvās atbildības likumā, lai "aktualizētu atbildīgo iestādi, kas turpmāk veiks administratīvā pārkāpuma procesu azartspēļu un izložu jomā". Administratīvās atbildības likums ietver tikai to iestāžu abstraktu uzskaitījumu, kuru amatpersonas iespējami varētu veikt administratīvā pārkāpuma procesu. Savukārt nozari regulējošie likumi noteic amatpersonu kompetenci konkrētā jomā saistībā ar noteiktiem administratīvajiem pārkāpumiem. Ja Administratīvās atbildības likumā minētu iestādi likvidē, to pievienojot citai iestādei, tad šīs iestādes esība šajā likumā nekādi neietekmē faktisko kompetenci administratīvā pārkāpuma procesā. Grozījumi Administratīvās atbildības likumā ir tikai redakcionāla rakstura, lai izslēgtu iestādi, kura vairs nepastāv.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likumprojekts "Grozījumi Administratīvo sodu likumā par pārkāpumiem pārvaldes, sabiedriskās kārtības un valsts valodas lietošanas jomā"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Administratīvās atbildības likumā"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"VID funkcijas paplašināsies, jo IAUI īstenotās funkcijas izložu un azartspēļu organizēšanas uzraudzības jomā, kā arī Pašatteikušos personu reģistra uzturēšanā, tiks nodotas VID". Tomēr grozījumi attiecas arī uz administratīvā pārkāpuma procesu (sodīšanas funkcija), ko neaptver uzraudzības (kontroles) funkcija. Arī kopumā anotācijā administratīvā pārkāpuma procesam nav pievērsta uzmanība, salīdzinot ar uzraudzību vai administratīvo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7.4. sadaļa "Projekta izpildes ietekme uz pārvaldes funkcijām un institucionālo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funkcijas paplašināsies, jo IAUI īstenotās funkcijas izložu un azartspēļu organizēšanas uzraudzības jomā, </w:t>
            </w:r>
            <w:r w:rsidR="00000000" w:rsidRPr="00000000" w:rsidDel="00000000">
              <w:rPr>
                <w:b w:val="1"/>
                <w:rtl w:val="0"/>
              </w:rPr>
              <w:t xml:space="preserve">administratīvā pārkāpuma procesa nodrošināšanā</w:t>
            </w:r>
            <w:r w:rsidR="00000000" w:rsidRPr="00000000" w:rsidDel="00000000">
              <w:rPr>
                <w:rtl w:val="0"/>
              </w:rPr>
              <w:t xml:space="preserve">, kā arī Pašatteikušos personu reģistra uzturēšanā, tiks nodotas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25-TA-2048</w:t>
    </w:r>
    <w:r>
      <w:br/>
    </w:r>
    <w:r w:rsidR="00000000" w:rsidRPr="00000000" w:rsidDel="00000000">
      <w:rPr>
        <w:rtl w:val="0"/>
      </w:rPr>
      <w:t xml:space="preserve">23.09.2025. 16.20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25-TA-2048</w:t>
    </w:r>
    <w:r>
      <w:br/>
    </w:r>
    <w:r w:rsidR="00000000" w:rsidRPr="00000000" w:rsidDel="00000000">
      <w:rPr>
        <w:rtl w:val="0"/>
      </w:rPr>
      <w:t xml:space="preserve">23.09.2025. 16.20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Izziņa_25-TA-2048.docx</dc:title>
</cp:coreProperties>
</file>

<file path=docProps/custom.xml><?xml version="1.0" encoding="utf-8"?>
<Properties xmlns="http://schemas.openxmlformats.org/officeDocument/2006/custom-properties" xmlns:vt="http://schemas.openxmlformats.org/officeDocument/2006/docPropsVTypes"/>
</file>