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"Problēmas apraksts" aktualizēt norādīto informāciju attiecībā uz 1.1.2.1. pasākuma "RIS3 industriālās prasmes" īstenošanas noteikumiem (25-TA-274),  ņemot vērā to, ka šie noteikumi ir apstiprināti MK š.g. 22.jūlija sēdē (protokols Nr. 29 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aktualizēta informācija par 1.1.2.1. pasākuma MK noteikumu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5.1 apakšpunktu ar šīs anotācijas 5.punktā norādītājām finansiālajām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5.1. apakšpunkts ir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rezultāta rādītājs – atbalstītajās struktūrās izveidotās pētniecības darbvietas – 69 (pilna laika slodzes ekvivalenta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iesniegt aktualizētu rādītāju metodoloģijas aprakstu (rādītāju pasi) un </w:t>
            </w:r>
            <w:r w:rsidR="00000000" w:rsidRPr="00000000" w:rsidDel="00000000">
              <w:rPr>
                <w:rtl w:val="0"/>
              </w:rPr>
              <w:t xml:space="preserve">grozījumus Eiropas Savienības kohēzijas politikas programmā 2021.–2027. gadam, norādot plānotās izmaiņas rādītāja RCR 102 "Atbalstītajās struktūrās izveidotās pētniecības darba vietas" sasniedzamajā vērtībā un finansējumā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SAM rādītāju metodoloģijas apraksts ir aktualizēts, precizējot informāciju par rādītāju RCR 102, un nosūtīts Finanšu ministrijai. Sagatavojot nākamos grozījumus Eiropas Savienības kohēzijas politikas programmā 2021.–2027. gadam, tiks veikti attiecīgi precizējumi rādītāja RCR 102 vērtībā un finansējumā pa intervences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rezultāta rādītājs – atbalstītajās struktūrās izveidotās pētniecības darbvietas – 69 (pilna laika slodzes ekvivalenta izteiksmē);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svītrot noteikumu projekta 6.2. apakšpunktu, t.i. nacionālos radītājus, kā arī aicinām svītrot noteikumu projekta 48.1. apakšpunktu, kas liek finansējuma saņēmējiem uzkrāt datus par nacionālo rādītāju izpildi. Aicinām atbilstoši izvērtēt arī citas noteikumu projektā iekļautās prasības un pēc iespējas mazināt finansējuma saņēmējam administratīvo slogu un atteikties no prasībām, kas nav noteiktas kā obligātas saskaņā ar Eiropas Savienības un Latvijas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1.1.1.8. pasākuma MK noteikumos ir jāsaglabā prasība par abiem nacionālajiem rādītājiem, tā kā to uzkrāšana nerada būtisku papildu administratīvo slogu finansējuma saņēmējam, vienlaikus šie rādītāji atspoguļo projektu rezultātus un ieguvumus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Latvijas Universitātes projektā – vismaz 97, tai skaitā vismaz 6 pētniecisko darbu veic kiberdrošības un mākslīgā intelekta tehnoloģiju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nedaudz lielāka brīvība izpildes kritērijos, lai pārējie kritēriji par pēcizpildi par nodarbinātību pēc doktorantūras un obligāto grādu iegūšanu attiektos uz kopējo grantu un doktorantu skaitu, ne specifiski arī šiem 6 kiberdrošības doktorantiem.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Latvijas Universitātes projektā – vismaz 97, tai skaitā 6 </w:t>
            </w:r>
            <w:r w:rsidR="00000000" w:rsidRPr="00000000" w:rsidDel="00000000">
              <w:rPr>
                <w:b w:val="1"/>
                <w:rtl w:val="0"/>
              </w:rPr>
              <w:t xml:space="preserve">grantus</w:t>
            </w:r>
            <w:r w:rsidR="00000000" w:rsidRPr="00000000" w:rsidDel="00000000">
              <w:rPr>
                <w:rtl w:val="0"/>
              </w:rPr>
              <w:t xml:space="preserve"> paredzot kiberdrošības un mākslīgā intelekta tehnoloģiju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konsolidētās versijas 22.4. apakšpunkta atbilstību 22. punkta formulējumam, tiek saglabāta esošā redakcija (22. punkts nosaka atbalstīto doktorantu skaitu, nevis piešķirto grantu skaitu), vienlaikus noteikumu projekta anotācija ir papildināta ar attiecīgu skaidrojumu, ka Latvijas Universitātes projektā un Rīgas Tehniskās universitātes projektā sasniedzamais rezultāta rādītājs "Atbalstītajās struktūrās izveidotās pētniecības darbvietas" PLE izteiksmē (LU projektā - vismaz 24,25 PLE un RTU projektā - vismaz 23,5 PLE), kā arī nacionālais rādītājs "Doktorantūras granta saņēmēju īpatsvars, kas ieguvuši zinātnes doktora grādu, – 25 procenti" </w:t>
            </w:r>
            <w:r w:rsidR="00000000" w:rsidRPr="00000000" w:rsidDel="00000000">
              <w:rPr>
                <w:b w:val="1"/>
                <w:rtl w:val="0"/>
              </w:rPr>
              <w:t xml:space="preserve">ir jāsasniedz no kopējā atbalstīto doktorantu skaita</w:t>
            </w:r>
            <w:r w:rsidR="00000000" w:rsidRPr="00000000" w:rsidDel="00000000">
              <w:rPr>
                <w:rtl w:val="0"/>
              </w:rPr>
              <w:t xml:space="preserve">, neizvirzot prasības attiecībā uz šo rādītāju vērtības sasniegšanu arī atsevišķi papildu atbalstīto sešu kiberdrošības doktorantu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Latvijas Universitātes projektā – vismaz 97, tai skaitā vismaz 6 pētniecisko darbu veic kiberdrošības un mākslīgā intelekta tehnoloģiju izmantošanas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Rīgas Tehniskās universitātes projektā – vismaz 94, tai skaitā vismaz 6 pētniecisko darbu veic kiberdrošības un mākslīgā intelekta tehnoloģiju izmantošanas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- 12.08.2025.)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nedaudz lielāka brīvība izpildes kritērijos, lai pārējie kritēriji par pēcizpildi par nodarbinātību pēc doktorantūras un obligāto grādu iegūšanu attiektos uz kopējo RTU grantu un doktorantu skaitu, ne specifiski arī šiem 6 kiberdrošības doktorantiem.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Rīgas Tehniskās universitātes projektā – vismaz 94, tai skaitā 6 </w:t>
            </w:r>
            <w:r w:rsidR="00000000" w:rsidRPr="00000000" w:rsidDel="00000000">
              <w:rPr>
                <w:b w:val="1"/>
                <w:rtl w:val="0"/>
              </w:rPr>
              <w:t xml:space="preserve">grantus</w:t>
            </w:r>
            <w:r w:rsidR="00000000" w:rsidRPr="00000000" w:rsidDel="00000000">
              <w:rPr>
                <w:rtl w:val="0"/>
              </w:rPr>
              <w:t xml:space="preserve"> paredzot kiberdrošības un mākslīgā intelekta tehnoloģiju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konsolidētās versijas 22.6. apakšpunkta atbilstību 22. punkta formulējumam, tiek saglabāta esošā redakcija (22. punkts nosaka atbalstīto doktorantu skaitu, nevis piešķirto grantu skaitu), vienlaikus noteikumu projekta anotācija ir papildināta ar attiecīgu skaidrojumu, ka Latvijas Universitātes projektā un Rīgas Tehniskās universitātes projektā sasniedzamais rezultāta rādītājs "Atbalstītajās struktūrās izveidotās pētniecības darbvietas" PLE izteiksmē (LU projektā - vismaz 24,25 PLE un RTU projektā - vismaz 23,5 PLE), kā arī nacionālais rādītājs "Doktorantūras granta saņēmēju īpatsvars, kas ieguvuši zinātnes doktora grādu, – 25 procenti" ir jāsasniedz no kopējā atbalstīto doktorantu skaita, neizvirzot prasības attiecībā uz šo rādītāju vērtības sasniegšanu arī atsevišķi papildu atbalstīto sešu kiberdrošības doktorantu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Rīgas Tehniskās universitātes projektā – vismaz 94, tai skaitā vismaz 6 pētniecisko darbu veic kiberdrošības un mākslīgā intelekta tehnoloģiju izmantošanas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25-TA-1536</w:t>
    </w:r>
    <w:r>
      <w:br/>
    </w:r>
    <w:r w:rsidR="00000000" w:rsidRPr="00000000" w:rsidDel="00000000">
      <w:rPr>
        <w:rtl w:val="0"/>
      </w:rPr>
      <w:t xml:space="preserve">27.08.2025. 08.45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25-TA-1536</w:t>
    </w:r>
    <w:r>
      <w:br/>
    </w:r>
    <w:r w:rsidR="00000000" w:rsidRPr="00000000" w:rsidDel="00000000">
      <w:rPr>
        <w:rtl w:val="0"/>
      </w:rPr>
      <w:t xml:space="preserve">27.08.2025. 08.45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Izziņa_25-TA-1536.docx</dc:title>
</cp:coreProperties>
</file>

<file path=docProps/custom.xml><?xml version="1.0" encoding="utf-8"?>
<Properties xmlns="http://schemas.openxmlformats.org/officeDocument/2006/custom-properties" xmlns:vt="http://schemas.openxmlformats.org/officeDocument/2006/docPropsVTypes"/>
</file>