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D4E28" w:rsidRDefault="004F3EFB">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0D4E28">
        <w:tc>
          <w:tcPr>
            <w:tcW w:w="750" w:type="dxa"/>
            <w:shd w:val="clear" w:color="auto" w:fill="FFFFFF"/>
            <w:noWrap/>
            <w:tcMar>
              <w:top w:w="75" w:type="dxa"/>
              <w:left w:w="75" w:type="dxa"/>
              <w:bottom w:w="75" w:type="dxa"/>
              <w:right w:w="75" w:type="dxa"/>
            </w:tcMar>
            <w:vAlign w:val="center"/>
          </w:tcPr>
          <w:p w:rsidR="000D4E28" w:rsidRDefault="004F3EFB">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rsidR="000D4E28" w:rsidRDefault="004F3EFB">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rsidR="000D4E28" w:rsidRDefault="004F3EFB">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rsidR="000D4E28" w:rsidRDefault="004F3EFB">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rsidR="000D4E28" w:rsidRDefault="004F3EFB">
            <w:pPr>
              <w:jc w:val="center"/>
            </w:pPr>
            <w:r>
              <w:rPr>
                <w:b/>
              </w:rPr>
              <w:t>Pamatojums, ja iebildums / priekšlikums nav ņemts vērā</w:t>
            </w:r>
          </w:p>
        </w:tc>
      </w:tr>
      <w:tr w:rsidR="000D4E28" w:rsidTr="00A43251">
        <w:tc>
          <w:tcPr>
            <w:tcW w:w="750" w:type="dxa"/>
            <w:shd w:val="clear" w:color="auto" w:fill="FFFFFF"/>
            <w:noWrap/>
            <w:tcMar>
              <w:top w:w="75" w:type="dxa"/>
              <w:left w:w="75" w:type="dxa"/>
              <w:bottom w:w="75" w:type="dxa"/>
              <w:right w:w="75" w:type="dxa"/>
            </w:tcMar>
            <w:vAlign w:val="center"/>
          </w:tcPr>
          <w:p w:rsidR="000D4E28" w:rsidRDefault="004F3EFB">
            <w:pPr>
              <w:jc w:val="center"/>
            </w:pPr>
            <w:r>
              <w:t>1.</w:t>
            </w:r>
          </w:p>
        </w:tc>
        <w:tc>
          <w:tcPr>
            <w:tcW w:w="4155" w:type="dxa"/>
            <w:shd w:val="clear" w:color="auto" w:fill="FFFFFF"/>
            <w:noWrap/>
            <w:tcMar>
              <w:top w:w="75" w:type="dxa"/>
              <w:left w:w="75" w:type="dxa"/>
              <w:bottom w:w="75" w:type="dxa"/>
              <w:right w:w="75" w:type="dxa"/>
            </w:tcMar>
            <w:vAlign w:val="center"/>
          </w:tcPr>
          <w:p w:rsidR="000D4E28" w:rsidRDefault="004F3EFB">
            <w:pPr>
              <w:jc w:val="left"/>
            </w:pPr>
            <w:r>
              <w:t>*Fiziska persona</w:t>
            </w:r>
          </w:p>
        </w:tc>
        <w:tc>
          <w:tcPr>
            <w:tcW w:w="4156" w:type="dxa"/>
            <w:shd w:val="clear" w:color="auto" w:fill="FFFFFF"/>
            <w:noWrap/>
            <w:tcMar>
              <w:top w:w="75" w:type="dxa"/>
              <w:left w:w="75" w:type="dxa"/>
              <w:bottom w:w="75" w:type="dxa"/>
              <w:right w:w="75" w:type="dxa"/>
            </w:tcMar>
            <w:vAlign w:val="center"/>
          </w:tcPr>
          <w:p w:rsidR="000D4E28" w:rsidRDefault="004F3EFB">
            <w:pPr>
              <w:jc w:val="left"/>
            </w:pPr>
            <w:r>
              <w:t>Priekšlikums attiecībā uz III kategorijas patvertņu izveidošanu (pielāgojot ēkas vai tās daļas, kas atrodas pagrabstāvā vai pazemes stāvā). Iespējams priekšlikumi (pārdomas) ne tik lielā mērā attiecās uz "Grozījumiem Civilās aizsardzības un katastrofas pārvaldīšanas likumā", taču iet roku rokā, jo skars iespējams jebkuru ēku īpašnieku. Pārdomas vairāk attiecināmas uz 8. panta otrās daļas 8.punktu, kur minēts par minimālām prasībām telpu pielāgošanai. </w:t>
            </w:r>
            <w:r>
              <w:br/>
            </w:r>
            <w:r>
              <w:br/>
              <w:t xml:space="preserve">1) Valsts ugunsdzēsības un glābšanas dienests izstrādāja vadlīnijas par minimālajām tehniskajām prasībām ēkās esošo telpu vai telpu grupu piemērotībai </w:t>
            </w:r>
            <w:r>
              <w:lastRenderedPageBreak/>
              <w:t>patvertnes vai vietas, kur var patverties, izveidošanai (turpmāk tekstā – VUGD vadlīnijas). Vadlīniju izstrāde noteikta Ministru kabineta 2024. gada 9. janvāra sēdē atbalstīto risinājumu civiliedzīvotāju aizsardzības veida – patveršanās patvertnēs – ieviešanai un tā sasniegšanai noteiktajiem uzdevumiem. </w:t>
            </w:r>
            <w:r>
              <w:br/>
              <w:t>               Šīm VUGD vadlīnijām ir rekomendējošs raksturs un tās satur būtiskākos ieteikumus, kas jāņem vērā, atjaunojot vai izveidojot patvertni vai vietu, kur var patverties. Vadlīnijās norādītie ieteikumi piemērojami atbilstoši telpu veidam un iespējām.</w:t>
            </w:r>
            <w:r>
              <w:br/>
              <w:t xml:space="preserve">               Saskaņā ar Dzīvokļa īpašuma likuma[1] 4.panta pirmās daļas 1.punktu, pagrabtelpas ietilpst kopīpašumā esošajā daļā. Savukārt, saskaņā ar minētā likuma 15.2 panta pirmās daļas 2.punktu, dzīvokļu īpašnieku kopības manta ir arī dzīvokļu īpašnieku veiktās iemaksas uzkrājumu fondā. Tikai dzīvokļu īpašnieku kopības </w:t>
            </w:r>
            <w:r>
              <w:lastRenderedPageBreak/>
              <w:t>kompetencē ir izlemt ikvienu jautājumu, kas attiecas uz kopīpašumā esošo daļu.</w:t>
            </w:r>
            <w:r>
              <w:br/>
              <w:t>                Minimālo tehnisko prasību nodrošināšanai lielākoties būs nepieciešama dzīvokļu īpašnieku kopīgā lemšana. Ņemot vērā to, ka dzīvojamas ēkas pārsvarā ir dzīvokļu īpašnieku kopības manta un visus lēmumus, kas attiecās uz dzīvokļu īpašnieku kopmantu un uzkrājumiem – būs jālemj un jāpieņem ar balsošanu.</w:t>
            </w:r>
            <w:r>
              <w:br/>
              <w:t xml:space="preserve">                Vērtējot VUGD vadlīniju par patvertnēm ietvertos nosacījumus jau šobrīd ir skaidrs, ka process var ieilgt, jo praksē finansiālo jautājumu risināšana dzīvojamās mājās ir ļoti problemātiskā, </w:t>
            </w:r>
            <w:proofErr w:type="spellStart"/>
            <w:r>
              <w:t>stresainā</w:t>
            </w:r>
            <w:proofErr w:type="spellEnd"/>
            <w:r>
              <w:t xml:space="preserve"> un laikietilpīgā (nav noslēpums, ka katras otrās ēkas īpašnieki nevar izlemt jautājumu, piemēram, par jumtu remontu, vai pamatu stiprināšanu </w:t>
            </w:r>
            <w:proofErr w:type="spellStart"/>
            <w:r>
              <w:t>utml</w:t>
            </w:r>
            <w:proofErr w:type="spellEnd"/>
            <w:r>
              <w:t>). Tomēr pamatā stāv kopējie finanšu uzkrājumi, par kuriem nevar tikt lemts vienpersoniski.</w:t>
            </w:r>
            <w:r>
              <w:br/>
            </w:r>
            <w:r>
              <w:lastRenderedPageBreak/>
              <w:t>                 Tādējādi, ņemot vērā to, ka patvertņu izveidošana skar dzīvokļu īpašniekus, būtu ieteicams šo svarīgo jautājumu risināšanu iestrādāt arī Dzīvokļa īpašuma likumā. </w:t>
            </w:r>
            <w:r>
              <w:br/>
              <w:t>[1] Dzīvokļa īpašuma likums. Latvijas Republikas likums. Latvijas Vēstnesis, 183, 17.11.2010. Pieejams: https://likumi.lv/ta/id/221382</w:t>
            </w:r>
            <w:r>
              <w:br/>
            </w:r>
            <w:r>
              <w:br/>
              <w:t xml:space="preserve">2) VUGD vadlīnijās 1.2.punktā minēts, ka piemērotākās ēkas patvertnēm ir tās, kuras ir uzbūvētas no dzelzsbetona, blokiem vai ķieģeļiem. Taču no minētā teksta nav skaidrs, vai dotajā gadījumā runa iet tikai par ēkas pamatiem, vai tomēr jāņem vērā arī sienu un pārsegumu būvniecības materiālu. Ņemot vērā minēto, nepieciešams veikt VUGD vadlīniju 1.2.punkta precizējumu, norādot konkrēti uz kuru ēkas daļu minētas prasības attiecās – tikai uz pamatiem, vai uz visu ēku kopumā. No minētā ir atkarīgs, vai </w:t>
            </w:r>
            <w:r>
              <w:lastRenderedPageBreak/>
              <w:t>ēkas īpašnieki var jau šobrīd izvērtēt - vai viņu īpašums ir piemērots patvertnes izveidošanai vai tomēr būs jāplāno citi risinājumi (evakuācija).</w:t>
            </w:r>
            <w:r>
              <w:br/>
              <w:t>              Kā piemēru izmantošu Rīgas mikrorajona "</w:t>
            </w:r>
            <w:proofErr w:type="spellStart"/>
            <w:r>
              <w:t>Pētersala</w:t>
            </w:r>
            <w:proofErr w:type="spellEnd"/>
            <w:r>
              <w:t xml:space="preserve">" esošā dzīvojama fonda </w:t>
            </w:r>
            <w:proofErr w:type="spellStart"/>
            <w:r>
              <w:t>izvērtējumu</w:t>
            </w:r>
            <w:proofErr w:type="spellEnd"/>
            <w:r>
              <w:t xml:space="preserve"> (veikts mācību nolūkos):</w:t>
            </w:r>
            <w:r>
              <w:br/>
              <w:t>1. Mikrorajons “</w:t>
            </w:r>
            <w:proofErr w:type="spellStart"/>
            <w:r>
              <w:t>Pētersala</w:t>
            </w:r>
            <w:proofErr w:type="spellEnd"/>
            <w:r>
              <w:t xml:space="preserve">” ir daļa no </w:t>
            </w:r>
            <w:proofErr w:type="spellStart"/>
            <w:r>
              <w:t>Pētersala-Andrejsala</w:t>
            </w:r>
            <w:proofErr w:type="spellEnd"/>
            <w:r>
              <w:t xml:space="preserve"> atrodas uz ziemeļu pusi no Rīgas vēsturiskā centra (ietilpst Rīgas Ziemeļu rajona apkaimē[1]. Apskatot senāko Rīgas apkaimju kartogrāfisko materiālu var secināt, ka viduslaikos šajā teritorijā atradās ganības un </w:t>
            </w:r>
            <w:proofErr w:type="spellStart"/>
            <w:r>
              <w:t>namnieku</w:t>
            </w:r>
            <w:proofErr w:type="spellEnd"/>
            <w:r>
              <w:t xml:space="preserve"> dārzi[2]. Tāpat, no kartogrāfiska materiālā izriet, ka </w:t>
            </w:r>
            <w:proofErr w:type="spellStart"/>
            <w:r>
              <w:t>Pētersalas</w:t>
            </w:r>
            <w:proofErr w:type="spellEnd"/>
            <w:r>
              <w:t xml:space="preserve"> apkaime bija ļoti bagāta ar upes attekam, kuras laika gaitā tika aizbērtas [3,4].</w:t>
            </w:r>
            <w:r>
              <w:br/>
              <w:t>2. Vērtējot Rīgas mikrorajona “</w:t>
            </w:r>
            <w:proofErr w:type="spellStart"/>
            <w:r>
              <w:t>Pētersala</w:t>
            </w:r>
            <w:proofErr w:type="spellEnd"/>
            <w:r>
              <w:t xml:space="preserve">” dzīvojamo māju pagrabstāvu pielāgošanas iespēju patvertņu izveidošanai sākotnēji tika izvērtēts, vai ēkas atrašanas </w:t>
            </w:r>
            <w:r>
              <w:lastRenderedPageBreak/>
              <w:t>vieta neatrodas gruntsūdens tuvumā. Saskaņā ar Latvijas valsts meži ģeotelpisko informāciju [5], gruntsūdens līmenis mikrorajonā ir ļoti augsts. Līdz ar to patvertņu izveidošanai derīgas tikai ēkas, kas atrodas augstāk virs zemes (teritorijā apzīmētā ar balto krāsu). Saskaņā ar VUGD vadlīnijās par minimālajām tehniskajām prasībām ēkās esošo telpu vai telpu grupu piemērotībai patvertnes vai vietas, kur var patverties, izveidošanai, minēto - potenciālajā patvertnē nedrīkst iekļūt gruntsūdeņi, virszemes ūdeņi, tehnoloģiskie ūdeņi vai notekūdeņi (pēc ārējām pazīmēm nav novērojamas applūšanas pēdas).</w:t>
            </w:r>
            <w:r>
              <w:br/>
              <w:t xml:space="preserve">3. Saskaņā ar kartes datiem [5] tika atlasītas 45 ēkas, un balstoties uz www.kadastrs.lv[6] noskaidrots, ka 13 ēkām jeb 29% nav pagrabu. Tad, saskaņā ar www.kadastrs.lv esošām ziņām par ēku celtniecībā pielietoto materiālu, noskaidrots, ka pie nosacījuma, ja tiek ņemts vērā ēkas </w:t>
            </w:r>
            <w:r>
              <w:lastRenderedPageBreak/>
              <w:t>pamatu būvmateriāls, konstatēts, ka 32 ēkas potenciāli var būt piemērotākās patvertņu izveidošanai. Taču, ja papildus tiek vērtēts sienu un pārsegumu materiāls, no 32 ēkām par derīgiem patvertnēm paliek tikai 23 ēkas. (ja vērtēt vēl pēc plūdiem atlikušajos 23 pagrabos - skaits būs vēl mazāks, jo šķietami piemērotās ēkās - vismaz dažās ir apsekotas personīgi - konstatēts gruntsūdens, kaut kam balstoties uz kartes datiem [5] ēkās pagrabos tam nevajadzētu būt)</w:t>
            </w:r>
            <w:r>
              <w:br/>
              <w:t>Tādējādi, ļoti svarīgi precizēt vai prasība attiecās uz visu ēku vai tikai uz pamatiem. Jo pie minētiem apstākļiem jau šobrīd skaidrs, ka minētā mikrorajona izdzīvotājiem jau šobrīd jāpadomā par alternatīvām. </w:t>
            </w:r>
            <w:r>
              <w:br/>
              <w:t>Un būtu atbalstāms, lai VUGD savu apsekošanu sāktu tieši no tiem mikrorajoniem, kuri atrodas tuvāk upei - iedzīvotājiem vismaz uzreiz būs skaidrs, ka pagrabs neder, un jādomā, ko darīt.</w:t>
            </w:r>
            <w:r>
              <w:br/>
            </w:r>
            <w:r>
              <w:lastRenderedPageBreak/>
              <w:br/>
              <w:t>Liels paldies par uzmanību! Cerams pārdomas un priekšlikumi būs noderīgi.</w:t>
            </w:r>
            <w:r>
              <w:br/>
            </w:r>
            <w:r>
              <w:br/>
              <w:t>[1] Apkaimes vēsturiskais apraksts. Pieejams: https://apkaimes.lv/petersala-andrejsala/vesture/</w:t>
            </w:r>
            <w:r>
              <w:br/>
              <w:t>[2]Administratīvi teritoriālais sadalījums. Pieejams: https://apkaimes.lv/karte/ </w:t>
            </w:r>
            <w:r>
              <w:br/>
              <w:t xml:space="preserve">[3] </w:t>
            </w:r>
            <w:proofErr w:type="spellStart"/>
            <w:r>
              <w:t>Pētersala-Andrejsala</w:t>
            </w:r>
            <w:proofErr w:type="spellEnd"/>
            <w:r>
              <w:t>. Pieejams: Pieejams: https://lv.wikipedia.org/wiki/P%C4%93tersala-Andrejsala</w:t>
            </w:r>
            <w:r>
              <w:br/>
              <w:t>[4] Guberņas pilsēta Rīga (1884. gads). Autors: S. Kleins (1885). Avots: RVKM. Pieejams: https://www.rigaportcity.lv/storage/files/andrejsala-laika-griezos1.pdf</w:t>
            </w:r>
            <w:r>
              <w:br/>
              <w:t>[5] Latvijas valsts meži ģeotelpisko informācija. Gruntsūdens 10 ha. Pieejams: https://www.lvmgeo.lv/kartes</w:t>
            </w:r>
            <w:r>
              <w:br/>
              <w:t>[6]  Nekustamā īpašuma valsts kadastra informācijas sistēma. Pieejams: https://www.kadastrs.lv/</w:t>
            </w:r>
            <w:r>
              <w:br/>
            </w:r>
            <w:r>
              <w:lastRenderedPageBreak/>
              <w:br/>
              <w:t xml:space="preserve">Analizē tika izmantoti dati par būvēm ar </w:t>
            </w:r>
            <w:proofErr w:type="spellStart"/>
            <w:r>
              <w:t>sejokošiem</w:t>
            </w:r>
            <w:proofErr w:type="spellEnd"/>
            <w:r>
              <w:t xml:space="preserve"> kadastra numuriem:</w:t>
            </w:r>
            <w:r>
              <w:br/>
              <w:t>1) 01000120099004</w:t>
            </w:r>
            <w:r>
              <w:br/>
              <w:t>2) 01000120099002</w:t>
            </w:r>
            <w:r>
              <w:br/>
              <w:t>3) 01000120099003</w:t>
            </w:r>
            <w:r>
              <w:br/>
              <w:t>4) 01000120099005</w:t>
            </w:r>
            <w:r>
              <w:br/>
              <w:t>5) 01000120099007</w:t>
            </w:r>
            <w:r>
              <w:br/>
              <w:t>6) 01000120099008</w:t>
            </w:r>
            <w:r>
              <w:br/>
              <w:t>7) 01000120099009</w:t>
            </w:r>
            <w:r>
              <w:br/>
              <w:t>8) 01000120099033</w:t>
            </w:r>
            <w:r>
              <w:br/>
              <w:t>9) 01000120099034</w:t>
            </w:r>
            <w:r>
              <w:br/>
              <w:t>10) 01000122009001</w:t>
            </w:r>
            <w:r>
              <w:br/>
              <w:t>11) 01000120007001</w:t>
            </w:r>
            <w:r>
              <w:br/>
              <w:t>12) 01000120096005</w:t>
            </w:r>
            <w:r>
              <w:br/>
              <w:t>13) 01000120096006</w:t>
            </w:r>
            <w:r>
              <w:br/>
              <w:t>14) 01000120096001</w:t>
            </w:r>
            <w:r>
              <w:br/>
              <w:t>15) 01000122043001</w:t>
            </w:r>
            <w:r>
              <w:br/>
              <w:t>16) 01000120010001</w:t>
            </w:r>
            <w:r>
              <w:br/>
              <w:t>17) 01000120210002</w:t>
            </w:r>
            <w:r>
              <w:br/>
              <w:t>18) 01000120217010</w:t>
            </w:r>
            <w:r>
              <w:br/>
              <w:t>19) 01000120031001</w:t>
            </w:r>
            <w:r>
              <w:br/>
              <w:t>20) 01000120032001</w:t>
            </w:r>
            <w:r>
              <w:br/>
              <w:t>21) 01000120208001</w:t>
            </w:r>
            <w:r>
              <w:br/>
              <w:t>22) 01000120033001</w:t>
            </w:r>
            <w:r>
              <w:br/>
              <w:t>23) 01000120014002</w:t>
            </w:r>
            <w:r>
              <w:br/>
              <w:t>24) 01000120019001</w:t>
            </w:r>
            <w:r>
              <w:br/>
            </w:r>
            <w:r>
              <w:lastRenderedPageBreak/>
              <w:t>25) 01000120149001</w:t>
            </w:r>
            <w:r>
              <w:br/>
              <w:t>26) 01000120090001</w:t>
            </w:r>
            <w:r>
              <w:br/>
              <w:t>27) 01000120074001</w:t>
            </w:r>
            <w:r>
              <w:br/>
              <w:t>28) 01000120036001</w:t>
            </w:r>
            <w:r>
              <w:br/>
              <w:t>29) 01000120071002</w:t>
            </w:r>
            <w:r>
              <w:br/>
              <w:t>30) 01000120071001</w:t>
            </w:r>
            <w:r>
              <w:br/>
              <w:t>31) 01000120052001</w:t>
            </w:r>
            <w:r>
              <w:br/>
              <w:t>32) 01000120049001</w:t>
            </w:r>
            <w:r>
              <w:br/>
              <w:t>33) 01000112018003</w:t>
            </w:r>
            <w:r>
              <w:br/>
              <w:t>34) 01000120056018</w:t>
            </w:r>
            <w:r>
              <w:br/>
              <w:t>35) 01000120056007</w:t>
            </w:r>
            <w:r>
              <w:br/>
              <w:t>36) 01000120056006</w:t>
            </w:r>
            <w:r>
              <w:br/>
              <w:t>37) 01000120056004</w:t>
            </w:r>
            <w:r>
              <w:br/>
              <w:t>38) 01000120056003</w:t>
            </w:r>
            <w:r>
              <w:br/>
              <w:t>39) 01000120056019</w:t>
            </w:r>
            <w:r>
              <w:br/>
              <w:t>40) 01000120056020</w:t>
            </w:r>
            <w:r>
              <w:br/>
              <w:t>41)01000120056023</w:t>
            </w:r>
            <w:r>
              <w:br/>
              <w:t>42) 01000120060002</w:t>
            </w:r>
            <w:r>
              <w:br/>
              <w:t>43) 01000120039001</w:t>
            </w:r>
            <w:r>
              <w:br/>
              <w:t>44) 01000120060003</w:t>
            </w:r>
            <w:r>
              <w:br/>
              <w:t>45) 01000120060004</w:t>
            </w:r>
            <w:r>
              <w:br/>
            </w:r>
            <w:r>
              <w:br/>
            </w:r>
            <w:r>
              <w:br/>
            </w:r>
          </w:p>
        </w:tc>
        <w:tc>
          <w:tcPr>
            <w:tcW w:w="1350" w:type="dxa"/>
            <w:shd w:val="clear" w:color="auto" w:fill="FFFFFF"/>
            <w:noWrap/>
            <w:tcMar>
              <w:top w:w="75" w:type="dxa"/>
              <w:left w:w="75" w:type="dxa"/>
              <w:bottom w:w="75" w:type="dxa"/>
              <w:right w:w="75" w:type="dxa"/>
            </w:tcMar>
          </w:tcPr>
          <w:p w:rsidR="000D4E28" w:rsidRDefault="007101CD" w:rsidP="007101CD">
            <w:pPr>
              <w:jc w:val="center"/>
            </w:pPr>
            <w:r>
              <w:lastRenderedPageBreak/>
              <w:t>Nav ņemts vērā</w:t>
            </w:r>
          </w:p>
        </w:tc>
        <w:tc>
          <w:tcPr>
            <w:tcW w:w="4156" w:type="dxa"/>
            <w:shd w:val="clear" w:color="auto" w:fill="FFFFFF"/>
            <w:noWrap/>
            <w:tcMar>
              <w:top w:w="75" w:type="dxa"/>
              <w:left w:w="75" w:type="dxa"/>
              <w:bottom w:w="75" w:type="dxa"/>
              <w:right w:w="75" w:type="dxa"/>
            </w:tcMar>
          </w:tcPr>
          <w:p w:rsidR="000D4E28" w:rsidRDefault="00A43251" w:rsidP="00A43251">
            <w:pPr>
              <w:jc w:val="left"/>
            </w:pPr>
            <w:r>
              <w:t xml:space="preserve">Priekšlikums tiešā veidā neattiecas uz likumprojektu (tas arī norādīts sniegtajā viedoklī), jo tajā norādīts uz nepieciešamību veikt grozījumus </w:t>
            </w:r>
            <w:r w:rsidRPr="00A43251">
              <w:t>Dzīvokļa īpašuma likumā</w:t>
            </w:r>
            <w:r>
              <w:t>, V</w:t>
            </w:r>
            <w:r w:rsidRPr="00A43251">
              <w:t>adlīnij</w:t>
            </w:r>
            <w:r>
              <w:t>u</w:t>
            </w:r>
            <w:r w:rsidRPr="00A43251">
              <w:t xml:space="preserve"> par minimālajām tehniskajām prasībām ēkās esošo telpu vai telpu grupu piemērotībai patvertnes vai vietas, kur var patverties, izveidošanai</w:t>
            </w:r>
            <w:r>
              <w:t xml:space="preserve"> piemērošanu un ēku apsekošanu.</w:t>
            </w:r>
            <w:bookmarkStart w:id="0" w:name="_GoBack"/>
            <w:bookmarkEnd w:id="0"/>
          </w:p>
        </w:tc>
      </w:tr>
    </w:tbl>
    <w:p w:rsidR="00934119" w:rsidRDefault="00934119"/>
    <w:sectPr w:rsidR="00934119">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119" w:rsidRDefault="004F3EFB">
      <w:r>
        <w:separator/>
      </w:r>
    </w:p>
  </w:endnote>
  <w:endnote w:type="continuationSeparator" w:id="0">
    <w:p w:rsidR="00934119" w:rsidRDefault="004F3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E28" w:rsidRDefault="004F3EFB">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119" w:rsidRDefault="004F3EF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119" w:rsidRDefault="004F3EFB">
      <w:r>
        <w:separator/>
      </w:r>
    </w:p>
  </w:footnote>
  <w:footnote w:type="continuationSeparator" w:id="0">
    <w:p w:rsidR="00934119" w:rsidRDefault="004F3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E28" w:rsidRDefault="004F3EFB">
    <w:pPr>
      <w:pStyle w:val="Header"/>
      <w:contextualSpacing w:val="0"/>
    </w:pPr>
    <w:r>
      <w:t>Viedokļu pārskats 24-TA-287</w:t>
    </w:r>
    <w:r>
      <w:br/>
      <w:t>Izdrukāts 14.06.2024. 10.40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E28" w:rsidRDefault="004F3EFB">
    <w:pPr>
      <w:pStyle w:val="Header"/>
      <w:contextualSpacing w:val="0"/>
    </w:pPr>
    <w:r>
      <w:t>Viedokļu pārskats 24-TA-287</w:t>
    </w:r>
    <w:r>
      <w:br/>
      <w:t>Izdrukāts 14.06.2024. 10.40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E28"/>
    <w:rsid w:val="000D4E28"/>
    <w:rsid w:val="004F3EFB"/>
    <w:rsid w:val="007101CD"/>
    <w:rsid w:val="00934119"/>
    <w:rsid w:val="00A43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4FCF"/>
  <w15:docId w15:val="{9880B89B-11EA-42ED-ACE6-5A412A98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5095</Words>
  <Characters>2905</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viedoklu_parskats_24-TA-287.docx</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viedoklu_parskats_24-TA-287.docx</dc:title>
  <dc:creator>Maigurs Ludbāržs</dc:creator>
  <cp:lastModifiedBy>Maigurs Ludbāržs</cp:lastModifiedBy>
  <cp:revision>3</cp:revision>
  <dcterms:created xsi:type="dcterms:W3CDTF">2024-06-14T07:54:00Z</dcterms:created>
  <dcterms:modified xsi:type="dcterms:W3CDTF">2024-06-14T08:13:00Z</dcterms:modified>
</cp:coreProperties>
</file>