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24-TA-1531: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1999. gada 5. janvāra noteikumos Nr. 7 "Infekcijas slimību reģistrācijas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(30.11.2023.)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veiktas izmaiņas informācijas sniegšanas veidam un apjomam, lūdzu veikt tiesību aktā iekļauto informācijas sniegšanas pienākumu izmaiņu 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administratīvo izmaksu vērtējums un monetārs novērtējums ir veicams saskaņā ar Ministru kabineta 2021. gada 7. septembra noteikumu Nr. 617 “Tiesību akta projekta sākotnējās ietekmes izvērtēšanas kārtība” (turpmāk - noteikumi Nr. 617) 15. un 16.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noteikumu Nr. 617 18.2 apakšpunktā ir noteikts, ka  administratīvo izmaksu un atbilstības izmaksu aprēķina rezultātu iekļauj anotācijā gan izmaksu pieauguma, gan samazinājuma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sniedzamā informācija ir sagatavojama un sniedzama (sagatavošanai nepieciešamie resursi, nosūtīšanas veids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sadaļa papildināta, norādot, ka informācija, kuru ārstniecības iestāde par konstatēto inficēšanās gadījumu sniedz SPKC, noteikta Ministru kabineta 2006.gada 4.aprīļa noteikumu Nr.265 "Medicīnisko dokumentu lietvedības kārtība" 24. pielikumā "Steidzamais paziņojums par infekcijas slimību, infekcijas slimības izraisītāja konstatēšanu, rezistentu mikroorganismu izdalīšanu un vakcinācijas izraisītu komplikāciju (blakusparādību) (veidlapa Nr.058/u)". Sniedzamās informācijas apjoms un informācijas sniegšanas gadījumu skaits nemainās, mainoties informācijas sniegšanas veidam. Informācijas iesniegšanas veida izvēle ir ārstniecības iestādes ziņā, SPKC pieņem ziņojumus jebkurā no MK noteikumos Nr.7 minētajiem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9.</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laboratorijās tiek izmantotas molekulāri bioloģiskās metodes šo patogēnu noteikšanai, pozitīva rezultāta gadījumā jāparedz iespēja, ka pozitīvie DNS paraugi tiks nosūtīti arī padziļinātai testēšanai.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papildināt ar papildus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11. rezistences gēnu, antibakteriālās jutības noteikšanu un tipēšanu, ja izdalītā kultūra ir mikroorganismi, kam konstatētā rezistence sastopama reti vai joprojām nav aprakstīta.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Pēc mikroorganisma izdalīšanas no cilvēka klīniskā parauga vai no jebkura parauga, kas ņemts epidemioloģiskās izmeklēšanas ietvaros, īstenojot epidemioloģiskās uzraudzības programmas, laboratorijas vadītājs vai viņa pilnvarotā persona mikroorganismu kultūru un/vai pozitīvu paraugu uz nukleīnskābēm, un testēšanas pārskatu par veikto izmeklējumu nosūta padziļinātai izmeklēšanai uz laboratoriju, kura pilda nacionālās references laboratorijas funkcijas epidemioloģiskās drošības jomā (turpmāk – references laboratorija). References laboratorija veic saņemto mikroorganismu kultūru un/ vai pozitīvu paraugu uz nukleīnskābēm papildu izmeklējumus, kas ir nepieciešami epidemioloģiskajai uzraudzībai, ja tie saskaņā ar saņemtajiem testēšanas pārskatiem iepriekš nav veikti un ja to veikšanu atbilstoši epidemioloģiskām indikācijām pieprasa Slimību profilakses un kontroles centrs,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 toksīna produkcijas vai tās kodējošo gēnu noteikšanu un tipēšanu, ja izdalītā mikroorganisma kultūra ir Corynebacterium ulcerans un Corynebacterium pseudotuberculosis;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 seroloģiskā tipa, un antibakteriālās jutības noteikšanu un tipēšanu Haemophylus influenzae, Listeria monocytogenes un Streptococcus pneumoniae mikroorganismu kultūrai un/ vai pozitīvam paraugam uz nukleīnskābēm, izdalītai/-ām no likvora vai cita parasti sterila materiāla, un Neisseria meningitidis mikroorganisma kultūrai un/ vai pozitīvam paraugam uz nukleīnskābēm, izdalītai/-ām no likvora, cita parasti sterila materiāla vai purpuriskiem ādas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 seroloģiskā tipa noteikšanu un tipēšanu, ja izdalītā mikroorganisma kultūra un/vai pozitīvs paraugs uz nukleīnskābēm ir Yersinia enterocolitica un Yersinia pseudotuberculosis;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6. toksīna produkcijas vai tās kodējošo gēnu noteikšanu, un antibakteriālās jutības noteikšanu un tipēšanu ja izdalītā mikroorganisma kultūra un/vai pozitīvs paraugs uz nukleīnskābēm ir Corynebacterium diphteriae;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7. antibakteriālās jutības noteikšanu un tipēšanu, ja izdalītā mikroorganisma kultūra un/vai pozitīvs paraugs uz nukleīnskābēm (vai var atstāt tikai mikroorganismu kultūru) ir Neisseria gonorrhoeae;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8. seroloģiskā tipa noteikšanu, antibakteriālās jutības noteikšanu, tipēšanu un uzliesmojuma atšifrēšanu, ja izdalītā mikroorganisma kultūra un/vai pozitīvs paraugs uz nukleīnskābēm ir Salmonella, Shigella, Campylobacter, Šiga toksīnu jeb verotoksīnu producējošā Escherichia coli;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9. rezistences gēnu, un antibakteriālās jutības noteikšanu un tipēšanu ja izdalītā mikroorganisma kultūra ir pret karbapenēmiem rezistenti Enterobacterales kārtas mikroorganismi;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10. rezistences gēnu, un antibakteriālās jutības noteikšanu un tipēšanu ja izdalītā mikroorganisma kultūra ir pret kolistīnu rezistenti Acinetobacter un Pseudomonas ģints mikroorganismi un Enterobacterales kārtas mikroorganismi (izņemot tos, kas iedzimti rezistenti pret kolistīnu).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11. rezistences gēnu, antibakteriālās jutības noteikšanu un tipēšanu, ja izdalītā kultūra ir mikroorganismi, kam konstatētā rezistence sastopama reti vai joprojām nav aprakstīta.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attiecībā uz tipēšanu.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iekļauts papildinājums attiecībā uz nukleīnskābēm, jo šis punkts attiecas uz mikroorganismu kultūrām, bet par nukleīnskābes noteikšanu un ātriem antigēnu testiem ir atsevišķs punkts 9.</w:t>
            </w:r>
            <w:r w:rsidR="00000000" w:rsidRPr="00000000" w:rsidDel="00000000">
              <w:rPr>
                <w:vertAlign w:val="superscript"/>
                <w:rtl w:val="0"/>
              </w:rPr>
              <w:t xml:space="preserve">8</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Izteikt 9.</w:t>
            </w:r>
            <w:r w:rsidR="00000000" w:rsidRPr="00000000" w:rsidDel="00000000">
              <w:rPr>
                <w:vertAlign w:val="superscript"/>
                <w:rtl w:val="0"/>
              </w:rPr>
              <w:t xml:space="preserve">5</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References laboratorija reizi ceturksnī sniedz Slimību profilakses un kontroles centram pārskatu par šo noteikumu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1.,</w:t>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5.</w:t>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6., 9.</w:t>
            </w:r>
            <w:r w:rsidR="00000000" w:rsidRPr="00000000" w:rsidDel="00000000">
              <w:rPr>
                <w:vertAlign w:val="superscript"/>
                <w:rtl w:val="0"/>
              </w:rPr>
              <w:t xml:space="preserve">1</w:t>
            </w:r>
            <w:r w:rsidR="00000000" w:rsidRPr="00000000" w:rsidDel="00000000">
              <w:rPr>
                <w:rtl w:val="0"/>
              </w:rPr>
              <w:t xml:space="preserve">7. un 9.</w:t>
            </w:r>
            <w:r w:rsidR="00000000" w:rsidRPr="00000000" w:rsidDel="00000000">
              <w:rPr>
                <w:vertAlign w:val="superscript"/>
                <w:rtl w:val="0"/>
              </w:rPr>
              <w:t xml:space="preserve">1</w:t>
            </w:r>
            <w:r w:rsidR="00000000" w:rsidRPr="00000000" w:rsidDel="00000000">
              <w:rPr>
                <w:rtl w:val="0"/>
              </w:rPr>
              <w:t xml:space="preserve">8.,  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9.,  9.</w:t>
            </w:r>
            <w:r w:rsidR="00000000" w:rsidRPr="00000000" w:rsidDel="00000000">
              <w:rPr>
                <w:b w:val="1"/>
                <w:vertAlign w:val="superscript"/>
                <w:rtl w:val="0"/>
              </w:rPr>
              <w:t xml:space="preserve">1</w:t>
            </w:r>
            <w:r w:rsidR="00000000" w:rsidRPr="00000000" w:rsidDel="00000000">
              <w:rPr>
                <w:b w:val="1"/>
                <w:rtl w:val="0"/>
              </w:rPr>
              <w:t xml:space="preserve">10., 9.</w:t>
            </w:r>
            <w:r w:rsidR="00000000" w:rsidRPr="00000000" w:rsidDel="00000000">
              <w:rPr>
                <w:b w:val="1"/>
                <w:vertAlign w:val="superscript"/>
                <w:rtl w:val="0"/>
              </w:rPr>
              <w:t xml:space="preserve">1</w:t>
            </w:r>
            <w:r w:rsidR="00000000" w:rsidRPr="00000000" w:rsidDel="00000000">
              <w:rPr>
                <w:b w:val="1"/>
                <w:rtl w:val="0"/>
              </w:rPr>
              <w:t xml:space="preserve">11. </w:t>
            </w:r>
            <w:r w:rsidR="00000000" w:rsidRPr="00000000" w:rsidDel="00000000">
              <w:rPr>
                <w:rtl w:val="0"/>
              </w:rPr>
              <w:t xml:space="preserve">apakšpunktā minēto baktēriju antibakteriālās jutības noteikšanas </w:t>
            </w:r>
            <w:r w:rsidR="00000000" w:rsidRPr="00000000" w:rsidDel="00000000">
              <w:rPr>
                <w:b w:val="1"/>
                <w:rtl w:val="0"/>
              </w:rPr>
              <w:t xml:space="preserve">un tipēšanas</w:t>
            </w:r>
            <w:r w:rsidR="00000000" w:rsidRPr="00000000" w:rsidDel="00000000">
              <w:rPr>
                <w:rtl w:val="0"/>
              </w:rPr>
              <w:t xml:space="preserve">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References laboratorija reizi ceturksnī sniedz Slimību profilakses un kontroles centram pārskatu par šo noteikumu 9.</w:t>
            </w:r>
            <w:r w:rsidR="00000000" w:rsidRPr="00000000" w:rsidDel="00000000">
              <w:rPr>
                <w:vertAlign w:val="superscript"/>
                <w:rtl w:val="0"/>
              </w:rPr>
              <w:t xml:space="preserve">1</w:t>
            </w:r>
            <w:r w:rsidR="00000000" w:rsidRPr="00000000" w:rsidDel="00000000">
              <w:rPr>
                <w:rtl w:val="0"/>
              </w:rPr>
              <w:t xml:space="preserve">1., 9.</w:t>
            </w:r>
            <w:r w:rsidR="00000000" w:rsidRPr="00000000" w:rsidDel="00000000">
              <w:rPr>
                <w:vertAlign w:val="superscript"/>
                <w:rtl w:val="0"/>
              </w:rPr>
              <w:t xml:space="preserve">1</w:t>
            </w:r>
            <w:r w:rsidR="00000000" w:rsidRPr="00000000" w:rsidDel="00000000">
              <w:rPr>
                <w:rtl w:val="0"/>
              </w:rPr>
              <w:t xml:space="preserve">2., 9.</w:t>
            </w:r>
            <w:r w:rsidR="00000000" w:rsidRPr="00000000" w:rsidDel="00000000">
              <w:rPr>
                <w:vertAlign w:val="superscript"/>
                <w:rtl w:val="0"/>
              </w:rPr>
              <w:t xml:space="preserve">1</w:t>
            </w:r>
            <w:r w:rsidR="00000000" w:rsidRPr="00000000" w:rsidDel="00000000">
              <w:rPr>
                <w:rtl w:val="0"/>
              </w:rPr>
              <w:t xml:space="preserve">5., 9.</w:t>
            </w:r>
            <w:r w:rsidR="00000000" w:rsidRPr="00000000" w:rsidDel="00000000">
              <w:rPr>
                <w:vertAlign w:val="superscript"/>
                <w:rtl w:val="0"/>
              </w:rPr>
              <w:t xml:space="preserve">1</w:t>
            </w:r>
            <w:r w:rsidR="00000000" w:rsidRPr="00000000" w:rsidDel="00000000">
              <w:rPr>
                <w:rtl w:val="0"/>
              </w:rPr>
              <w:t xml:space="preserve">6., 9.</w:t>
            </w:r>
            <w:r w:rsidR="00000000" w:rsidRPr="00000000" w:rsidDel="00000000">
              <w:rPr>
                <w:vertAlign w:val="superscript"/>
                <w:rtl w:val="0"/>
              </w:rPr>
              <w:t xml:space="preserve">1</w:t>
            </w:r>
            <w:r w:rsidR="00000000" w:rsidRPr="00000000" w:rsidDel="00000000">
              <w:rPr>
                <w:rtl w:val="0"/>
              </w:rPr>
              <w:t xml:space="preserve">7. un 9.</w:t>
            </w:r>
            <w:r w:rsidR="00000000" w:rsidRPr="00000000" w:rsidDel="00000000">
              <w:rPr>
                <w:vertAlign w:val="superscript"/>
                <w:rtl w:val="0"/>
              </w:rPr>
              <w:t xml:space="preserve">1</w:t>
            </w:r>
            <w:r w:rsidR="00000000" w:rsidRPr="00000000" w:rsidDel="00000000">
              <w:rPr>
                <w:rtl w:val="0"/>
              </w:rPr>
              <w:t xml:space="preserve">8.,  9.</w:t>
            </w:r>
            <w:r w:rsidR="00000000" w:rsidRPr="00000000" w:rsidDel="00000000">
              <w:rPr>
                <w:vertAlign w:val="superscript"/>
                <w:rtl w:val="0"/>
              </w:rPr>
              <w:t xml:space="preserve">1</w:t>
            </w:r>
            <w:r w:rsidR="00000000" w:rsidRPr="00000000" w:rsidDel="00000000">
              <w:rPr>
                <w:rtl w:val="0"/>
              </w:rPr>
              <w:t xml:space="preserve">9.,  9.</w:t>
            </w:r>
            <w:r w:rsidR="00000000" w:rsidRPr="00000000" w:rsidDel="00000000">
              <w:rPr>
                <w:vertAlign w:val="superscript"/>
                <w:rtl w:val="0"/>
              </w:rPr>
              <w:t xml:space="preserve">1</w:t>
            </w:r>
            <w:r w:rsidR="00000000" w:rsidRPr="00000000" w:rsidDel="00000000">
              <w:rPr>
                <w:rtl w:val="0"/>
              </w:rPr>
              <w:t xml:space="preserve">10., 9.</w:t>
            </w:r>
            <w:r w:rsidR="00000000" w:rsidRPr="00000000" w:rsidDel="00000000">
              <w:rPr>
                <w:vertAlign w:val="superscript"/>
                <w:rtl w:val="0"/>
              </w:rPr>
              <w:t xml:space="preserve">1</w:t>
            </w:r>
            <w:r w:rsidR="00000000" w:rsidRPr="00000000" w:rsidDel="00000000">
              <w:rPr>
                <w:rtl w:val="0"/>
              </w:rPr>
              <w:t xml:space="preserve">11. apakšpunktā minēto baktēriju antibakteriālās jutības noteikšanas un tipēšanas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9.</w:t>
            </w:r>
            <w:r w:rsidR="00000000" w:rsidRPr="00000000" w:rsidDel="00000000">
              <w:rPr>
                <w:vertAlign w:val="superscript"/>
                <w:rtl w:val="0"/>
              </w:rPr>
              <w:t xml:space="preserve">8</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Laboratorijas vadītājs vai viņa pilnvarotā persona nodrošina klīniskā parauga piegādi references laboratorijai izraisītāja seroloģiskā tipa, antibakteriālās jutības </w:t>
            </w:r>
            <w:r w:rsidR="00000000" w:rsidRPr="00000000" w:rsidDel="00000000">
              <w:rPr>
                <w:b w:val="1"/>
                <w:rtl w:val="0"/>
              </w:rPr>
              <w:t xml:space="preserve">noteikšanai un  tipēšanai</w:t>
            </w:r>
            <w:r w:rsidR="00000000" w:rsidRPr="00000000" w:rsidDel="00000000">
              <w:rPr>
                <w:rtl w:val="0"/>
              </w:rPr>
              <w:t xml:space="preserve">, ja paraugā konstatē šo noteikumu 9.</w:t>
            </w:r>
            <w:r w:rsidR="00000000" w:rsidRPr="00000000" w:rsidDel="00000000">
              <w:rPr>
                <w:vertAlign w:val="superscript"/>
                <w:rtl w:val="0"/>
              </w:rPr>
              <w:t xml:space="preserve">1</w:t>
            </w:r>
            <w:r w:rsidR="00000000" w:rsidRPr="00000000" w:rsidDel="00000000">
              <w:rPr>
                <w:rtl w:val="0"/>
              </w:rPr>
              <w:t xml:space="preserve">1., 9.</w:t>
            </w:r>
            <w:r w:rsidR="00000000" w:rsidRPr="00000000" w:rsidDel="00000000">
              <w:rPr>
                <w:vertAlign w:val="superscript"/>
                <w:rtl w:val="0"/>
              </w:rPr>
              <w:t xml:space="preserve">1</w:t>
            </w:r>
            <w:r w:rsidR="00000000" w:rsidRPr="00000000" w:rsidDel="00000000">
              <w:rPr>
                <w:rtl w:val="0"/>
              </w:rPr>
              <w:t xml:space="preserve">2., 9.</w:t>
            </w:r>
            <w:r w:rsidR="00000000" w:rsidRPr="00000000" w:rsidDel="00000000">
              <w:rPr>
                <w:vertAlign w:val="superscript"/>
                <w:rtl w:val="0"/>
              </w:rPr>
              <w:t xml:space="preserve">1</w:t>
            </w:r>
            <w:r w:rsidR="00000000" w:rsidRPr="00000000" w:rsidDel="00000000">
              <w:rPr>
                <w:rtl w:val="0"/>
              </w:rPr>
              <w:t xml:space="preserve">5., 9.</w:t>
            </w:r>
            <w:r w:rsidR="00000000" w:rsidRPr="00000000" w:rsidDel="00000000">
              <w:rPr>
                <w:vertAlign w:val="superscript"/>
                <w:rtl w:val="0"/>
              </w:rPr>
              <w:t xml:space="preserve">1</w:t>
            </w:r>
            <w:r w:rsidR="00000000" w:rsidRPr="00000000" w:rsidDel="00000000">
              <w:rPr>
                <w:rtl w:val="0"/>
              </w:rPr>
              <w:t xml:space="preserve">6.,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7.</w:t>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8.,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9.,  9.</w:t>
            </w:r>
            <w:r w:rsidR="00000000" w:rsidRPr="00000000" w:rsidDel="00000000">
              <w:rPr>
                <w:b w:val="1"/>
                <w:vertAlign w:val="superscript"/>
                <w:rtl w:val="0"/>
              </w:rPr>
              <w:t xml:space="preserve">1</w:t>
            </w:r>
            <w:r w:rsidR="00000000" w:rsidRPr="00000000" w:rsidDel="00000000">
              <w:rPr>
                <w:b w:val="1"/>
                <w:rtl w:val="0"/>
              </w:rPr>
              <w:t xml:space="preserve">10., 9.</w:t>
            </w:r>
            <w:r w:rsidR="00000000" w:rsidRPr="00000000" w:rsidDel="00000000">
              <w:rPr>
                <w:b w:val="1"/>
                <w:vertAlign w:val="superscript"/>
                <w:rtl w:val="0"/>
              </w:rPr>
              <w:t xml:space="preserve">1</w:t>
            </w:r>
            <w:r w:rsidR="00000000" w:rsidRPr="00000000" w:rsidDel="00000000">
              <w:rPr>
                <w:b w:val="1"/>
                <w:rtl w:val="0"/>
              </w:rPr>
              <w:t xml:space="preserve">11.</w:t>
            </w:r>
            <w:r w:rsidR="00000000" w:rsidRPr="00000000" w:rsidDel="00000000">
              <w:rPr>
                <w:rtl w:val="0"/>
              </w:rPr>
              <w:t xml:space="preserve"> punktā minēto izraisītāju, kā arī Vibrio cholerae nukleīnskābes klātbūtni vai antigēna klātbūtni, izmantojot ātros testus, un laboratorija neveic attiecīgo izraisītāju izdalīšanu."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Laboratorijas vadītājs vai viņa pilnvarotā persona nodrošina klīniskā parauga piegādi references laboratorijai izraisītāja seroloģiskā tipa, antibakteriālās jutības noteikšanai un  tipēšanai, ja paraugā konstatē šo noteikumu 9.</w:t>
            </w:r>
            <w:r w:rsidR="00000000" w:rsidRPr="00000000" w:rsidDel="00000000">
              <w:rPr>
                <w:vertAlign w:val="superscript"/>
                <w:rtl w:val="0"/>
              </w:rPr>
              <w:t xml:space="preserve">1</w:t>
            </w:r>
            <w:r w:rsidR="00000000" w:rsidRPr="00000000" w:rsidDel="00000000">
              <w:rPr>
                <w:rtl w:val="0"/>
              </w:rPr>
              <w:t xml:space="preserve">1., 9.</w:t>
            </w:r>
            <w:r w:rsidR="00000000" w:rsidRPr="00000000" w:rsidDel="00000000">
              <w:rPr>
                <w:vertAlign w:val="superscript"/>
                <w:rtl w:val="0"/>
              </w:rPr>
              <w:t xml:space="preserve">1</w:t>
            </w:r>
            <w:r w:rsidR="00000000" w:rsidRPr="00000000" w:rsidDel="00000000">
              <w:rPr>
                <w:rtl w:val="0"/>
              </w:rPr>
              <w:t xml:space="preserve">2., 9.</w:t>
            </w:r>
            <w:r w:rsidR="00000000" w:rsidRPr="00000000" w:rsidDel="00000000">
              <w:rPr>
                <w:vertAlign w:val="superscript"/>
                <w:rtl w:val="0"/>
              </w:rPr>
              <w:t xml:space="preserve">1</w:t>
            </w:r>
            <w:r w:rsidR="00000000" w:rsidRPr="00000000" w:rsidDel="00000000">
              <w:rPr>
                <w:rtl w:val="0"/>
              </w:rPr>
              <w:t xml:space="preserve">5., 9.</w:t>
            </w:r>
            <w:r w:rsidR="00000000" w:rsidRPr="00000000" w:rsidDel="00000000">
              <w:rPr>
                <w:vertAlign w:val="superscript"/>
                <w:rtl w:val="0"/>
              </w:rPr>
              <w:t xml:space="preserve">1</w:t>
            </w:r>
            <w:r w:rsidR="00000000" w:rsidRPr="00000000" w:rsidDel="00000000">
              <w:rPr>
                <w:rtl w:val="0"/>
              </w:rPr>
              <w:t xml:space="preserve">6., 9.</w:t>
            </w:r>
            <w:r w:rsidR="00000000" w:rsidRPr="00000000" w:rsidDel="00000000">
              <w:rPr>
                <w:vertAlign w:val="superscript"/>
                <w:rtl w:val="0"/>
              </w:rPr>
              <w:t xml:space="preserve">1</w:t>
            </w:r>
            <w:r w:rsidR="00000000" w:rsidRPr="00000000" w:rsidDel="00000000">
              <w:rPr>
                <w:rtl w:val="0"/>
              </w:rPr>
              <w:t xml:space="preserve">7., 9.</w:t>
            </w:r>
            <w:r w:rsidR="00000000" w:rsidRPr="00000000" w:rsidDel="00000000">
              <w:rPr>
                <w:vertAlign w:val="superscript"/>
                <w:rtl w:val="0"/>
              </w:rPr>
              <w:t xml:space="preserve">1</w:t>
            </w:r>
            <w:r w:rsidR="00000000" w:rsidRPr="00000000" w:rsidDel="00000000">
              <w:rPr>
                <w:rtl w:val="0"/>
              </w:rPr>
              <w:t xml:space="preserve">8., 9.</w:t>
            </w:r>
            <w:r w:rsidR="00000000" w:rsidRPr="00000000" w:rsidDel="00000000">
              <w:rPr>
                <w:vertAlign w:val="superscript"/>
                <w:rtl w:val="0"/>
              </w:rPr>
              <w:t xml:space="preserve">1</w:t>
            </w:r>
            <w:r w:rsidR="00000000" w:rsidRPr="00000000" w:rsidDel="00000000">
              <w:rPr>
                <w:rtl w:val="0"/>
              </w:rPr>
              <w:t xml:space="preserve">9.,  9.</w:t>
            </w:r>
            <w:r w:rsidR="00000000" w:rsidRPr="00000000" w:rsidDel="00000000">
              <w:rPr>
                <w:vertAlign w:val="superscript"/>
                <w:rtl w:val="0"/>
              </w:rPr>
              <w:t xml:space="preserve">1</w:t>
            </w:r>
            <w:r w:rsidR="00000000" w:rsidRPr="00000000" w:rsidDel="00000000">
              <w:rPr>
                <w:rtl w:val="0"/>
              </w:rPr>
              <w:t xml:space="preserve">10., 9.</w:t>
            </w:r>
            <w:r w:rsidR="00000000" w:rsidRPr="00000000" w:rsidDel="00000000">
              <w:rPr>
                <w:vertAlign w:val="superscript"/>
                <w:rtl w:val="0"/>
              </w:rPr>
              <w:t xml:space="preserve">1</w:t>
            </w:r>
            <w:r w:rsidR="00000000" w:rsidRPr="00000000" w:rsidDel="00000000">
              <w:rPr>
                <w:rtl w:val="0"/>
              </w:rPr>
              <w:t xml:space="preserve">11. punktā minēto izraisītāju, kā arī Vibrio cholerae nukleīnskābes klātbūtni vai antigēna klātbūtni, izmantojot ātros testus, un laboratorija neveic attiecīgo izraisītāju izdalīšanu.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Izteikt 3.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pielikuma 10., 11., 12., 14., 15. un 22. punktu jaunā redakcijā (precizētas metodes)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Pret karbapenēmiem rezistentie Enterobacterales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kārtas mikroorganismi - antibakteriālās jutības un rezistences mehānisma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Pret kolistīnu rezistenti Acinetobacter, Pseudomomas un Enterobacterales kārtas mikroorganismi (izņemot tos, kas iedzimti rezistenti pret kolistīnu)</w:t>
            </w:r>
            <w:r w:rsidR="00000000" w:rsidRPr="00000000" w:rsidDel="00000000">
              <w:rPr>
                <w:vertAlign w:val="superscript"/>
                <w:rtl w:val="0"/>
              </w:rPr>
              <w:t xml:space="preserve">6</w:t>
            </w:r>
            <w:r w:rsidR="00000000" w:rsidRPr="00000000" w:rsidDel="00000000">
              <w:rPr>
                <w:rtl w:val="0"/>
              </w:rPr>
              <w:t xml:space="preserve"> - antibakteriālās jutības un rezistences mehānisma noteikšana </w:t>
            </w:r>
            <w:r w:rsidR="00000000" w:rsidRPr="00000000" w:rsidDel="00000000">
              <w:rPr>
                <w:vertAlign w:val="superscript"/>
                <w:rtl w:val="0"/>
              </w:rPr>
              <w:t xml:space="preserve">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Mikroorganismi, kam konstatētā rezistence sastopama reti vai joprojām nav aprakstīta</w:t>
            </w:r>
            <w:r w:rsidR="00000000" w:rsidRPr="00000000" w:rsidDel="00000000">
              <w:rPr>
                <w:vertAlign w:val="superscript"/>
                <w:rtl w:val="0"/>
              </w:rPr>
              <w:t xml:space="preserve">7</w:t>
            </w:r>
            <w:r w:rsidR="00000000" w:rsidRPr="00000000" w:rsidDel="00000000">
              <w:rPr>
                <w:rtl w:val="0"/>
              </w:rPr>
              <w:t xml:space="preserve"> - antibakteriālās jutības un rezistences mehānisma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SARS-coronavirus (smags akūts respirators sindroms (SARS, SARS-coV))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izolēšana un identifikācija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nukleīnskābes noteikšana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antivielu noteikšana</w:t>
            </w:r>
            <w:r w:rsidR="00000000" w:rsidRPr="00000000" w:rsidDel="00000000">
              <w:rPr>
                <w:vertAlign w:val="superscript"/>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Tuvo Austrumu respiratorā sindroma koronavīruss (MERS-coV)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nukleīnskābes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antivielu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Pērtiķu baku vīruss –Poxiviridae dzimtas Orthopoxvirus ģints vīruss (pērtiķu bakas)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nukleīnskābes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sekvencēšana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2021.gada vadlīnijās sākotnējās ietekmes novērtēšanai un novērtējuma ziņojuma sagatavošanai vienotajā tiesību aktu izstrādes un saskaņošanas portālā noteiktajam, aicinām atbilstoši papildināt anotācijas 8.1.13. apakšpunktu, ietverot skaidru un saprotamu informāciju par projektā paredzēto personu datu apstrādi, piemēram, norādot tiesisko pamatojumu personu datu apstrādei (tostarp arī spēkā esošu ārējo normatīvo aktu (-us) un tā normu (-as), no kā ir izsecināma nepieciešamība apstrādāt personu datus projektā paredzētajā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vienotajā digitālajā epidemioloģiskajā sistēmā (turpmāk – EPID sistēma) tiek saņemti, iekļauti un apstrādāti dati, šo datu apjoms, glabāšanas termiņi un piekļuves noteikumi, pacienta aptaujas saturs un iesniegšanas kārtība, kā arī kārtību, kādā iegūst, apstrādā un glabā informāciju no sabiedrības ar ierobežotu atbildību "Latvijas Digitālās veselības centrs" (turpmāk - Latvijas Digitālās veselības centrs) informācijas sistēmām, kuru dati tiek saņemti, iekļauti un apstrādāti EPID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likuma 11.</w:t>
            </w:r>
            <w:r w:rsidR="00000000" w:rsidRPr="00000000" w:rsidDel="00000000">
              <w:rPr>
                <w:vertAlign w:val="superscript"/>
                <w:rtl w:val="0"/>
              </w:rPr>
              <w:t xml:space="preserve">1</w:t>
            </w:r>
            <w:r w:rsidR="00000000" w:rsidRPr="00000000" w:rsidDel="00000000">
              <w:rPr>
                <w:rtl w:val="0"/>
              </w:rPr>
              <w:t xml:space="preserve"> panta septītā daļa, kas ir Ministru kabineta 1999. gada 5. janvāra noteikumu Nr. 7 "Infekcijas slimību reģistrācijas kārtība" (turpmāk – Noteikumi) izdošanas tiesiskajā pamatā, paredz, ka Ministru kabinets nosaka EPID sistēmā iekļaujamo informāciju, tās apjomu, saņemšanas, iekļaušanas un apstrādes kārtību, glabāšanas termiņu un piekļuves noteikumus, pacienta aptaujas iesniegšanas kārtību un saturu, kā arī kārtību, kādā iegūst informāciju </w:t>
            </w:r>
            <w:r w:rsidR="00000000" w:rsidRPr="00000000" w:rsidDel="00000000">
              <w:rPr>
                <w:u w:val="single"/>
                <w:rtl w:val="0"/>
              </w:rPr>
              <w:t xml:space="preserve">no šā panta astotajā daļā minētajām informācijas sistēmām</w:t>
            </w:r>
            <w:r w:rsidR="00000000" w:rsidRPr="00000000" w:rsidDel="00000000">
              <w:rPr>
                <w:rtl w:val="0"/>
              </w:rPr>
              <w:t xml:space="preserve">, to apstrādā un glabā. Savukārt Epidemioloģiskās drošības likuma 11.</w:t>
            </w:r>
            <w:r w:rsidR="00000000" w:rsidRPr="00000000" w:rsidDel="00000000">
              <w:rPr>
                <w:vertAlign w:val="superscript"/>
                <w:rtl w:val="0"/>
              </w:rPr>
              <w:t xml:space="preserve">1</w:t>
            </w:r>
            <w:r w:rsidR="00000000" w:rsidRPr="00000000" w:rsidDel="00000000">
              <w:rPr>
                <w:rtl w:val="0"/>
              </w:rPr>
              <w:t xml:space="preserve"> panta astotajā daļā ir minētas </w:t>
            </w:r>
            <w:r w:rsidR="00000000" w:rsidRPr="00000000" w:rsidDel="00000000">
              <w:rPr>
                <w:u w:val="single"/>
                <w:rtl w:val="0"/>
              </w:rPr>
              <w:t xml:space="preserve">Nacionālā veselības dienesta informācijas sistēmas un Valsts izglītības informācijas sistēma</w:t>
            </w:r>
            <w:r w:rsidR="00000000" w:rsidRPr="00000000" w:rsidDel="00000000">
              <w:rPr>
                <w:rtl w:val="0"/>
              </w:rPr>
              <w:t xml:space="preserve">. Ievērojot to, ka Noteikumi nevar būt pretrunā Epidemioloģiskās drošības likumā noteiktajam, savukārt attiecīgi grozījumi Epidemioloģiskās drošības likumā nav veikti, aicinām Ministru kabineta noteikumu projekta "Grozījumi Ministru kabineta 1999. gada 5. janvāra noteikumos Nr. 7 "Infekcijas slimību reģistrācijas kārtība"" (turpmāk – projekts) 1. punktā ietvertajā Noteikumu 1.3. apakšpunktā vārdus "no sabiedrības ar ierobežotu atbildību "Latvijas Digitālās veselības centrs" (turpmāk – Latvijas Digitālās veselības centrs) informācijas sistēmām" aizstāt ar vārdiem "no Epidemioloģiskās drošības likuma 11.</w:t>
            </w:r>
            <w:r w:rsidR="00000000" w:rsidRPr="00000000" w:rsidDel="00000000">
              <w:rPr>
                <w:vertAlign w:val="superscript"/>
                <w:rtl w:val="0"/>
              </w:rPr>
              <w:t xml:space="preserve">1</w:t>
            </w:r>
            <w:r w:rsidR="00000000" w:rsidRPr="00000000" w:rsidDel="00000000">
              <w:rPr>
                <w:rtl w:val="0"/>
              </w:rPr>
              <w:t xml:space="preserve"> panta astotajā daļā minētajām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likuma 11.</w:t>
            </w:r>
            <w:r w:rsidR="00000000" w:rsidRPr="00000000" w:rsidDel="00000000">
              <w:rPr>
                <w:vertAlign w:val="superscript"/>
                <w:rtl w:val="0"/>
              </w:rPr>
              <w:t xml:space="preserve">1</w:t>
            </w:r>
            <w:r w:rsidR="00000000" w:rsidRPr="00000000" w:rsidDel="00000000">
              <w:rPr>
                <w:rtl w:val="0"/>
              </w:rPr>
              <w:t xml:space="preserve">panta astotajā daļā minētas gan Nacionālā veselības dienesta informācijas sistēmas, gan Valsts izglītības informācijas sistēma, vienlaikus MK noteikumu Nr.7 1.3. apakšpunkts paredz noteikt kārtību, kādā iegūst, apstrādā un glabā informāciju tieši no Nacionālā veselības dienesta informācijas sistēmām, kuru dati tiek saņemti, iekļauti un apstrādāti EPID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 1.3.apakšpunkts sasaucas ar šo pašu noteikumu 23.1.5. apakšpunktu, kas paredz, ka EPID sistēmā tiek iekļauti un apstrādāti dati no vienotās veselības nozares elektroniskās informācijas sistēmas par epidemioloģiski svarīgu informāciju, kura pieejama saskaņā ar noslēgto vienošanos starp Nacionālo veselības dienestu un Slimību profilakses un kontroles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iespējams 1.3. apakšpunktā aizstāt atsauci uz SIA "Latvijas Digitālās veselības centrs" ar vispārēju atsauci uz Epidemioloģiskās drošības likuma 11.</w:t>
            </w:r>
            <w:r w:rsidR="00000000" w:rsidRPr="00000000" w:rsidDel="00000000">
              <w:rPr>
                <w:vertAlign w:val="superscript"/>
                <w:rtl w:val="0"/>
              </w:rPr>
              <w:t xml:space="preserve">1 </w:t>
            </w:r>
            <w:r w:rsidR="00000000" w:rsidRPr="00000000" w:rsidDel="00000000">
              <w:rPr>
                <w:rtl w:val="0"/>
              </w:rPr>
              <w:t xml:space="preserve">panta astotajā daļā minētajām informācijas sistēmām, jo 23.1.5. apakšpunktā ir konkrēta atsauce uz līgumu, kas noslēgts starp divām iestādēm - Nacionālo veselības dienestu, kura funkciju pārņēmēja ir SIA "Latvijas Digitālās veselības centrs", un Slimību profilakses un kontroles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Neatbilstība starp likumu un MK noteikumiem tiks novērsta ar Veselības ministrijas virzītajiem grozījumiem Epidemioloģiskās drošības likumā (24-TA-2334)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vienotajā digitālajā epidemioloģiskajā sistēmā (turpmāk – EPID sistēma) tiek saņemti, iekļauti un apstrādāti dati, šo datu apjoms, glabāšanas termiņi un piekļuves noteikumi, pacienta aptaujas saturs un iesniegšanas kārtība, kā arī kārtību, kādā iegūst, apstrādā un glabā informāciju no sabiedrības ar ierobežotu atbildību "Latvijas Digitālās veselības centrs" (turpmāk - Latvijas Digitālās veselības centrs) informācijas sistēmām, kuru dati tiek saņemti, iekļauti un apstrādāti EPID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18.2.1.</w:t>
            </w:r>
            <w:r w:rsidR="00000000" w:rsidRPr="00000000" w:rsidDel="00000000">
              <w:rPr>
                <w:rtl w:val="0"/>
              </w:rPr>
              <w:t xml:space="preserve"> apakšpunktā</w:t>
            </w:r>
            <w:r w:rsidR="00000000" w:rsidRPr="00000000" w:rsidDel="00000000">
              <w:rPr>
                <w:rtl w:val="0"/>
              </w:rPr>
              <w:t xml:space="preserve"> minēto personu identificējošie dati un šo noteikumu </w:t>
            </w:r>
            <w:r w:rsidR="00000000" w:rsidRPr="00000000" w:rsidDel="00000000">
              <w:rPr>
                <w:rtl w:val="0"/>
              </w:rPr>
              <w:t xml:space="preserve">18.2.2.</w:t>
            </w:r>
            <w:r w:rsidR="00000000" w:rsidRPr="00000000" w:rsidDel="00000000">
              <w:rPr>
                <w:rtl w:val="0"/>
              </w:rPr>
              <w:t xml:space="preserve">, </w:t>
            </w:r>
            <w:r w:rsidR="00000000" w:rsidRPr="00000000" w:rsidDel="00000000">
              <w:rPr>
                <w:rtl w:val="0"/>
              </w:rPr>
              <w:t xml:space="preserve">18.2.4.</w:t>
            </w:r>
            <w:r w:rsidR="00000000" w:rsidRPr="00000000" w:rsidDel="00000000">
              <w:rPr>
                <w:rtl w:val="0"/>
              </w:rPr>
              <w:t xml:space="preserve">, </w:t>
            </w:r>
            <w:r w:rsidR="00000000" w:rsidRPr="00000000" w:rsidDel="00000000">
              <w:rPr>
                <w:rtl w:val="0"/>
              </w:rPr>
              <w:t xml:space="preserve">18.2.6.</w:t>
            </w:r>
            <w:r w:rsidR="00000000" w:rsidRPr="00000000" w:rsidDel="00000000">
              <w:rPr>
                <w:rtl w:val="0"/>
              </w:rPr>
              <w:t xml:space="preserve">, </w:t>
            </w:r>
            <w:r w:rsidR="00000000" w:rsidRPr="00000000" w:rsidDel="00000000">
              <w:rPr>
                <w:rtl w:val="0"/>
              </w:rPr>
              <w:t xml:space="preserve">18.2.7.</w:t>
            </w:r>
            <w:r w:rsidR="00000000" w:rsidRPr="00000000" w:rsidDel="00000000">
              <w:rPr>
                <w:rtl w:val="0"/>
              </w:rPr>
              <w:t xml:space="preserve"> un 18.2.8. apakšpunktā norādītie personu identificējošie dati EPID sistēmā tiek uzglabāti ne ilgāk kā 10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skaidri nosakot personas datu glabāšanas termiņu. Norādām, ka šā brīža redakcija "ne ilgāk kā 10 gadus", norāda, ka varētu pastāvēt gadījumi, kad dati varētu tikt dzēsti arī ātrāk. Šajā sakarā lūdzam papildināt projektu ar kritērijiem vai gadījumiem, kad dati tiek dzēsti ātrāk, anotācijā sniedzot plašāku skaidrojumu, kas pamatotu citus datu glabāšanas termiņus. Gadījumā, ja datus plānots vienmēr glabāt 10 gadus, lūdzam precizēt redakciju, svītrojot vārdus "ne ilgāk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18.2.1.</w:t>
            </w:r>
            <w:r w:rsidR="00000000" w:rsidRPr="00000000" w:rsidDel="00000000">
              <w:rPr>
                <w:rtl w:val="0"/>
              </w:rPr>
              <w:t xml:space="preserve"> apakšpunktā</w:t>
            </w:r>
            <w:r w:rsidR="00000000" w:rsidRPr="00000000" w:rsidDel="00000000">
              <w:rPr>
                <w:rtl w:val="0"/>
              </w:rPr>
              <w:t xml:space="preserve"> minēto personu identificējošie dati un šo noteikumu </w:t>
            </w:r>
            <w:r w:rsidR="00000000" w:rsidRPr="00000000" w:rsidDel="00000000">
              <w:rPr>
                <w:rtl w:val="0"/>
              </w:rPr>
              <w:t xml:space="preserve">18.2.2.</w:t>
            </w:r>
            <w:r w:rsidR="00000000" w:rsidRPr="00000000" w:rsidDel="00000000">
              <w:rPr>
                <w:rtl w:val="0"/>
              </w:rPr>
              <w:t xml:space="preserve">, </w:t>
            </w:r>
            <w:r w:rsidR="00000000" w:rsidRPr="00000000" w:rsidDel="00000000">
              <w:rPr>
                <w:rtl w:val="0"/>
              </w:rPr>
              <w:t xml:space="preserve">18.2.4.</w:t>
            </w:r>
            <w:r w:rsidR="00000000" w:rsidRPr="00000000" w:rsidDel="00000000">
              <w:rPr>
                <w:rtl w:val="0"/>
              </w:rPr>
              <w:t xml:space="preserve">, </w:t>
            </w:r>
            <w:r w:rsidR="00000000" w:rsidRPr="00000000" w:rsidDel="00000000">
              <w:rPr>
                <w:rtl w:val="0"/>
              </w:rPr>
              <w:t xml:space="preserve">18.2.6.</w:t>
            </w:r>
            <w:r w:rsidR="00000000" w:rsidRPr="00000000" w:rsidDel="00000000">
              <w:rPr>
                <w:rtl w:val="0"/>
              </w:rPr>
              <w:t xml:space="preserve">, </w:t>
            </w:r>
            <w:r w:rsidR="00000000" w:rsidRPr="00000000" w:rsidDel="00000000">
              <w:rPr>
                <w:rtl w:val="0"/>
              </w:rPr>
              <w:t xml:space="preserve">18.2.7.</w:t>
            </w:r>
            <w:r w:rsidR="00000000" w:rsidRPr="00000000" w:rsidDel="00000000">
              <w:rPr>
                <w:rtl w:val="0"/>
              </w:rPr>
              <w:t xml:space="preserve"> un 18.2.8. apakšpunktā norādītie personu identificējošie dati EPID sistēmā tiek uzglabāti 10 gadus.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 pielikumā ietverto Noteikumu 1. pielikumu, ievērojot projekta 2., 4., 5., 7., 9., 10., 14., 15., 17. punktā ietvertos grozījumus, kas paredz atteikties no atsaukšanās uz Pārtikas un veterinārā dienesta teritoriālo struktūrvienību un Slimību profilakses un kontroles centra attiecīgās reģionālās nodaļas epidemiologu, ņemot vērā to, ka Noteikumiem nav jānosaka iestāžu iekšējā darba organizācija.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24-TA-1531</w:t>
    </w:r>
    <w:r>
      <w:br/>
    </w:r>
    <w:r w:rsidR="00000000" w:rsidRPr="00000000" w:rsidDel="00000000">
      <w:rPr>
        <w:rtl w:val="0"/>
      </w:rPr>
      <w:t xml:space="preserve">25.06.2025. 16.48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24-TA-1531</w:t>
    </w:r>
    <w:r>
      <w:br/>
    </w:r>
    <w:r w:rsidR="00000000" w:rsidRPr="00000000" w:rsidDel="00000000">
      <w:rPr>
        <w:rtl w:val="0"/>
      </w:rPr>
      <w:t xml:space="preserve">25.06.2025. 16.48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Izziņa_24-TA-1531.docx</dc:title>
</cp:coreProperties>
</file>

<file path=docProps/custom.xml><?xml version="1.0" encoding="utf-8"?>
<Properties xmlns="http://schemas.openxmlformats.org/officeDocument/2006/custom-properties" xmlns:vt="http://schemas.openxmlformats.org/officeDocument/2006/docPropsVTypes"/>
</file>