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5D9CC" w14:textId="77777777" w:rsidR="006639DF" w:rsidRPr="006639DF" w:rsidRDefault="006639DF" w:rsidP="006639DF">
      <w:pPr>
        <w:ind w:firstLine="0"/>
      </w:pPr>
      <w:bookmarkStart w:id="0" w:name="_MailOriginal"/>
      <w:proofErr w:type="spellStart"/>
      <w:r w:rsidRPr="006639DF">
        <w:rPr>
          <w:b/>
          <w:bCs/>
        </w:rPr>
        <w:t>From</w:t>
      </w:r>
      <w:proofErr w:type="spellEnd"/>
      <w:r w:rsidRPr="006639DF">
        <w:rPr>
          <w:b/>
          <w:bCs/>
        </w:rPr>
        <w:t>:</w:t>
      </w:r>
      <w:r w:rsidRPr="006639DF">
        <w:t xml:space="preserve"> Inguna Dancīte &lt;inguna.dancite@fm.gov.lv&gt; </w:t>
      </w:r>
      <w:proofErr w:type="spellStart"/>
      <w:r w:rsidRPr="006639DF">
        <w:rPr>
          <w:b/>
          <w:bCs/>
        </w:rPr>
        <w:t>On</w:t>
      </w:r>
      <w:proofErr w:type="spellEnd"/>
      <w:r w:rsidRPr="006639DF">
        <w:rPr>
          <w:b/>
          <w:bCs/>
        </w:rPr>
        <w:t xml:space="preserve"> </w:t>
      </w:r>
      <w:proofErr w:type="spellStart"/>
      <w:r w:rsidRPr="006639DF">
        <w:rPr>
          <w:b/>
          <w:bCs/>
        </w:rPr>
        <w:t>Behalf</w:t>
      </w:r>
      <w:proofErr w:type="spellEnd"/>
      <w:r w:rsidRPr="006639DF">
        <w:rPr>
          <w:b/>
          <w:bCs/>
        </w:rPr>
        <w:t xml:space="preserve"> Of </w:t>
      </w:r>
      <w:r w:rsidRPr="006639DF">
        <w:t>Pasts</w:t>
      </w:r>
      <w:r w:rsidRPr="006639DF">
        <w:br/>
      </w:r>
      <w:proofErr w:type="spellStart"/>
      <w:r w:rsidRPr="006639DF">
        <w:rPr>
          <w:b/>
          <w:bCs/>
        </w:rPr>
        <w:t>Sent</w:t>
      </w:r>
      <w:proofErr w:type="spellEnd"/>
      <w:r w:rsidRPr="006639DF">
        <w:rPr>
          <w:b/>
          <w:bCs/>
        </w:rPr>
        <w:t>:</w:t>
      </w:r>
      <w:r w:rsidRPr="006639DF">
        <w:t xml:space="preserve"> </w:t>
      </w:r>
      <w:proofErr w:type="spellStart"/>
      <w:r w:rsidRPr="006639DF">
        <w:t>Thursday</w:t>
      </w:r>
      <w:proofErr w:type="spellEnd"/>
      <w:r w:rsidRPr="006639DF">
        <w:t>, August 26, 2021 9:36 AM</w:t>
      </w:r>
      <w:r w:rsidRPr="006639DF">
        <w:br/>
      </w:r>
      <w:r w:rsidRPr="006639DF">
        <w:rPr>
          <w:b/>
          <w:bCs/>
        </w:rPr>
        <w:t>To:</w:t>
      </w:r>
      <w:r w:rsidRPr="006639DF">
        <w:t xml:space="preserve"> TM KANCELEJA &lt;pasts@tm.gov.lv&gt;</w:t>
      </w:r>
      <w:r w:rsidRPr="006639DF">
        <w:br/>
      </w:r>
      <w:proofErr w:type="spellStart"/>
      <w:r w:rsidRPr="006639DF">
        <w:rPr>
          <w:b/>
          <w:bCs/>
        </w:rPr>
        <w:t>Cc</w:t>
      </w:r>
      <w:proofErr w:type="spellEnd"/>
      <w:r w:rsidRPr="006639DF">
        <w:rPr>
          <w:b/>
          <w:bCs/>
        </w:rPr>
        <w:t>:</w:t>
      </w:r>
      <w:r w:rsidRPr="006639DF">
        <w:t xml:space="preserve"> Jurijs Jenuševskis &lt;jurijs.jenusevskis@fm.gov.lv&gt;; Kristīne Voiniča &lt;kristine.voinica@fm.gov.lv&gt;; Natalija.Sproge@vid.gov.lv; Inese.Birzniece@vid.gov.lv; Olga Zeile &lt;Olga.Zeile@tm.gov.lv&gt;</w:t>
      </w:r>
      <w:r w:rsidRPr="006639DF">
        <w:br/>
      </w:r>
      <w:proofErr w:type="spellStart"/>
      <w:r w:rsidRPr="006639DF">
        <w:rPr>
          <w:b/>
          <w:bCs/>
        </w:rPr>
        <w:t>Subject</w:t>
      </w:r>
      <w:proofErr w:type="spellEnd"/>
      <w:r w:rsidRPr="006639DF">
        <w:rPr>
          <w:b/>
          <w:bCs/>
        </w:rPr>
        <w:t>:</w:t>
      </w:r>
      <w:r w:rsidRPr="006639DF">
        <w:t xml:space="preserve"> FM atzinums par precizēto TAP VSS-966</w:t>
      </w:r>
    </w:p>
    <w:p w14:paraId="0C612408" w14:textId="77777777" w:rsidR="006639DF" w:rsidRPr="006639DF" w:rsidRDefault="006639DF" w:rsidP="006639DF">
      <w:pPr>
        <w:ind w:firstLine="0"/>
      </w:pPr>
    </w:p>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494"/>
      </w:tblGrid>
      <w:tr w:rsidR="006639DF" w:rsidRPr="006639DF" w14:paraId="02096A15" w14:textId="77777777" w:rsidTr="006639DF">
        <w:trPr>
          <w:tblCellSpacing w:w="0" w:type="dxa"/>
        </w:trPr>
        <w:tc>
          <w:tcPr>
            <w:tcW w:w="0" w:type="auto"/>
            <w:shd w:val="clear" w:color="auto" w:fill="910A19"/>
            <w:tcMar>
              <w:top w:w="105" w:type="dxa"/>
              <w:left w:w="30" w:type="dxa"/>
              <w:bottom w:w="105" w:type="dxa"/>
              <w:right w:w="110" w:type="dxa"/>
            </w:tcMar>
            <w:vAlign w:val="center"/>
            <w:hideMark/>
          </w:tcPr>
          <w:p w14:paraId="05AFEDDF" w14:textId="77777777" w:rsidR="006639DF" w:rsidRPr="006639DF" w:rsidRDefault="006639DF" w:rsidP="006639DF">
            <w:pPr>
              <w:ind w:firstLine="0"/>
            </w:pPr>
          </w:p>
        </w:tc>
        <w:tc>
          <w:tcPr>
            <w:tcW w:w="5000" w:type="pct"/>
            <w:shd w:val="clear" w:color="auto" w:fill="FFEB9C"/>
            <w:tcMar>
              <w:top w:w="105" w:type="dxa"/>
              <w:left w:w="225" w:type="dxa"/>
              <w:bottom w:w="105" w:type="dxa"/>
              <w:right w:w="75" w:type="dxa"/>
            </w:tcMar>
            <w:vAlign w:val="center"/>
            <w:hideMark/>
          </w:tcPr>
          <w:p w14:paraId="494548DF" w14:textId="77777777" w:rsidR="006639DF" w:rsidRPr="006639DF" w:rsidRDefault="006639DF" w:rsidP="006639DF">
            <w:pPr>
              <w:ind w:firstLine="0"/>
            </w:pPr>
            <w:r w:rsidRPr="006639DF">
              <w:rPr>
                <w:b/>
                <w:bCs/>
              </w:rPr>
              <w:t>UZMANĪBU:</w:t>
            </w:r>
            <w:r w:rsidRPr="006639DF">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3E375DA7" w14:textId="77777777" w:rsidR="006639DF" w:rsidRPr="006639DF" w:rsidRDefault="006639DF" w:rsidP="006639DF">
      <w:pPr>
        <w:ind w:firstLine="0"/>
      </w:pPr>
      <w:r w:rsidRPr="006639DF">
        <w:t> </w:t>
      </w:r>
    </w:p>
    <w:p w14:paraId="6D10A815" w14:textId="77777777" w:rsidR="006639DF" w:rsidRPr="006639DF" w:rsidRDefault="006639DF" w:rsidP="006639DF">
      <w:pPr>
        <w:ind w:firstLine="0"/>
      </w:pPr>
      <w:r w:rsidRPr="006639DF">
        <w:t>26.08.2021.  Nr. 10.1-6/7-1/1028</w:t>
      </w:r>
    </w:p>
    <w:p w14:paraId="330D2B5C" w14:textId="77777777" w:rsidR="006639DF" w:rsidRPr="006639DF" w:rsidRDefault="006639DF" w:rsidP="006639DF">
      <w:pPr>
        <w:ind w:firstLine="0"/>
      </w:pPr>
    </w:p>
    <w:p w14:paraId="1B453A79" w14:textId="77777777" w:rsidR="006639DF" w:rsidRPr="006639DF" w:rsidRDefault="006639DF" w:rsidP="006639DF">
      <w:pPr>
        <w:ind w:firstLine="0"/>
      </w:pPr>
      <w:r w:rsidRPr="006639DF">
        <w:t>Labdien,</w:t>
      </w:r>
    </w:p>
    <w:p w14:paraId="49E0E376" w14:textId="77777777" w:rsidR="006639DF" w:rsidRPr="006639DF" w:rsidRDefault="006639DF" w:rsidP="006639DF">
      <w:pPr>
        <w:ind w:firstLine="0"/>
      </w:pPr>
    </w:p>
    <w:p w14:paraId="538305D9" w14:textId="77777777" w:rsidR="006639DF" w:rsidRPr="006639DF" w:rsidRDefault="006639DF" w:rsidP="006639DF">
      <w:pPr>
        <w:ind w:firstLine="0"/>
      </w:pPr>
      <w:r w:rsidRPr="006639DF">
        <w:t>Finanšu ministrija ir izskatījusi Tieslietu ministrijas precizēto likumprojektu "Grozījumi Maksātnespējas likumā" (VSS – 996), tam pievienoto anotāciju un izziņu, un izsakām šādus iebildumus.</w:t>
      </w:r>
    </w:p>
    <w:p w14:paraId="648449D2" w14:textId="77777777" w:rsidR="006639DF" w:rsidRPr="006639DF" w:rsidRDefault="006639DF" w:rsidP="006639DF">
      <w:pPr>
        <w:numPr>
          <w:ilvl w:val="0"/>
          <w:numId w:val="1"/>
        </w:numPr>
      </w:pPr>
      <w:r w:rsidRPr="006639DF">
        <w:t>2021.gada jūlijā Finanšu ministrijas, Tieslietu ministrijas, Valsts ieņēmumu dienesta (turpmāk – VID) un biedrības “Latvijas Maksātnespējas procesa administratoru asociācija” pārstāvji ir kopīgi strādājuši pie minētā likumprojekta 14.panta (likuma 42.panta pirmā daļa) redakcijas. No Finanšu ministrijas rīcībā esošajiem materiāliem ir secināms, ka Tieslietu ministrijai izvērtēšanai tika piedāvātas vairākas minētā panta redakcijas. Finanšu ministrija savu redzējumu konkrētai normai piedāvāja š.g. 30.jūlija e-pastā. Taču, vērtējot 16.augustā saskaņošanai atsūtīto likumprojektu, ir secināms, ka Tieslietu ministrija nav ņēmusi vērā izteiktos iebildumus un paustos (mutiski un rakstveidā) komentārus diskusiju laikā. Līdz ar to uzskatām likumprojekta 14.pantu par nesaskaņotu.</w:t>
      </w:r>
    </w:p>
    <w:p w14:paraId="4210DE06" w14:textId="77777777" w:rsidR="006639DF" w:rsidRPr="006639DF" w:rsidRDefault="006639DF" w:rsidP="006639DF">
      <w:pPr>
        <w:ind w:firstLine="0"/>
      </w:pPr>
      <w:r w:rsidRPr="006639DF">
        <w:t>Ņemot vērā minēto, lūdzam papildināt izziņu ar Finanšu ministrijas 14.jūlija un 23.jūlija starpinstitūciju sanāksmē izteikto iebildumu un 30.jūlija e-pastā norādīto, iekļaujot to nesaskaņotajā daļā.</w:t>
      </w:r>
    </w:p>
    <w:p w14:paraId="1C2252C4" w14:textId="77777777" w:rsidR="006639DF" w:rsidRPr="006639DF" w:rsidRDefault="006639DF" w:rsidP="006639DF">
      <w:pPr>
        <w:numPr>
          <w:ilvl w:val="0"/>
          <w:numId w:val="2"/>
        </w:numPr>
      </w:pPr>
      <w:r w:rsidRPr="006639DF">
        <w:t>Šobrīd saskaņā ar Maksātnespējas likumā noteikto kreditoru prasījumi pret parādnieku iesniedzami administratoram mēneša laikā no dienas, kad maksātnespējas reģistrā izdarīts ieraksts par parādnieka maksātnespējas procesa pasludināšanu.</w:t>
      </w:r>
      <w:r w:rsidRPr="006639DF">
        <w:rPr>
          <w:vertAlign w:val="superscript"/>
        </w:rPr>
        <w:footnoteReference w:customMarkFollows="1" w:id="1"/>
        <w:t>[1]</w:t>
      </w:r>
    </w:p>
    <w:p w14:paraId="6BCDE0B9" w14:textId="77777777" w:rsidR="006639DF" w:rsidRPr="006639DF" w:rsidRDefault="006639DF" w:rsidP="006639DF">
      <w:pPr>
        <w:ind w:firstLine="0"/>
      </w:pPr>
      <w:r w:rsidRPr="006639DF">
        <w:lastRenderedPageBreak/>
        <w:t>Ja kreditors nokavējis prasījumu iesniegšanas mēneša termiņu:</w:t>
      </w:r>
    </w:p>
    <w:p w14:paraId="543309E6" w14:textId="77777777" w:rsidR="006639DF" w:rsidRPr="006639DF" w:rsidRDefault="006639DF" w:rsidP="006639DF">
      <w:pPr>
        <w:ind w:firstLine="0"/>
      </w:pPr>
      <w:r w:rsidRPr="006639DF">
        <w:t>-  viņš savu prasījumu pret parādnieku var iesniegt termiņā, kas nav ilgāks par sešiem mēnešiem no dienas, kad maksātnespējas reģistrā izdarīts ieraksts par parādnieka maksātnespējas procesa pasludināšanu, bet ne vēlāk kā līdz dienai, kad šajā likumā noteiktajā kārtībā sastādīts kreditoru prasījumu apmierināšanas plāns. Pēc šā termiņa iestājas noilgums, līdz ar to kreditors zaudē kreditora statusu un savas prasījuma tiesības pret parādnieku;</w:t>
      </w:r>
      <w:r w:rsidRPr="006639DF">
        <w:rPr>
          <w:vertAlign w:val="superscript"/>
        </w:rPr>
        <w:footnoteReference w:customMarkFollows="1" w:id="2"/>
        <w:t>[2]</w:t>
      </w:r>
    </w:p>
    <w:p w14:paraId="450F9D96" w14:textId="77777777" w:rsidR="006639DF" w:rsidRPr="006639DF" w:rsidRDefault="006639DF" w:rsidP="006639DF">
      <w:pPr>
        <w:ind w:firstLine="0"/>
      </w:pPr>
      <w:r w:rsidRPr="006639DF">
        <w:t>- ja ir iesniedzis prasījumu sešu mēnešu laikā no dienas, kad maksātnespējas reģistrā izdarīts ieraksts par parādnieka maksātnespējas procesa pasludināšanu, bet ne vēlāk kā līdz dienai, kad šajā likumā noteiktajā kārtībā sastādīts kreditoru prasījumu apmierināšanas plāns, tad attiecīgais kreditors iekļaujams kreditoru prasījumu reģistrā, taču šim kreditoram netiek piešķirtas balsstiesības.</w:t>
      </w:r>
      <w:r w:rsidRPr="006639DF">
        <w:rPr>
          <w:vertAlign w:val="superscript"/>
        </w:rPr>
        <w:footnoteReference w:customMarkFollows="1" w:id="3"/>
        <w:t>[3]</w:t>
      </w:r>
    </w:p>
    <w:p w14:paraId="031D65F4" w14:textId="77777777" w:rsidR="006639DF" w:rsidRPr="006639DF" w:rsidRDefault="006639DF" w:rsidP="006639DF">
      <w:pPr>
        <w:ind w:firstLine="0"/>
      </w:pPr>
      <w:r w:rsidRPr="006639DF">
        <w:t>VID sabiedrības labklājības nodrošināšanai veic valsts nodokļu, nodevu un citu valsts noteikto obligāto maksājumu iekasēšanu valsts budžetā un šī attiecīgajā likumā</w:t>
      </w:r>
      <w:r w:rsidRPr="006639DF">
        <w:rPr>
          <w:vertAlign w:val="superscript"/>
        </w:rPr>
        <w:footnoteReference w:customMarkFollows="1" w:id="4"/>
        <w:t>[4]</w:t>
      </w:r>
      <w:r w:rsidRPr="006639DF">
        <w:t xml:space="preserve"> noteiktā uzdevuma izpildei VID ir paredzēti nodokļu nomaksas pareizības kontroles pasākumi, t.sk. </w:t>
      </w:r>
      <w:r w:rsidRPr="006639DF">
        <w:rPr>
          <w:u w:val="single"/>
        </w:rPr>
        <w:t>nodokļu revīzija (audits)</w:t>
      </w:r>
      <w:r w:rsidRPr="006639DF">
        <w:rPr>
          <w:u w:val="single"/>
          <w:vertAlign w:val="superscript"/>
        </w:rPr>
        <w:footnoteReference w:customMarkFollows="1" w:id="5"/>
        <w:t>[5]</w:t>
      </w:r>
      <w:r w:rsidRPr="006639DF">
        <w:rPr>
          <w:u w:val="single"/>
        </w:rPr>
        <w:t>, kurā tiek pārbaudīti parādnieka darījumi, kas veikti līdz dienai, kad pasludināts maksātnespējas process</w:t>
      </w:r>
      <w:r w:rsidRPr="006639DF">
        <w:t>. Rezultātā parādniekam tiek papildus aprēķināti maksājumi budžetā, kas, savukārt, būtu piesakāmi kā kreditoru prasījumi Maksātnespējas likumā noteiktajā kārtībā.</w:t>
      </w:r>
      <w:r w:rsidRPr="006639DF">
        <w:rPr>
          <w:vertAlign w:val="superscript"/>
        </w:rPr>
        <w:footnoteReference w:customMarkFollows="1" w:id="6"/>
        <w:t>[6]</w:t>
      </w:r>
    </w:p>
    <w:p w14:paraId="19DCE8AE" w14:textId="77777777" w:rsidR="006639DF" w:rsidRPr="006639DF" w:rsidRDefault="006639DF" w:rsidP="006639DF">
      <w:pPr>
        <w:ind w:firstLine="0"/>
      </w:pPr>
      <w:r w:rsidRPr="006639DF">
        <w:t>            Minētā administratīvā procesa īpatnības, proti, nodokļu revīzijas (audita) veikšanas termiņu dēļ, VID kā kreditoram ne vienmēr iespējams papildus aprēķinātos maksājumus budžetā savlaicīgi iekļaut kreditora prasījumā, un tādējādi iekļauties Maksātnespējas likumā noteiktajā 6 mēnešu termiņā. Minētais ne tikai negatīvi ietekmē valsts budžeta ieņēmumus, bet arī veido tendenci, ka maksātnespējas procesi atsevišķos gadījumos tiek uzsākti speciāli, lai traucētu nodokļu revīzijas (audita) pabeigšanu normatīvajos aktos nodokļu jomā paredzētajos termiņos, tādējādi izvairoties no nodokļu maksāšanas pienākuma izpildes, kas grauj ne tikai valsts pārvaldes (VID) reputāciju un stimulē nodokļu nemaksāšanas vēlmi godīgo nodokļu maksātāju vidū, bet arī negatīvi ietekmē sociāli mazāk aizsargāta slāņa tiesību nodrošināšanu, kas tiek īstenotas, veicot, piemēram, sociālo pabalstu izmaksāšanu no valsts budžeta.</w:t>
      </w:r>
    </w:p>
    <w:p w14:paraId="4AD7270A" w14:textId="77777777" w:rsidR="006639DF" w:rsidRPr="006639DF" w:rsidRDefault="006639DF" w:rsidP="006639DF">
      <w:pPr>
        <w:ind w:firstLine="0"/>
      </w:pPr>
      <w:r w:rsidRPr="006639DF">
        <w:t>Ievērojot minēto, lūdzam nekavējoties uzsākt dialogu par minētās situācijas risināšanu, t.sk. Maksātnespējas likumu (šo likumprojektu) papildināt ar jaunu pantu, ietverot tajā grozījumu Maksātnespējas likuma 73.pantā šādā redakcijā:</w:t>
      </w:r>
    </w:p>
    <w:p w14:paraId="3B019495" w14:textId="77777777" w:rsidR="006639DF" w:rsidRPr="006639DF" w:rsidRDefault="006639DF" w:rsidP="006639DF">
      <w:pPr>
        <w:ind w:firstLine="0"/>
      </w:pPr>
      <w:r w:rsidRPr="006639DF">
        <w:t>“X. papildināt 73.pantu ar 1.</w:t>
      </w:r>
      <w:r w:rsidRPr="006639DF">
        <w:rPr>
          <w:vertAlign w:val="superscript"/>
        </w:rPr>
        <w:t xml:space="preserve">1 </w:t>
      </w:r>
      <w:r w:rsidRPr="006639DF">
        <w:t>un 2.</w:t>
      </w:r>
      <w:r w:rsidRPr="006639DF">
        <w:rPr>
          <w:vertAlign w:val="superscript"/>
        </w:rPr>
        <w:t>1</w:t>
      </w:r>
      <w:r w:rsidRPr="006639DF">
        <w:t xml:space="preserve"> daļu šādā redakcijā: </w:t>
      </w:r>
    </w:p>
    <w:p w14:paraId="46ADEBD3" w14:textId="77777777" w:rsidR="006639DF" w:rsidRPr="006639DF" w:rsidRDefault="006639DF" w:rsidP="006639DF">
      <w:pPr>
        <w:ind w:firstLine="0"/>
      </w:pPr>
      <w:r w:rsidRPr="006639DF">
        <w:t>“(1</w:t>
      </w:r>
      <w:r w:rsidRPr="006639DF">
        <w:rPr>
          <w:vertAlign w:val="superscript"/>
        </w:rPr>
        <w:t>1</w:t>
      </w:r>
      <w:r w:rsidRPr="006639DF">
        <w:t xml:space="preserve">) Nodokļu administrācija savu prasījumu pret parādnieku var iesniegt termiņā, kas nav ilgāks par divpadsmit mēnešiem no dienas, kad maksātnespējas reģistrā izdarīts ieraksts </w:t>
      </w:r>
      <w:r w:rsidRPr="006639DF">
        <w:lastRenderedPageBreak/>
        <w:t>par parādnieka maksātnespējas procesa pasludināšanu, bet ne vēlāk kā līdz dienai, kad šajā likumā noteiktajā kārtībā sastādīts kreditoru prasījumu apmierināšanas plāns.</w:t>
      </w:r>
    </w:p>
    <w:p w14:paraId="193CD35F" w14:textId="77777777" w:rsidR="006639DF" w:rsidRPr="006639DF" w:rsidRDefault="006639DF" w:rsidP="006639DF">
      <w:pPr>
        <w:ind w:firstLine="0"/>
      </w:pPr>
      <w:r w:rsidRPr="006639DF">
        <w:t>“(2</w:t>
      </w:r>
      <w:r w:rsidRPr="006639DF">
        <w:rPr>
          <w:vertAlign w:val="superscript"/>
        </w:rPr>
        <w:t>1</w:t>
      </w:r>
      <w:r w:rsidRPr="006639DF">
        <w:t>) Ja nodokļu administrācija ir iesniegusi prasījumu divpadsmit mēnešu laikā no dienas, kad maksātnespējas reģistrā izdarīts ieraksts par parādnieka maksātnespējas procesa pasludināšanu, bet ne vēlāk kā līdz dienai, kad šajā likumā noteiktajā kārtībā sastādīts kreditoru prasījumu apmierināšanas plāns, tad nodokļu administrācija ir iekļaujama kreditoru prasījumu reģistrā un tai kā kreditoram tiek piešķirtas balsstiesības.”.</w:t>
      </w:r>
    </w:p>
    <w:p w14:paraId="4D85B58F" w14:textId="77777777" w:rsidR="006639DF" w:rsidRPr="006639DF" w:rsidRDefault="006639DF" w:rsidP="006639DF">
      <w:pPr>
        <w:numPr>
          <w:ilvl w:val="0"/>
          <w:numId w:val="3"/>
        </w:numPr>
      </w:pPr>
      <w:r w:rsidRPr="006639DF">
        <w:t>Likumprojekta 10.pants paredz papildināt Maksātnespējas likumu ar 37.</w:t>
      </w:r>
      <w:r w:rsidRPr="006639DF">
        <w:rPr>
          <w:vertAlign w:val="superscript"/>
        </w:rPr>
        <w:t>1</w:t>
      </w:r>
      <w:r w:rsidRPr="006639DF">
        <w:t xml:space="preserve"> un 37.</w:t>
      </w:r>
      <w:r w:rsidRPr="006639DF">
        <w:rPr>
          <w:vertAlign w:val="superscript"/>
        </w:rPr>
        <w:t>2</w:t>
      </w:r>
      <w:r w:rsidRPr="006639DF">
        <w:t xml:space="preserve"> pantu. </w:t>
      </w:r>
    </w:p>
    <w:p w14:paraId="1D9304D2" w14:textId="77777777" w:rsidR="006639DF" w:rsidRPr="006639DF" w:rsidRDefault="006639DF" w:rsidP="006639DF">
      <w:pPr>
        <w:ind w:firstLine="0"/>
      </w:pPr>
      <w:r w:rsidRPr="006639DF">
        <w:t>              Vēršam uzmanību, ka Finanšu ministrija neatbalsta likumprojekta 10.pantā ietverto Maksātnespējas likuma 37.</w:t>
      </w:r>
      <w:r w:rsidRPr="006639DF">
        <w:rPr>
          <w:vertAlign w:val="superscript"/>
        </w:rPr>
        <w:t>2</w:t>
      </w:r>
      <w:r w:rsidRPr="006639DF">
        <w:t>panta ceturtās daļas redakciju, kas paredz, ka saimnieciskās darbības novērtējuma veicēju izvēlas un izmaksas sedz:</w:t>
      </w:r>
    </w:p>
    <w:p w14:paraId="2C2CA5E9" w14:textId="77777777" w:rsidR="006639DF" w:rsidRPr="006639DF" w:rsidRDefault="006639DF" w:rsidP="006639DF">
      <w:pPr>
        <w:ind w:firstLine="0"/>
      </w:pPr>
      <w:r w:rsidRPr="006639DF">
        <w:t>1) kreditors vai kreditori, kuru iebildumos norādīts uz tiesiskās aizsardzības procesa pasākumu plāna neatbilstību šā likuma 40. panta ceturtās daļas 15. punktam, ja saimnieciskās darbības novērtējumu veic šā panta pirmās daļas 1.punktā noteiktajam mērķim;</w:t>
      </w:r>
    </w:p>
    <w:p w14:paraId="47E5A945" w14:textId="77777777" w:rsidR="006639DF" w:rsidRPr="006639DF" w:rsidRDefault="006639DF" w:rsidP="006639DF">
      <w:pPr>
        <w:ind w:firstLine="0"/>
      </w:pPr>
      <w:r w:rsidRPr="006639DF">
        <w:t>2) parādnieks, ja saimnieciskās darbības novērtējumu veic šā panta pirmās daļas 2. punktā noteiktajam mērķim.</w:t>
      </w:r>
    </w:p>
    <w:p w14:paraId="509B9CCC" w14:textId="77777777" w:rsidR="006639DF" w:rsidRPr="006639DF" w:rsidRDefault="006639DF" w:rsidP="006639DF">
      <w:pPr>
        <w:ind w:firstLine="0"/>
      </w:pPr>
      <w:r w:rsidRPr="006639DF">
        <w:t xml:space="preserve">              Jo no minētās redakcijas izriet, ka TAP pasākumu plāna nesaskaņošanas gadījumā (pamatojoties uz neatbilstību šā likuma 40.panta ceturtās daļas 15.punktam) kreditoram, tajā skaitā arī nodokļu administrācijai, ir tiesības  izvēlēties saimnieciskās darbības novērtējuma veicēju un </w:t>
      </w:r>
      <w:r w:rsidRPr="006639DF">
        <w:rPr>
          <w:u w:val="single"/>
        </w:rPr>
        <w:t>segt tā izmaksas</w:t>
      </w:r>
      <w:r w:rsidRPr="006639DF">
        <w:t xml:space="preserve"> (ar visām no tā izrietošām sekām, kas aprakstītas likumprojekta sākotnējās ietekmes novērtējuma ziņojumā (anotācijā) (skat. 21.-24.lpp.).</w:t>
      </w:r>
    </w:p>
    <w:p w14:paraId="7CDB2B0D" w14:textId="77777777" w:rsidR="006639DF" w:rsidRPr="006639DF" w:rsidRDefault="006639DF" w:rsidP="006639DF">
      <w:pPr>
        <w:ind w:firstLine="0"/>
      </w:pPr>
      <w:r w:rsidRPr="006639DF">
        <w:t>Minētajā tiesību normā paredzētās kreditora tiesības uz doto brīdi ir faktiski nerealizējamas priekš tāda kreditora kā VID, jo (neskatoties uz paredzēto kreditoru vienlīdzības principu) VID ir valsts pārvaldes iestāde, kurai nav izstrādāta (tiesību aktos paredzēta) speciāla procedūra saimnieciskās darbības novērtējuma veicēja izvēlei un izmaksu segšanai, kā arī nav šīm mērķim paredzēti un piešķirti budžeta līdzekļi.</w:t>
      </w:r>
    </w:p>
    <w:p w14:paraId="7F0F95F8" w14:textId="77777777" w:rsidR="006639DF" w:rsidRPr="006639DF" w:rsidRDefault="006639DF" w:rsidP="006639DF">
      <w:pPr>
        <w:ind w:firstLine="0"/>
      </w:pPr>
    </w:p>
    <w:p w14:paraId="13F93BDD" w14:textId="77777777" w:rsidR="006639DF" w:rsidRPr="006639DF" w:rsidRDefault="006639DF" w:rsidP="006639DF">
      <w:pPr>
        <w:numPr>
          <w:ilvl w:val="0"/>
          <w:numId w:val="4"/>
        </w:numPr>
      </w:pPr>
      <w:r w:rsidRPr="006639DF">
        <w:t xml:space="preserve">Vienlaikus tiesiskās noteiktības nodrošināšanai lūdzam precizēt likumprojekta 13.pantā ietverto 41.panta pirmās daļas redakciju (iekļaujot attiecīgu paskaidrojumu likumprojekta anotācijā), jo minētā likumprojekta redakcijā paredzētais izņēmums neatceļ Maksātnespējas likuma normu, atbilstoši kurai bez nodokļu administrācijas piekrišanas nav atļauta  tās kā kreditora prasījuma jebkāda dzēšana vai samazināšana. </w:t>
      </w:r>
    </w:p>
    <w:p w14:paraId="5B7A4EFF" w14:textId="77777777" w:rsidR="006639DF" w:rsidRPr="006639DF" w:rsidRDefault="006639DF" w:rsidP="006639DF">
      <w:pPr>
        <w:ind w:firstLine="0"/>
      </w:pPr>
    </w:p>
    <w:p w14:paraId="7E3571F0" w14:textId="77777777" w:rsidR="006639DF" w:rsidRPr="006639DF" w:rsidRDefault="006639DF" w:rsidP="006639DF">
      <w:pPr>
        <w:ind w:firstLine="0"/>
      </w:pPr>
    </w:p>
    <w:p w14:paraId="6360F434" w14:textId="77777777" w:rsidR="006639DF" w:rsidRPr="006639DF" w:rsidRDefault="006639DF" w:rsidP="006639DF">
      <w:pPr>
        <w:numPr>
          <w:ilvl w:val="0"/>
          <w:numId w:val="4"/>
        </w:numPr>
      </w:pPr>
      <w:r w:rsidRPr="006639DF">
        <w:t>Papildus atsaucoties uz Finanšu ministrijas 2021.gada 4.augusta vēstuli Nr.7-4/18/4368 par likumprojektu "Grozījumi Maksātnespējas likumā" (VSS-996)</w:t>
      </w:r>
      <w:r w:rsidRPr="006639DF">
        <w:rPr>
          <w:i/>
          <w:iCs/>
        </w:rPr>
        <w:t xml:space="preserve">, </w:t>
      </w:r>
      <w:r w:rsidRPr="006639DF">
        <w:t xml:space="preserve">kā arī iepriekšējo komunikāciju starp Tieslietu ministrijas Nozaru politikas departamenta un Finanšu ministrijas Komercdarbības atbalsta kontroles </w:t>
      </w:r>
      <w:r w:rsidRPr="006639DF">
        <w:lastRenderedPageBreak/>
        <w:t>departamenta pārstāvjiem par nepieciešamajiem grozījumiem Tieslietu ministrijas virzītajā likumprojektā “Grozījumi Maksātnespējas likumā” (VSS-996), kā arī vairākkārtējām attālinātām sanāksmēm (pēdējā sanāksme notika 2021. gada 9. aprīlī), kurās tika panākta konceptuāla vienošanās par likumprojekta normu grozījumu nepieciešamību, lai nodrošinātu komercdarbības atbalsta kontroles regulējuma prasību izpildi attiecībā uz nelikumīga (un nesaderīga) komercdarbības atbalsta atgūšanu, tai skaitā īstenojot nepieciešamā viedokļa saņemšanu no Eiropas Komisijas Konkurences ģenerāldirektorāta (DG COMP), izsakām šādus iebildumus:</w:t>
      </w:r>
    </w:p>
    <w:p w14:paraId="19855E03" w14:textId="77777777" w:rsidR="006639DF" w:rsidRPr="006639DF" w:rsidRDefault="006639DF" w:rsidP="006639DF">
      <w:pPr>
        <w:numPr>
          <w:ilvl w:val="1"/>
          <w:numId w:val="5"/>
        </w:numPr>
      </w:pPr>
      <w:r w:rsidRPr="006639DF">
        <w:t xml:space="preserve">Ņemot vērā, ka, īstenojot Komercdarbības atbalsta kontroles likuma (turpmāk – KAKL) IV un V sadaļā noteiktos nelikumīga un/vai nesaderīga atbalsta atgūšanas pasākumus, saskaņā ar Eiropas Komisijas Konkurences ģenerāldirektorāta skaidrojumiem, kas tika pārsūtīti Tieslietu ministrijai ar elektronisku vēstuli 2021. gada 2. jūlijā un Eiropas Savienības tiesas (turpmāk – EST) judikatūru atgūšanas pasākumiem ir jābūt ne tikai tūlītējiem un efektīviem, bet atgūšanu ir arīdzan faktiski jāpanāk (skat. Komisijas paziņojuma par nelikumīga un nesaderīga valsts atbalsta atgūšanu (pieejams: </w:t>
      </w:r>
      <w:hyperlink r:id="rId7" w:history="1">
        <w:r w:rsidRPr="006639DF">
          <w:rPr>
            <w:rStyle w:val="Hipersaite"/>
          </w:rPr>
          <w:t>https://eur-lex.europa.eu/legal-content/LV/TXT/?uri=CELEX%3A52019XC0723%2801%29&amp;qid=1627298776506</w:t>
        </w:r>
      </w:hyperlink>
      <w:r w:rsidRPr="006639DF">
        <w:t>) (turpmāk – Komisijas paziņojums) 29.punktu), ir nepieciešams paredzēt izņēmumu par spriedumu izpildes lietvedības neapturēšanu lietās par piespriesto, bet no parādnieka nepiedzīto summu piedziņu un lietās par saistību izpildīšanu tiesas ceļā Civilprocesa likumā noteiktajā kārtībā. Atbilstoši Komisijas paziņojuma par nelikumīga un nesaderīga valsts atbalsta atgūšanu (turpmāk – Paziņojums) 2.4.1.4.apakšnodaļai (kurā sniegt EST judikatūras atziņu apkopojums), atgūšana nav veicama tikai gadījumā, ja dalībvalsts var pierādīt absolūtu atgūšanas neiespējamību, kas nav saistīta ar dalībvalsts juridiskām, politiskām, praktiskām vai iekšējām grūtībām, piemēram, dalībvalsts nevar atsaukties uz dalībvalstī noteiktiem noilguma termiņiem, uz to, ka saskaņā ar valsts tiesību aktiem tai nav tiesību veikt atgūšanu u.c. (skat. Paziņojuma 51.punktu). Atbilstoši Paziņojuma 53.punktam “pienākums atgūt atbalstu nav arī atkarīgs no saņēmēja ekonomiskā stāvokļa. Uzņēmuma finansiālās grūtības vai pat maksātnespēja nav pierādījums tam, ka atgūšana nav iespējama, izņemot, ja uzņēmums ir likvidēts un nav nekādu atgūstamu aktīvu, [..] un ja saņēmējs ir beidzis pastāvēt bez jebkāda juridiska un saimnieciska tiesību pārņēmēja”.</w:t>
      </w:r>
    </w:p>
    <w:p w14:paraId="2C745AE1" w14:textId="77777777" w:rsidR="006639DF" w:rsidRPr="006639DF" w:rsidRDefault="006639DF" w:rsidP="006639DF">
      <w:pPr>
        <w:ind w:firstLine="0"/>
      </w:pPr>
      <w:r w:rsidRPr="006639DF">
        <w:t>Papildus atbilstoši Paziņojuma 126.punktam “Atgūšanas atlikšana vai maksājumi pa daļām pēc atgūšanas termiņa nozīmētu, ka atgūšanas pienākums netiek īstenots nekavējoties, tāpēc tie nav pieļaujami, pat ja maksimizētu attiecīgās dalībvalsts finansiālo ieguvumu”. Papildus Komisijas paziņojuma 54.punkts paredz, ka “Atgūšanas mērķis nav maksimizēt dalībvalsts ieņēmumus, bet gan atjaunot situāciju, kas iekšējā tirgū pastāvēja pirms atbalsta piešķiršanas. [..].”.</w:t>
      </w:r>
    </w:p>
    <w:p w14:paraId="06CF2FA6" w14:textId="77777777" w:rsidR="006639DF" w:rsidRPr="006639DF" w:rsidRDefault="006639DF" w:rsidP="006639DF">
      <w:pPr>
        <w:ind w:firstLine="0"/>
      </w:pPr>
      <w:r w:rsidRPr="006639DF">
        <w:t xml:space="preserve">Vienlaikus vēlamies vērst Jūsu uzmanību uz spriedumu lietā C-363/16 Komisija/Grieķija, no kura izriet, ka nesaderīga un nelikumīga atbalsta atgūšanu veic nekavējoties un saskaņā ar attiecīgās dalībvalsts tiesību aktos noteiktajām procedūrām, ja tās nodrošina tūlītēju un </w:t>
      </w:r>
      <w:r w:rsidRPr="006639DF">
        <w:lastRenderedPageBreak/>
        <w:t>efektīvu Komisijas lēmuma izpildi. Šajā nolūkā attiecīgās dalībvalstis, neskarot Savienības tiesību aktus, veic visus vajadzīgos pasākumus, kas iespējami to attiecīgajās tiesību sistēmās, tostarp pagaidu pasākumus (35.punkts). Papildus jānorāda, ka gadījumā, kad valsts iestādes nevar atgūt atbalsta summu pilnā apmērā, ar šādu reģistrāciju atgūšanas pienākums tiek izpildīts tikai tad, ja maksātnespējas procesa rezultātā uzņēmums tiek likvidēts, proti, tā darbība tiek galīgi izbeigta, ko var ierosināt valsts iestādes kā akcionāri vai kreditori (36.punkts).</w:t>
      </w:r>
    </w:p>
    <w:p w14:paraId="5563B8D6" w14:textId="77777777" w:rsidR="006639DF" w:rsidRPr="006639DF" w:rsidRDefault="006639DF" w:rsidP="006639DF">
      <w:pPr>
        <w:ind w:firstLine="0"/>
      </w:pPr>
      <w:r w:rsidRPr="006639DF">
        <w:t>No iepriekš minētā ir secināms, ka valsts pienākums ir nodrošināt tūlītēju un efektīvu nelikumīga atbalsta atgūšanu, kā arī ir secināms, ka atgūšanas atlikšana nozīmētu, ka atgūšanas pienākums netiek izpildīts nekavējoties. Turklāt atbilstoši EST judikatūrai atbalsta saņēmēja potenciāls bankrots un likvidācija nevar būt par iemeslu atgūšanas darbību atlikšanai, jo saņēmēja likvidācija ir uzskatāma par vienu no līdzekļiem, kādā novērst nelikumīga (un nesaderīga) atbalsta radīto konkurences kropļojumu.</w:t>
      </w:r>
    </w:p>
    <w:p w14:paraId="6DB6D928" w14:textId="77777777" w:rsidR="006639DF" w:rsidRPr="006639DF" w:rsidRDefault="006639DF" w:rsidP="006639DF">
      <w:pPr>
        <w:ind w:firstLine="0"/>
      </w:pPr>
      <w:r w:rsidRPr="006639DF">
        <w:t>Līdz ar to Maksātnespējas likumā (turpmāk – MNL) 37.pantā būtu iekļaujams izņēmums par moratorija piemērošanu arī  attiecībā uz prasījumiem par nelikumīga un/vai nesaderīga komercdarbības atbalsta atgūšanu. Attiecīgi lūdzam papildināt likumprojekta 9.pantu, kas izdara grozījumus MNL 37. pantā, papildinot tā pirmās daļas 1. punktu pēc vārdiem "</w:t>
      </w:r>
      <w:r w:rsidRPr="006639DF">
        <w:rPr>
          <w:i/>
          <w:iCs/>
        </w:rPr>
        <w:t>noteiktajā kārtībā</w:t>
      </w:r>
      <w:r w:rsidRPr="006639DF">
        <w:t>" ar vārdiem "</w:t>
      </w:r>
      <w:r w:rsidRPr="006639DF">
        <w:rPr>
          <w:i/>
          <w:iCs/>
        </w:rPr>
        <w:t xml:space="preserve">izņemot lietās par darba samaksas piedziņu un citiem darbinieku prasījumiem, kas izriet no darba tiesiskajām attiecībām vai ir ar tām saistīti, </w:t>
      </w:r>
      <w:r w:rsidRPr="006639DF">
        <w:rPr>
          <w:i/>
          <w:iCs/>
          <w:u w:val="single"/>
        </w:rPr>
        <w:t>un lietās par prasījumiem, kas minēti Komercdarbības atbalsta kontroles likuma IV un V nodaļā</w:t>
      </w:r>
      <w:r w:rsidRPr="006639DF">
        <w:t xml:space="preserve"> ".</w:t>
      </w:r>
    </w:p>
    <w:p w14:paraId="1AB5D78F" w14:textId="77777777" w:rsidR="006639DF" w:rsidRPr="006639DF" w:rsidRDefault="006639DF" w:rsidP="006639DF">
      <w:pPr>
        <w:numPr>
          <w:ilvl w:val="1"/>
          <w:numId w:val="5"/>
        </w:numPr>
      </w:pPr>
      <w:r w:rsidRPr="006639DF">
        <w:t> Lai nodrošinātu maksimāli efektīvu nelikumīga un/vai nesaderīga komercdarbības atbalsta atgūšanu saskaņā ar KAKL IV un V nodaļu, kā arī ņemot vērā, ka saskaņā ar EST judikatūru un Komisijas paziņojuma 126.punktu  šajā gadījumā valsts (visplašākajā nozīmē) nav tiesīga samazināt, sadalīt, atlikt tās prasījumu, un ņemot vērā nelikumīga un/vai nesaderīga komercdarbības atbalsta atgūšanas mērķi – novērst radīto konkurences kropļojumu un atgriezt tirgus stāvokli situācijā pirms šī atbalsta sniegšanas – lūdzam papildināt likumprojekta 11.pantu ar grozījumu MNL 38.pantā, to papildinot ar jaunu 4.</w:t>
      </w:r>
      <w:r w:rsidRPr="006639DF">
        <w:rPr>
          <w:vertAlign w:val="superscript"/>
        </w:rPr>
        <w:t>2</w:t>
      </w:r>
      <w:r w:rsidRPr="006639DF">
        <w:t xml:space="preserve"> daļu</w:t>
      </w:r>
      <w:r w:rsidRPr="006639DF">
        <w:rPr>
          <w:b/>
          <w:bCs/>
        </w:rPr>
        <w:t xml:space="preserve"> </w:t>
      </w:r>
      <w:r w:rsidRPr="006639DF">
        <w:t>šādā redakcijā:</w:t>
      </w:r>
    </w:p>
    <w:p w14:paraId="4D1B3E86" w14:textId="77777777" w:rsidR="006639DF" w:rsidRPr="006639DF" w:rsidRDefault="006639DF" w:rsidP="006639DF">
      <w:pPr>
        <w:ind w:firstLine="0"/>
      </w:pPr>
      <w:r w:rsidRPr="006639DF">
        <w:t>“</w:t>
      </w:r>
      <w:r w:rsidRPr="006639DF">
        <w:rPr>
          <w:i/>
          <w:iCs/>
        </w:rPr>
        <w:t>(4</w:t>
      </w:r>
      <w:r w:rsidRPr="006639DF">
        <w:rPr>
          <w:i/>
          <w:iCs/>
          <w:vertAlign w:val="superscript"/>
        </w:rPr>
        <w:t>2</w:t>
      </w:r>
      <w:r w:rsidRPr="006639DF">
        <w:rPr>
          <w:i/>
          <w:iCs/>
        </w:rPr>
        <w:t>) Tiesiskās aizsardzības procesa metodes nav piemērojamas attiecībā uz prasījumiem, kas minēti Komercdarbības atbalsta kontroles likuma IV un V nodaļā.</w:t>
      </w:r>
      <w:r w:rsidRPr="006639DF">
        <w:t>”.</w:t>
      </w:r>
    </w:p>
    <w:p w14:paraId="293A6FA6" w14:textId="77777777" w:rsidR="006639DF" w:rsidRPr="006639DF" w:rsidRDefault="006639DF" w:rsidP="006639DF">
      <w:pPr>
        <w:ind w:firstLine="0"/>
      </w:pPr>
      <w:r w:rsidRPr="006639DF">
        <w:t>Vienlaikus lūdzam skatīt pamatojumu, kas izteikts 5.1. iebildumā.</w:t>
      </w:r>
    </w:p>
    <w:p w14:paraId="41DA0C65" w14:textId="77777777" w:rsidR="006639DF" w:rsidRPr="006639DF" w:rsidRDefault="006639DF" w:rsidP="006639DF">
      <w:pPr>
        <w:ind w:firstLine="0"/>
      </w:pPr>
    </w:p>
    <w:p w14:paraId="651A5768" w14:textId="77777777" w:rsidR="006639DF" w:rsidRPr="006639DF" w:rsidRDefault="006639DF" w:rsidP="006639DF">
      <w:pPr>
        <w:numPr>
          <w:ilvl w:val="1"/>
          <w:numId w:val="5"/>
        </w:numPr>
      </w:pPr>
      <w:r w:rsidRPr="006639DF">
        <w:t>Ņemot vērā, ka nelikumīga un/vai nesaderīga komercdarbības atbalsta atgūšanas gadījumā gan pamatsummas, gan procentu atgūšana kalpo vienam un tam pašam mērķim (novērst radīto konkurences kropļojumu un atgriezt tirgus stāvokli situācijā pirms šī atbalsta sniegšanas), atgūstamā atbalsta pamatsumma un procenti ir jāreģistrē ar vienādu rangu (skat. Komisijas paziņojuma 130.punktu). Līdz ar to lūdzam likumprojektu papildināt ar pantu, nosakot nelikumīgā un/vai nesaderīgā komercdarbības atbalsta pamatparāda un atgūšanas procentu nedalāmību.</w:t>
      </w:r>
    </w:p>
    <w:p w14:paraId="3E980D05" w14:textId="77777777" w:rsidR="006639DF" w:rsidRPr="006639DF" w:rsidRDefault="006639DF" w:rsidP="006639DF">
      <w:pPr>
        <w:ind w:firstLine="0"/>
      </w:pPr>
      <w:r w:rsidRPr="006639DF">
        <w:lastRenderedPageBreak/>
        <w:t>Papildus saskaņā ar 2021. gada 22. jūnija Eiropas Komisijas Konkurences ģenerāldirektorāta skaidrojumiem, kā arī ES Tiesu judikatūrā nostiprinātajām atziņām valsts procedūru piemērošana nedrīkst būt traucēklis efektīvas konkurences atjaunošanai, kavējot Komisijas lēmuma tūlītēju un efektīvu izpildi. Lai sasniegtu šo mērķi, dalībvalstīm ir jāveic visi vajadzīgie pasākumi, lai nodrošinātu šī lēmuma lietderīgo iedarbību (piemēram, aicinām skatīt Komisijas paziņojuma 64.punkta 83.zemsvītras atsaucē minēto Kopienu tiesas 2006. gada 5. oktobra spriedumu lietā C</w:t>
      </w:r>
      <w:r w:rsidRPr="006639DF">
        <w:noBreakHyphen/>
        <w:t>232/05</w:t>
      </w:r>
      <w:r w:rsidRPr="006639DF">
        <w:rPr>
          <w:b/>
          <w:bCs/>
        </w:rPr>
        <w:t xml:space="preserve"> </w:t>
      </w:r>
      <w:r w:rsidRPr="006639DF">
        <w:t xml:space="preserve">Eiropas Kopienu Komisija pret Francijas Republiku (pieejams: </w:t>
      </w:r>
      <w:hyperlink r:id="rId8" w:history="1">
        <w:r w:rsidRPr="006639DF">
          <w:rPr>
            <w:rStyle w:val="Hipersaite"/>
          </w:rPr>
          <w:t>https://eur-lex.europa.eu/legal-content/LV/TXT/?uri=CELEX:62005CJ0232</w:t>
        </w:r>
      </w:hyperlink>
      <w:r w:rsidRPr="006639DF">
        <w:t xml:space="preserve">)). Papildus nepieciešams ievērot Komisijas paziņojuma 130.punktā un tā 135.zemsvītras atsaucē minēto, t.sk., ka komercdarbības atbalsta prasījumu rangs nevar būt zemāks kā parastiem nenodrošinātiem prasījumiem. Vienlaikus vēršam uzmanību, ka, lai arī attiecīgā dalībvalsts var izvēlēties līdzekļus, kā izpildīt savu pienākumu atgūt atbalstu, tai ir pienākums nodrošināt tūlītēju un faktisku nelikumīga atbalsta atgūšanas izpildi atbilstoši efektivitātes un līdzvērtības principam (aicinām skatīt Kopienu tiesas 1990.gada 21.marta spriedumu lietā C-142/87 Lielbritānija pret Beļģiju, jo sevišķi tā 61. – 63.apsvērumu; pieejams: </w:t>
      </w:r>
      <w:hyperlink r:id="rId9" w:history="1">
        <w:r w:rsidRPr="006639DF">
          <w:rPr>
            <w:rStyle w:val="Hipersaite"/>
          </w:rPr>
          <w:t>https://eur-lex.europa.eu/legal-content/EN/TXT/HTML/?uri=CELEX:61987CJ0142&amp;from=EN</w:t>
        </w:r>
      </w:hyperlink>
      <w:r w:rsidRPr="006639DF">
        <w:t xml:space="preserve">). </w:t>
      </w:r>
    </w:p>
    <w:p w14:paraId="6A38434B" w14:textId="77777777" w:rsidR="006639DF" w:rsidRPr="006639DF" w:rsidRDefault="006639DF" w:rsidP="006639DF">
      <w:pPr>
        <w:ind w:firstLine="0"/>
      </w:pPr>
      <w:r w:rsidRPr="006639DF">
        <w:t xml:space="preserve">Līdz ar to, ņemot vērā, ka nelikumīga (un nesaderīga) komercdarbības atbalsta atgūšana ar procentiem tiek veikta par atbalsta saņēmējam piešķirtiem publiskiem līdzekļiem, analoģiski kā tas tiek darīts nodokļu administrācijas (kreditora) nodokļu prasījumu - nenodrošināto prasījumu - gadījumā, kreditora prasījumam par nelikumīga (un nesaderīga) komercdarbības atbalsta atgūšanu ar procentiem jābūt vienā kategorijā ar nodokļu administrācijas (kreditora) nodokļu prasījumiem. </w:t>
      </w:r>
    </w:p>
    <w:p w14:paraId="0B7A8338" w14:textId="77777777" w:rsidR="006639DF" w:rsidRPr="006639DF" w:rsidRDefault="006639DF" w:rsidP="006639DF">
      <w:pPr>
        <w:ind w:firstLine="0"/>
      </w:pPr>
      <w:r w:rsidRPr="006639DF">
        <w:t>Attiecīgi lūdzam papildināt MNL 118.pantu ar jaunu 4.</w:t>
      </w:r>
      <w:r w:rsidRPr="006639DF">
        <w:rPr>
          <w:vertAlign w:val="superscript"/>
        </w:rPr>
        <w:t>1</w:t>
      </w:r>
      <w:r w:rsidRPr="006639DF">
        <w:t xml:space="preserve"> daļu, ietverot nelikumīga un/vai nesaderīga komercdarbības atbalsta atgūšanas kreditora prasījumu MNL noteiktajā segšanas kārtībā šādā redakcijā:</w:t>
      </w:r>
    </w:p>
    <w:p w14:paraId="7608AF31" w14:textId="77777777" w:rsidR="006639DF" w:rsidRPr="006639DF" w:rsidRDefault="006639DF" w:rsidP="006639DF">
      <w:pPr>
        <w:ind w:firstLine="0"/>
      </w:pPr>
      <w:r w:rsidRPr="006639DF">
        <w:t>“(</w:t>
      </w:r>
      <w:r w:rsidRPr="006639DF">
        <w:rPr>
          <w:i/>
          <w:iCs/>
        </w:rPr>
        <w:t>4</w:t>
      </w:r>
      <w:r w:rsidRPr="006639DF">
        <w:rPr>
          <w:i/>
          <w:iCs/>
          <w:vertAlign w:val="superscript"/>
        </w:rPr>
        <w:t>1</w:t>
      </w:r>
      <w:r w:rsidRPr="006639DF">
        <w:rPr>
          <w:i/>
          <w:iCs/>
        </w:rPr>
        <w:t>) Atbalsta sniedzēju prasījumi</w:t>
      </w:r>
      <w:r w:rsidRPr="006639DF">
        <w:rPr>
          <w:b/>
          <w:bCs/>
          <w:i/>
          <w:iCs/>
        </w:rPr>
        <w:t xml:space="preserve">, </w:t>
      </w:r>
      <w:r w:rsidRPr="006639DF">
        <w:rPr>
          <w:i/>
          <w:iCs/>
        </w:rPr>
        <w:t xml:space="preserve">kas izriet no prasījumiem Komercdarbības atbalsta kontroles likuma IV un V nodaļā minētajos gadījumos, tiek apmierināti pēc juridiskās personas maksātnespējas procesa izmaksu un šā panta otrajā, trešajā un ceturtajā daļā noteikto kreditoru prasījumu apmierināšanas, ievērojot, ka šajā gadījumā galvenais prasījums un </w:t>
      </w:r>
      <w:proofErr w:type="spellStart"/>
      <w:r w:rsidRPr="006639DF">
        <w:rPr>
          <w:i/>
          <w:iCs/>
        </w:rPr>
        <w:t>blakusprasījums</w:t>
      </w:r>
      <w:proofErr w:type="spellEnd"/>
      <w:r w:rsidRPr="006639DF">
        <w:rPr>
          <w:i/>
          <w:iCs/>
        </w:rPr>
        <w:t xml:space="preserve"> ir nedalāms un tiek segts vienlaikus.”.</w:t>
      </w:r>
    </w:p>
    <w:p w14:paraId="4635DF50" w14:textId="77777777" w:rsidR="006639DF" w:rsidRPr="006639DF" w:rsidRDefault="006639DF" w:rsidP="006639DF">
      <w:pPr>
        <w:ind w:firstLine="0"/>
      </w:pPr>
    </w:p>
    <w:p w14:paraId="1BC4EB4A" w14:textId="77777777" w:rsidR="006639DF" w:rsidRPr="006639DF" w:rsidRDefault="006639DF" w:rsidP="006639DF">
      <w:pPr>
        <w:numPr>
          <w:ilvl w:val="1"/>
          <w:numId w:val="5"/>
        </w:numPr>
      </w:pPr>
      <w:r w:rsidRPr="006639DF">
        <w:t>Kā minēts 5.3.iebildumā, ņemot vērā, ka nelikumīga un/vai nesaderīga komercdarbības atbalsta atgūšanas gadījumā gan pamatsummas, gan procentu atgūšana kalpo vienam un tam pašam mērķim (novērst radīto konkurences kropļojumu un atgriezt tirgus stāvokli situācijā pirms šī atbalsta sniegšanas) un attiecīgi fiziskās personas maksātnespējas gadījumā par parādnieka saistībām šādu prasījumu gadījumā ir uzskatāms gan pamatparāds, gan atgūšanas procenti, lūdzam papildināt likumprojektu ar grozījumu MNL 155.panta piektajā daļā, papildinot to ar teikumu</w:t>
      </w:r>
      <w:r w:rsidRPr="006639DF">
        <w:rPr>
          <w:b/>
          <w:bCs/>
        </w:rPr>
        <w:t xml:space="preserve">, </w:t>
      </w:r>
      <w:r w:rsidRPr="006639DF">
        <w:t>piemēram, šādā redakcijā:</w:t>
      </w:r>
    </w:p>
    <w:p w14:paraId="6C832695" w14:textId="77777777" w:rsidR="006639DF" w:rsidRPr="006639DF" w:rsidRDefault="006639DF" w:rsidP="006639DF">
      <w:pPr>
        <w:ind w:firstLine="0"/>
      </w:pPr>
      <w:r w:rsidRPr="006639DF">
        <w:rPr>
          <w:b/>
          <w:bCs/>
        </w:rPr>
        <w:t>“</w:t>
      </w:r>
      <w:r w:rsidRPr="006639DF">
        <w:rPr>
          <w:i/>
          <w:iCs/>
        </w:rPr>
        <w:t>Par parādnieka saistībām ir uzskatāmi arī procenti, kas izriet no prasījumiem, kas minēti Komercdarbības atbalsta kontroles likuma IV un V nodaļā.</w:t>
      </w:r>
      <w:r w:rsidRPr="006639DF">
        <w:t>”.</w:t>
      </w:r>
    </w:p>
    <w:p w14:paraId="7E6C24E0" w14:textId="77777777" w:rsidR="006639DF" w:rsidRPr="006639DF" w:rsidRDefault="006639DF" w:rsidP="006639DF">
      <w:pPr>
        <w:ind w:firstLine="0"/>
      </w:pPr>
    </w:p>
    <w:p w14:paraId="15CFA43B" w14:textId="77777777" w:rsidR="006639DF" w:rsidRPr="006639DF" w:rsidRDefault="006639DF" w:rsidP="006639DF">
      <w:pPr>
        <w:numPr>
          <w:ilvl w:val="1"/>
          <w:numId w:val="5"/>
        </w:numPr>
      </w:pPr>
      <w:r w:rsidRPr="006639DF">
        <w:lastRenderedPageBreak/>
        <w:t xml:space="preserve">Atbilstoši KAKL 18.panta divpadsmitajai daļai un 20.panta vienpadsmitajai daļai, ja komercsabiedrība ir fiziskā persona, nelikumīga un/vai nesaderīga komercdarbības atbalsta atgūšana izbeidzama tikai gadījumā, kad tai nav jebkādu ar tās komercdarbību saistītu atgūstamu aktīvu, izņemot mājokli, kas saglabāts fiziskās personas īpašumā atbilstoši Maksātnespējas likuma 148. pantā noteiktajam, un kad nav konstatējama saimnieciskā pēctecība, arī tiesību un saistību pārņemšana. Līdz ar to, lūdzam papildināt likumprojekta 38.pantu, kas izdara grozījumus MNL 164. pantā, papildinot 164.panta ceturto daļu ar jaunu apakšpunktu šādā redakcijā: </w:t>
      </w:r>
    </w:p>
    <w:p w14:paraId="59DC32D7" w14:textId="77777777" w:rsidR="006639DF" w:rsidRPr="006639DF" w:rsidRDefault="006639DF" w:rsidP="006639DF">
      <w:pPr>
        <w:ind w:firstLine="0"/>
        <w:rPr>
          <w:i/>
          <w:iCs/>
        </w:rPr>
      </w:pPr>
      <w:r w:rsidRPr="006639DF">
        <w:rPr>
          <w:i/>
          <w:iCs/>
        </w:rPr>
        <w:t>“5) prasījumi Komercdarbības atbalsta kontroles likuma IV un V nodaļā minētajos gadījumos, kad parādniekam ir atgūstami aktīvi, kas saistīti ar tā komercdarbību, izņemot mājokli, kas saglabāts fiziskās personas īpašumā atbilstoši šā likuma 148. pantā noteiktajam, un kad ir konstatējama saimnieciskā pēctecība, arī tiesību un saistību pārņemšana.”.</w:t>
      </w:r>
    </w:p>
    <w:p w14:paraId="6F973FEA" w14:textId="77777777" w:rsidR="006639DF" w:rsidRPr="006639DF" w:rsidRDefault="006639DF" w:rsidP="006639DF">
      <w:pPr>
        <w:ind w:firstLine="0"/>
      </w:pPr>
    </w:p>
    <w:p w14:paraId="187BDDBC" w14:textId="77777777" w:rsidR="006639DF" w:rsidRPr="006639DF" w:rsidRDefault="006639DF" w:rsidP="006639DF">
      <w:pPr>
        <w:ind w:firstLine="0"/>
        <w:rPr>
          <w:b/>
          <w:bCs/>
        </w:rPr>
      </w:pPr>
    </w:p>
    <w:p w14:paraId="62F63429" w14:textId="77777777" w:rsidR="006639DF" w:rsidRPr="006639DF" w:rsidRDefault="006639DF" w:rsidP="006639DF">
      <w:pPr>
        <w:ind w:firstLine="0"/>
        <w:rPr>
          <w:b/>
          <w:bCs/>
        </w:rPr>
      </w:pPr>
      <w:r w:rsidRPr="006639DF">
        <w:rPr>
          <w:b/>
          <w:bCs/>
        </w:rPr>
        <w:t>Ar cieņu</w:t>
      </w:r>
      <w:r w:rsidRPr="006639DF">
        <w:rPr>
          <w:b/>
          <w:bCs/>
        </w:rPr>
        <w:br/>
        <w:t xml:space="preserve">Ilze </w:t>
      </w:r>
      <w:proofErr w:type="spellStart"/>
      <w:r w:rsidRPr="006639DF">
        <w:rPr>
          <w:b/>
          <w:bCs/>
        </w:rPr>
        <w:t>Sevele</w:t>
      </w:r>
      <w:proofErr w:type="spellEnd"/>
      <w:r w:rsidRPr="006639DF">
        <w:br/>
        <w:t xml:space="preserve">Juridiskā departamenta </w:t>
      </w:r>
      <w:r w:rsidRPr="006639DF">
        <w:br/>
        <w:t>Tiesību aktu nodaļas juriskonsulte</w:t>
      </w:r>
      <w:r w:rsidRPr="006639DF">
        <w:br/>
        <w:t xml:space="preserve">E-pasts: </w:t>
      </w:r>
      <w:hyperlink r:id="rId10" w:history="1">
        <w:r w:rsidRPr="006639DF">
          <w:rPr>
            <w:rStyle w:val="Hipersaite"/>
          </w:rPr>
          <w:t>ilze.sevele@fm.gov.lv</w:t>
        </w:r>
      </w:hyperlink>
      <w:r w:rsidRPr="006639DF">
        <w:br/>
        <w:t>Tālr.: 67095483</w:t>
      </w:r>
    </w:p>
    <w:p w14:paraId="1A3BF1F2" w14:textId="77777777" w:rsidR="006639DF" w:rsidRPr="006639DF" w:rsidRDefault="006639DF" w:rsidP="006639DF">
      <w:pPr>
        <w:ind w:firstLine="0"/>
      </w:pPr>
      <w:r w:rsidRPr="006639DF">
        <w:rPr>
          <w:b/>
          <w:bCs/>
        </w:rPr>
        <w:t>Kristīne Voiniča</w:t>
      </w:r>
      <w:r w:rsidRPr="006639DF">
        <w:br/>
        <w:t xml:space="preserve">Nodokļu administrēšanas un sabiedrības interešu politiku departamenta </w:t>
      </w:r>
      <w:r w:rsidRPr="006639DF">
        <w:br/>
        <w:t xml:space="preserve">Nodokļu administrēšanas un starptautiskās administratīvās sadarbības </w:t>
      </w:r>
    </w:p>
    <w:p w14:paraId="08BD9DB8" w14:textId="77777777" w:rsidR="006639DF" w:rsidRPr="006639DF" w:rsidRDefault="006639DF" w:rsidP="006639DF">
      <w:pPr>
        <w:ind w:firstLine="0"/>
      </w:pPr>
      <w:r w:rsidRPr="006639DF">
        <w:t>politikas nodaļas vecākā eksperte</w:t>
      </w:r>
      <w:r w:rsidRPr="006639DF">
        <w:br/>
        <w:t xml:space="preserve">E-pasts: </w:t>
      </w:r>
      <w:hyperlink r:id="rId11" w:history="1">
        <w:r w:rsidRPr="006639DF">
          <w:rPr>
            <w:rStyle w:val="Hipersaite"/>
          </w:rPr>
          <w:t>kristine.voinica@fm.gov.lv</w:t>
        </w:r>
      </w:hyperlink>
      <w:r w:rsidRPr="006639DF">
        <w:br/>
        <w:t>Tālr.: 67095567</w:t>
      </w:r>
    </w:p>
    <w:p w14:paraId="6D585649" w14:textId="77777777" w:rsidR="006639DF" w:rsidRPr="006639DF" w:rsidRDefault="006639DF" w:rsidP="006639DF">
      <w:pPr>
        <w:ind w:firstLine="0"/>
        <w:rPr>
          <w:b/>
          <w:bCs/>
          <w:lang w:val="en-US"/>
        </w:rPr>
      </w:pPr>
      <w:r w:rsidRPr="006639DF">
        <w:rPr>
          <w:b/>
          <w:bCs/>
        </w:rPr>
        <w:t>Ieva Mažuika</w:t>
      </w:r>
      <w:r w:rsidRPr="006639DF">
        <w:br/>
        <w:t>Komercdarbības atbalsta kontroles departamenta juriskonsulte</w:t>
      </w:r>
      <w:r w:rsidRPr="006639DF">
        <w:br/>
        <w:t xml:space="preserve">E-pasts: </w:t>
      </w:r>
      <w:hyperlink r:id="rId12" w:history="1">
        <w:r w:rsidRPr="006639DF">
          <w:rPr>
            <w:rStyle w:val="Hipersaite"/>
          </w:rPr>
          <w:t>ieva.mazuika@fm.gov.lv</w:t>
        </w:r>
      </w:hyperlink>
      <w:r w:rsidRPr="006639DF">
        <w:br/>
        <w:t>Tālr.: 67083831</w:t>
      </w:r>
    </w:p>
    <w:p w14:paraId="70F3226E" w14:textId="77777777" w:rsidR="006639DF" w:rsidRPr="006639DF" w:rsidRDefault="006639DF" w:rsidP="006639DF">
      <w:pPr>
        <w:ind w:firstLine="0"/>
        <w:rPr>
          <w:lang w:val="en-US"/>
        </w:rPr>
      </w:pPr>
      <w:r w:rsidRPr="006639DF">
        <w:rPr>
          <w:b/>
          <w:bCs/>
          <w:lang w:val="en-US"/>
        </w:rPr>
        <w:t>Jurijs Jenuševskis</w:t>
      </w:r>
      <w:r w:rsidRPr="006639DF">
        <w:rPr>
          <w:lang w:val="en-US"/>
        </w:rPr>
        <w:br/>
      </w:r>
      <w:proofErr w:type="spellStart"/>
      <w:r w:rsidRPr="006639DF">
        <w:rPr>
          <w:lang w:val="en-US"/>
        </w:rPr>
        <w:t>Komercdarbības</w:t>
      </w:r>
      <w:proofErr w:type="spellEnd"/>
      <w:r w:rsidRPr="006639DF">
        <w:rPr>
          <w:lang w:val="en-US"/>
        </w:rPr>
        <w:t xml:space="preserve"> </w:t>
      </w:r>
      <w:proofErr w:type="spellStart"/>
      <w:r w:rsidRPr="006639DF">
        <w:rPr>
          <w:lang w:val="en-US"/>
        </w:rPr>
        <w:t>atbalsta</w:t>
      </w:r>
      <w:proofErr w:type="spellEnd"/>
      <w:r w:rsidRPr="006639DF">
        <w:rPr>
          <w:lang w:val="en-US"/>
        </w:rPr>
        <w:t xml:space="preserve"> </w:t>
      </w:r>
      <w:proofErr w:type="spellStart"/>
      <w:r w:rsidRPr="006639DF">
        <w:rPr>
          <w:lang w:val="en-US"/>
        </w:rPr>
        <w:t>kontroles</w:t>
      </w:r>
      <w:proofErr w:type="spellEnd"/>
      <w:r w:rsidRPr="006639DF">
        <w:rPr>
          <w:lang w:val="en-US"/>
        </w:rPr>
        <w:t xml:space="preserve"> </w:t>
      </w:r>
      <w:proofErr w:type="spellStart"/>
      <w:r w:rsidRPr="006639DF">
        <w:rPr>
          <w:lang w:val="en-US"/>
        </w:rPr>
        <w:t>departamenta</w:t>
      </w:r>
      <w:proofErr w:type="spellEnd"/>
      <w:r w:rsidRPr="006639DF">
        <w:rPr>
          <w:lang w:val="en-US"/>
        </w:rPr>
        <w:t xml:space="preserve"> </w:t>
      </w:r>
      <w:proofErr w:type="spellStart"/>
      <w:r w:rsidRPr="006639DF">
        <w:rPr>
          <w:lang w:val="en-US"/>
        </w:rPr>
        <w:t>konsultants</w:t>
      </w:r>
      <w:proofErr w:type="spellEnd"/>
      <w:r w:rsidRPr="006639DF">
        <w:rPr>
          <w:lang w:val="en-US"/>
        </w:rPr>
        <w:br/>
        <w:t xml:space="preserve">E-pasts: </w:t>
      </w:r>
      <w:hyperlink r:id="rId13" w:history="1">
        <w:r w:rsidRPr="006639DF">
          <w:rPr>
            <w:rStyle w:val="Hipersaite"/>
            <w:lang w:val="en-US"/>
          </w:rPr>
          <w:t>jurijs.jenusevskis@fm.gov.lv</w:t>
        </w:r>
      </w:hyperlink>
      <w:r w:rsidRPr="006639DF">
        <w:rPr>
          <w:lang w:val="en-US"/>
        </w:rPr>
        <w:br/>
      </w:r>
      <w:proofErr w:type="spellStart"/>
      <w:r w:rsidRPr="006639DF">
        <w:rPr>
          <w:lang w:val="en-US"/>
        </w:rPr>
        <w:t>Tālr</w:t>
      </w:r>
      <w:proofErr w:type="spellEnd"/>
      <w:r w:rsidRPr="006639DF">
        <w:rPr>
          <w:lang w:val="en-US"/>
        </w:rPr>
        <w:t>.: 67095478</w:t>
      </w:r>
    </w:p>
    <w:p w14:paraId="3A7CD62A" w14:textId="77777777" w:rsidR="006639DF" w:rsidRPr="006639DF" w:rsidRDefault="006639DF" w:rsidP="006639DF">
      <w:pPr>
        <w:ind w:firstLine="0"/>
      </w:pPr>
      <w:r w:rsidRPr="006639DF">
        <w:rPr>
          <w:b/>
          <w:bCs/>
        </w:rPr>
        <w:t>Ilze Kreicberga</w:t>
      </w:r>
      <w:r w:rsidRPr="006639DF">
        <w:br/>
        <w:t>Komercdarbības atbalsta kontroles departamenta vecākā eksperte</w:t>
      </w:r>
      <w:r w:rsidRPr="006639DF">
        <w:br/>
        <w:t xml:space="preserve">E-pasts: </w:t>
      </w:r>
      <w:hyperlink r:id="rId14" w:history="1">
        <w:r w:rsidRPr="006639DF">
          <w:rPr>
            <w:rStyle w:val="Hipersaite"/>
          </w:rPr>
          <w:t>ilze.kreicberga@fm.gov.lv</w:t>
        </w:r>
      </w:hyperlink>
      <w:r w:rsidRPr="006639DF">
        <w:br/>
        <w:t>Tālr.: 67095572</w:t>
      </w:r>
    </w:p>
    <w:p w14:paraId="6230DB01" w14:textId="77777777" w:rsidR="006639DF" w:rsidRPr="006639DF" w:rsidRDefault="006639DF" w:rsidP="006639DF">
      <w:pPr>
        <w:ind w:firstLine="0"/>
      </w:pPr>
    </w:p>
    <w:p w14:paraId="074E95BA" w14:textId="689E0FFA" w:rsidR="006639DF" w:rsidRPr="006639DF" w:rsidRDefault="006639DF" w:rsidP="006639DF">
      <w:pPr>
        <w:ind w:firstLine="0"/>
      </w:pPr>
      <w:r w:rsidRPr="006639DF">
        <w:lastRenderedPageBreak/>
        <w:t>Latvijas Republikas Finanšu ministrija</w:t>
      </w:r>
      <w:r w:rsidRPr="006639DF">
        <w:br/>
        <w:t xml:space="preserve">Smilšu iela 1, </w:t>
      </w:r>
      <w:proofErr w:type="spellStart"/>
      <w:r w:rsidRPr="006639DF">
        <w:t>Riga</w:t>
      </w:r>
      <w:proofErr w:type="spellEnd"/>
      <w:r w:rsidRPr="006639DF">
        <w:t>, LV-1919, Latvija</w:t>
      </w:r>
      <w:r w:rsidRPr="006639DF">
        <w:br/>
        <w:t xml:space="preserve">Mājaslapa: </w:t>
      </w:r>
      <w:hyperlink r:id="rId15" w:history="1">
        <w:r w:rsidRPr="006639DF">
          <w:rPr>
            <w:rStyle w:val="Hipersaite"/>
          </w:rPr>
          <w:t>www.fm.gov.lv</w:t>
        </w:r>
      </w:hyperlink>
      <w:r w:rsidRPr="006639DF">
        <w:br/>
        <w:t xml:space="preserve">E-pasts: </w:t>
      </w:r>
      <w:hyperlink r:id="rId16" w:history="1">
        <w:r w:rsidRPr="006639DF">
          <w:rPr>
            <w:rStyle w:val="Hipersaite"/>
          </w:rPr>
          <w:t>pasts@fm.gov.lv</w:t>
        </w:r>
      </w:hyperlink>
      <w:r w:rsidRPr="006639DF">
        <w:br/>
      </w:r>
      <w:r w:rsidRPr="006639DF">
        <w:drawing>
          <wp:inline distT="0" distB="0" distL="0" distR="0" wp14:anchorId="32F986EF" wp14:editId="26D23092">
            <wp:extent cx="716280" cy="723900"/>
            <wp:effectExtent l="0" t="0" r="7620" b="0"/>
            <wp:docPr id="2" name="Attēls 2" descr="Attēls, kurā ir teks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descr="Attēls, kurā ir teksts&#10;&#10;Apraksts ģenerēts automātisk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6280" cy="723900"/>
                    </a:xfrm>
                    <a:prstGeom prst="rect">
                      <a:avLst/>
                    </a:prstGeom>
                    <a:noFill/>
                    <a:ln>
                      <a:noFill/>
                    </a:ln>
                  </pic:spPr>
                </pic:pic>
              </a:graphicData>
            </a:graphic>
          </wp:inline>
        </w:drawing>
      </w:r>
    </w:p>
    <w:p w14:paraId="6CD2A44F" w14:textId="77777777" w:rsidR="006639DF" w:rsidRPr="006639DF" w:rsidRDefault="006639DF" w:rsidP="006639DF">
      <w:pPr>
        <w:ind w:firstLine="0"/>
      </w:pPr>
    </w:p>
    <w:p w14:paraId="67F65D30" w14:textId="77777777" w:rsidR="006639DF" w:rsidRPr="006639DF" w:rsidRDefault="006639DF" w:rsidP="006639DF">
      <w:pPr>
        <w:ind w:firstLine="0"/>
      </w:pPr>
    </w:p>
    <w:p w14:paraId="7161E941" w14:textId="77777777" w:rsidR="006639DF" w:rsidRPr="006639DF" w:rsidRDefault="006639DF" w:rsidP="006639DF">
      <w:pPr>
        <w:ind w:firstLine="0"/>
      </w:pPr>
      <w:r w:rsidRPr="006639DF">
        <w:t>Natālija Sproģe 67121677</w:t>
      </w:r>
    </w:p>
    <w:p w14:paraId="543E5541" w14:textId="77777777" w:rsidR="006639DF" w:rsidRPr="006639DF" w:rsidRDefault="006639DF" w:rsidP="006639DF">
      <w:pPr>
        <w:ind w:firstLine="0"/>
      </w:pPr>
      <w:hyperlink r:id="rId18" w:history="1">
        <w:r w:rsidRPr="006639DF">
          <w:rPr>
            <w:rStyle w:val="Hipersaite"/>
          </w:rPr>
          <w:t>Natalija.Sproge@vid.gov.lv</w:t>
        </w:r>
      </w:hyperlink>
    </w:p>
    <w:p w14:paraId="76597527" w14:textId="77777777" w:rsidR="006639DF" w:rsidRPr="006639DF" w:rsidRDefault="006639DF" w:rsidP="006639DF">
      <w:pPr>
        <w:ind w:firstLine="0"/>
      </w:pPr>
    </w:p>
    <w:p w14:paraId="60F05180" w14:textId="77777777" w:rsidR="006639DF" w:rsidRPr="006639DF" w:rsidRDefault="006639DF" w:rsidP="006639DF">
      <w:pPr>
        <w:ind w:firstLine="0"/>
      </w:pPr>
      <w:r w:rsidRPr="006639DF">
        <w:t>Inese Birzniece 67121689</w:t>
      </w:r>
    </w:p>
    <w:p w14:paraId="7E7390E9" w14:textId="77777777" w:rsidR="006639DF" w:rsidRPr="006639DF" w:rsidRDefault="006639DF" w:rsidP="006639DF">
      <w:pPr>
        <w:ind w:firstLine="0"/>
      </w:pPr>
      <w:hyperlink r:id="rId19" w:history="1">
        <w:r w:rsidRPr="006639DF">
          <w:rPr>
            <w:rStyle w:val="Hipersaite"/>
          </w:rPr>
          <w:t>Inese.Birzniece@vid.gov.lv</w:t>
        </w:r>
      </w:hyperlink>
    </w:p>
    <w:p w14:paraId="328B2CB0" w14:textId="77777777" w:rsidR="006639DF" w:rsidRPr="006639DF" w:rsidRDefault="006639DF" w:rsidP="006639DF">
      <w:pPr>
        <w:ind w:firstLine="0"/>
      </w:pPr>
    </w:p>
    <w:p w14:paraId="203E2119" w14:textId="77777777" w:rsidR="006639DF" w:rsidRPr="006639DF" w:rsidRDefault="006639DF" w:rsidP="006639DF">
      <w:pPr>
        <w:ind w:firstLine="0"/>
      </w:pPr>
      <w:r w:rsidRPr="006639DF">
        <w:br/>
      </w:r>
    </w:p>
    <w:p w14:paraId="0A8888AA" w14:textId="77777777" w:rsidR="006639DF" w:rsidRPr="006639DF" w:rsidRDefault="006639DF" w:rsidP="006639DF">
      <w:pPr>
        <w:ind w:firstLine="0"/>
      </w:pPr>
      <w:r w:rsidRPr="006639DF">
        <w:pict w14:anchorId="29BA45DC">
          <v:rect id="_x0000_i1050" style="width:142.55pt;height:.6pt" o:hrpct="330" o:hrstd="t" o:hr="t" fillcolor="#a0a0a0" stroked="f"/>
        </w:pict>
      </w:r>
    </w:p>
    <w:p w14:paraId="32EF874C" w14:textId="77777777" w:rsidR="006639DF" w:rsidRPr="006639DF" w:rsidRDefault="006639DF" w:rsidP="006639DF">
      <w:pPr>
        <w:ind w:firstLine="0"/>
      </w:pPr>
      <w:r w:rsidRPr="006639DF">
        <w:br/>
      </w:r>
    </w:p>
    <w:p w14:paraId="2A264886" w14:textId="77777777" w:rsidR="006639DF" w:rsidRPr="006639DF" w:rsidRDefault="006639DF" w:rsidP="006639DF">
      <w:pPr>
        <w:ind w:firstLine="0"/>
      </w:pPr>
      <w:r w:rsidRPr="006639DF">
        <w:pict w14:anchorId="6A16C3E3">
          <v:rect id="_x0000_i1051" style="width:142.55pt;height:.6pt" o:hrpct="330" o:hrstd="t" o:hr="t" fillcolor="#a0a0a0" stroked="f"/>
        </w:pict>
      </w:r>
    </w:p>
    <w:bookmarkEnd w:id="0"/>
    <w:p w14:paraId="33544448" w14:textId="77777777" w:rsidR="00196013" w:rsidRDefault="00196013" w:rsidP="006639DF">
      <w:pPr>
        <w:ind w:firstLine="0"/>
      </w:pPr>
    </w:p>
    <w:sectPr w:rsidR="001960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A9532" w14:textId="77777777" w:rsidR="006639DF" w:rsidRDefault="006639DF" w:rsidP="006639DF">
      <w:pPr>
        <w:spacing w:before="0" w:after="0"/>
      </w:pPr>
      <w:r>
        <w:separator/>
      </w:r>
    </w:p>
  </w:endnote>
  <w:endnote w:type="continuationSeparator" w:id="0">
    <w:p w14:paraId="4C535A21" w14:textId="77777777" w:rsidR="006639DF" w:rsidRDefault="006639DF" w:rsidP="006639D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332A8" w14:textId="77777777" w:rsidR="006639DF" w:rsidRDefault="006639DF" w:rsidP="006639DF">
      <w:pPr>
        <w:spacing w:before="0" w:after="0"/>
      </w:pPr>
      <w:r>
        <w:separator/>
      </w:r>
    </w:p>
  </w:footnote>
  <w:footnote w:type="continuationSeparator" w:id="0">
    <w:p w14:paraId="099C2B13" w14:textId="77777777" w:rsidR="006639DF" w:rsidRDefault="006639DF" w:rsidP="006639DF">
      <w:pPr>
        <w:spacing w:before="0" w:after="0"/>
      </w:pPr>
      <w:r>
        <w:continuationSeparator/>
      </w:r>
    </w:p>
  </w:footnote>
  <w:footnote w:id="1">
    <w:p w14:paraId="19B91553" w14:textId="77777777" w:rsidR="006639DF" w:rsidRDefault="006639DF" w:rsidP="006639DF">
      <w:pPr>
        <w:pStyle w:val="Bezatstarpm"/>
        <w:rPr>
          <w:rFonts w:ascii="Times New Roman" w:hAnsi="Times New Roman" w:cs="Times New Roman"/>
        </w:rPr>
      </w:pPr>
      <w:r>
        <w:rPr>
          <w:rStyle w:val="Vresatsauce"/>
          <w:rFonts w:ascii="Times New Roman" w:hAnsi="Times New Roman" w:cs="Times New Roman"/>
        </w:rPr>
        <w:t>[1]</w:t>
      </w:r>
      <w:r>
        <w:rPr>
          <w:rFonts w:ascii="Times New Roman" w:hAnsi="Times New Roman" w:cs="Times New Roman"/>
        </w:rPr>
        <w:t xml:space="preserve"> Maksātnespējas likuma 73.panta pirmā daļa. </w:t>
      </w:r>
    </w:p>
  </w:footnote>
  <w:footnote w:id="2">
    <w:p w14:paraId="6C73C00E" w14:textId="77777777" w:rsidR="006639DF" w:rsidRDefault="006639DF" w:rsidP="006639DF">
      <w:pPr>
        <w:pStyle w:val="Bezatstarpm"/>
        <w:rPr>
          <w:rFonts w:ascii="Times New Roman" w:hAnsi="Times New Roman" w:cs="Times New Roman"/>
        </w:rPr>
      </w:pPr>
      <w:r>
        <w:rPr>
          <w:rStyle w:val="Vresatsauce"/>
          <w:rFonts w:ascii="Times New Roman" w:hAnsi="Times New Roman" w:cs="Times New Roman"/>
        </w:rPr>
        <w:t>[2]</w:t>
      </w:r>
      <w:r>
        <w:rPr>
          <w:rFonts w:ascii="Times New Roman" w:hAnsi="Times New Roman" w:cs="Times New Roman"/>
        </w:rPr>
        <w:t xml:space="preserve"> </w:t>
      </w:r>
      <w:r>
        <w:rPr>
          <w:rFonts w:ascii="Times New Roman" w:hAnsi="Times New Roman" w:cs="Times New Roman"/>
        </w:rPr>
        <w:t>Turpat 73.panta otrā daļa.</w:t>
      </w:r>
    </w:p>
  </w:footnote>
  <w:footnote w:id="3">
    <w:p w14:paraId="2F9BCE0D" w14:textId="77777777" w:rsidR="006639DF" w:rsidRDefault="006639DF" w:rsidP="006639DF">
      <w:pPr>
        <w:pStyle w:val="Bezatstarpm"/>
        <w:rPr>
          <w:rFonts w:ascii="Times New Roman" w:hAnsi="Times New Roman" w:cs="Times New Roman"/>
        </w:rPr>
      </w:pPr>
      <w:r>
        <w:rPr>
          <w:rStyle w:val="Vresatsauce"/>
          <w:rFonts w:ascii="Times New Roman" w:hAnsi="Times New Roman" w:cs="Times New Roman"/>
        </w:rPr>
        <w:t>[3]</w:t>
      </w:r>
      <w:r>
        <w:rPr>
          <w:rFonts w:ascii="Times New Roman" w:hAnsi="Times New Roman" w:cs="Times New Roman"/>
        </w:rPr>
        <w:t xml:space="preserve"> </w:t>
      </w:r>
      <w:r>
        <w:rPr>
          <w:rFonts w:ascii="Times New Roman" w:hAnsi="Times New Roman" w:cs="Times New Roman"/>
        </w:rPr>
        <w:t>Turpat 73.panta trešā daļa.</w:t>
      </w:r>
    </w:p>
  </w:footnote>
  <w:footnote w:id="4">
    <w:p w14:paraId="073C9108" w14:textId="77777777" w:rsidR="006639DF" w:rsidRDefault="006639DF" w:rsidP="006639DF">
      <w:pPr>
        <w:pStyle w:val="Bezatstarpm"/>
        <w:rPr>
          <w:rFonts w:ascii="Times New Roman" w:hAnsi="Times New Roman" w:cs="Times New Roman"/>
        </w:rPr>
      </w:pPr>
      <w:r>
        <w:rPr>
          <w:rStyle w:val="Vresatsauce"/>
          <w:rFonts w:ascii="Times New Roman" w:hAnsi="Times New Roman" w:cs="Times New Roman"/>
        </w:rPr>
        <w:t>[4]</w:t>
      </w:r>
      <w:r>
        <w:rPr>
          <w:rFonts w:ascii="Times New Roman" w:hAnsi="Times New Roman" w:cs="Times New Roman"/>
        </w:rPr>
        <w:t xml:space="preserve"> </w:t>
      </w:r>
      <w:r>
        <w:rPr>
          <w:rFonts w:ascii="Times New Roman" w:hAnsi="Times New Roman" w:cs="Times New Roman"/>
        </w:rPr>
        <w:t>Likums “Par Valsts ieņēmumu dienestu”.</w:t>
      </w:r>
    </w:p>
  </w:footnote>
  <w:footnote w:id="5">
    <w:p w14:paraId="39949E3F" w14:textId="77777777" w:rsidR="006639DF" w:rsidRDefault="006639DF" w:rsidP="006639DF">
      <w:pPr>
        <w:pStyle w:val="Bezatstarpm"/>
        <w:rPr>
          <w:rFonts w:ascii="Times New Roman" w:hAnsi="Times New Roman" w:cs="Times New Roman"/>
        </w:rPr>
      </w:pPr>
      <w:r>
        <w:rPr>
          <w:rStyle w:val="Vresatsauce"/>
          <w:rFonts w:ascii="Times New Roman" w:hAnsi="Times New Roman" w:cs="Times New Roman"/>
        </w:rPr>
        <w:t>[5]</w:t>
      </w:r>
      <w:r>
        <w:rPr>
          <w:rFonts w:ascii="Times New Roman" w:hAnsi="Times New Roman" w:cs="Times New Roman"/>
        </w:rPr>
        <w:t xml:space="preserve"> </w:t>
      </w:r>
      <w:r>
        <w:rPr>
          <w:rFonts w:ascii="Times New Roman" w:hAnsi="Times New Roman" w:cs="Times New Roman"/>
        </w:rPr>
        <w:t>Likuma “Par nodokļiem un nodevām” 23.pants.</w:t>
      </w:r>
    </w:p>
  </w:footnote>
  <w:footnote w:id="6">
    <w:p w14:paraId="1587B586" w14:textId="77777777" w:rsidR="006639DF" w:rsidRDefault="006639DF" w:rsidP="006639DF">
      <w:pPr>
        <w:pStyle w:val="Vresteksts"/>
        <w:rPr>
          <w:rFonts w:cs="Times New Roman"/>
          <w:sz w:val="22"/>
          <w:szCs w:val="22"/>
        </w:rPr>
      </w:pPr>
      <w:r>
        <w:rPr>
          <w:rStyle w:val="Vresatsauce"/>
        </w:rPr>
        <w:t>[6]</w:t>
      </w:r>
      <w:r>
        <w:t xml:space="preserve"> </w:t>
      </w:r>
      <w:r>
        <w:rPr>
          <w:rFonts w:cs="Times New Roman"/>
          <w:sz w:val="22"/>
          <w:szCs w:val="22"/>
        </w:rPr>
        <w:t xml:space="preserve">Maksātnespējas likuma 73.panta vienpadsmitā daļa.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4210"/>
    <w:multiLevelType w:val="hybridMultilevel"/>
    <w:tmpl w:val="43547648"/>
    <w:lvl w:ilvl="0" w:tplc="78ACC11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06314413"/>
    <w:multiLevelType w:val="hybridMultilevel"/>
    <w:tmpl w:val="9712F84C"/>
    <w:lvl w:ilvl="0" w:tplc="EF0AFEE0">
      <w:start w:val="2"/>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 w15:restartNumberingAfterBreak="0">
    <w:nsid w:val="140A0305"/>
    <w:multiLevelType w:val="hybridMultilevel"/>
    <w:tmpl w:val="26FE5C22"/>
    <w:lvl w:ilvl="0" w:tplc="D2B27DD0">
      <w:start w:val="4"/>
      <w:numFmt w:val="decimal"/>
      <w:lvlText w:val="%1."/>
      <w:lvlJc w:val="left"/>
      <w:pPr>
        <w:ind w:left="720" w:hanging="360"/>
      </w:pPr>
      <w:rPr>
        <w:rFonts w:eastAsia="Calibr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158E21C3"/>
    <w:multiLevelType w:val="multilevel"/>
    <w:tmpl w:val="D7069562"/>
    <w:lvl w:ilvl="0">
      <w:start w:val="5"/>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 w15:restartNumberingAfterBreak="0">
    <w:nsid w:val="15E22DD8"/>
    <w:multiLevelType w:val="hybridMultilevel"/>
    <w:tmpl w:val="1C7C200A"/>
    <w:lvl w:ilvl="0" w:tplc="EB64EB5E">
      <w:start w:val="3"/>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num w:numId="1" w16cid:durableId="10048664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903756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594018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086027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274599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9DF"/>
    <w:rsid w:val="00196013"/>
    <w:rsid w:val="006639DF"/>
    <w:rsid w:val="008D3A73"/>
    <w:rsid w:val="009C6844"/>
    <w:rsid w:val="00C614CD"/>
    <w:rsid w:val="00E1612E"/>
    <w:rsid w:val="00E46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0AB96"/>
  <w15:chartTrackingRefBased/>
  <w15:docId w15:val="{C1C9520E-37B2-4766-803F-5091EC8A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D3A73"/>
    <w:pPr>
      <w:spacing w:before="120" w:after="120" w:line="240" w:lineRule="auto"/>
      <w:ind w:firstLine="720"/>
      <w:jc w:val="both"/>
    </w:pPr>
    <w:rPr>
      <w:rFonts w:ascii="Times New Roman" w:hAnsi="Times New Roman"/>
      <w:sz w:val="24"/>
      <w:lang w:val="lv-LV"/>
    </w:rPr>
  </w:style>
  <w:style w:type="paragraph" w:styleId="Virsraksts1">
    <w:name w:val="heading 1"/>
    <w:basedOn w:val="Parasts"/>
    <w:next w:val="Parasts"/>
    <w:link w:val="Virsraksts1Rakstz"/>
    <w:autoRedefine/>
    <w:uiPriority w:val="9"/>
    <w:qFormat/>
    <w:rsid w:val="008D3A73"/>
    <w:pPr>
      <w:keepNext/>
      <w:keepLines/>
      <w:ind w:firstLine="0"/>
      <w:jc w:val="center"/>
      <w:outlineLvl w:val="0"/>
    </w:pPr>
    <w:rPr>
      <w:rFonts w:eastAsiaTheme="majorEastAsia" w:cstheme="majorBidi"/>
      <w:b/>
      <w:color w:val="840B55"/>
      <w:szCs w:val="3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rsid w:val="008D3A73"/>
    <w:pPr>
      <w:contextualSpacing/>
      <w:jc w:val="center"/>
    </w:pPr>
    <w:rPr>
      <w:rFonts w:eastAsiaTheme="majorEastAsia" w:cstheme="majorBidi"/>
      <w:b/>
      <w:color w:val="840B55"/>
      <w:spacing w:val="-10"/>
      <w:kern w:val="28"/>
      <w:sz w:val="28"/>
      <w:szCs w:val="56"/>
    </w:rPr>
  </w:style>
  <w:style w:type="character" w:customStyle="1" w:styleId="NosaukumsRakstz">
    <w:name w:val="Nosaukums Rakstz."/>
    <w:basedOn w:val="Noklusjumarindkopasfonts"/>
    <w:link w:val="Nosaukums"/>
    <w:uiPriority w:val="10"/>
    <w:rsid w:val="008D3A73"/>
    <w:rPr>
      <w:rFonts w:ascii="Times New Roman" w:eastAsiaTheme="majorEastAsia" w:hAnsi="Times New Roman" w:cstheme="majorBidi"/>
      <w:b/>
      <w:color w:val="840B55"/>
      <w:spacing w:val="-10"/>
      <w:kern w:val="28"/>
      <w:sz w:val="28"/>
      <w:szCs w:val="56"/>
    </w:rPr>
  </w:style>
  <w:style w:type="character" w:customStyle="1" w:styleId="Virsraksts1Rakstz">
    <w:name w:val="Virsraksts 1 Rakstz."/>
    <w:basedOn w:val="Noklusjumarindkopasfonts"/>
    <w:link w:val="Virsraksts1"/>
    <w:uiPriority w:val="9"/>
    <w:rsid w:val="008D3A73"/>
    <w:rPr>
      <w:rFonts w:ascii="Times New Roman" w:eastAsiaTheme="majorEastAsia" w:hAnsi="Times New Roman" w:cstheme="majorBidi"/>
      <w:b/>
      <w:color w:val="840B55"/>
      <w:sz w:val="24"/>
      <w:szCs w:val="32"/>
    </w:rPr>
  </w:style>
  <w:style w:type="paragraph" w:styleId="Apakvirsraksts">
    <w:name w:val="Subtitle"/>
    <w:basedOn w:val="Parasts"/>
    <w:next w:val="Parasts"/>
    <w:link w:val="ApakvirsrakstsRakstz"/>
    <w:autoRedefine/>
    <w:uiPriority w:val="11"/>
    <w:qFormat/>
    <w:rsid w:val="00E46E62"/>
    <w:pPr>
      <w:numPr>
        <w:ilvl w:val="1"/>
      </w:numPr>
      <w:ind w:firstLine="720"/>
      <w:jc w:val="center"/>
    </w:pPr>
    <w:rPr>
      <w:rFonts w:eastAsiaTheme="minorEastAsia"/>
      <w:color w:val="840B55"/>
    </w:rPr>
  </w:style>
  <w:style w:type="character" w:customStyle="1" w:styleId="ApakvirsrakstsRakstz">
    <w:name w:val="Apakšvirsraksts Rakstz."/>
    <w:basedOn w:val="Noklusjumarindkopasfonts"/>
    <w:link w:val="Apakvirsraksts"/>
    <w:uiPriority w:val="11"/>
    <w:rsid w:val="00E46E62"/>
    <w:rPr>
      <w:rFonts w:ascii="Times New Roman" w:eastAsiaTheme="minorEastAsia" w:hAnsi="Times New Roman"/>
      <w:color w:val="840B55"/>
      <w:sz w:val="24"/>
    </w:rPr>
  </w:style>
  <w:style w:type="paragraph" w:styleId="Vresteksts">
    <w:name w:val="footnote text"/>
    <w:basedOn w:val="Parasts"/>
    <w:link w:val="VrestekstsRakstz"/>
    <w:uiPriority w:val="99"/>
    <w:semiHidden/>
    <w:unhideWhenUsed/>
    <w:rsid w:val="006639DF"/>
    <w:pPr>
      <w:spacing w:before="0" w:after="0"/>
    </w:pPr>
    <w:rPr>
      <w:sz w:val="20"/>
      <w:szCs w:val="20"/>
    </w:rPr>
  </w:style>
  <w:style w:type="character" w:customStyle="1" w:styleId="VrestekstsRakstz">
    <w:name w:val="Vēres teksts Rakstz."/>
    <w:basedOn w:val="Noklusjumarindkopasfonts"/>
    <w:link w:val="Vresteksts"/>
    <w:uiPriority w:val="99"/>
    <w:semiHidden/>
    <w:rsid w:val="006639DF"/>
    <w:rPr>
      <w:rFonts w:ascii="Times New Roman" w:hAnsi="Times New Roman"/>
      <w:sz w:val="20"/>
      <w:szCs w:val="20"/>
      <w:lang w:val="lv-LV"/>
    </w:rPr>
  </w:style>
  <w:style w:type="paragraph" w:styleId="Bezatstarpm">
    <w:name w:val="No Spacing"/>
    <w:basedOn w:val="Parasts"/>
    <w:uiPriority w:val="1"/>
    <w:qFormat/>
    <w:rsid w:val="006639DF"/>
    <w:pPr>
      <w:spacing w:before="0" w:after="0"/>
      <w:ind w:firstLine="0"/>
      <w:jc w:val="left"/>
    </w:pPr>
    <w:rPr>
      <w:rFonts w:ascii="Calibri" w:hAnsi="Calibri" w:cs="Calibri"/>
      <w:sz w:val="22"/>
    </w:rPr>
  </w:style>
  <w:style w:type="character" w:styleId="Vresatsauce">
    <w:name w:val="footnote reference"/>
    <w:basedOn w:val="Noklusjumarindkopasfonts"/>
    <w:uiPriority w:val="99"/>
    <w:semiHidden/>
    <w:unhideWhenUsed/>
    <w:rsid w:val="006639DF"/>
    <w:rPr>
      <w:vertAlign w:val="superscript"/>
    </w:rPr>
  </w:style>
  <w:style w:type="character" w:styleId="Hipersaite">
    <w:name w:val="Hyperlink"/>
    <w:basedOn w:val="Noklusjumarindkopasfonts"/>
    <w:uiPriority w:val="99"/>
    <w:unhideWhenUsed/>
    <w:rsid w:val="006639DF"/>
    <w:rPr>
      <w:color w:val="0563C1" w:themeColor="hyperlink"/>
      <w:u w:val="single"/>
    </w:rPr>
  </w:style>
  <w:style w:type="character" w:styleId="Neatrisintapieminana">
    <w:name w:val="Unresolved Mention"/>
    <w:basedOn w:val="Noklusjumarindkopasfonts"/>
    <w:uiPriority w:val="99"/>
    <w:semiHidden/>
    <w:unhideWhenUsed/>
    <w:rsid w:val="00663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725714">
      <w:bodyDiv w:val="1"/>
      <w:marLeft w:val="0"/>
      <w:marRight w:val="0"/>
      <w:marTop w:val="0"/>
      <w:marBottom w:val="0"/>
      <w:divBdr>
        <w:top w:val="none" w:sz="0" w:space="0" w:color="auto"/>
        <w:left w:val="none" w:sz="0" w:space="0" w:color="auto"/>
        <w:bottom w:val="none" w:sz="0" w:space="0" w:color="auto"/>
        <w:right w:val="none" w:sz="0" w:space="0" w:color="auto"/>
      </w:divBdr>
      <w:divsChild>
        <w:div w:id="241989647">
          <w:marLeft w:val="0"/>
          <w:marRight w:val="0"/>
          <w:marTop w:val="0"/>
          <w:marBottom w:val="0"/>
          <w:divBdr>
            <w:top w:val="none" w:sz="0" w:space="0" w:color="auto"/>
            <w:left w:val="none" w:sz="0" w:space="0" w:color="auto"/>
            <w:bottom w:val="none" w:sz="0" w:space="0" w:color="auto"/>
            <w:right w:val="none" w:sz="0" w:space="0" w:color="auto"/>
          </w:divBdr>
        </w:div>
        <w:div w:id="16665124">
          <w:marLeft w:val="0"/>
          <w:marRight w:val="0"/>
          <w:marTop w:val="0"/>
          <w:marBottom w:val="0"/>
          <w:divBdr>
            <w:top w:val="none" w:sz="0" w:space="0" w:color="auto"/>
            <w:left w:val="none" w:sz="0" w:space="0" w:color="auto"/>
            <w:bottom w:val="none" w:sz="0" w:space="0" w:color="auto"/>
            <w:right w:val="none" w:sz="0" w:space="0" w:color="auto"/>
          </w:divBdr>
        </w:div>
      </w:divsChild>
    </w:div>
    <w:div w:id="2135249219">
      <w:bodyDiv w:val="1"/>
      <w:marLeft w:val="0"/>
      <w:marRight w:val="0"/>
      <w:marTop w:val="0"/>
      <w:marBottom w:val="0"/>
      <w:divBdr>
        <w:top w:val="none" w:sz="0" w:space="0" w:color="auto"/>
        <w:left w:val="none" w:sz="0" w:space="0" w:color="auto"/>
        <w:bottom w:val="none" w:sz="0" w:space="0" w:color="auto"/>
        <w:right w:val="none" w:sz="0" w:space="0" w:color="auto"/>
      </w:divBdr>
      <w:divsChild>
        <w:div w:id="666783287">
          <w:marLeft w:val="0"/>
          <w:marRight w:val="0"/>
          <w:marTop w:val="0"/>
          <w:marBottom w:val="0"/>
          <w:divBdr>
            <w:top w:val="none" w:sz="0" w:space="0" w:color="auto"/>
            <w:left w:val="none" w:sz="0" w:space="0" w:color="auto"/>
            <w:bottom w:val="none" w:sz="0" w:space="0" w:color="auto"/>
            <w:right w:val="none" w:sz="0" w:space="0" w:color="auto"/>
          </w:divBdr>
        </w:div>
        <w:div w:id="1032150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V/TXT/?uri=CELEX:62005CJ0232" TargetMode="External"/><Relationship Id="rId13" Type="http://schemas.openxmlformats.org/officeDocument/2006/relationships/hyperlink" Target="mailto:%20jurijs.jenusevskis@fm.gov.lv" TargetMode="External"/><Relationship Id="rId18" Type="http://schemas.openxmlformats.org/officeDocument/2006/relationships/hyperlink" Target="mailto:Natalija.Sproge@vid.gov.lv"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ur-lex.europa.eu/legal-content/LV/TXT/?uri=CELEX%3A52019XC0723%2801%29&amp;qid=1627298776506" TargetMode="External"/><Relationship Id="rId12" Type="http://schemas.openxmlformats.org/officeDocument/2006/relationships/hyperlink" Target="mailto:%20ieva.mazuika@fm.gov.lv" TargetMode="Externa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pasts@fm.gov.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20kristine.voinica@fm.gov.lv" TargetMode="External"/><Relationship Id="rId5" Type="http://schemas.openxmlformats.org/officeDocument/2006/relationships/footnotes" Target="footnotes.xml"/><Relationship Id="rId15" Type="http://schemas.openxmlformats.org/officeDocument/2006/relationships/hyperlink" Target="www.fm.gov.lv" TargetMode="External"/><Relationship Id="rId10" Type="http://schemas.openxmlformats.org/officeDocument/2006/relationships/hyperlink" Target="mailto:%20ilze.sevele@fm.gov.lv" TargetMode="External"/><Relationship Id="rId19" Type="http://schemas.openxmlformats.org/officeDocument/2006/relationships/hyperlink" Target="mailto:Inese.Birzniece@vid.gov.lv" TargetMode="External"/><Relationship Id="rId4" Type="http://schemas.openxmlformats.org/officeDocument/2006/relationships/webSettings" Target="webSettings.xml"/><Relationship Id="rId9" Type="http://schemas.openxmlformats.org/officeDocument/2006/relationships/hyperlink" Target="https://eur-lex.europa.eu/legal-content/EN/TXT/HTML/?uri=CELEX:61987CJ0142&amp;from=EN" TargetMode="External"/><Relationship Id="rId14" Type="http://schemas.openxmlformats.org/officeDocument/2006/relationships/hyperlink" Target="mailto:%20ilze.kreicberga@fm.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12781</Words>
  <Characters>7286</Characters>
  <Application>Microsoft Office Word</Application>
  <DocSecurity>0</DocSecurity>
  <Lines>60</Lines>
  <Paragraphs>40</Paragraphs>
  <ScaleCrop>false</ScaleCrop>
  <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Ozola</dc:creator>
  <cp:keywords/>
  <dc:description/>
  <cp:lastModifiedBy>Liene Ozola</cp:lastModifiedBy>
  <cp:revision>1</cp:revision>
  <dcterms:created xsi:type="dcterms:W3CDTF">2022-06-02T12:57:00Z</dcterms:created>
  <dcterms:modified xsi:type="dcterms:W3CDTF">2022-06-02T12:58:00Z</dcterms:modified>
</cp:coreProperties>
</file>