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A5053D7" w14:textId="77777777" w:rsidR="001D7750" w:rsidRDefault="00000000">
      <w:pPr>
        <w:spacing w:after="240"/>
        <w:jc w:val="center"/>
        <w:rPr>
          <w:b/>
        </w:rPr>
      </w:pPr>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2302"/>
        <w:gridCol w:w="6009"/>
        <w:gridCol w:w="1504"/>
        <w:gridCol w:w="4002"/>
      </w:tblGrid>
      <w:tr w:rsidR="001D7750" w14:paraId="0B65DA50" w14:textId="77777777" w:rsidTr="00B74B9A">
        <w:tc>
          <w:tcPr>
            <w:tcW w:w="750" w:type="dxa"/>
            <w:shd w:val="clear" w:color="auto" w:fill="FFFFFF"/>
            <w:noWrap/>
            <w:tcMar>
              <w:top w:w="75" w:type="dxa"/>
              <w:left w:w="75" w:type="dxa"/>
              <w:bottom w:w="75" w:type="dxa"/>
              <w:right w:w="75" w:type="dxa"/>
            </w:tcMar>
            <w:vAlign w:val="center"/>
          </w:tcPr>
          <w:p w14:paraId="66AD2191" w14:textId="77777777" w:rsidR="001D7750" w:rsidRDefault="00000000">
            <w:pPr>
              <w:jc w:val="center"/>
            </w:pPr>
            <w:proofErr w:type="spellStart"/>
            <w:r>
              <w:rPr>
                <w:b/>
              </w:rPr>
              <w:t>Nr.p.k</w:t>
            </w:r>
            <w:proofErr w:type="spellEnd"/>
            <w:r>
              <w:rPr>
                <w:b/>
              </w:rPr>
              <w:t>.</w:t>
            </w:r>
          </w:p>
        </w:tc>
        <w:tc>
          <w:tcPr>
            <w:tcW w:w="2302" w:type="dxa"/>
            <w:shd w:val="clear" w:color="auto" w:fill="FFFFFF"/>
            <w:noWrap/>
            <w:tcMar>
              <w:top w:w="75" w:type="dxa"/>
              <w:left w:w="75" w:type="dxa"/>
              <w:bottom w:w="75" w:type="dxa"/>
              <w:right w:w="75" w:type="dxa"/>
            </w:tcMar>
            <w:vAlign w:val="center"/>
          </w:tcPr>
          <w:p w14:paraId="1AED95F0" w14:textId="77777777" w:rsidR="001D7750" w:rsidRDefault="00000000">
            <w:pPr>
              <w:jc w:val="center"/>
            </w:pPr>
            <w:r>
              <w:rPr>
                <w:b/>
              </w:rPr>
              <w:t>Iebilduma / priekšlikuma iesniedzējs</w:t>
            </w:r>
          </w:p>
        </w:tc>
        <w:tc>
          <w:tcPr>
            <w:tcW w:w="6009" w:type="dxa"/>
            <w:shd w:val="clear" w:color="auto" w:fill="FFFFFF"/>
            <w:noWrap/>
            <w:tcMar>
              <w:top w:w="75" w:type="dxa"/>
              <w:left w:w="75" w:type="dxa"/>
              <w:bottom w:w="75" w:type="dxa"/>
              <w:right w:w="75" w:type="dxa"/>
            </w:tcMar>
            <w:vAlign w:val="center"/>
          </w:tcPr>
          <w:p w14:paraId="279DDEFF" w14:textId="77777777" w:rsidR="001D7750" w:rsidRDefault="00000000">
            <w:pPr>
              <w:jc w:val="center"/>
            </w:pPr>
            <w:r>
              <w:rPr>
                <w:b/>
              </w:rPr>
              <w:t>Iesniegtā iebilduma / priekšlikuma būtība</w:t>
            </w:r>
          </w:p>
        </w:tc>
        <w:tc>
          <w:tcPr>
            <w:tcW w:w="1504" w:type="dxa"/>
            <w:shd w:val="clear" w:color="auto" w:fill="FFFFFF"/>
            <w:noWrap/>
            <w:tcMar>
              <w:top w:w="75" w:type="dxa"/>
              <w:left w:w="75" w:type="dxa"/>
              <w:bottom w:w="75" w:type="dxa"/>
              <w:right w:w="75" w:type="dxa"/>
            </w:tcMar>
            <w:vAlign w:val="center"/>
          </w:tcPr>
          <w:p w14:paraId="6E80A910" w14:textId="77777777" w:rsidR="001D7750" w:rsidRDefault="00000000">
            <w:pPr>
              <w:jc w:val="center"/>
            </w:pPr>
            <w:r>
              <w:rPr>
                <w:b/>
              </w:rPr>
              <w:t>Ņemts vērā / nav ņemts vērā</w:t>
            </w:r>
          </w:p>
        </w:tc>
        <w:tc>
          <w:tcPr>
            <w:tcW w:w="4002" w:type="dxa"/>
            <w:shd w:val="clear" w:color="auto" w:fill="FFFFFF"/>
            <w:noWrap/>
            <w:tcMar>
              <w:top w:w="75" w:type="dxa"/>
              <w:left w:w="75" w:type="dxa"/>
              <w:bottom w:w="75" w:type="dxa"/>
              <w:right w:w="75" w:type="dxa"/>
            </w:tcMar>
            <w:vAlign w:val="center"/>
          </w:tcPr>
          <w:p w14:paraId="58E2AF24" w14:textId="77777777" w:rsidR="001D7750" w:rsidRDefault="00000000">
            <w:pPr>
              <w:jc w:val="center"/>
            </w:pPr>
            <w:r>
              <w:rPr>
                <w:b/>
              </w:rPr>
              <w:t>Pamatojums, ja iebildums / priekšlikums nav ņemts vērā</w:t>
            </w:r>
          </w:p>
        </w:tc>
      </w:tr>
      <w:tr w:rsidR="001D7750" w14:paraId="2F7E897F" w14:textId="77777777" w:rsidTr="00B74B9A">
        <w:tc>
          <w:tcPr>
            <w:tcW w:w="750" w:type="dxa"/>
            <w:shd w:val="clear" w:color="auto" w:fill="FFFFFF"/>
            <w:noWrap/>
            <w:tcMar>
              <w:top w:w="75" w:type="dxa"/>
              <w:left w:w="75" w:type="dxa"/>
              <w:bottom w:w="75" w:type="dxa"/>
              <w:right w:w="75" w:type="dxa"/>
            </w:tcMar>
            <w:vAlign w:val="center"/>
          </w:tcPr>
          <w:p w14:paraId="5D74E78F" w14:textId="77777777" w:rsidR="001D7750" w:rsidRDefault="00000000">
            <w:pPr>
              <w:jc w:val="center"/>
            </w:pPr>
            <w:r>
              <w:t>1.</w:t>
            </w:r>
          </w:p>
        </w:tc>
        <w:tc>
          <w:tcPr>
            <w:tcW w:w="2302" w:type="dxa"/>
            <w:shd w:val="clear" w:color="auto" w:fill="FFFFFF"/>
            <w:noWrap/>
            <w:tcMar>
              <w:top w:w="75" w:type="dxa"/>
              <w:left w:w="75" w:type="dxa"/>
              <w:bottom w:w="75" w:type="dxa"/>
              <w:right w:w="75" w:type="dxa"/>
            </w:tcMar>
            <w:vAlign w:val="center"/>
          </w:tcPr>
          <w:p w14:paraId="68E43123" w14:textId="77777777" w:rsidR="001D7750" w:rsidRDefault="00000000">
            <w:pPr>
              <w:jc w:val="left"/>
            </w:pPr>
            <w:r>
              <w:t>Latvijas Darba devēju konfederācija (LDDK)</w:t>
            </w:r>
          </w:p>
        </w:tc>
        <w:tc>
          <w:tcPr>
            <w:tcW w:w="6009" w:type="dxa"/>
            <w:shd w:val="clear" w:color="auto" w:fill="FFFFFF"/>
            <w:noWrap/>
            <w:tcMar>
              <w:top w:w="75" w:type="dxa"/>
              <w:left w:w="75" w:type="dxa"/>
              <w:bottom w:w="75" w:type="dxa"/>
              <w:right w:w="75" w:type="dxa"/>
            </w:tcMar>
            <w:vAlign w:val="center"/>
          </w:tcPr>
          <w:p w14:paraId="153E03E7" w14:textId="40374C9B" w:rsidR="001D7750" w:rsidRDefault="00000000">
            <w:pPr>
              <w:jc w:val="left"/>
            </w:pPr>
            <w:r>
              <w:t>Latvijas Darba devēju konfederācija (LDDK) izsaka pateicību Valsts izglītības satura centram (VISC) un Izglītības un zinātnes ministrijai (IZM) par konstruktīvu, labi sagatavotu un vadītu Ministru kabineta noteikumu "Nozares kvalifikāciju struktūras un profesijas standarta un tajā ietverto profesionālās kvalifikācijas prasību izstrādes un aktualizācijas kārtība" projekta (turpmāk – noteikumu projekts) izstrādes darba grupas (turpmāk – darba grupa) darbu, kā arī par atsevišķi organizētām konsultatīvām sanāksmēm ar LDDK un nozaru ekspertu padomju pārstāvjiem. Vienlaikus izsakām iebildumu un komentārus, aicinot noteikumu projektu pilnveidot.</w:t>
            </w:r>
            <w:r>
              <w:br/>
            </w:r>
            <w:r>
              <w:br/>
              <w:t xml:space="preserve">LDDK turpina uzturēt </w:t>
            </w:r>
            <w:r>
              <w:rPr>
                <w:b/>
              </w:rPr>
              <w:t xml:space="preserve">iebildumu </w:t>
            </w:r>
            <w:r>
              <w:t xml:space="preserve">pret “Nozares profesionālo kvalifikāciju līmeņa raksturojuma” iekļaušanu Nozares kvalifikāciju struktūras (NKS) veidnē (noteikumu projekta 1. pielikums). Šo iebildumu LDDK jau ir paudis gan darba grupa, gan Profesionālās izglītības un nodarbinātības trīspusējās sadarbības </w:t>
            </w:r>
            <w:proofErr w:type="spellStart"/>
            <w:r>
              <w:t>apakšpadomē</w:t>
            </w:r>
            <w:proofErr w:type="spellEnd"/>
            <w:r>
              <w:t xml:space="preserve"> (PINTSA).</w:t>
            </w:r>
            <w:r>
              <w:br/>
            </w:r>
            <w:r>
              <w:lastRenderedPageBreak/>
              <w:t>Pamatojums:</w:t>
            </w:r>
            <w:r>
              <w:br/>
              <w:t xml:space="preserve">Skaidrojam, ka no nozaru ekspertiem nozares profesionālo kvalifikācijas līmeņu apraksti nav nepieciešami, jo Latvijas kvalifikāciju </w:t>
            </w:r>
            <w:proofErr w:type="spellStart"/>
            <w:r>
              <w:t>ietvarstruktūru</w:t>
            </w:r>
            <w:proofErr w:type="spellEnd"/>
            <w:r>
              <w:t xml:space="preserve"> (LKI)  un profesionālās kvalifikācijas līmeņu izskaidro gan Izglītības likums (8.1 panta (3) daļa), gan Profesionālās izglītības likums (5.pants), gan Ministru kabineta 13.06.2017. noteikumi Nr.322 "Noteikumi par Latvijas izglītības klasifikāciju" (1.pielikuma 2.tabula).</w:t>
            </w:r>
            <w:r>
              <w:br/>
              <w:t>Ja IZM un VISC uzstāj uz profesionālo kvalifikācijas līmeņu aprakstu saglabāšanu, tad rosinām noteikumu projektu precizēt, ka par to izstrādi un aktualizāciju atbild VISC, nevis Nozares ekspertu padome vai nozares ministrija (ja attiecīgā nozares ekspertu padome nav izveidota). Loģiski būtu profesionālās kvalifikācijas līmeņu aprakstu aktualizēšanu veikt pēc profesionālās kvalifikācijas prasību (PKP) izstrādes, formulējot tos metodiski pareizi. Tā kā saskaņā ar noteikumu projektu VISC ir atbildīgs par profesionālās kvalifikācijas prasību izstrādi vai aktualizāciju un metodiskā atbalsta nodrošināšanu, arī profesionālās kvalifikācijas līmeņu apraksti ir piekritīgi VISC kompetencei.</w:t>
            </w:r>
            <w:r>
              <w:br/>
            </w:r>
            <w:r>
              <w:br/>
              <w:t>Tāpat arī LDDK sniedz šādus divus priekšlikumus:</w:t>
            </w:r>
          </w:p>
        </w:tc>
        <w:tc>
          <w:tcPr>
            <w:tcW w:w="1504" w:type="dxa"/>
            <w:shd w:val="clear" w:color="auto" w:fill="FFFFFF"/>
            <w:noWrap/>
            <w:tcMar>
              <w:top w:w="75" w:type="dxa"/>
              <w:left w:w="75" w:type="dxa"/>
              <w:bottom w:w="75" w:type="dxa"/>
              <w:right w:w="75" w:type="dxa"/>
            </w:tcMar>
            <w:vAlign w:val="center"/>
          </w:tcPr>
          <w:p w14:paraId="072875E2" w14:textId="2D187D85" w:rsidR="001D7750" w:rsidRDefault="004D5747">
            <w:pPr>
              <w:jc w:val="left"/>
            </w:pPr>
            <w:r>
              <w:lastRenderedPageBreak/>
              <w:t>Ņ</w:t>
            </w:r>
            <w:r w:rsidR="00B74B9A">
              <w:t>emts vērā</w:t>
            </w:r>
          </w:p>
        </w:tc>
        <w:tc>
          <w:tcPr>
            <w:tcW w:w="4002" w:type="dxa"/>
            <w:shd w:val="clear" w:color="auto" w:fill="FFFFFF"/>
            <w:noWrap/>
            <w:tcMar>
              <w:top w:w="75" w:type="dxa"/>
              <w:left w:w="75" w:type="dxa"/>
              <w:bottom w:w="75" w:type="dxa"/>
              <w:right w:w="75" w:type="dxa"/>
            </w:tcMar>
            <w:vAlign w:val="center"/>
          </w:tcPr>
          <w:p w14:paraId="363F2516" w14:textId="5D371793" w:rsidR="001D7750" w:rsidRDefault="00B74B9A">
            <w:pPr>
              <w:jc w:val="left"/>
            </w:pPr>
            <w:bookmarkStart w:id="0" w:name="_Hlk140234995"/>
            <w:r>
              <w:t>Lai nozares kvalifikācijas struktūrā ietilpstošās profesionālās kvalifikācijas būtu starptautiski salīdzināmas</w:t>
            </w:r>
            <w:r w:rsidR="0066082D">
              <w:t>,</w:t>
            </w:r>
            <w:r w:rsidR="004D5747">
              <w:t xml:space="preserve"> </w:t>
            </w:r>
            <w:r w:rsidR="0066082D">
              <w:t xml:space="preserve">nepieciešams </w:t>
            </w:r>
            <w:r>
              <w:t xml:space="preserve"> </w:t>
            </w:r>
            <w:r w:rsidR="004D5747">
              <w:t xml:space="preserve">saglabāt  nozares </w:t>
            </w:r>
            <w:r>
              <w:t>profesionāl</w:t>
            </w:r>
            <w:r w:rsidR="004D5747">
              <w:t>o</w:t>
            </w:r>
            <w:r>
              <w:t xml:space="preserve"> kvalifikācij</w:t>
            </w:r>
            <w:r w:rsidR="004D5747">
              <w:t>u</w:t>
            </w:r>
            <w:r>
              <w:t xml:space="preserve"> līmeņu </w:t>
            </w:r>
            <w:r w:rsidR="004D5747">
              <w:t xml:space="preserve">raksturojumu atbilstoši Latvijas kvalifikāciju </w:t>
            </w:r>
            <w:proofErr w:type="spellStart"/>
            <w:r w:rsidR="004D5747">
              <w:t>ietvarstruktūrai</w:t>
            </w:r>
            <w:proofErr w:type="spellEnd"/>
            <w:r w:rsidR="004D5747">
              <w:t xml:space="preserve">, tāpēc </w:t>
            </w:r>
            <w:r>
              <w:t>noteikumu projekt</w:t>
            </w:r>
            <w:r w:rsidR="004D5747">
              <w:t xml:space="preserve">a 1.pielikums </w:t>
            </w:r>
            <w:r>
              <w:t xml:space="preserve"> precizēt</w:t>
            </w:r>
            <w:r w:rsidR="004D5747">
              <w:t>s</w:t>
            </w:r>
            <w:r>
              <w:t xml:space="preserve">, </w:t>
            </w:r>
            <w:r w:rsidR="004D5747">
              <w:t xml:space="preserve">pievienojot piezīmi un nosakot, </w:t>
            </w:r>
            <w:r>
              <w:t xml:space="preserve">ka </w:t>
            </w:r>
            <w:r w:rsidR="004D5747">
              <w:t xml:space="preserve">šo sadaļu </w:t>
            </w:r>
            <w:r w:rsidR="004D5747" w:rsidRPr="004D5747">
              <w:rPr>
                <w:i/>
                <w:iCs/>
              </w:rPr>
              <w:t>atbilstoši nozares ekspertu padomes priekšlikumiem izstrādā un aktualizē centrs</w:t>
            </w:r>
            <w:r w:rsidR="004D5747">
              <w:rPr>
                <w:i/>
                <w:iCs/>
              </w:rPr>
              <w:t>.</w:t>
            </w:r>
            <w:bookmarkEnd w:id="0"/>
          </w:p>
        </w:tc>
      </w:tr>
      <w:tr w:rsidR="00B74B9A" w14:paraId="5A3E29FF" w14:textId="77777777" w:rsidTr="00B74B9A">
        <w:tc>
          <w:tcPr>
            <w:tcW w:w="750" w:type="dxa"/>
            <w:shd w:val="clear" w:color="auto" w:fill="FFFFFF"/>
            <w:noWrap/>
            <w:tcMar>
              <w:top w:w="75" w:type="dxa"/>
              <w:left w:w="75" w:type="dxa"/>
              <w:bottom w:w="75" w:type="dxa"/>
              <w:right w:w="75" w:type="dxa"/>
            </w:tcMar>
            <w:vAlign w:val="center"/>
          </w:tcPr>
          <w:p w14:paraId="07849920" w14:textId="77777777" w:rsidR="00B74B9A" w:rsidRDefault="00B74B9A">
            <w:pPr>
              <w:jc w:val="center"/>
            </w:pPr>
          </w:p>
        </w:tc>
        <w:tc>
          <w:tcPr>
            <w:tcW w:w="2302" w:type="dxa"/>
            <w:shd w:val="clear" w:color="auto" w:fill="FFFFFF"/>
            <w:noWrap/>
            <w:tcMar>
              <w:top w:w="75" w:type="dxa"/>
              <w:left w:w="75" w:type="dxa"/>
              <w:bottom w:w="75" w:type="dxa"/>
              <w:right w:w="75" w:type="dxa"/>
            </w:tcMar>
            <w:vAlign w:val="center"/>
          </w:tcPr>
          <w:p w14:paraId="04F30831" w14:textId="77777777" w:rsidR="00B74B9A" w:rsidRDefault="00B74B9A">
            <w:pPr>
              <w:jc w:val="left"/>
            </w:pPr>
          </w:p>
        </w:tc>
        <w:tc>
          <w:tcPr>
            <w:tcW w:w="6009" w:type="dxa"/>
            <w:shd w:val="clear" w:color="auto" w:fill="FFFFFF"/>
            <w:noWrap/>
            <w:tcMar>
              <w:top w:w="75" w:type="dxa"/>
              <w:left w:w="75" w:type="dxa"/>
              <w:bottom w:w="75" w:type="dxa"/>
              <w:right w:w="75" w:type="dxa"/>
            </w:tcMar>
            <w:vAlign w:val="center"/>
          </w:tcPr>
          <w:p w14:paraId="7A8DEFAD" w14:textId="3D371EE6" w:rsidR="00B74B9A" w:rsidRDefault="00B74B9A">
            <w:pPr>
              <w:jc w:val="left"/>
            </w:pPr>
            <w:r>
              <w:rPr>
                <w:b/>
              </w:rPr>
              <w:t>1. priekšlikums.</w:t>
            </w:r>
            <w:r>
              <w:br/>
              <w:t>Aicinām izvērtēt, vai administratīvā sloga mazināšanas nolūkā noteikumu projektā nav jāparedz procedūra maznozīmīgu izmaiņu veikšanā NKS un PKP bez PINTSA saskaņošanas. Piemēram, 2018. gada 11. decembra Ministru kabineta noteikumi Nr. 793 "Studiju virzienu atvēršanas un akreditācijas noteikumi" paredz, ka līdz 20% no izmaiņām augstskolas var veikt bez Akreditācijas komisijas lēmuma par veikto izmaiņu pieļaujamību studiju virzienā.</w:t>
            </w:r>
            <w:r>
              <w:br/>
            </w:r>
            <w:r>
              <w:br/>
              <w:t>Sniedzam piemēru iespējamām nebūtiskām izmaiņām:</w:t>
            </w:r>
            <w:r>
              <w:br/>
              <w:t>1) NKS: profesijas citi nosaukumi, t.sk. svešvalodā, starptautiskās klasifikācijas kodu aktualizēšana, ja par to ir saņemts NEP iesniegums;</w:t>
            </w:r>
            <w:r>
              <w:br/>
              <w:t>2) PKP: nosaukuma maiņa (īpaši, ja tiek precizēts termins, nevis būtība), ja tāds ir NEP iesniegumā un Obligāti piemērojamo PK MK noteikumos. Piemēram, ja PINTSA saskaņo izmaiņas NKS un attiecīgais PKP nosaukums tiek iekļauts MK noteikumos, attiecīgās izmaiņas PKP netiek veiktas automātiski. Šādos gadījumos vajadzētu noteikt kārtību, ja nosaukums tiek mainīts NKS, tad automātiski tiek mainīts arī PKP un nav nepieciešama vēl kāda cita birokrātiska procedūra.</w:t>
            </w:r>
            <w:r>
              <w:br/>
              <w:t xml:space="preserve">3) PKP: Terminu precizēšana, satura aktualizēšana </w:t>
            </w:r>
            <w:r>
              <w:lastRenderedPageBreak/>
              <w:t>profesionālo zināšanu un kompetenču sadaļā, ja tās apjoms nepārsniedz 10% un par to ir saņemts NEP atzinums. Vispārējo zināšanu un kompetenču satura aktualizēšana, ja nepārsniedz 10%.</w:t>
            </w:r>
          </w:p>
        </w:tc>
        <w:tc>
          <w:tcPr>
            <w:tcW w:w="1504" w:type="dxa"/>
            <w:shd w:val="clear" w:color="auto" w:fill="FFFFFF"/>
            <w:noWrap/>
            <w:tcMar>
              <w:top w:w="75" w:type="dxa"/>
              <w:left w:w="75" w:type="dxa"/>
              <w:bottom w:w="75" w:type="dxa"/>
              <w:right w:w="75" w:type="dxa"/>
            </w:tcMar>
            <w:vAlign w:val="center"/>
          </w:tcPr>
          <w:p w14:paraId="3230C2AC" w14:textId="360B58A7" w:rsidR="00B74B9A" w:rsidRDefault="004D5747">
            <w:pPr>
              <w:jc w:val="left"/>
            </w:pPr>
            <w:r>
              <w:lastRenderedPageBreak/>
              <w:t>Ņemts vērā</w:t>
            </w:r>
          </w:p>
        </w:tc>
        <w:tc>
          <w:tcPr>
            <w:tcW w:w="4002" w:type="dxa"/>
            <w:shd w:val="clear" w:color="auto" w:fill="FFFFFF"/>
            <w:noWrap/>
            <w:tcMar>
              <w:top w:w="75" w:type="dxa"/>
              <w:left w:w="75" w:type="dxa"/>
              <w:bottom w:w="75" w:type="dxa"/>
              <w:right w:w="75" w:type="dxa"/>
            </w:tcMar>
            <w:vAlign w:val="center"/>
          </w:tcPr>
          <w:p w14:paraId="43CFED70" w14:textId="166102CC" w:rsidR="00CA16A1" w:rsidRPr="004D5747" w:rsidRDefault="0022158F" w:rsidP="004D5747">
            <w:r>
              <w:t>Centrs sadarbībā ar LDDK un NEP ESF projekta 4229 ietvaros</w:t>
            </w:r>
            <w:r w:rsidR="003E5883">
              <w:t>,</w:t>
            </w:r>
            <w:r>
              <w:t xml:space="preserve"> veidojot digitālo platformu “e-PKS” un </w:t>
            </w:r>
            <w:r w:rsidR="00A32D62">
              <w:t xml:space="preserve">tajā </w:t>
            </w:r>
            <w:r>
              <w:t>ietilpstoš</w:t>
            </w:r>
            <w:r w:rsidR="00A32D62">
              <w:t>os</w:t>
            </w:r>
            <w:r>
              <w:t xml:space="preserve"> elementus</w:t>
            </w:r>
            <w:r w:rsidR="00A32D62">
              <w:t>,</w:t>
            </w:r>
            <w:r>
              <w:t xml:space="preserve"> vienosies par </w:t>
            </w:r>
            <w:r w:rsidR="00CA16A1" w:rsidRPr="004D5747">
              <w:t>procesu automatizāciju</w:t>
            </w:r>
            <w:r>
              <w:t xml:space="preserve"> izmaiņu veikšanai</w:t>
            </w:r>
            <w:r w:rsidR="00CA16A1" w:rsidRPr="004D5747">
              <w:t>,</w:t>
            </w:r>
            <w:r w:rsidR="00A32D62">
              <w:t xml:space="preserve"> informācijas atjaunošanai</w:t>
            </w:r>
            <w:r w:rsidR="003E5883">
              <w:t>,</w:t>
            </w:r>
            <w:r w:rsidR="00CA16A1" w:rsidRPr="004D5747">
              <w:t xml:space="preserve"> piem., ja tiek mainīts kvalifikācijas nosaukums NKS</w:t>
            </w:r>
            <w:r w:rsidR="00A32D62">
              <w:t xml:space="preserve"> bez satura </w:t>
            </w:r>
            <w:r w:rsidR="003E5883">
              <w:t>izmainām</w:t>
            </w:r>
            <w:r w:rsidR="00CA16A1" w:rsidRPr="004D5747">
              <w:t>, tas automātiski mainās arī PKP, vai</w:t>
            </w:r>
            <w:r w:rsidR="003E5883">
              <w:t>,</w:t>
            </w:r>
            <w:r w:rsidR="00CA16A1" w:rsidRPr="004D5747">
              <w:t xml:space="preserve"> ja </w:t>
            </w:r>
            <w:r w:rsidR="003E5883">
              <w:t>nozaru ekspertu padome</w:t>
            </w:r>
            <w:r w:rsidR="00CA16A1" w:rsidRPr="004D5747">
              <w:t xml:space="preserve"> aktualizē</w:t>
            </w:r>
            <w:r w:rsidR="003E5883">
              <w:t xml:space="preserve"> </w:t>
            </w:r>
            <w:r w:rsidR="003E5883" w:rsidRPr="004D5747">
              <w:t xml:space="preserve">NKS </w:t>
            </w:r>
            <w:r w:rsidR="00CA16A1" w:rsidRPr="004D5747">
              <w:t>norād</w:t>
            </w:r>
            <w:r w:rsidR="003E5883">
              <w:t>ot</w:t>
            </w:r>
            <w:r w:rsidR="00CA16A1" w:rsidRPr="004D5747">
              <w:t xml:space="preserve"> papildu ESCO kodu, to var ielikt </w:t>
            </w:r>
            <w:r w:rsidR="003E5883">
              <w:t xml:space="preserve">centrs </w:t>
            </w:r>
            <w:r>
              <w:t>sistēmā</w:t>
            </w:r>
            <w:r w:rsidR="00CA16A1" w:rsidRPr="004D5747">
              <w:t>.</w:t>
            </w:r>
          </w:p>
          <w:p w14:paraId="13A92005" w14:textId="77777777" w:rsidR="00B74B9A" w:rsidRDefault="00B74B9A">
            <w:pPr>
              <w:jc w:val="left"/>
            </w:pPr>
          </w:p>
        </w:tc>
      </w:tr>
      <w:tr w:rsidR="00B74B9A" w14:paraId="7B127D52" w14:textId="77777777" w:rsidTr="00B74B9A">
        <w:tc>
          <w:tcPr>
            <w:tcW w:w="750" w:type="dxa"/>
            <w:shd w:val="clear" w:color="auto" w:fill="FFFFFF"/>
            <w:noWrap/>
            <w:tcMar>
              <w:top w:w="75" w:type="dxa"/>
              <w:left w:w="75" w:type="dxa"/>
              <w:bottom w:w="75" w:type="dxa"/>
              <w:right w:w="75" w:type="dxa"/>
            </w:tcMar>
            <w:vAlign w:val="center"/>
          </w:tcPr>
          <w:p w14:paraId="6316495E" w14:textId="77777777" w:rsidR="00B74B9A" w:rsidRDefault="00B74B9A">
            <w:pPr>
              <w:jc w:val="center"/>
            </w:pPr>
          </w:p>
        </w:tc>
        <w:tc>
          <w:tcPr>
            <w:tcW w:w="2302" w:type="dxa"/>
            <w:shd w:val="clear" w:color="auto" w:fill="FFFFFF"/>
            <w:noWrap/>
            <w:tcMar>
              <w:top w:w="75" w:type="dxa"/>
              <w:left w:w="75" w:type="dxa"/>
              <w:bottom w:w="75" w:type="dxa"/>
              <w:right w:w="75" w:type="dxa"/>
            </w:tcMar>
            <w:vAlign w:val="center"/>
          </w:tcPr>
          <w:p w14:paraId="69099342" w14:textId="77777777" w:rsidR="00B74B9A" w:rsidRDefault="00B74B9A">
            <w:pPr>
              <w:jc w:val="left"/>
            </w:pPr>
          </w:p>
        </w:tc>
        <w:tc>
          <w:tcPr>
            <w:tcW w:w="6009" w:type="dxa"/>
            <w:shd w:val="clear" w:color="auto" w:fill="FFFFFF"/>
            <w:noWrap/>
            <w:tcMar>
              <w:top w:w="75" w:type="dxa"/>
              <w:left w:w="75" w:type="dxa"/>
              <w:bottom w:w="75" w:type="dxa"/>
              <w:right w:w="75" w:type="dxa"/>
            </w:tcMar>
            <w:vAlign w:val="center"/>
          </w:tcPr>
          <w:p w14:paraId="2F632B56" w14:textId="0A600141" w:rsidR="00B74B9A" w:rsidRDefault="00B74B9A">
            <w:pPr>
              <w:jc w:val="left"/>
            </w:pPr>
            <w:r>
              <w:rPr>
                <w:b/>
              </w:rPr>
              <w:t>2. priekšlikums.</w:t>
            </w:r>
            <w:r>
              <w:br/>
              <w:t>Ņemot vērā, ka šis noteikumu projekts ir saturiski saistīts ar Ministru kabineta noteikumu projektu "Profesionālo kvalifikāciju saraksts, kurām obligāti piemērojamas profesijas standartā ietvertās attiecīgās profesionālās kvalifikācijas prasības, un profesionālās kvalifikācijas prasību publiskošanas kārtība", aicinām abus MK noteikumus saskaņot un nepieciešamības gadījumā precizēt savstarpēji saskaņoti.</w:t>
            </w:r>
            <w:r>
              <w:br/>
            </w:r>
            <w:r>
              <w:br/>
            </w:r>
          </w:p>
        </w:tc>
        <w:tc>
          <w:tcPr>
            <w:tcW w:w="1504" w:type="dxa"/>
            <w:shd w:val="clear" w:color="auto" w:fill="FFFFFF"/>
            <w:noWrap/>
            <w:tcMar>
              <w:top w:w="75" w:type="dxa"/>
              <w:left w:w="75" w:type="dxa"/>
              <w:bottom w:w="75" w:type="dxa"/>
              <w:right w:w="75" w:type="dxa"/>
            </w:tcMar>
            <w:vAlign w:val="center"/>
          </w:tcPr>
          <w:p w14:paraId="0A824C5A" w14:textId="197D556E" w:rsidR="00B74B9A" w:rsidRDefault="003E5883">
            <w:pPr>
              <w:jc w:val="left"/>
            </w:pPr>
            <w:r>
              <w:t>Ņemts vērā</w:t>
            </w:r>
          </w:p>
        </w:tc>
        <w:tc>
          <w:tcPr>
            <w:tcW w:w="4002" w:type="dxa"/>
            <w:shd w:val="clear" w:color="auto" w:fill="FFFFFF"/>
            <w:noWrap/>
            <w:tcMar>
              <w:top w:w="75" w:type="dxa"/>
              <w:left w:w="75" w:type="dxa"/>
              <w:bottom w:w="75" w:type="dxa"/>
              <w:right w:w="75" w:type="dxa"/>
            </w:tcMar>
            <w:vAlign w:val="center"/>
          </w:tcPr>
          <w:p w14:paraId="43B7BE76" w14:textId="028480A9" w:rsidR="00B74B9A" w:rsidRPr="00747D1A" w:rsidRDefault="003E5883" w:rsidP="003E5883">
            <w:pPr>
              <w:pStyle w:val="paragraphheader"/>
              <w:contextualSpacing w:val="0"/>
            </w:pPr>
            <w:r w:rsidRPr="00747D1A">
              <w:t xml:space="preserve">Salāgots saturs starp </w:t>
            </w:r>
            <w:r w:rsidR="00747D1A" w:rsidRPr="00747D1A">
              <w:t>Ministru kabineta</w:t>
            </w:r>
            <w:r w:rsidRPr="00747D1A">
              <w:t xml:space="preserve"> noteikumu </w:t>
            </w:r>
            <w:r w:rsidR="00747D1A" w:rsidRPr="00747D1A">
              <w:t>projektu “</w:t>
            </w:r>
            <w:r w:rsidRPr="00747D1A">
              <w:t>Nozares kvalifikāciju struktūras un profesijas standarta un tajā ietverto profesionālās kvalifikācijas prasību izstrādes un aktualizācijas kārtība</w:t>
            </w:r>
            <w:r w:rsidR="00747D1A" w:rsidRPr="00747D1A">
              <w:t>”</w:t>
            </w:r>
            <w:r w:rsidR="00F744A0">
              <w:t xml:space="preserve"> </w:t>
            </w:r>
            <w:r w:rsidRPr="00747D1A">
              <w:t>(23-TA-945) un Ministru kabineta noteikumu projektu "Profesionālo kvalifikāciju saraksts, kurām obligāti piemērojamas profesijas standartā ietvertās attiecīgās profesionālās kvalifikācijas prasības, un profesionālās kvalifikācijas prasību publiskošanas kārtība"</w:t>
            </w:r>
            <w:r w:rsidR="00747D1A" w:rsidRPr="00747D1A">
              <w:t xml:space="preserve"> (23-TA-278)</w:t>
            </w:r>
          </w:p>
        </w:tc>
      </w:tr>
    </w:tbl>
    <w:p w14:paraId="246D9213" w14:textId="77777777" w:rsidR="008C0B87" w:rsidRDefault="008C0B87"/>
    <w:sectPr w:rsidR="008C0B87">
      <w:headerReference w:type="even" r:id="rId7"/>
      <w:headerReference w:type="default" r:id="rId8"/>
      <w:footerReference w:type="even" r:id="rId9"/>
      <w:footerReference w:type="default" r:id="rId10"/>
      <w:headerReference w:type="first" r:id="rId11"/>
      <w:footerReference w:type="first" r:id="rId12"/>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15326" w14:textId="77777777" w:rsidR="00376A1F" w:rsidRDefault="00376A1F">
      <w:r>
        <w:separator/>
      </w:r>
    </w:p>
  </w:endnote>
  <w:endnote w:type="continuationSeparator" w:id="0">
    <w:p w14:paraId="2A034330" w14:textId="77777777" w:rsidR="00376A1F" w:rsidRDefault="00376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panose1 w:val="00000000000000000000"/>
    <w:charset w:val="4D"/>
    <w:family w:val="auto"/>
    <w:pitch w:val="variable"/>
    <w:sig w:usb0="A00002FF" w:usb1="7800205A" w:usb2="14600000" w:usb3="00000000" w:csb0="00000193"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1BAA3" w14:textId="77777777" w:rsidR="00297CE1" w:rsidRDefault="00297C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383F8" w14:textId="77777777" w:rsidR="001D7750" w:rsidRDefault="00000000">
    <w:pPr>
      <w:jc w:val="right"/>
    </w:pPr>
    <w:r>
      <w:rPr>
        <w:sz w:val="24"/>
        <w:szCs w:val="24"/>
      </w:rPr>
      <w:fldChar w:fldCharType="begin"/>
    </w:r>
    <w:r>
      <w:rPr>
        <w:sz w:val="24"/>
        <w:szCs w:val="24"/>
      </w:rPr>
      <w:instrText>PAGE</w:instrText>
    </w:r>
    <w:r>
      <w:rPr>
        <w:sz w:val="24"/>
        <w:szCs w:val="24"/>
      </w:rPr>
      <w:fldChar w:fldCharType="separate"/>
    </w:r>
    <w:r w:rsidR="00B74B9A">
      <w:rPr>
        <w:noProof/>
        <w:sz w:val="24"/>
        <w:szCs w:val="24"/>
      </w:rPr>
      <w:t>2</w:t>
    </w:r>
    <w:r>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816CE" w14:textId="77777777" w:rsidR="00DF0B37"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24966" w14:textId="77777777" w:rsidR="00376A1F" w:rsidRDefault="00376A1F">
      <w:r>
        <w:separator/>
      </w:r>
    </w:p>
  </w:footnote>
  <w:footnote w:type="continuationSeparator" w:id="0">
    <w:p w14:paraId="017656DE" w14:textId="77777777" w:rsidR="00376A1F" w:rsidRDefault="00376A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93950" w14:textId="77777777" w:rsidR="00297CE1" w:rsidRDefault="00297C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F741C" w14:textId="77777777" w:rsidR="001D7750" w:rsidRDefault="00000000">
    <w:pPr>
      <w:pStyle w:val="Header"/>
      <w:contextualSpacing w:val="0"/>
    </w:pPr>
    <w:r>
      <w:t>Viedokļu pārskats 23-TA-945</w:t>
    </w:r>
    <w:r>
      <w:br/>
      <w:t>Izdrukāts 20.06.2023. 07.45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929A6" w14:textId="77777777" w:rsidR="001D7750" w:rsidRDefault="00000000">
    <w:pPr>
      <w:pStyle w:val="Header"/>
      <w:contextualSpacing w:val="0"/>
    </w:pPr>
    <w:r>
      <w:t>Viedokļu pārskats 23-TA-945</w:t>
    </w:r>
    <w:r>
      <w:br/>
      <w:t>Izdrukāts 20.06.2023. 07.45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9E7DE9"/>
    <w:multiLevelType w:val="hybridMultilevel"/>
    <w:tmpl w:val="834444C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4199078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1D7750"/>
    <w:rsid w:val="001D7750"/>
    <w:rsid w:val="0022158F"/>
    <w:rsid w:val="00297CE1"/>
    <w:rsid w:val="00376A1F"/>
    <w:rsid w:val="003E5883"/>
    <w:rsid w:val="004D5747"/>
    <w:rsid w:val="0066082D"/>
    <w:rsid w:val="00747D1A"/>
    <w:rsid w:val="008C0B87"/>
    <w:rsid w:val="00A32D62"/>
    <w:rsid w:val="00B74B9A"/>
    <w:rsid w:val="00CA16A1"/>
    <w:rsid w:val="00DF0B37"/>
    <w:rsid w:val="00EB75A7"/>
    <w:rsid w:val="00F74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9B179"/>
  <w15:docId w15:val="{9DB8F886-1B71-497C-848E-1CD2F2ECF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CA16A1"/>
    <w:pPr>
      <w:spacing w:before="100" w:beforeAutospacing="1" w:after="100" w:afterAutospacing="1"/>
      <w:jc w:val="left"/>
    </w:pPr>
    <w:rPr>
      <w:rFonts w:ascii="Calibri" w:eastAsiaTheme="minorHAnsi" w:hAnsi="Calibri" w:cs="Calibri"/>
      <w:color w:val="auto"/>
      <w:sz w:val="22"/>
      <w:szCs w:val="22"/>
      <w:lang w:val="en-US"/>
    </w:rPr>
  </w:style>
  <w:style w:type="paragraph" w:styleId="Footer">
    <w:name w:val="footer"/>
    <w:basedOn w:val="Normal"/>
    <w:link w:val="FooterChar"/>
    <w:uiPriority w:val="99"/>
    <w:unhideWhenUsed/>
    <w:rsid w:val="00297CE1"/>
    <w:pPr>
      <w:tabs>
        <w:tab w:val="center" w:pos="4513"/>
        <w:tab w:val="right" w:pos="9026"/>
      </w:tabs>
    </w:pPr>
  </w:style>
  <w:style w:type="character" w:customStyle="1" w:styleId="FooterChar">
    <w:name w:val="Footer Char"/>
    <w:basedOn w:val="DefaultParagraphFont"/>
    <w:link w:val="Footer"/>
    <w:uiPriority w:val="99"/>
    <w:rsid w:val="00297C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824</Words>
  <Characters>4700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viedoklu_parskats_23-TA-945.docx</vt:lpstr>
    </vt:vector>
  </TitlesOfParts>
  <Company/>
  <LinksUpToDate>false</LinksUpToDate>
  <CharactersWithSpaces>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viedoklu_parskats_23-TA-945.docx</dc:title>
  <cp:lastModifiedBy>Sintija Sējēja</cp:lastModifiedBy>
  <cp:revision>6</cp:revision>
  <dcterms:created xsi:type="dcterms:W3CDTF">2023-07-14T09:48:00Z</dcterms:created>
  <dcterms:modified xsi:type="dcterms:W3CDTF">2023-07-31T10:00:00Z</dcterms:modified>
</cp:coreProperties>
</file>