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„Latvijas Nacionālais teātris” peļņas daļu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5.kolonnā “izmaiņas, salīdzinot ar vidēja termiņa budžeta ietvaru” ietvertais finansējums norādāms ar “-”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anotācijas III. sadaļas 5.kolonnas 1.1.rindkopā: „-4 081”.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5.1.apakšpunktā “valsts pamatbudžets” ietvertais finansējums ir norādāms atbilstoši 5.punktā “Precizēta finansiālā ietekme” norādītajam, tajā skaitā 5.kolonnā “izmaiņas, salīdzinot ar vidēja termiņa budžeta ietvaru” finansējumu norādot ar “-”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III. sadaļas 8.kolonna, kā arī 5. un 5.1. rindkopa.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papildināma sadaļa “Cita informācija”, skaidrojot III sadaļas 1., 1.1., 3., 3.1., un 5.punktā norādītās finansējuma izmaiņas 2022. – 2024.gadam.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III. sadaļas 8.punkts „Cita informācija”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gadījumā 2022.gadā valsts budžets negūs ieņēmumus 2 716 euro apmērā, 2023.gadā 4 081 euro apmērā, 2024.gadā 15 799 euro apmērā un 2025.gadā 17 445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Komerclikums, ne uz tā pamata izdotie normatīvie akti neietver terminu </w:t>
            </w:r>
            <w:r w:rsidR="00000000" w:rsidRPr="00000000" w:rsidDel="00000000">
              <w:rPr>
                <w:i w:val="1"/>
                <w:rtl w:val="0"/>
              </w:rPr>
              <w:t xml:space="preserve">tīrā peļņa</w:t>
            </w:r>
            <w:r w:rsidR="00000000" w:rsidRPr="00000000" w:rsidDel="00000000">
              <w:rPr>
                <w:rtl w:val="0"/>
              </w:rPr>
              <w:t xml:space="preserve">, tad lūgums izvērtēt tiesību akta projekta anotācijā risinājumu apraksta daļā</w:t>
            </w:r>
            <w:r w:rsidR="00000000" w:rsidRPr="00000000" w:rsidDel="00000000">
              <w:rPr>
                <w:i w:val="1"/>
                <w:rtl w:val="0"/>
              </w:rPr>
              <w:t xml:space="preserve"> </w:t>
            </w:r>
            <w:r w:rsidR="00000000" w:rsidRPr="00000000" w:rsidDel="00000000">
              <w:rPr>
                <w:rtl w:val="0"/>
              </w:rPr>
              <w:t xml:space="preserve">izmantotā termina </w:t>
            </w:r>
            <w:r w:rsidR="00000000" w:rsidRPr="00000000" w:rsidDel="00000000">
              <w:rPr>
                <w:i w:val="1"/>
                <w:rtl w:val="0"/>
              </w:rPr>
              <w:t xml:space="preserve">tīrā peļņa</w:t>
            </w:r>
            <w:r w:rsidR="00000000" w:rsidRPr="00000000" w:rsidDel="00000000">
              <w:rPr>
                <w:rtl w:val="0"/>
              </w:rPr>
              <w:t xml:space="preserve"> aizstāšanu ar likumā noteiktu terminu.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r w:rsidR="00000000" w:rsidRPr="00000000" w:rsidDel="00000000">
              <w:rPr>
                <w:i w:val="1"/>
                <w:rtl w:val="0"/>
              </w:rPr>
              <w:t xml:space="preserve">pārskata gada peļņa</w:t>
            </w:r>
            <w:r w:rsidR="00000000" w:rsidRPr="00000000" w:rsidDel="00000000">
              <w:rPr>
                <w:rtl w:val="0"/>
              </w:rPr>
              <w:t xml:space="preserve"> vai </w:t>
            </w:r>
            <w:r w:rsidR="00000000" w:rsidRPr="00000000" w:rsidDel="00000000">
              <w:rPr>
                <w:i w:val="1"/>
                <w:rtl w:val="0"/>
              </w:rPr>
              <w:t xml:space="preserve">pārskata gada peļņa pēc likumā noteikto nodokļu nomaksas </w:t>
            </w:r>
            <w:r w:rsidR="00000000" w:rsidRPr="00000000" w:rsidDel="00000000">
              <w:rPr>
                <w:rtl w:val="0"/>
              </w:rPr>
              <w:t xml:space="preserve">(saskaņā ar Komerclikuma un Publiskas personas kapitāla daļu un kapitālsabiedrību pārvaldības likuma normām).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sadaļā „Risinājumu apraksts” termins „tīrā peļņa” aizstāts ar terminu „pārskata gada peļņa”.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veicot dividenžu maksājumus uzņēmumu ienākuma nodoklis tiek aprēķināts un nomaksāts uzņēmumu ienākuma nodokli regulējošos normatīvajos aktos noteiktajā kārtībā, lūdzam sadaļā cita informācija norādīt, ka lēmums par peļņas atstāšanu kapitālsabiedrības rīcībā samazinās arī uzņēmuma ienākuma nodokļa maksājumus.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III. sadaļas 8.punkts „Cita informācija”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veicot dividenžu maksājumus, uzņēmumu ienākuma nodoklis tiek aprēķināts un nomaksāts uzņēmumu ienākuma nodokli regulējošos normatīvajos aktos noteiktajā kārtībā, lēmums par peļņas atstāšanu kapitālsabiedrības rīcībā samazinās arī uzņēmuma ienākuma nodokļa maksājumus.”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anotācijā norādītās summas - "ieguldījumi skaņas tehnikas iegādes izdevumu segšanai 5 000 euro apmērā, no kuriem 2 716 euro apmērā plānots segt no dividendēm, bet pārējo summu no pašu ieņēmumiem, un gaismas tehnikas iegādes izdevumu segšanai 32 000 euro apmērā, no kuriem 19 880 euro apmērā plānots segt no dividendēm" - ar Valsts sabiedrības ar ierobežotu atbildību „Latvijas Nacionālais teātris” vidēja termiņa darbības stratēģiju 2022. – 2024.gadam (turmpāk - Stratēģija). PKC nav pieejama pēdējā Stratēģijas projekta versija.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norādītie ieguldījumi atbilst Stratēģijā norādītajām summām. Stratēģija 2022.gada 13.jūlijā nosūtīta Pārresoru koordinācijas centram.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sadaļā Problēmas apraksts uzrādītais kopējais ieguldījumu apmērs, ko paredzēts segt no kapitālsabiedrībai atstātās peļņas vidēja termiņa darbības stratēģijas periodā ir 22 596 EUR, kas atšķiras no anotācijas nākamajās sadaļās minētajām summām, jo pievienots 2025. gads, t.i., gads par kuru nav izstrādāta vidēja termiņa darbības stratēģija un kas nav minēts rīkojuma projektā. Ierosinām koriģēt summas anotācijas 3.punktā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anotācijas III. sadaļā norādītās summas 2025.gadam un 8.kolonnas 1., 3., 5. un 4.1.rinda.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iekļautās informācijas atbilstību faktam, ka "Kapitālsabiedrība papildus investīcijas teātra tehniskās un tehnoloģiskās bāzes pilnveidošanā veic pēc pārpalikuma vai ārkārtas principa, jo līdzšinējais valsts finansējums nav pietiekams investīcijām materiāli tehniskā procesa darbībā, kas nepieciešams kapitālsabiedrības attīstībai un skatuves tehnikas modernizēšanai." Kapitālsabiedrības 2021.gada pārskatā ir norādīts, ka 2021.gadā pamatlīdzekļu nolietojuma uzkrājums ir tikai 111,6 tūkst. EUR, bet pamatlīdzekļu un nemateriālo ieguldījumu iegāde ir veikta 147,9 tūkst. EUR apmērā, kas liecina, ka pamatlīdzekļu atjaunošana ir notikusi pat lielākā apjomā, kā uzkrāts nolietojums.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„Problēmas apraksts”, svītrojot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papildus investīcijas teātra tehniskās un tehnoloģiskās bāzes pilnveidošanā veic pēc pārpalikuma vai ārkārtas principa, jo līdzšinējais valsts finansējums nav pietiekams investīcijām materiāli tehniskā procesa darbībā, kas nepieciešams kapitālsabiedrības attīstībai un skatuves tehnikas modernizēšanai.”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22-TA-1628</w:t>
    </w:r>
    <w:r>
      <w:br/>
    </w:r>
    <w:r w:rsidR="00000000" w:rsidRPr="00000000" w:rsidDel="00000000">
      <w:rPr>
        <w:rtl w:val="0"/>
      </w:rPr>
      <w:t xml:space="preserve">02.08.2022. 18.03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22-TA-1628</w:t>
    </w:r>
    <w:r>
      <w:br/>
    </w:r>
    <w:r w:rsidR="00000000" w:rsidRPr="00000000" w:rsidDel="00000000">
      <w:rPr>
        <w:rtl w:val="0"/>
      </w:rPr>
      <w:t xml:space="preserve">02.08.2022. 18.03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Izziņa_22-TA-1628.docx</dc:title>
</cp:coreProperties>
</file>

<file path=docProps/custom.xml><?xml version="1.0" encoding="utf-8"?>
<Properties xmlns="http://schemas.openxmlformats.org/officeDocument/2006/custom-properties" xmlns:vt="http://schemas.openxmlformats.org/officeDocument/2006/docPropsVTypes"/>
</file>