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februāra noteikumos Nr. 60 "Kārtība, kādā piešķir valsts un Eiropas Savienības atbalstu pasākumam "Ražotāju grupu un organizāciju izveide""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(13.05.2022.)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20.04.2026. 09:13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vai grozījumos paredzētais, ka pasākuma "Ražotāju grupu un organizāciju izveide" 2014.-2020.gada plānošanas periodā apstiprinātiem projektiem maksājumi tiek veikti no 2023.–2027. gada plānošanas perioda finansējuma, atbilst arī Eiropas Savienības prasībām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Noteikumu projektā paredzētais risinājums atbilst Eiropas Savienības regulējumam, jo kopējās lauksaimniecības politikas ietvaros atbalsta pasākumi tiek īstenoti, balstoties uz daudzgadu saistībām, nodrošinot intervenču nepārtrauktību starp plānošanas periodiem. Saskaņā ar Eiropas Parlamenta un Padomes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dalībvalstis īsteno stratēģiskos plānus, nodrošinot atbalsta pasākumu nepārtrauktību un jau uzņemto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18:15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 februāra noteikumos Nr. 60 "Kārtība, kādā piešķir valsts un Eiropas Savienības atbalstu pasākumam "Ražotāju grupu un organizāciju izveide"" (Latvijas Vēstnesis, 2015, 30., 203. nr.; 2016, 39. nr.; 2018, 84., 118. nr.; 2019, 216. nr.; 2021, 165. nr.; 2022, 91.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saistībā ar noteikumu projektā ierosinātiem grozījumiem, kas paredz maksājumus 2026. un 2027. gadā finansēt no Latvijas Kopējās lauksaimniecības politikas stratēģiskā plāna 2023.–2027. gadam intervences “Ražotāju grupu un organizāciju izveide” publiskā finansējuma, nav attiecīgi jāpiedāvā grozījumi arī Ministru kabineta 2015. gada 3. februāra noteikumu Nr. 60 "Kārtība, kādā piešķir valsts un Eiropas Savienības atbalstu pasākumam "Ražotāju grupu un organizāciju izveide"" 2.punktā, kas šobrīd nosaka, ka projekti īstenojami 2014.–2020. gada plānošanas periodā un pārejas periodā 2021. un 2022. gadā, vienlaikus pārskatot un izvērtējot arī citus noteikumu punktus, kuros ir norādes uz plānošanas periodiem.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21.</w:t>
            </w:r>
            <w:r w:rsidR="00000000" w:rsidRPr="00000000" w:rsidDel="00000000">
              <w:rPr>
                <w:vertAlign w:val="superscript"/>
                <w:rtl w:val="0"/>
              </w:rPr>
              <w:t xml:space="preserve">1</w:t>
            </w:r>
            <w:r w:rsidR="00000000" w:rsidRPr="00000000" w:rsidDel="00000000">
              <w:rPr>
                <w:rtl w:val="0"/>
              </w:rPr>
              <w:t xml:space="preserve"> punktā paredzēto regulējumu kopsakarā ar Ministru kabineta 2015. gada 3. februāra noteikumu Nr. 60 2. punktu, secināts, ka minētās normas regulē atšķirīgus tiesiskos aspektus un nav savstarpēji pretrunīgas.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punkts nosaka projektu iesniegumu pieņemšanas, vērtēšanas, atlases, kā arī atbalsta administrēšanas un uzraudzības kārtību attiecībā uz 2014.–2020. gada plānošanas periodā un pārejas periodā uzsāktajiem projektiem, savukārt noteikumu projekta 21.</w:t>
            </w:r>
            <w:r w:rsidR="00000000" w:rsidRPr="00000000" w:rsidDel="00000000">
              <w:rPr>
                <w:vertAlign w:val="superscript"/>
                <w:rtl w:val="0"/>
              </w:rPr>
              <w:t xml:space="preserve">1 </w:t>
            </w:r>
            <w:r w:rsidR="00000000" w:rsidRPr="00000000" w:rsidDel="00000000">
              <w:rPr>
                <w:rtl w:val="0"/>
              </w:rPr>
              <w:t xml:space="preserve">punkts attiecas uz jau apstiprinātu projektu ietvaros uzņemto saistību turpmāku izpildi un šo saistību finansēšanas avotu 2026. un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paredzēta jaunu projektu iesniegumu pieņemšana, jaunu saistību uzņemšanās vai projektu atlases kārtības maiņa. Līdz ar to netiek skarts 2. punktā ietvertais procesuālais regulējums, kas attiecas uz projektu atlases un administrēšanas stadiju.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izvērtēta nepieciešamība grozīt 2. punktu un citas normas, kurās ietvertas atsauces uz plānošanas periodiem. Izvērtējuma rezultātā secināts, ka šādu grozījumu veikšana nav nepieciešama, jo noteikumu projekta tvērums ir šaurs un aprobežojas ar finansējuma avota noteikšanu jau uzņemtām saistībām, nepārskatot spēkā esošo projektu administrēšanas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attiecībā uz maksājumu finansēšanu pēc 2014.–2020. gada plānošanas perioda un pārejas perioda noslēguma, pēc Finanšu ministrijas iebilduma izvērtēšanas noteikumu projekta 21.</w:t>
            </w:r>
            <w:r w:rsidR="00000000" w:rsidRPr="00000000" w:rsidDel="00000000">
              <w:rPr>
                <w:vertAlign w:val="superscript"/>
                <w:rtl w:val="0"/>
              </w:rPr>
              <w:t xml:space="preserve">1</w:t>
            </w:r>
            <w:r w:rsidR="00000000" w:rsidRPr="00000000" w:rsidDel="00000000">
              <w:rPr>
                <w:rtl w:val="0"/>
              </w:rPr>
              <w:t xml:space="preserve"> punkts ir papildināts, skaidri paredzot, ka attiecīgie maksājumi tiek finansēti no Latvijas Kopējās lauksaimniecības politikas stratēģiskā plāna 2023.–2027. gadam intervences “Ražotāju grupu un organizāciju izveide” publiskā finansējuma, nodrošinot uzņemto saistību nepārtrauktu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izvēlētais risinājums nodrošina jau apstiprināto saistību nepārtrauktu izpildi, ievērojot tiesiskās paļāvības principu, kā arī finansējuma nodrošināšanu no Latvijas Kopējās lauksaimniecības politikas stratēģiskā plāna 2023.–2027. gadam, vienlaikus saglabājot spēkā esošo procesuālo regulējumu un neveicot tādus grozījumus, kas nav nepieciešami noteikumu projekta mērķa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26-TA-660</w:t>
    </w:r>
    <w:r>
      <w:br/>
    </w:r>
    <w:r w:rsidR="00000000" w:rsidRPr="00000000" w:rsidDel="00000000">
      <w:rPr>
        <w:rtl w:val="0"/>
      </w:rPr>
      <w:t xml:space="preserve">30.04.2026. 15.01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26-TA-660</w:t>
    </w:r>
    <w:r>
      <w:br/>
    </w:r>
    <w:r w:rsidR="00000000" w:rsidRPr="00000000" w:rsidDel="00000000">
      <w:rPr>
        <w:rtl w:val="0"/>
      </w:rPr>
      <w:t xml:space="preserve">30.04.2026. 15.01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Izziņa_26-TA-660.docx</dc:title>
</cp:coreProperties>
</file>

<file path=docProps/custom.xml><?xml version="1.0" encoding="utf-8"?>
<Properties xmlns="http://schemas.openxmlformats.org/officeDocument/2006/custom-properties" xmlns:vt="http://schemas.openxmlformats.org/officeDocument/2006/docPropsVTypes"/>
</file>