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0FA129" w14:textId="2E25C7C8" w:rsidR="00D22B35" w:rsidRPr="00ED60B0" w:rsidRDefault="00D22B35" w:rsidP="00D22B35">
      <w:pPr>
        <w:rPr>
          <w:rFonts w:eastAsia="Times New Roman"/>
          <w:szCs w:val="24"/>
          <w:lang w:eastAsia="lv-LV"/>
        </w:rPr>
      </w:pPr>
      <w:r w:rsidRPr="00AB761E">
        <w:rPr>
          <w:rFonts w:eastAsia="Times New Roman"/>
          <w:szCs w:val="24"/>
          <w:lang w:eastAsia="lv-LV"/>
        </w:rPr>
        <w:t xml:space="preserve">Uz </w:t>
      </w:r>
      <w:r w:rsidR="00A91596">
        <w:rPr>
          <w:rFonts w:eastAsia="Times New Roman"/>
          <w:szCs w:val="24"/>
          <w:lang w:eastAsia="lv-LV"/>
        </w:rPr>
        <w:t>29</w:t>
      </w:r>
      <w:r w:rsidRPr="00AB761E">
        <w:rPr>
          <w:rFonts w:eastAsia="Times New Roman"/>
          <w:szCs w:val="24"/>
          <w:lang w:eastAsia="lv-LV"/>
        </w:rPr>
        <w:t>.</w:t>
      </w:r>
      <w:r w:rsidR="009C475E">
        <w:rPr>
          <w:rFonts w:eastAsia="Times New Roman"/>
          <w:szCs w:val="24"/>
          <w:lang w:eastAsia="lv-LV"/>
        </w:rPr>
        <w:t>10</w:t>
      </w:r>
      <w:r w:rsidRPr="00AB761E">
        <w:rPr>
          <w:rFonts w:eastAsia="Times New Roman"/>
          <w:szCs w:val="24"/>
          <w:lang w:eastAsia="lv-LV"/>
        </w:rPr>
        <w:t>.20</w:t>
      </w:r>
      <w:r>
        <w:rPr>
          <w:rFonts w:eastAsia="Times New Roman"/>
          <w:szCs w:val="24"/>
          <w:lang w:eastAsia="lv-LV"/>
        </w:rPr>
        <w:t>20</w:t>
      </w:r>
      <w:r w:rsidRPr="00AB761E">
        <w:rPr>
          <w:rFonts w:eastAsia="Times New Roman"/>
          <w:szCs w:val="24"/>
          <w:lang w:eastAsia="lv-LV"/>
        </w:rPr>
        <w:t xml:space="preserve">. </w:t>
      </w:r>
      <w:r w:rsidRPr="006E3C39">
        <w:rPr>
          <w:rFonts w:eastAsia="Times New Roman"/>
          <w:szCs w:val="24"/>
          <w:lang w:eastAsia="lv-LV"/>
        </w:rPr>
        <w:t xml:space="preserve">VSS </w:t>
      </w:r>
      <w:r w:rsidRPr="0061135C">
        <w:rPr>
          <w:rFonts w:eastAsia="Times New Roman"/>
          <w:szCs w:val="24"/>
          <w:lang w:eastAsia="lv-LV"/>
        </w:rPr>
        <w:t xml:space="preserve">prot. Nr. </w:t>
      </w:r>
      <w:r w:rsidR="009C475E">
        <w:rPr>
          <w:rFonts w:eastAsia="Times New Roman"/>
          <w:szCs w:val="24"/>
          <w:lang w:eastAsia="lv-LV"/>
        </w:rPr>
        <w:t>43</w:t>
      </w:r>
      <w:r w:rsidRPr="0061135C">
        <w:rPr>
          <w:rFonts w:eastAsia="Times New Roman"/>
          <w:szCs w:val="24"/>
          <w:lang w:eastAsia="lv-LV"/>
        </w:rPr>
        <w:t xml:space="preserve"> </w:t>
      </w:r>
      <w:r w:rsidR="009C475E">
        <w:rPr>
          <w:rFonts w:eastAsia="Times New Roman"/>
          <w:szCs w:val="24"/>
          <w:lang w:eastAsia="lv-LV"/>
        </w:rPr>
        <w:t>23</w:t>
      </w:r>
      <w:r w:rsidRPr="0061135C">
        <w:rPr>
          <w:rFonts w:eastAsia="Times New Roman"/>
          <w:szCs w:val="24"/>
          <w:lang w:eastAsia="lv-LV"/>
        </w:rPr>
        <w:t>. § (VSS</w:t>
      </w:r>
      <w:r w:rsidRPr="006E3C39">
        <w:rPr>
          <w:rFonts w:eastAsia="Times New Roman"/>
          <w:szCs w:val="24"/>
          <w:lang w:eastAsia="lv-LV"/>
        </w:rPr>
        <w:t>-</w:t>
      </w:r>
      <w:r w:rsidR="009C475E">
        <w:rPr>
          <w:rFonts w:eastAsia="Times New Roman"/>
          <w:szCs w:val="24"/>
          <w:lang w:eastAsia="lv-LV"/>
        </w:rPr>
        <w:t>932</w:t>
      </w:r>
      <w:r w:rsidRPr="006E3C39">
        <w:rPr>
          <w:rFonts w:eastAsia="Times New Roman"/>
          <w:szCs w:val="24"/>
          <w:lang w:eastAsia="lv-LV"/>
        </w:rPr>
        <w:t>)</w:t>
      </w:r>
    </w:p>
    <w:p w14:paraId="4AA66913" w14:textId="77777777" w:rsidR="00D22B35" w:rsidRPr="005A2D55" w:rsidRDefault="00D22B35" w:rsidP="00D22B35">
      <w:pPr>
        <w:ind w:right="-46"/>
        <w:jc w:val="right"/>
        <w:rPr>
          <w:b/>
          <w:sz w:val="28"/>
          <w:szCs w:val="28"/>
        </w:rPr>
      </w:pPr>
      <w:r w:rsidRPr="005A2D55">
        <w:rPr>
          <w:b/>
          <w:sz w:val="28"/>
          <w:szCs w:val="28"/>
        </w:rPr>
        <w:t>Zemkopības ministrijai</w:t>
      </w:r>
    </w:p>
    <w:p w14:paraId="6D19ED2B" w14:textId="77777777" w:rsidR="00D22B35" w:rsidRPr="00A91596" w:rsidRDefault="00D22B35" w:rsidP="00D22B35">
      <w:pPr>
        <w:ind w:right="-46"/>
        <w:jc w:val="right"/>
        <w:rPr>
          <w:b/>
          <w:sz w:val="26"/>
          <w:szCs w:val="26"/>
        </w:rPr>
      </w:pPr>
    </w:p>
    <w:p w14:paraId="16AC80B6" w14:textId="51A2C9EA" w:rsidR="00D22B35" w:rsidRPr="00A91596" w:rsidRDefault="00D22B35" w:rsidP="00A91596">
      <w:pPr>
        <w:ind w:right="4548"/>
        <w:rPr>
          <w:i/>
          <w:sz w:val="26"/>
          <w:szCs w:val="26"/>
        </w:rPr>
      </w:pPr>
      <w:bookmarkStart w:id="0" w:name="_Hlk505328078"/>
      <w:r w:rsidRPr="00A91596">
        <w:rPr>
          <w:i/>
          <w:sz w:val="26"/>
          <w:szCs w:val="26"/>
        </w:rPr>
        <w:t xml:space="preserve">Par </w:t>
      </w:r>
      <w:bookmarkEnd w:id="0"/>
      <w:r w:rsidRPr="00A91596">
        <w:rPr>
          <w:i/>
          <w:sz w:val="26"/>
          <w:szCs w:val="26"/>
        </w:rPr>
        <w:t xml:space="preserve">Ministru kabineta noteikumu projektu </w:t>
      </w:r>
      <w:r w:rsidR="009C475E" w:rsidRPr="00A91596">
        <w:rPr>
          <w:i/>
          <w:sz w:val="26"/>
          <w:szCs w:val="26"/>
        </w:rPr>
        <w:t xml:space="preserve">"Prasības piena produktu un tos saturošu produktu papildu marķējumam" </w:t>
      </w:r>
      <w:r w:rsidRPr="00A91596">
        <w:rPr>
          <w:i/>
          <w:sz w:val="26"/>
          <w:szCs w:val="26"/>
        </w:rPr>
        <w:t xml:space="preserve">un tā anotāciju </w:t>
      </w:r>
    </w:p>
    <w:p w14:paraId="72D283C8" w14:textId="77777777" w:rsidR="00D22B35" w:rsidRPr="00A91596" w:rsidRDefault="00D22B35" w:rsidP="00D22B35">
      <w:pPr>
        <w:rPr>
          <w:sz w:val="26"/>
          <w:szCs w:val="26"/>
        </w:rPr>
      </w:pPr>
    </w:p>
    <w:p w14:paraId="11167C4E" w14:textId="294B5B0E" w:rsidR="00D22B35" w:rsidRPr="00A91596" w:rsidRDefault="00D22B35" w:rsidP="000A6C9D">
      <w:pPr>
        <w:ind w:firstLine="567"/>
        <w:rPr>
          <w:sz w:val="26"/>
          <w:szCs w:val="26"/>
        </w:rPr>
      </w:pPr>
      <w:r w:rsidRPr="00A91596">
        <w:rPr>
          <w:sz w:val="26"/>
          <w:szCs w:val="26"/>
        </w:rPr>
        <w:t xml:space="preserve">Tieslietu ministrija ir izskatījusi Zemkopības ministrijas izstrādāto Ministru kabineta noteikumu projektu </w:t>
      </w:r>
      <w:bookmarkStart w:id="1" w:name="_Hlk8911507"/>
      <w:r w:rsidR="009C475E" w:rsidRPr="00A91596">
        <w:rPr>
          <w:sz w:val="26"/>
          <w:szCs w:val="26"/>
        </w:rPr>
        <w:t xml:space="preserve">"Prasības piena produktu un tos saturošu produktu papildu marķējumam" </w:t>
      </w:r>
      <w:r w:rsidRPr="00A91596">
        <w:rPr>
          <w:sz w:val="26"/>
          <w:szCs w:val="26"/>
        </w:rPr>
        <w:t>(turpmāk</w:t>
      </w:r>
      <w:bookmarkStart w:id="2" w:name="_Hlk32924243"/>
      <w:r w:rsidRPr="00A91596">
        <w:rPr>
          <w:sz w:val="26"/>
          <w:szCs w:val="26"/>
        </w:rPr>
        <w:t xml:space="preserve"> – </w:t>
      </w:r>
      <w:bookmarkEnd w:id="2"/>
      <w:r w:rsidRPr="00A91596">
        <w:rPr>
          <w:sz w:val="26"/>
          <w:szCs w:val="26"/>
        </w:rPr>
        <w:t xml:space="preserve">noteikumu projekts) </w:t>
      </w:r>
      <w:bookmarkEnd w:id="1"/>
      <w:r w:rsidRPr="00A91596">
        <w:rPr>
          <w:sz w:val="26"/>
          <w:szCs w:val="26"/>
        </w:rPr>
        <w:t>un tā anotāciju un atbalsta to virzību, izsakot šādu iebildumu:</w:t>
      </w:r>
    </w:p>
    <w:p w14:paraId="75BE5267" w14:textId="7A6E0FEE" w:rsidR="00D22B35" w:rsidRPr="00A91596" w:rsidRDefault="000A6C9D" w:rsidP="000A6C9D">
      <w:pPr>
        <w:ind w:firstLine="567"/>
        <w:rPr>
          <w:b/>
          <w:bCs/>
          <w:sz w:val="26"/>
          <w:szCs w:val="26"/>
          <w:lang w:eastAsia="lv-LV"/>
        </w:rPr>
      </w:pPr>
      <w:r w:rsidRPr="00A91596">
        <w:rPr>
          <w:sz w:val="26"/>
          <w:szCs w:val="26"/>
        </w:rPr>
        <w:t xml:space="preserve"> Norādām, ka nepieciešams precizēt noteikumu projekta anotāciju atbilstoši </w:t>
      </w:r>
      <w:r w:rsidRPr="00A91596">
        <w:rPr>
          <w:i/>
          <w:iCs/>
          <w:sz w:val="26"/>
          <w:szCs w:val="26"/>
        </w:rPr>
        <w:t>Ministru kabineta 2009. gada 7. aprīļa noteikumu Nr. 300 ''Ministru kabineta kārtības rullis''</w:t>
      </w:r>
      <w:r w:rsidRPr="00A91596">
        <w:rPr>
          <w:sz w:val="26"/>
          <w:szCs w:val="26"/>
        </w:rPr>
        <w:t xml:space="preserve"> 3</w:t>
      </w:r>
      <w:r w:rsidRPr="00A91596">
        <w:rPr>
          <w:i/>
          <w:iCs/>
          <w:sz w:val="26"/>
          <w:szCs w:val="26"/>
        </w:rPr>
        <w:t>. </w:t>
      </w:r>
      <w:r w:rsidRPr="00A91596">
        <w:rPr>
          <w:sz w:val="26"/>
          <w:szCs w:val="26"/>
        </w:rPr>
        <w:t xml:space="preserve">punktam, kas noteic, ka Ministru kabineta noteikumu projektam pievieno anotāciju, kurā aizpildīta vismaz sadaļa par tiesību akta projekta nepieciešamību, tas ir, anotācijas </w:t>
      </w:r>
      <w:bookmarkStart w:id="3" w:name="_Hlk489432624"/>
      <w:r w:rsidRPr="00A91596">
        <w:rPr>
          <w:sz w:val="26"/>
          <w:szCs w:val="26"/>
        </w:rPr>
        <w:t>I</w:t>
      </w:r>
      <w:bookmarkEnd w:id="3"/>
      <w:r w:rsidRPr="00A91596">
        <w:rPr>
          <w:sz w:val="26"/>
          <w:szCs w:val="26"/>
        </w:rPr>
        <w:t xml:space="preserve"> sadaļa, bet pārējās anotācijas sadaļas aizpilda, ja tiesību akta projekts skar attiecīgajā anotācijas sadaļā minētos jautājumus. Norādām, ka Tieslietu ministrijai nav iespējams precīzi izvērtēt, kuras noteikumu projekta normas ir pārņemtas atbilstoši noteikumu projekta anotācijas I sadaļas 2.</w:t>
      </w:r>
      <w:r w:rsidRPr="00A91596">
        <w:rPr>
          <w:i/>
          <w:iCs/>
          <w:sz w:val="26"/>
          <w:szCs w:val="26"/>
        </w:rPr>
        <w:t> </w:t>
      </w:r>
      <w:r w:rsidRPr="00A91596">
        <w:rPr>
          <w:sz w:val="26"/>
          <w:szCs w:val="26"/>
        </w:rPr>
        <w:t xml:space="preserve">punktā norādītajai </w:t>
      </w:r>
      <w:r w:rsidRPr="00A91596">
        <w:rPr>
          <w:i/>
          <w:iCs/>
          <w:color w:val="000000"/>
          <w:sz w:val="26"/>
          <w:szCs w:val="26"/>
        </w:rPr>
        <w:t>Eiropas Parlamenta un Padomes 2011.</w:t>
      </w:r>
      <w:r w:rsidR="009C65CD" w:rsidRPr="00A91596">
        <w:rPr>
          <w:i/>
          <w:iCs/>
          <w:sz w:val="26"/>
          <w:szCs w:val="26"/>
        </w:rPr>
        <w:t xml:space="preserve">  </w:t>
      </w:r>
      <w:r w:rsidRPr="00A91596">
        <w:rPr>
          <w:i/>
          <w:iCs/>
          <w:color w:val="000000"/>
          <w:sz w:val="26"/>
          <w:szCs w:val="26"/>
        </w:rPr>
        <w:t xml:space="preserve">gada 25. </w:t>
      </w:r>
      <w:r w:rsidR="009C65CD" w:rsidRPr="00A91596">
        <w:rPr>
          <w:i/>
          <w:iCs/>
          <w:sz w:val="26"/>
          <w:szCs w:val="26"/>
        </w:rPr>
        <w:t> </w:t>
      </w:r>
      <w:r w:rsidRPr="00A91596">
        <w:rPr>
          <w:i/>
          <w:iCs/>
          <w:color w:val="000000"/>
          <w:sz w:val="26"/>
          <w:szCs w:val="26"/>
        </w:rPr>
        <w:t>oktobra Regulai (ES) Nr.</w:t>
      </w:r>
      <w:r w:rsidR="009C65CD" w:rsidRPr="00A91596">
        <w:rPr>
          <w:i/>
          <w:iCs/>
          <w:sz w:val="26"/>
          <w:szCs w:val="26"/>
        </w:rPr>
        <w:t> </w:t>
      </w:r>
      <w:r w:rsidRPr="00A91596">
        <w:rPr>
          <w:i/>
          <w:iCs/>
          <w:color w:val="000000"/>
          <w:sz w:val="26"/>
          <w:szCs w:val="26"/>
        </w:rPr>
        <w:t>1169/2011</w:t>
      </w:r>
      <w:r w:rsidR="009C65CD" w:rsidRPr="00A91596">
        <w:rPr>
          <w:i/>
          <w:iCs/>
          <w:sz w:val="26"/>
          <w:szCs w:val="26"/>
        </w:rPr>
        <w:t> </w:t>
      </w:r>
      <w:r w:rsidRPr="00A91596">
        <w:rPr>
          <w:i/>
          <w:iCs/>
          <w:color w:val="000000"/>
          <w:sz w:val="26"/>
          <w:szCs w:val="26"/>
        </w:rPr>
        <w:t>par pārtikas produktu informācijas sniegšanu patērētājiem un par grozījumiem Eiropas Parlamenta un Padomes Regulās (EK) Nr.</w:t>
      </w:r>
      <w:r w:rsidR="009C65CD" w:rsidRPr="00A91596">
        <w:rPr>
          <w:i/>
          <w:iCs/>
          <w:sz w:val="26"/>
          <w:szCs w:val="26"/>
        </w:rPr>
        <w:t> </w:t>
      </w:r>
      <w:r w:rsidRPr="00A91596">
        <w:rPr>
          <w:i/>
          <w:iCs/>
          <w:color w:val="000000"/>
          <w:sz w:val="26"/>
          <w:szCs w:val="26"/>
        </w:rPr>
        <w:t>1924/2006 un (EK) Nr.</w:t>
      </w:r>
      <w:r w:rsidR="009C65CD" w:rsidRPr="00A91596">
        <w:rPr>
          <w:i/>
          <w:iCs/>
          <w:sz w:val="26"/>
          <w:szCs w:val="26"/>
        </w:rPr>
        <w:t> </w:t>
      </w:r>
      <w:r w:rsidRPr="00A91596">
        <w:rPr>
          <w:i/>
          <w:iCs/>
          <w:color w:val="000000"/>
          <w:sz w:val="26"/>
          <w:szCs w:val="26"/>
        </w:rPr>
        <w:t>1925/2006, un par Komisijas Direktīvas</w:t>
      </w:r>
      <w:r w:rsidR="009C65CD" w:rsidRPr="00A91596">
        <w:rPr>
          <w:i/>
          <w:iCs/>
          <w:sz w:val="26"/>
          <w:szCs w:val="26"/>
        </w:rPr>
        <w:t> </w:t>
      </w:r>
      <w:r w:rsidRPr="00A91596">
        <w:rPr>
          <w:i/>
          <w:iCs/>
          <w:color w:val="000000"/>
          <w:sz w:val="26"/>
          <w:szCs w:val="26"/>
        </w:rPr>
        <w:t>87/250/EEK, Padomes Direktīvas</w:t>
      </w:r>
      <w:r w:rsidR="009C65CD" w:rsidRPr="00A91596">
        <w:rPr>
          <w:i/>
          <w:iCs/>
          <w:sz w:val="26"/>
          <w:szCs w:val="26"/>
        </w:rPr>
        <w:t> </w:t>
      </w:r>
      <w:r w:rsidRPr="00A91596">
        <w:rPr>
          <w:i/>
          <w:iCs/>
          <w:color w:val="000000"/>
          <w:sz w:val="26"/>
          <w:szCs w:val="26"/>
        </w:rPr>
        <w:t xml:space="preserve">90/496/EEK, Komisijas Direktīvas </w:t>
      </w:r>
      <w:r w:rsidR="009C65CD" w:rsidRPr="00A91596">
        <w:rPr>
          <w:i/>
          <w:iCs/>
          <w:sz w:val="26"/>
          <w:szCs w:val="26"/>
        </w:rPr>
        <w:t> </w:t>
      </w:r>
      <w:r w:rsidRPr="00A91596">
        <w:rPr>
          <w:i/>
          <w:iCs/>
          <w:color w:val="000000"/>
          <w:sz w:val="26"/>
          <w:szCs w:val="26"/>
        </w:rPr>
        <w:t>1999/10/EK, Eiropas Parlamenta un Padomes Direktīvas</w:t>
      </w:r>
      <w:r w:rsidR="009C65CD" w:rsidRPr="00A91596">
        <w:rPr>
          <w:i/>
          <w:iCs/>
          <w:sz w:val="26"/>
          <w:szCs w:val="26"/>
        </w:rPr>
        <w:t> </w:t>
      </w:r>
      <w:r w:rsidRPr="00A91596">
        <w:rPr>
          <w:i/>
          <w:iCs/>
          <w:color w:val="000000"/>
          <w:sz w:val="26"/>
          <w:szCs w:val="26"/>
        </w:rPr>
        <w:t>2000/13/EK, Komisijas Direktīvu</w:t>
      </w:r>
      <w:r w:rsidR="009C65CD" w:rsidRPr="00A91596">
        <w:rPr>
          <w:i/>
          <w:iCs/>
          <w:sz w:val="26"/>
          <w:szCs w:val="26"/>
        </w:rPr>
        <w:t> </w:t>
      </w:r>
      <w:r w:rsidRPr="00A91596">
        <w:rPr>
          <w:i/>
          <w:iCs/>
          <w:color w:val="000000"/>
          <w:sz w:val="26"/>
          <w:szCs w:val="26"/>
        </w:rPr>
        <w:t>2002/67/EK un</w:t>
      </w:r>
      <w:r w:rsidR="009C65CD" w:rsidRPr="00A91596">
        <w:rPr>
          <w:i/>
          <w:iCs/>
          <w:sz w:val="26"/>
          <w:szCs w:val="26"/>
        </w:rPr>
        <w:t> </w:t>
      </w:r>
      <w:r w:rsidRPr="00A91596">
        <w:rPr>
          <w:i/>
          <w:iCs/>
          <w:color w:val="000000"/>
          <w:sz w:val="26"/>
          <w:szCs w:val="26"/>
        </w:rPr>
        <w:t>2008/5/EK un Komisijas Regulas (EK) Nr.</w:t>
      </w:r>
      <w:r w:rsidR="009C65CD" w:rsidRPr="00A91596">
        <w:rPr>
          <w:i/>
          <w:iCs/>
          <w:sz w:val="26"/>
          <w:szCs w:val="26"/>
        </w:rPr>
        <w:t> </w:t>
      </w:r>
      <w:r w:rsidRPr="00A91596">
        <w:rPr>
          <w:i/>
          <w:iCs/>
          <w:color w:val="000000"/>
          <w:sz w:val="26"/>
          <w:szCs w:val="26"/>
        </w:rPr>
        <w:t>608/2004</w:t>
      </w:r>
      <w:r w:rsidR="009C65CD" w:rsidRPr="00A91596">
        <w:rPr>
          <w:i/>
          <w:iCs/>
          <w:sz w:val="26"/>
          <w:szCs w:val="26"/>
        </w:rPr>
        <w:t> </w:t>
      </w:r>
      <w:r w:rsidRPr="00A91596">
        <w:rPr>
          <w:i/>
          <w:iCs/>
          <w:color w:val="000000"/>
          <w:sz w:val="26"/>
          <w:szCs w:val="26"/>
        </w:rPr>
        <w:t>atcelšanu (turpmāk – Regula Nr.</w:t>
      </w:r>
      <w:r w:rsidR="009C65CD" w:rsidRPr="00A91596">
        <w:rPr>
          <w:i/>
          <w:iCs/>
          <w:sz w:val="26"/>
          <w:szCs w:val="26"/>
        </w:rPr>
        <w:t> </w:t>
      </w:r>
      <w:r w:rsidRPr="00A91596">
        <w:rPr>
          <w:i/>
          <w:iCs/>
          <w:color w:val="000000"/>
          <w:sz w:val="26"/>
          <w:szCs w:val="26"/>
        </w:rPr>
        <w:t xml:space="preserve">1169/2011). </w:t>
      </w:r>
      <w:r w:rsidRPr="00A91596">
        <w:rPr>
          <w:sz w:val="26"/>
          <w:szCs w:val="26"/>
        </w:rPr>
        <w:t>Ņemot vērā minēto, Tieslietu ministrija varēs sniegt precīzu izvērtējumu par noteikumu projekta atbilstību minētajai regulai pēc anotācijas precizēšanas, aizpildot anotācijas V sadaļu, jo īpaši tās 1.</w:t>
      </w:r>
      <w:r w:rsidRPr="00A91596">
        <w:rPr>
          <w:i/>
          <w:iCs/>
          <w:sz w:val="26"/>
          <w:szCs w:val="26"/>
        </w:rPr>
        <w:t> </w:t>
      </w:r>
      <w:r w:rsidRPr="00A91596">
        <w:rPr>
          <w:sz w:val="26"/>
          <w:szCs w:val="26"/>
        </w:rPr>
        <w:t>tabulu.</w:t>
      </w:r>
    </w:p>
    <w:p w14:paraId="0EAB1E89" w14:textId="77777777" w:rsidR="000A6C9D" w:rsidRPr="00A91596" w:rsidRDefault="000A6C9D" w:rsidP="00A91596">
      <w:pPr>
        <w:rPr>
          <w:b/>
          <w:bCs/>
          <w:sz w:val="26"/>
          <w:szCs w:val="26"/>
          <w:lang w:eastAsia="lv-LV"/>
        </w:rPr>
      </w:pPr>
    </w:p>
    <w:p w14:paraId="4DDA724E" w14:textId="77777777" w:rsidR="00D22B35" w:rsidRPr="00A91596" w:rsidRDefault="00D22B35" w:rsidP="00D22B35">
      <w:pPr>
        <w:rPr>
          <w:sz w:val="26"/>
          <w:szCs w:val="26"/>
        </w:rPr>
      </w:pPr>
      <w:r w:rsidRPr="00A91596">
        <w:rPr>
          <w:sz w:val="26"/>
          <w:szCs w:val="26"/>
        </w:rPr>
        <w:t>Valsts sekretāra vietniece</w:t>
      </w:r>
    </w:p>
    <w:p w14:paraId="0BC8584A" w14:textId="70686CD6" w:rsidR="00D22B35" w:rsidRPr="00A91596" w:rsidRDefault="00D22B35" w:rsidP="00D22B35">
      <w:pPr>
        <w:rPr>
          <w:sz w:val="26"/>
          <w:szCs w:val="26"/>
        </w:rPr>
      </w:pPr>
      <w:r w:rsidRPr="00A91596">
        <w:rPr>
          <w:sz w:val="26"/>
          <w:szCs w:val="26"/>
        </w:rPr>
        <w:t>tiesību politikas jautājumos</w:t>
      </w:r>
      <w:r w:rsidRPr="00A91596">
        <w:rPr>
          <w:sz w:val="26"/>
          <w:szCs w:val="26"/>
        </w:rPr>
        <w:tab/>
      </w:r>
      <w:r w:rsidRPr="00A91596">
        <w:rPr>
          <w:sz w:val="26"/>
          <w:szCs w:val="26"/>
        </w:rPr>
        <w:tab/>
      </w:r>
      <w:r w:rsidRPr="00A91596">
        <w:rPr>
          <w:sz w:val="26"/>
          <w:szCs w:val="26"/>
        </w:rPr>
        <w:tab/>
      </w:r>
      <w:r w:rsidRPr="00A91596">
        <w:rPr>
          <w:sz w:val="26"/>
          <w:szCs w:val="26"/>
        </w:rPr>
        <w:tab/>
      </w:r>
      <w:r w:rsidRPr="00A91596">
        <w:rPr>
          <w:sz w:val="26"/>
          <w:szCs w:val="26"/>
        </w:rPr>
        <w:tab/>
      </w:r>
      <w:r w:rsidRPr="00A91596">
        <w:rPr>
          <w:sz w:val="26"/>
          <w:szCs w:val="26"/>
        </w:rPr>
        <w:tab/>
      </w:r>
      <w:r w:rsidRPr="00A91596">
        <w:rPr>
          <w:sz w:val="26"/>
          <w:szCs w:val="26"/>
        </w:rPr>
        <w:tab/>
      </w:r>
      <w:r w:rsidRPr="00A91596">
        <w:rPr>
          <w:sz w:val="26"/>
          <w:szCs w:val="26"/>
        </w:rPr>
        <w:tab/>
        <w:t>Laila Medina</w:t>
      </w:r>
    </w:p>
    <w:p w14:paraId="1FEFD6D1" w14:textId="77777777" w:rsidR="00D22B35" w:rsidRPr="00A91596" w:rsidRDefault="00D22B35" w:rsidP="00D22B35">
      <w:pPr>
        <w:rPr>
          <w:szCs w:val="28"/>
        </w:rPr>
      </w:pPr>
    </w:p>
    <w:p w14:paraId="4F10D1CA" w14:textId="77777777" w:rsidR="00D22B35" w:rsidRPr="001F0299" w:rsidRDefault="00D22B35" w:rsidP="00D22B35">
      <w:pPr>
        <w:rPr>
          <w:rFonts w:eastAsia="Times New Roman"/>
          <w:color w:val="000000" w:themeColor="text1"/>
          <w:sz w:val="18"/>
          <w:szCs w:val="18"/>
        </w:rPr>
      </w:pPr>
      <w:r w:rsidRPr="001F0299">
        <w:rPr>
          <w:rFonts w:eastAsia="Times New Roman"/>
          <w:color w:val="000000" w:themeColor="text1"/>
          <w:sz w:val="18"/>
          <w:szCs w:val="18"/>
        </w:rPr>
        <w:t>L. Bernāne</w:t>
      </w:r>
      <w:r w:rsidRPr="001F0299">
        <w:rPr>
          <w:rFonts w:eastAsia="Times New Roman"/>
          <w:color w:val="000000" w:themeColor="text1"/>
          <w:sz w:val="18"/>
          <w:szCs w:val="18"/>
        </w:rPr>
        <w:tab/>
      </w:r>
    </w:p>
    <w:p w14:paraId="534CFF42" w14:textId="77777777" w:rsidR="00D22B35" w:rsidRPr="001F0299" w:rsidRDefault="00D22B35" w:rsidP="00D22B35">
      <w:pPr>
        <w:rPr>
          <w:rFonts w:eastAsia="Times New Roman"/>
          <w:color w:val="000000" w:themeColor="text1"/>
          <w:sz w:val="18"/>
          <w:szCs w:val="18"/>
        </w:rPr>
      </w:pPr>
      <w:r w:rsidRPr="001F0299">
        <w:rPr>
          <w:rFonts w:eastAsia="Times New Roman"/>
          <w:color w:val="000000" w:themeColor="text1"/>
          <w:sz w:val="18"/>
          <w:szCs w:val="18"/>
        </w:rPr>
        <w:t>Valststiesību departamenta</w:t>
      </w:r>
    </w:p>
    <w:p w14:paraId="4BE96EC0" w14:textId="77777777" w:rsidR="00D22B35" w:rsidRPr="001F0299" w:rsidRDefault="00D22B35" w:rsidP="00D22B35">
      <w:pPr>
        <w:rPr>
          <w:rFonts w:eastAsia="Times New Roman"/>
          <w:color w:val="000000" w:themeColor="text1"/>
          <w:sz w:val="18"/>
          <w:szCs w:val="18"/>
        </w:rPr>
      </w:pPr>
      <w:r w:rsidRPr="001F0299">
        <w:rPr>
          <w:rFonts w:eastAsia="Times New Roman"/>
          <w:color w:val="000000" w:themeColor="text1"/>
          <w:sz w:val="18"/>
          <w:szCs w:val="18"/>
        </w:rPr>
        <w:t>Starptautisko publisko tiesību nodaļas juriste</w:t>
      </w:r>
    </w:p>
    <w:p w14:paraId="2827C03A" w14:textId="1FAA3BD0" w:rsidR="00830970" w:rsidRPr="009C65CD" w:rsidRDefault="00D22B35" w:rsidP="007B3740">
      <w:pPr>
        <w:rPr>
          <w:rFonts w:eastAsia="Times New Roman"/>
          <w:color w:val="000000" w:themeColor="text1"/>
          <w:sz w:val="18"/>
          <w:szCs w:val="18"/>
        </w:rPr>
      </w:pPr>
      <w:r w:rsidRPr="001F0299">
        <w:rPr>
          <w:rFonts w:eastAsia="Times New Roman"/>
          <w:color w:val="000000" w:themeColor="text1"/>
          <w:sz w:val="18"/>
          <w:szCs w:val="18"/>
        </w:rPr>
        <w:t>67036983, Linda.Bernane@tm.gov.lv</w:t>
      </w:r>
    </w:p>
    <w:sectPr w:rsidR="00830970" w:rsidRPr="009C65CD" w:rsidSect="00A34ACB">
      <w:headerReference w:type="default" r:id="rId7"/>
      <w:footerReference w:type="default" r:id="rId8"/>
      <w:headerReference w:type="first" r:id="rId9"/>
      <w:footerReference w:type="first" r:id="rId10"/>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2C63FA" w14:textId="77777777" w:rsidR="0005622E" w:rsidRDefault="0005622E">
      <w:r>
        <w:separator/>
      </w:r>
    </w:p>
  </w:endnote>
  <w:endnote w:type="continuationSeparator" w:id="0">
    <w:p w14:paraId="7889DD45" w14:textId="77777777" w:rsidR="0005622E" w:rsidRDefault="00056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50CD2A" w14:textId="20FE10FC" w:rsidR="00D22B35" w:rsidRPr="00D22B35" w:rsidRDefault="00D22B35">
    <w:pPr>
      <w:pStyle w:val="Footer"/>
      <w:rPr>
        <w:sz w:val="20"/>
        <w:szCs w:val="20"/>
      </w:rPr>
    </w:pPr>
    <w:r w:rsidRPr="00D22B35">
      <w:rPr>
        <w:sz w:val="20"/>
        <w:szCs w:val="20"/>
      </w:rPr>
      <w:t>TMAtz_140520_ZM_VSS-354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A74350" w14:textId="338780E4" w:rsidR="00D22B35" w:rsidRPr="00D22B35" w:rsidRDefault="00D22B35">
    <w:pPr>
      <w:pStyle w:val="Footer"/>
      <w:rPr>
        <w:sz w:val="20"/>
        <w:szCs w:val="20"/>
      </w:rPr>
    </w:pPr>
    <w:r w:rsidRPr="00D22B35">
      <w:rPr>
        <w:sz w:val="20"/>
        <w:szCs w:val="20"/>
      </w:rPr>
      <w:t>TMAtz_1</w:t>
    </w:r>
    <w:r w:rsidR="00A91596">
      <w:rPr>
        <w:sz w:val="20"/>
        <w:szCs w:val="20"/>
      </w:rPr>
      <w:t>011</w:t>
    </w:r>
    <w:r w:rsidRPr="00D22B35">
      <w:rPr>
        <w:sz w:val="20"/>
        <w:szCs w:val="20"/>
      </w:rPr>
      <w:t>20_ZM_VSS-</w:t>
    </w:r>
    <w:r w:rsidR="009C65CD">
      <w:rPr>
        <w:sz w:val="20"/>
        <w:szCs w:val="20"/>
      </w:rPr>
      <w:t>932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1BDE41" w14:textId="77777777" w:rsidR="0005622E" w:rsidRDefault="0005622E">
      <w:r>
        <w:separator/>
      </w:r>
    </w:p>
  </w:footnote>
  <w:footnote w:type="continuationSeparator" w:id="0">
    <w:p w14:paraId="56926525" w14:textId="77777777" w:rsidR="0005622E" w:rsidRDefault="000562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27847357"/>
      <w:docPartObj>
        <w:docPartGallery w:val="Page Numbers (Top of Page)"/>
        <w:docPartUnique/>
      </w:docPartObj>
    </w:sdtPr>
    <w:sdtEndPr/>
    <w:sdtContent>
      <w:p w14:paraId="584E4A93" w14:textId="77777777" w:rsidR="007B3740" w:rsidRDefault="007B3740">
        <w:pPr>
          <w:pStyle w:val="Header"/>
          <w:jc w:val="center"/>
        </w:pPr>
        <w:r>
          <w:fldChar w:fldCharType="begin"/>
        </w:r>
        <w:r>
          <w:instrText>PAGE   \* MERGEFORMAT</w:instrText>
        </w:r>
        <w:r>
          <w:fldChar w:fldCharType="separate"/>
        </w:r>
        <w:r w:rsidR="00A91596">
          <w:rPr>
            <w:noProof/>
          </w:rPr>
          <w:t>2</w:t>
        </w:r>
        <w:r>
          <w:fldChar w:fldCharType="end"/>
        </w:r>
      </w:p>
    </w:sdtContent>
  </w:sdt>
  <w:p w14:paraId="4E8FDCA4" w14:textId="77777777" w:rsidR="006C6018" w:rsidRDefault="006C60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59D77E" w14:textId="77777777" w:rsidR="00A34ACB" w:rsidRDefault="00A34ACB" w:rsidP="00A34ACB">
    <w:pPr>
      <w:pStyle w:val="Header"/>
    </w:pPr>
  </w:p>
  <w:p w14:paraId="61ACB08C" w14:textId="77777777" w:rsidR="00A34ACB" w:rsidRDefault="00E40434" w:rsidP="00A34ACB">
    <w:pPr>
      <w:pStyle w:val="Header"/>
    </w:pPr>
    <w:r>
      <w:rPr>
        <w:noProof/>
        <w:lang w:eastAsia="lv-LV"/>
      </w:rPr>
      <w:drawing>
        <wp:anchor distT="0" distB="0" distL="114300" distR="114300" simplePos="0" relativeHeight="251660800" behindDoc="1" locked="0" layoutInCell="1" allowOverlap="1" wp14:anchorId="37DB0155" wp14:editId="67CED8D1">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FDE610" w14:textId="77777777" w:rsidR="00A34ACB" w:rsidRDefault="00A34ACB" w:rsidP="00A34ACB">
    <w:pPr>
      <w:pStyle w:val="Header"/>
    </w:pPr>
  </w:p>
  <w:p w14:paraId="7F6FB718" w14:textId="77777777" w:rsidR="00A34ACB" w:rsidRDefault="00A34ACB" w:rsidP="00A34ACB">
    <w:pPr>
      <w:pStyle w:val="Header"/>
    </w:pPr>
  </w:p>
  <w:p w14:paraId="7BD01843" w14:textId="77777777" w:rsidR="00A34ACB" w:rsidRDefault="00A34ACB" w:rsidP="00A34ACB">
    <w:pPr>
      <w:pStyle w:val="Header"/>
    </w:pPr>
  </w:p>
  <w:p w14:paraId="793FCEFA" w14:textId="77777777" w:rsidR="00A34ACB" w:rsidRDefault="00A34ACB" w:rsidP="00A34ACB">
    <w:pPr>
      <w:pStyle w:val="Header"/>
    </w:pPr>
  </w:p>
  <w:p w14:paraId="1FF44AC7" w14:textId="77777777" w:rsidR="00A34ACB" w:rsidRDefault="00A34ACB" w:rsidP="00A34ACB">
    <w:pPr>
      <w:pStyle w:val="Header"/>
    </w:pPr>
  </w:p>
  <w:p w14:paraId="79E574CE" w14:textId="77777777" w:rsidR="00A34ACB" w:rsidRDefault="00A34ACB" w:rsidP="00A34ACB">
    <w:pPr>
      <w:pStyle w:val="Header"/>
    </w:pPr>
  </w:p>
  <w:p w14:paraId="72BEEBBC" w14:textId="77777777" w:rsidR="00A34ACB" w:rsidRDefault="00A34ACB" w:rsidP="00A34ACB">
    <w:pPr>
      <w:pStyle w:val="Header"/>
    </w:pPr>
  </w:p>
  <w:p w14:paraId="21667087" w14:textId="77777777" w:rsidR="00A34ACB" w:rsidRDefault="00A34ACB" w:rsidP="00A34ACB">
    <w:pPr>
      <w:pStyle w:val="Header"/>
    </w:pPr>
  </w:p>
  <w:p w14:paraId="71F7ADCD" w14:textId="77777777" w:rsidR="00A34ACB" w:rsidRPr="00815277" w:rsidRDefault="00E40434" w:rsidP="00A34ACB">
    <w:pPr>
      <w:pStyle w:val="Header"/>
    </w:pPr>
    <w:r>
      <w:rPr>
        <w:noProof/>
        <w:lang w:eastAsia="lv-LV"/>
      </w:rPr>
      <mc:AlternateContent>
        <mc:Choice Requires="wps">
          <w:drawing>
            <wp:anchor distT="0" distB="0" distL="114300" distR="114300" simplePos="0" relativeHeight="251658752" behindDoc="1" locked="0" layoutInCell="1" allowOverlap="1" wp14:anchorId="0560B9F3" wp14:editId="6ACA4198">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9C2E2"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07D6279B" w14:textId="77777777"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tm.kanceleja@tm.gov.lv</w:t>
                          </w:r>
                          <w:r w:rsidR="00AB4E8A" w:rsidRPr="006C6018">
                            <w:rPr>
                              <w:rFonts w:eastAsia="Times New Roman"/>
                              <w:sz w:val="17"/>
                              <w:szCs w:val="17"/>
                            </w:rPr>
                            <w:t>;</w:t>
                          </w:r>
                          <w:r w:rsidRPr="006C6018">
                            <w:rPr>
                              <w:rFonts w:eastAsia="Times New Roman"/>
                              <w:sz w:val="17"/>
                              <w:szCs w:val="17"/>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60B9F3"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Sz6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C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DHKSz6rQIAAKoFAAAOAAAA&#10;AAAAAAAAAAAAAC4CAABkcnMvZTJvRG9jLnhtbFBLAQItABQABgAIAAAAIQDz9Pxt4AAAAAwBAAAP&#10;AAAAAAAAAAAAAAAAAAcFAABkcnMvZG93bnJldi54bWxQSwUGAAAAAAQABADzAAAAFAYAAAAA&#10;" filled="f" stroked="f">
              <v:textbox inset="0,0,0,0">
                <w:txbxContent>
                  <w:p w14:paraId="4A99C2E2"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07D6279B" w14:textId="77777777"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tm.kanceleja@tm.gov.lv</w:t>
                    </w:r>
                    <w:r w:rsidR="00AB4E8A" w:rsidRPr="006C6018">
                      <w:rPr>
                        <w:rFonts w:eastAsia="Times New Roman"/>
                        <w:sz w:val="17"/>
                        <w:szCs w:val="17"/>
                      </w:rPr>
                      <w:t>;</w:t>
                    </w:r>
                    <w:r w:rsidRPr="006C6018">
                      <w:rPr>
                        <w:rFonts w:eastAsia="Times New Roman"/>
                        <w:sz w:val="17"/>
                        <w:szCs w:val="17"/>
                      </w:rPr>
                      <w:t xml:space="preserve">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6C434566" wp14:editId="6BCA4A85">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1FF651"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45D38B9B" w14:textId="77777777" w:rsidR="00AB4E8A" w:rsidRPr="00C836FF" w:rsidRDefault="00AB4E8A" w:rsidP="00AB4E8A">
    <w:pPr>
      <w:jc w:val="center"/>
      <w:rPr>
        <w:szCs w:val="24"/>
      </w:rPr>
    </w:pPr>
    <w:r w:rsidRPr="00C836FF">
      <w:rPr>
        <w:szCs w:val="24"/>
      </w:rPr>
      <w:t>Rīgā</w:t>
    </w:r>
  </w:p>
  <w:p w14:paraId="5F9F9625" w14:textId="77777777" w:rsidR="00AB4E8A" w:rsidRPr="00C836FF" w:rsidRDefault="00AB4E8A"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76B1617A" w14:textId="77777777" w:rsidTr="00A6153E">
      <w:tc>
        <w:tcPr>
          <w:tcW w:w="1810" w:type="dxa"/>
        </w:tcPr>
        <w:p w14:paraId="084FE54F" w14:textId="77777777" w:rsidR="00E11DA3" w:rsidRDefault="00E11DA3" w:rsidP="00E11DA3">
          <w:pPr>
            <w:pStyle w:val="Header"/>
            <w:jc w:val="center"/>
            <w:rPr>
              <w:szCs w:val="24"/>
            </w:rPr>
          </w:pPr>
          <w:r>
            <w:t>11.11.2020</w:t>
          </w:r>
        </w:p>
      </w:tc>
      <w:tc>
        <w:tcPr>
          <w:tcW w:w="420" w:type="dxa"/>
          <w:tcBorders>
            <w:bottom w:val="nil"/>
          </w:tcBorders>
        </w:tcPr>
        <w:p w14:paraId="7C1CAF55" w14:textId="77777777" w:rsidR="00E11DA3" w:rsidRDefault="00E11DA3" w:rsidP="00E11DA3">
          <w:pPr>
            <w:pStyle w:val="Header"/>
            <w:rPr>
              <w:szCs w:val="24"/>
            </w:rPr>
          </w:pPr>
          <w:r>
            <w:rPr>
              <w:szCs w:val="24"/>
            </w:rPr>
            <w:t xml:space="preserve"> Nr.</w:t>
          </w:r>
        </w:p>
      </w:tc>
      <w:tc>
        <w:tcPr>
          <w:tcW w:w="1890" w:type="dxa"/>
        </w:tcPr>
        <w:p w14:paraId="737F5373" w14:textId="77777777" w:rsidR="00E11DA3" w:rsidRDefault="00E11DA3" w:rsidP="00E11DA3">
          <w:pPr>
            <w:pStyle w:val="Header"/>
            <w:jc w:val="center"/>
            <w:rPr>
              <w:szCs w:val="24"/>
            </w:rPr>
          </w:pPr>
          <w:r>
            <w:t>1-9.1/1194</w:t>
          </w:r>
        </w:p>
      </w:tc>
    </w:tr>
  </w:tbl>
  <w:p w14:paraId="0DF58B85" w14:textId="77777777" w:rsidR="00AB4E8A" w:rsidRPr="00C836FF" w:rsidRDefault="00AB4E8A"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30349"/>
    <w:rsid w:val="0005622E"/>
    <w:rsid w:val="00091ABD"/>
    <w:rsid w:val="000A6C9D"/>
    <w:rsid w:val="000E7F03"/>
    <w:rsid w:val="00124173"/>
    <w:rsid w:val="001415D2"/>
    <w:rsid w:val="00191DF1"/>
    <w:rsid w:val="00275B9E"/>
    <w:rsid w:val="002B219E"/>
    <w:rsid w:val="002B3077"/>
    <w:rsid w:val="002E1474"/>
    <w:rsid w:val="00335032"/>
    <w:rsid w:val="004236FA"/>
    <w:rsid w:val="00441F52"/>
    <w:rsid w:val="00493308"/>
    <w:rsid w:val="00535564"/>
    <w:rsid w:val="005E672B"/>
    <w:rsid w:val="00610D85"/>
    <w:rsid w:val="00663C3A"/>
    <w:rsid w:val="006C1639"/>
    <w:rsid w:val="006C6018"/>
    <w:rsid w:val="00724680"/>
    <w:rsid w:val="00726E06"/>
    <w:rsid w:val="00747CCB"/>
    <w:rsid w:val="007704BD"/>
    <w:rsid w:val="007B3740"/>
    <w:rsid w:val="007B3BA5"/>
    <w:rsid w:val="007B48EC"/>
    <w:rsid w:val="007E0D0E"/>
    <w:rsid w:val="007E4D1F"/>
    <w:rsid w:val="00815277"/>
    <w:rsid w:val="00816499"/>
    <w:rsid w:val="00830970"/>
    <w:rsid w:val="0087450D"/>
    <w:rsid w:val="00876C21"/>
    <w:rsid w:val="00883533"/>
    <w:rsid w:val="008A679D"/>
    <w:rsid w:val="008E3CED"/>
    <w:rsid w:val="00954D5A"/>
    <w:rsid w:val="0096342D"/>
    <w:rsid w:val="0097073F"/>
    <w:rsid w:val="009C475E"/>
    <w:rsid w:val="009C65CD"/>
    <w:rsid w:val="009D6B6A"/>
    <w:rsid w:val="00A34ACB"/>
    <w:rsid w:val="00A91596"/>
    <w:rsid w:val="00AB4E8A"/>
    <w:rsid w:val="00AC270F"/>
    <w:rsid w:val="00AF10A5"/>
    <w:rsid w:val="00B2244B"/>
    <w:rsid w:val="00BB087F"/>
    <w:rsid w:val="00C04896"/>
    <w:rsid w:val="00C255D9"/>
    <w:rsid w:val="00C47F57"/>
    <w:rsid w:val="00C836FF"/>
    <w:rsid w:val="00CF0967"/>
    <w:rsid w:val="00D21FA6"/>
    <w:rsid w:val="00D22B35"/>
    <w:rsid w:val="00D55B4B"/>
    <w:rsid w:val="00E11DA3"/>
    <w:rsid w:val="00E365CE"/>
    <w:rsid w:val="00E40434"/>
    <w:rsid w:val="00E44743"/>
    <w:rsid w:val="00EC3533"/>
    <w:rsid w:val="00F60586"/>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036F287"/>
  <w15:docId w15:val="{3A53166F-1400-4DB5-9C96-421412FF3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E06"/>
    <w:pPr>
      <w:widowControl w:val="0"/>
      <w:jc w:val="both"/>
    </w:pPr>
    <w:rPr>
      <w:rFonts w:ascii="Times New Roman" w:hAnsi="Times New Roman"/>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22B35"/>
    <w:rPr>
      <w:sz w:val="20"/>
      <w:szCs w:val="20"/>
    </w:rPr>
  </w:style>
  <w:style w:type="character" w:customStyle="1" w:styleId="FootnoteTextChar">
    <w:name w:val="Footnote Text Char"/>
    <w:basedOn w:val="DefaultParagraphFont"/>
    <w:link w:val="FootnoteText"/>
    <w:uiPriority w:val="99"/>
    <w:semiHidden/>
    <w:rsid w:val="00D22B35"/>
    <w:rPr>
      <w:rFonts w:ascii="Times New Roman" w:hAnsi="Times New Roman"/>
      <w:lang w:eastAsia="en-US"/>
    </w:rPr>
  </w:style>
  <w:style w:type="character" w:styleId="FootnoteReference">
    <w:name w:val="footnote reference"/>
    <w:basedOn w:val="DefaultParagraphFont"/>
    <w:uiPriority w:val="99"/>
    <w:semiHidden/>
    <w:unhideWhenUsed/>
    <w:rsid w:val="00D22B3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1315</Words>
  <Characters>750</Characters>
  <Application>Microsoft Office Word</Application>
  <DocSecurity>0</DocSecurity>
  <Lines>6</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Tieslietu Sektors</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Liga Kokare-Zviedre</dc:creator>
  <cp:lastModifiedBy>Gunta Evardsone</cp:lastModifiedBy>
  <cp:revision>2</cp:revision>
  <cp:lastPrinted>2015-01-09T08:13:00Z</cp:lastPrinted>
  <dcterms:created xsi:type="dcterms:W3CDTF">2021-11-16T13:57:00Z</dcterms:created>
  <dcterms:modified xsi:type="dcterms:W3CDTF">2021-11-16T13:57:00Z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