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22-TA-3022: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budžeta apakšprogrammā 40.02.00 "Nekustamais īpašums un centralizētais iepirkums" samazināt finansējumu 67 608 </w:t>
            </w:r>
            <w:r w:rsidR="00000000" w:rsidRPr="00000000" w:rsidDel="00000000">
              <w:rPr>
                <w:i w:val="1"/>
                <w:rtl w:val="0"/>
              </w:rPr>
              <w:t xml:space="preserve">euro</w:t>
            </w:r>
            <w:r w:rsidR="00000000" w:rsidRPr="00000000" w:rsidDel="00000000">
              <w:rPr>
                <w:rtl w:val="0"/>
              </w:rPr>
              <w:t xml:space="preserve"> apmērā, kas paredzēts transportlīdzekļu un tehnoloģisko iekārtu iegādei,  un palielināt finansējumu 67 608 </w:t>
            </w:r>
            <w:r w:rsidR="00000000" w:rsidRPr="00000000" w:rsidDel="00000000">
              <w:rPr>
                <w:i w:val="1"/>
                <w:rtl w:val="0"/>
              </w:rPr>
              <w:t xml:space="preserve">euro</w:t>
            </w:r>
            <w:r w:rsidR="00000000" w:rsidRPr="00000000" w:rsidDel="00000000">
              <w:rPr>
                <w:rtl w:val="0"/>
              </w:rPr>
              <w:t xml:space="preserve"> apmērā, lai  nodrošinātu Valsts policijas vajadzībām nepieciešamo telpu Jelgavā (Satiksmes ielā 2A un Atmodas ielā 19) nomas maksas un apsaimniekošanas izdevumu segšanu.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1.4.apakšpunktā iekļautās pārdales rada ietekmi uz turpmākajiem gadiem un attiecīgas pārdales 2023. gadā un turpmāk ik gadu ir iekļautas informatīvajā ziņojumā “Par valsts budžeta izdevumu pārskatīšanas rezultātiem un priekšlikumi par šo rezultātu izmantošanu likumprojekta “Par vidēja termiņa budžeta ietvaru 2023., 2024. un 2025. gadam” un likumprojekta “Par valsts budžetu 2023. gadam” izstrādes procesā”, lūdzam atbilstošu informāciju norādīt MK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III sadaļa "Cita informācija"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1.4.apakšpunktā iekļautās pārdales rada ietekmi uz turpmākajiem gadiem. Ņemot vērā minēto, attiecīgas pārdales 2023. gadā un turpmāk ik gadu ir iekļautas informatīvajā ziņojumā “Par valsts budžeta izdevumu pārskatīšanas rezultātiem un priekšlikumi par šo rezultātu izmantošanu likumprojekta “Par vidēja termiņa budžeta ietvaru 2023., 2024. un 2025. gadam” un likumprojekta “Par valsts budžetu 2023. gadam”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budžeta apakšprogrammā 40.02.00 "Nekustamais īpašums un centralizētais iepirkums" samazināt finansējumu 67 608 </w:t>
            </w:r>
            <w:r w:rsidR="00000000" w:rsidRPr="00000000" w:rsidDel="00000000">
              <w:rPr>
                <w:i w:val="1"/>
                <w:rtl w:val="0"/>
              </w:rPr>
              <w:t xml:space="preserve">euro</w:t>
            </w:r>
            <w:r w:rsidR="00000000" w:rsidRPr="00000000" w:rsidDel="00000000">
              <w:rPr>
                <w:rtl w:val="0"/>
              </w:rPr>
              <w:t xml:space="preserve"> apmērā, kas paredzēts transportlīdzekļu un tehnoloģisko iekārtu iegādei,  un palielināt finansējumu 67 608 </w:t>
            </w:r>
            <w:r w:rsidR="00000000" w:rsidRPr="00000000" w:rsidDel="00000000">
              <w:rPr>
                <w:i w:val="1"/>
                <w:rtl w:val="0"/>
              </w:rPr>
              <w:t xml:space="preserve">euro</w:t>
            </w:r>
            <w:r w:rsidR="00000000" w:rsidRPr="00000000" w:rsidDel="00000000">
              <w:rPr>
                <w:rtl w:val="0"/>
              </w:rPr>
              <w:t xml:space="preserve"> apmērā, lai  nodrošinātu Valsts policijas vajadzībām nepieciešamo telpu Jelgavā (Satiksmes ielā 2A un Atmodas ielā 19) nomas maksas un apsaimniekošanas izdevumu segšanu.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pielikumu papildināt ar aprēķiniem arī par izdevumu pozīciju “Atvaļināšanas pabalsts amatpersonām ar speciālajām dienesta pakāpēm sakarā ar izdienas pensijas saņemšanai noteiktā izdienas stāža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pielikums ar attiecīgu aprēķinu.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 sadaļā papildināt neapguves skaidrojumu pie budžeta apakšprogrammā 40.02.00 "Nekustamais īpašums un centralizētais iepirkums" norādītā ietaupījuma 67 608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izdevumi tehnoloģisko iekārtu un transportlīdzekļu iegādēm netiks apgūti, jo izvērtējot šobrīd Nodrošinājuma valsts aģentūras rīcībā esošo materiāltehnisko nodrošinājumu, tika secināts, ka lielākā daļa transportlīdzekļu un tehnoloģisko iekārtu, kuras atbilst Latvijas Republikai saistošā Eiropas valstu nolīguma par bīstamo kravu starptautiskajiem pārvadājumiem ar autotransportu (ADR nolīgums) un Ministru Kabineta 2005. gada 6. septembra noteikumu Nr. 674 “Bīstamo kravu pārvadājumu noteikumi” prasībām tika iegādātas iepriekšējos gados, turklāt daļa no sākotnēji plānotām iegādēm ir zaudējusi aktualitāti."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22-TA-3022</w:t>
    </w:r>
    <w:r>
      <w:br/>
    </w:r>
    <w:r w:rsidR="00000000" w:rsidRPr="00000000" w:rsidDel="00000000">
      <w:rPr>
        <w:rtl w:val="0"/>
      </w:rPr>
      <w:t xml:space="preserve">13.10.2022. 16.27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22-TA-3022</w:t>
    </w:r>
    <w:r>
      <w:br/>
    </w:r>
    <w:r w:rsidR="00000000" w:rsidRPr="00000000" w:rsidDel="00000000">
      <w:rPr>
        <w:rtl w:val="0"/>
      </w:rPr>
      <w:t xml:space="preserve">13.10.2022. 16.27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Izziņa_22-TA-3022.docx</dc:title>
</cp:coreProperties>
</file>

<file path=docProps/custom.xml><?xml version="1.0" encoding="utf-8"?>
<Properties xmlns="http://schemas.openxmlformats.org/officeDocument/2006/custom-properties" xmlns:vt="http://schemas.openxmlformats.org/officeDocument/2006/docPropsVTypes"/>
</file>