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21-TA-937: Pamatnostādņu 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Kultūrpolitikas pamatnostādnes 2021. – 2027.gadam „Kultūrvalsts”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 valsts budžetu 2022.gadam” un likumprojekts “Par vidēja termiņa budžeta ietvaru 2022., 2023. un 2024.gadam” ir apstiprināts Ministru kabinetā un iesniegts pieņemšanai Saeimā, nepieciešams precizēt rīkojuma projekta 4.punktu, nosakot, ka jautājums par papildu valsts budžeta finansējuma piešķiršanu pamatnostādņu projektā paredzēto pasākumu īstenošanai 2023.gadam un turpmākajiem gadiem izskatāms Ministru kabinetā likumprojekta „Par valsts budžetu 2022.gadam” un likumprojekta „Par vidēja termiņa budžeta ietvaru 2022., 2023. un 2024.gadam” sagatavošanas un izskatīšanas procesā kopā ar visu ministriju un citu centrālo valsts iestāžu iesniegtajiem prioritārajiem pasākumiem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budžetu 2022.gadam” un likums “Par vidēja termiņa budžeta ietvaru 2022., 2023. un 2024.gadam” ir pieņemts Saeimā.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starpposma izvērtējumu veic, lai novērtētu īstenotās politikas ietekmi un pieņemtu lēmumu par vidēja termiņa politikas plānošanas dokumenta izstrādes nepieciešamību nākamajam plānošanas periodam, lūdzam svītrot 5.4.apakšpunktu. Saskaņā ar Ministru kabineta 2014.gada 2.decembra noteikumiem Nr.737 “Attīstības plānošanas dokumentu izstrādes un ietekmes izvērtēšanas noteikumi”, pamatnostādņu gala novērtējums būtu iekļaujams vēlāk – pie pamatnostādņu īstenošanas starpposma novērtējuma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737 20.punkts: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rīkojumā par pamatnostādnēm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institūciju, kas atbildīga par pamatnostādņu īstenošanu, un līdzatbildīgās institūcijas; 20.2. termiņu, līdz kuram iesniedzams starpposma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š.g. 24.septembra Ministru kabineta sēdes protokola Nr.63 1.§ 2.punktam Kultūras ministrijai tika piešķirts finansējums prioritāro pasākumu nodrošināšanai 2022.gadam 26 688 458 </w:t>
            </w:r>
            <w:r w:rsidR="00000000" w:rsidRPr="00000000" w:rsidDel="00000000">
              <w:rPr>
                <w:i w:val="1"/>
                <w:rtl w:val="0"/>
              </w:rPr>
              <w:t xml:space="preserve">euro</w:t>
            </w:r>
            <w:r w:rsidR="00000000" w:rsidRPr="00000000" w:rsidDel="00000000">
              <w:rPr>
                <w:rtl w:val="0"/>
              </w:rPr>
              <w:t xml:space="preserve"> apmērā, 2023.gadam 21 116 906 </w:t>
            </w:r>
            <w:r w:rsidR="00000000" w:rsidRPr="00000000" w:rsidDel="00000000">
              <w:rPr>
                <w:i w:val="1"/>
                <w:rtl w:val="0"/>
              </w:rPr>
              <w:t xml:space="preserve">euro</w:t>
            </w:r>
            <w:r w:rsidR="00000000" w:rsidRPr="00000000" w:rsidDel="00000000">
              <w:rPr>
                <w:rtl w:val="0"/>
              </w:rPr>
              <w:t xml:space="preserve"> apmērā un 2024.gadam 22 993 914 </w:t>
            </w:r>
            <w:r w:rsidR="00000000" w:rsidRPr="00000000" w:rsidDel="00000000">
              <w:rPr>
                <w:i w:val="1"/>
                <w:rtl w:val="0"/>
              </w:rPr>
              <w:t xml:space="preserve">euro</w:t>
            </w:r>
            <w:r w:rsidR="00000000" w:rsidRPr="00000000" w:rsidDel="00000000">
              <w:rPr>
                <w:rtl w:val="0"/>
              </w:rPr>
              <w:t xml:space="preserve"> apmērā. Ņemot vērā minēto ir pārskatāms pamatnostādņu projekta 3.pielikuma kolonnas "Plānotais finansējums" ailēs "2022" un "2023" norādītais finansējuma apmērs, attiecīgi precizējot finansējumu kolonnā "Nepieciešamais papildu finansējums". Piemēram, prioritārajam pasākuma 22_01_P "Kultūras nozares darba samaksas pieaugums" tika piešķirts papildu finansējums 2022. - 2024.gadam 8 000 000 </w:t>
            </w:r>
            <w:r w:rsidR="00000000" w:rsidRPr="00000000" w:rsidDel="00000000">
              <w:rPr>
                <w:i w:val="1"/>
                <w:rtl w:val="0"/>
              </w:rPr>
              <w:t xml:space="preserve">euro</w:t>
            </w:r>
            <w:r w:rsidR="00000000" w:rsidRPr="00000000" w:rsidDel="00000000">
              <w:rPr>
                <w:rtl w:val="0"/>
              </w:rPr>
              <w:t xml:space="preserve"> apmērā ik gadu, savukārt 4.4.uzdevumam "Paaugstināt kultūras un radošajās nozarēs strādājošo atalgojumu un ieņēmumus (NAP2027 [223], [225], [382])" nav mainījies plānotais finansējuma apmērs 2022. un 2023.gadam salīdzinājumā ar š.g. 3.septembrī iesniegto materiālu.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precizēts viss pamatnostādņu projekta 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2022.gadā papildu finansējumu vairs nevar plānot, kā arī š.g. 24.septembra Ministru kabineta sēdē jau tika atbalstīta papildu finansējuma piešķiršana ministriju un citu centrālo valsts pārvaldes iestāžu prioritāro pasākumu nodrošināšanai 2022.-2024.gadam, ir precizējams pamatnostādņu projekta 3.pielikums, svītrojot papildu nepieciešamo finansējumu valsts pamatfunkciju īstenošanai kolonnas "Nepieciešamais papildu finansējums" ailē "2022".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precizēts viss pamatnostādņu projekta 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pārskatāms pamatnostādņu projekta 3.pielikuma kolonnā "Nepieciešamais papildu finansējums" norādītais papildu nepieciešamā finansējuma apmērs, izvērtējot iespējas samazināt uzdevumu īstenošanai nepieciešamo finansējumu, vienlaikus samērojot to ar valsts budžeta reālajām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precizēts viss pamatnostādņu projekta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informāciju par pamatnostādņu projekta 3.pielikumā iekļautā 2.2.uzdevuma nodrošināšanai nepieciešamo finansējumu. Ņemot vērā, ka izziņā par atzinumos sniegtajiem iebildumiem I sadaļas "Jautājumi, par kuriem saskaņošanā vienošanās nav panākta" 11.punktā norādīts, ka uzdevuma galvenais īstenotājs ir pašvaldības un  nepieciešamais finansējums tiks paredzēts atbilstoši pašvaldību ilgtspējīgas attīstības stratēģijām un attīstības programmām, aicinām norādīt idikatīvi plānoto finansējumu pašvaldību budžetos uzdevuma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CSP datiem par pašvaldību finansējums veido apmēram 60% no vispārējā valdības sektora izdevumiem kultūras, atpūtas un reliģijas funkcijām, saskaņā ar COFOG klasifikatoru. Pašvaldības šos izdevumus plāno saskaņā ar to ilgtspējīgas attīstības stratēģijām, kas hierarhiski ir pakārtotas nacionāla līmeņa attīstības plānošanas dokumentiem, un no stratēģijām izrietošajām attīstības programmām, ņemot vērā to, viena no pašvaldību autonomajām funkcijām ir rūpēties par kultūru un sekmēt tradicionālo kultūras vērtību saglabāšanu un tautas jaunrades attīstību. Kultūras ministrijas izstrādātās kultūrpolitikas pamatnostādnes kā hierarhiski augstāki plānošanas dokumenti bez šaubām sniedz vadlīnijas pašvaldību darbībai kultūras jomā, kas atspoguļots arī norādot pašvaldības kā līdzatbildīgās institūcijas daudzu uzdevumu izpildē. Vienlaikus Kultūras ministrijai nav pienākuma apzināt un iekļaut pašvaldību plānoto finansējumu šo uzdevumu izpildei, ja vien šis finansējuma netiek plānots no Kultūras ministrijas budžeta programmām, ņemot vērā to, ka saskaņā ar “Attīstības plānošanas sistēmas likumu” valsts pārvaldes iestādes savā kompetencē esošo attīstības plānošanas dokumentu izstrādē nodrošina to atbilstību hierarhiski augstākiem plānošanas dokumentiem, taču ne zemākiem. Ņemot vērā augstāk minēto, kā arī to, ka 2.2.uzdevuma izpildē valsts iestāžu tieša līdzdalība nav paredzēta, uzskatām, ka pamatnostādņu 3.pielikums ir aizpildīts korekti.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izskatījusi Kultūras ministrijas sagatavoto pamatnostādņu projektu “Kultūrpolitikas pamatnostādnes 2021.–2027.gadam “Kultūrvalsts”” (turpmāk – pamatnostādnes) un atbalsta tā tālāku virzību, vienlaikus izsakot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pamatnostādņu uzdevuma 4.2. “Veikt ieguldījumus kultūras un radošo nozaru infrastruktūrā” īstenošanā ka līdzatbildīgā institūcija norādīta Veselības ministrija (Paula Stradiņa Medicīnas vēstures muzejs), lūdzam attiecīgi papildināt pamatnostādņu 3. pielikumu, norādot papildu nepieciešamo finansējumu Veselības ministrijas resorā esošajam Paula Stradiņa Medicīnas vēstures muzejam 10 132 274 euro apmērā no 2023.- 2027.gadam: 365 226 euro 2023.gadam, 365 226 euro  2024.gadam, 2 533 658 euro 2025.gadam, 2 533 658 euro 2026.gadam, 4 334 506 euro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jautājums par papildu valsts budžeta finansējuma piešķiršanu gan Kultūras ministrijas, gan Veselības ministrijas padotībā esošo muzeju infrastruktūras attīstīšanai virzāms un skatāms kā vienota politikas prioritāte Kultūras ministrijas vadībā. Neskatoties uz to, ka Paula Stradiņa Medicīnas vēstures muzejs ir Veselības ministrijas padotībā, tas darbojas kultūras jomā. Tāpēc, lemjot par valsts budžeta finansējuma piešķiršanu muzeju infrastruktūras attīstībai, jāvērtē visu valsts muzeju vajadzības kompleksi, neatkarīgi no to piederības kādai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Paula Stradiņa Medicīnas vēstures muzeja darbības nodrošināšanai nepieciešamais papildus finansējums nevar tikt iekļauts pamatnostādņu 3.pielikumā, ņemot vērā, ka, jebkura muzeja darbību pamatā finansē tā dibinātājs, savukārt Kultūras ministrija, saskaņā ar tās nolikumu, sekmē muzeju darbības pilnveidošanu un koordinē to attīstību, attiecīgi, Kultūras ministrija nevar uzņemties atbildību par visu valsts muzeju infrastruktūras uzlabošanas pasākumiem. Līdz ar to uzskatām, ka nepieciešamie līdzekļi infrastruktūras uzlabošanai ir jāplāno katra muzeja dibinātāja budžetā, un, ja Veselības ministrija šobrīd nav plānojusi šādus ieguldījumus Paula Stradiņa Medicīnas muzejā, tie nevar tikt iekļauti pamatnostādņu īstenošanai nepieciešamā finansējuma aprēķinos. Vienlaikus vēlamies uzsvērt, ka Kultūras ministrija konceptuāli neiebilst pret horizontālas politikas prioritātes izveidi valsts muzeju infrastruktūras uzlabošanai, taču tās izstrādei vispirms ir nepieciešama diskusija par visu valsts muzeju vajadzībām un pārējo ministriju gatavību atbalstīt šādu ieceri un iesaistīties tās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pamatnostādņu projektā iekļauto rādītāju (RR4, 30.lpp.) par dalībnieku skaitu amatiermākslas kolektīvos ar NAP2027 rādītāju – [366] Dalībnieku skaits mākslinieciskās pašdarbības kolektīvos kultūras centros, tūkst.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RR4 Dalībnieku skaits mākslinieciskās pašdarbības kolektīvos kultūras centros, tūkst.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mērķa vērtība – 68; 2027.gada mērķa vērtība – 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CSP. Mērvienība –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iekļautais rādītājs un tā mērķa vērtības vienādoti ar NAP 2027 iekļauto rādītāju.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joprojām ir novērojamas neatbilstības un samērā lielas novirzes no Latvijas Nacionālā attīstības plānā 2021.-2027.gadam (NAP2027) plānotā finansējuma, uzturam iebildumu par papildu plānotā finansējuma iekļaušanu šādā apjomā. Atkārtoti vēršam Jūsu uzmanību, ka NAP2027 norādītais indikatīvi plānotais finansējuma apjoms ir pamats pamatnostādņu projektā un likumā par valsts budžetu kārtējam gadam iekļaujamā satura veidošanai, līdz ar to pamatnostādņu projektā iekļautajam finansējumam var būt nelielas novirzes, bet ne būtisks finansējuma pārsniegums. Papildus vēršam Jūsu uzmanību, ka salīdzinājumā ar iepriekšējo dokumenta redakciju, var izdarīt secinājumu, ka esošajā redakcijā valsts budžeta izdevumu daļa ir pieaugusi vēl par aptuveni 34 milj.eiro, tādējādi veidojot vēl lielāku nobīdi no NAP2027 plānotā (iepriekš pārsniegts aptuveni par 79 milj.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NAP 2027 gala redakcija tika izstrādāta 2020.gada sākumā un apstiprināta Saeimā 2020.gada 2.jūlijā. Šajā laikā Kultūras ministrija sadarbībā ar nozari ir identificējusi vairākus jaunus prioritārus pasākumus, kas būtu īstenojami, lai sasniegtu NAP2027 mērķus, piemēram, iniciatīva “Grāmatai 500” un Dziesmu un deju svētku tradīcijas stiprināšana, palielinot valsts ieguldījumu kolektīvu vadītāju darba apmaksā, kas tika iekļauta 2022. gada budžeta paketē, līdz ar to palielinot kopējo plānoto investīciju apjomu nākamajiem septiņiem gadiem. Vienlaikus jāuzsver, ka NAP2027 pievienotais investīciju projektu saraksts, kā norādīts pielikuma nosaukumā, ir uzskatāms par indikatīvu; tā izstrādes procesā, no vienas puses, Kultūras ministrija iekļaušanai sarakstā virzīja tikai nozīmīgākos investīciju projektus, kas varētu primāri tikt finansēti no Eiropas Savienības struktūrfondu līdzekļiem, neiekļaujot tādas nozīmīgas no valsts budžeta līdzekļiem finansējamas iniciatīvas kā, piemēram, atalgojuma palielināšana kultūras nozarēs strādājošajiem, kas atbalstīta arī 2022.gada budžeta veidošanas procesā; no otras puses, vairāku kultūras politikas sekmīgai īstenošanai būtisku iniciatīvu finansējuma apjoms, it īpaši ieguldījumu kultūras infrastruktūrā, saraksta veidošanas procesā tika būtiski samazināts, salīdzinot ar pieprasīto, vienlaikus šo investīciju aktualitāte nav samazinājusies. Līdz ar to paužam viedokli, ka NAP2027 pielikumā iekļautais indikatīvais finansējums nevar tikt uzskatīts par objektīvu visu kultūras nozares attīstības vajadzību atspoguļojumu, un no politikas plānošanas viedokļa būtu bezatbildīgi izslēgt no plānotajiem kultūrpolitikas īstenošanas pasākumiem būtiskus pasākumus tikai tāpēc, ka tie (un tiem nepieciešamas finansējums) dažādu iemeslu dēļ nav iekļauti NAP2027 pielikumā. Uzskatām, ka nozares politikas plānošanas dokumentiem ir jāiekļauj visas identificētās nozares vajadzības, pat ja to īstenošanai nepieciešamie līdzekļi pārsniedz prognozēto pieejamā finansējuma apjomu. Vienlaikus vēlamies uzsvērt, ka Kultūras ministrija pilnībā apzinās, ka pamatnostādnēs iekļautie pasākumi, iespējams, nevarēs tikt pilna apjomā īstenoti, ņemot vērā ierobežoto pieejamā valsts finansējuma apjomu, un ka reālais šo pasākumu īstenošanai nepieciešamā finansējuma apjoms būs atkarīgs gan no valsts budžeta iespējām, gan politiskās vienošanās par budžeta prioritātēm, taču uzskatām, ka šādas izšķiršanās ir jāveic budžeta veidošanas, nevis pamatnostādņu apstiprināšanas procesā.  Papildus norādām, ka atsevišķās pozīcijās finansējuma apjoms palielinājies arī objektīvu iemeslu dēļ, piemēram, NAP2027 uzdevuma 257 izpildei plānotais ES struktūrfondu līdzekļu apjoms Latvijas darba programmas saskaņošanas procesā ir palielinājies no plānotajiem 5 000 000 euro uz 20 040 102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11. lpp. – Apkārtējās vides faktori – ir izmantoti dati par iedzīvotāju skaitu 2018.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jaunākie šobrīd pieejamie dati ir 2021. gada 1. janvāris – iedzīvotāju skaits 1,89 mlj., kā arī dati par iedzīvotāju skaita izmaiņām no 2008. gada 1. janvāra līdz 2021. gada 1. janvārim - iedzīvotāju skaits samazinājies par 13,6 %.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jaunākajiem pieejamajiem datiem.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12. lpp. -  iedzīvotāju skaita izmaiņas dabiskā pieauguma un migrācijas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lpp. -  atbilstoši jaunākajiem datiem iedzīvotāju skaits laika posmā no 2008. gada 1. janvāra līdz 2021. gada 1. janvārim negatīva dabiskā pieauguma dēļ samazinājās par 109 tūkst., bet migrācijas dēļ par 189 tūkst.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jaunākajiem pieejamajiem datiem.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12. lpp. lūgums precizēt teikumu: “Tomēr joprojām no Latvijas izbraukušo iedzīvotāju skaits pārsniedz remigrējušo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salīdzinātas dažādas lietas – kopējais aizbraucēju skaits ietver, gan Latvijas valstpiederīgos, gan iepriekš imigrējušos citu valstu valstspiederīgos, bet remigranti - tikai Latvijas valstspiederīgos Latvijas pilsoņus un nepilsoņus) un Latvijā dzimušos. Var salīdzināt aizbraucēju skaitu ar atbraucēju skaitu, vai remigrantus ar aizbraukušo Latvijas valstspiederīgo skaitu (Latvijas pilsoņiem un nepilsoņiem).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lietojot atbilstošus jēdzienus.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3.pielikuma tabulā iekļauto informāciju par 4.8.uzdevumu “Veicināt radošo industriju attīstību” atbilstoši Izziņas par atzinumos sniegtajiem iebildumiem par pamatnostādņu projektu „Kultūrpolitikas pamatnostādnes 2021.-2027.gadam „Kultūrvalsts”” 39.punktā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3.pielikuma 4.8.uzdevuma  “Veicināt radošo industriju attīstību” īstenošanai esošais un papildus nepieciešamais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- 09.11.2021.)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 par amatiermākslas kolektīvu darbību, konkrēti par amatiermākslas kolektīvu atalgojuma konkurētspēju un līdzsvarošanu valstī: “Pamatnostādņu projektā minēts, ka ir jārisina jautājumi, kas saistīti ar amatiermākslas pieejamību un to darbības kvalitāti,  pārskatot valsts līdzfinansējuma apjomu amatiermākslas kolektīvu vadītājiem, bet nav minēts, ka ir plānots izveidot vienotu, saprotamu, godīgu amatiermākslas kolektīvu vadītāju un speciālistu atalgojuma sistēmu, lai līdzsvarotu tik ļoti dažādo darba samaksu un aprēķinu novados. Viens ir palielināt mērķdotācij, bet otra daļa tāpat būs pašvaldības finansējums - par kura apmēru pašvaldībām vajadzētu būt vienotai izpratnei.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pamatnostādņu projektā ir iekļauti uzdevumi 3.3. Stiprināt Dziesmu un deju svētku tradīciju un 4.4. Paaugstināt kultūras un radošajās nozarēs nodarbināto atalgojumu un ieņēmumus. Konkrētus pasākumus, ar kuru palīdzību tiks nodrošināta šo uzdevumu izpilde, plānots iekļaut rīcības plānā pamatnostādņu izpildei, tostarp pasākumus, ar kuru palīdzību būtu iespējams nodrošināt taisnīgu atalgojumu Dziesmu un deju kustībā iesaistīto amatiermākslas kolektīvu vadītājiem un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21-TA-937</w:t>
    </w:r>
    <w:r>
      <w:br/>
    </w:r>
    <w:r w:rsidR="00000000" w:rsidRPr="00000000" w:rsidDel="00000000">
      <w:rPr>
        <w:rtl w:val="0"/>
      </w:rPr>
      <w:t xml:space="preserve">15.02.2022. 09.22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21-TA-937</w:t>
    </w:r>
    <w:r>
      <w:br/>
    </w:r>
    <w:r w:rsidR="00000000" w:rsidRPr="00000000" w:rsidDel="00000000">
      <w:rPr>
        <w:rtl w:val="0"/>
      </w:rPr>
      <w:t xml:space="preserve">15.02.2022. 09.22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Izziņa_21-TA-937.docx</dc:title>
</cp:coreProperties>
</file>

<file path=docProps/custom.xml><?xml version="1.0" encoding="utf-8"?>
<Properties xmlns="http://schemas.openxmlformats.org/officeDocument/2006/custom-properties" xmlns:vt="http://schemas.openxmlformats.org/officeDocument/2006/docPropsVTypes"/>
</file>