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21-TA-1599: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Preču un pakalpojumu piekļūstamības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1.pantu ar terminu “gaisa pasažieru pārvadājumu pakalpojums” un tā definīciju. Minētais termins un tā definīcija tika iekļauts likumprojekta izstrādes stadijā un par to tika panākta vienošanās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lietots termins “gaisa pasažieru pārvadājumu pakalpojums” (likumprojekta 22.panta 3. un 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aviāciju” lietotā termina “gaisa pārvadājumi” definīcija ir plašāka nekā Regulas Nr. 1107/2006  par invalīdu un personu ar ierobežotām pārvietošanās spējām tiesībām, ceļojot ar gaisa transportu (turpmāk - Regula Nr. 1107/2006)  2. panta l) punktā minētā termina “komerciāli gaisa pārvadājumu pakalpojumi pasažieriem” definīcija, kas atbilstoši Regulas Nr. 1107/2006 1. panta 2. punktam attiecas uz invalīdiem un personām ar ierobežotām pārvietošanās spējām, kuras izmanto vai vēlas izmantot komerciālos pasažieru gaisa pārvadājumu pakalpojumus, atstājot lidostu, ceļojot tranzītā vai ierodoties tajā, ja šī lidosta atrodas kādas dalībvalsts teritorijā, uz kuru attiecas Eiropas Kopienas dibināšanas līgums. Likuma “Par aviāciju” lietotā termina “gaisa pārvadājumi” definīcija nosedz visus pārvadājumus arī, piemēram, gaisa pārvadājumus starp trešajām valstīm, kamēr Eiropas Parlamenta un Padomes 2019.gada 17.aprīļa direktīvas (ES) 2019/882 par preču un pakalpojumu piekļūstamībām (turpmāk – Direktīva Nr. 2019/882) 3. panta 31. punktā minētā termina “pasažieru gaisa pārvadājumu pakalpojums” definīcija noteic, ka pasažieru gaisa pārvadājumu pakalpojumi ir komerciāli gaisa pārvadājumu pakalpojumi pasažieriem, kā definēts Regulas Nr. 1107/2006 2. panta l) punktā, tiem dodoties prom no lidostas, esot lidostā tranzītā vai ierodoties lidostā, ja lidosta atrodas kādas dalībvalsts teritorijā, tostarp lidojumus no lidostas, kas atrodas kādā trešā valstī, uz lidostu kādas dalībvalsts teritorijā, ja pakalpojuma operators ir Savienības gaisa pārvadātājs. Tātad, Direktīvas Nr. 2019/882 un Regulas Nr. 1107/2006 prasības attiecas uz tiem komerciāliem gaisa pārvadājumu pakalpojumiem pasažieriem, kas notiek starp Eiropas Savienības dalībvalstīm un ja gaisa kuģi, kas veic gaisa pārvadājumu no trešās valsts, ielido Eiropas Savienības dalībvalstī vai izlido no tās. Tā, piemēram, valsts aģentūra "Civilās aviācijas aģentūra" nevarēs pārliecināties vai trešajā valstī, piemēram, kādā no Āfrikas valstīm, likumprojekta 2.pantā minētās personas nevarēja izmantot 3.panta otrās daļas 3.punkta b) apakšpunktā minētos uz mobilajām ierīcēm balstītus pakalpojumus, tostarp, mobilās lietotnes, gaisa kuģa ekspluatanta dēļ vai arī citu no gaisa kuģa ekspluatanta neatkarīgu apstākļu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gaisa pasažieru pārvadājumu pakalpojums</w:t>
            </w:r>
            <w:r w:rsidR="00000000" w:rsidRPr="00000000" w:rsidDel="00000000">
              <w:rPr>
                <w:rtl w:val="0"/>
              </w:rPr>
              <w:t xml:space="preserve"> - komerciāls gaisa pārvadājumu pakalpojums pasažieriem atbilstoši Eiropas Parlamenta un Padomes 2006.gada 5.jūlija regulas (EK) Nr. 1107/2006 par personu ar invaliditāti un personu ar ierobežotām pārvietošanās spējām tiesībām, ceļojot ar gaisa transportu  (turpmāk - Regula Nr. 1107/2006) 1. panta 2. punktā un 2. panta l) punktā noteiktajam, tiem dodoties prom no lidostas, esot lidostā tranzītā vai ierodoties lidostā, ja lidosta atrodas kādas Eiropas Savienības dalībvalsts teritorijā, tostarp, lidojumi no lidostas, kas atrodas trešajā valstī, uz lidostu Eiropas Savienības dalībvalsts teritorijā, ja pakalpojuma operators ir Eiropas Savienības gaisa pārvadātājs;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Likumā ir lietoti šādi termini: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elektronisko biļešu pārdošanas pakalpojums </w:t>
            </w:r>
            <w:r w:rsidR="00000000" w:rsidRPr="00000000" w:rsidDel="00000000">
              <w:rPr>
                <w:rtl w:val="0"/>
              </w:rPr>
              <w:t xml:space="preserve">- elektroniska sistēma, kurā, izmantojot ierīci ar interaktīvu datošanas spēju, pasažieru pārvadājumu biļetes tiek iegādātas tiešsaistē un piegādātas pircējam elektroniskā formā, lai tās varētu izdrukāt papīra formā vai brauciena laikā parādīt, izmantojot mobilo ierīci ar interaktīvu datošanas 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likumprojektu, nodrošinot, ka likumprojekta 1. pantā netiek skaidroti termini, kuri likumprojekta pamattekstā tiek lietoti tikai vienu reizi. Norādām, ka izziņā minēts, ka attiecīgais iebildums ir ņemts vērā, tomēr norādām, ka, piemēram, termins "elektronisko biļešu pārdošanas pakalpojums" likumprojektā joprojām tiek lietots vienu reizi, savukārt, likumprojekta 3. panta otrās daļas 5. punktā un 22. panta 6. punktā lietotais termins precīzi neatbilst likumprojekta 1. panta 2. punktā ietvertajam terminam.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importētājs </w:t>
            </w:r>
            <w:r w:rsidR="00000000" w:rsidRPr="00000000" w:rsidDel="00000000">
              <w:rPr>
                <w:rtl w:val="0"/>
              </w:rPr>
              <w:t xml:space="preserve">- fiziska vai juridiska persona, kas veic saimniecisko darbību Eiropas Savienībā un laiž Eiropas Savienības tirgū trešās valsts produktu;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likumprojektu, nodrošinot konsekventu terminoloģiju.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šobrīd likumprojektā joprojām tiek nekonsekventi lietoti termini "produkts" un "prece", kam ir atšķirīga izpratne arī Eiropas Parlamenta un Padomes 2019.gada 17.aprīļa direktīvā (ES) 2019/882 par preču un pakalpojumu piekļūstamībām (turpmāk - direktīva Nr. 2019/882). Ja likumprojektā tiek lietota atšķirīga no minētās direktīvas terminu izpratne, lūdzam atbilstošu skaidrojumu par minēto ietvert arī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šobrīd likumprojektā tiek nekonsekventi lietoti termini "preču laišana tirgū ar savu nosaukumu" un "preču laišana tirgū ar savu vārdu".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'importētājs' precizēts, vārdu 'produktu' aizstājot ar vārdu 'preci', kā arī papildināta anotācija, norādot, ka direktīvā 2019/882 lietotā vārda 'produkts' vietā likumprojektā tiek lietots vārds 'prece', lai nodrošinātu terminoloģisku atbilstību jau spēkā esošajiem Latvijas tiesību aktiem patērētāju tiesību aizsardzības jomā par preču uzraudzību. Tāpat novērsta nekonsekventa terminu "preču laišana tirgū ar savu nosaukumu" un "preču laišana tirgū ar savu vārdu" lietošana. Saskaņā ar PTAC norādījumiem, ja ražotājs ir fiziska persona, tas uz preces norāda "savu vārdu", savukārt juridiska persona "savu nosaukumu vai preču zīmi". Ņemot vērā minēto,  likumprojekts attiecīgajās vietās precizēts, izsakot frāzi šādā redakcijā: "ar savu vārdu, nosaukumu vai preču zīmi".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importētājs </w:t>
            </w:r>
            <w:r w:rsidR="00000000" w:rsidRPr="00000000" w:rsidDel="00000000">
              <w:rPr>
                <w:rtl w:val="0"/>
              </w:rPr>
              <w:t xml:space="preserve">- fiziska vai juridiska persona, kas veic saimniecisko darbību Eiropas Savienībā un laiž Eiropas Savienības tirgū trešās valsts preci;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w:t>
            </w:r>
            <w:r w:rsidR="00000000" w:rsidRPr="00000000" w:rsidDel="00000000">
              <w:rPr>
                <w:b w:val="1"/>
                <w:rtl w:val="0"/>
              </w:rPr>
              <w:t xml:space="preserve">mazais un vidējais uzņēmums</w:t>
            </w:r>
            <w:r w:rsidR="00000000" w:rsidRPr="00000000" w:rsidDel="00000000">
              <w:rPr>
                <w:rtl w:val="0"/>
              </w:rPr>
              <w:t xml:space="preserve"> - saimnieciskās darbības veicējs, kas nodarbina mazāk nekā 250 personu un kura gada apgrozījums nepārsniedz 50 miljonus euro vai gada bilances kopsumma nepārsniedz 43 miljonus euro, izņemot mikrouzņēmumu;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likumprojektu, nodrošinot, ka likumprojekta 1. pantā netiek skaidroti termini, kuri likumprojekta pamattekstā tiek lietoti tikai vienu reizi (sk. terminu “mazais un vidējais uzņēmums”, "patērētāju universāldatoru aparatūras sistēma" u.c.). Šādos gadījumos atbilstoši juridiskai tehnikai nepieciešamības gadījumā lūdzam skaidrojumu ietvert likumprojekta pamattekstā, kur termins 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Skaidrojumi terminiem, kas likumprojektā lietoti vienu reizi (piem., "maksājumu terminālis", "patērētāju galiekārta ar interaktīvu datošanas spēju, ko izmanto, lai piekļūtu audiovizuālo mediju pakalpojumiem ") iekļauti likumprojekta pamattekstā, savukārt termins 'mazais un vidējais uzņēmums' no likumprojekta izslēgts, jo tas ir definēts </w:t>
            </w:r>
            <w:r w:rsidR="00000000" w:rsidRPr="00000000" w:rsidDel="00000000">
              <w:rPr>
                <w:i w:val="1"/>
                <w:rtl w:val="0"/>
              </w:rPr>
              <w:t xml:space="preserve">Komisijas 2014.gada 17.jūnija Regulas (ES) Nr.651/2014 ar ko noteiktas atbalsta kategorijas atzīst par saderīgām ar iekšējo tirgu, piemērojot Līguma 107. un 108. pantu </w:t>
            </w:r>
            <w:r w:rsidR="00000000" w:rsidRPr="00000000" w:rsidDel="00000000">
              <w:rPr>
                <w:rtl w:val="0"/>
              </w:rPr>
              <w:t xml:space="preserve">1.pielikumā. Tā kā regulas ir tieši piemērojamas, un šajā likumā termins netiek lietots atšķirīgā nozīmē, minētais termins no likumprojekta izslēgts. Termins "patērētāju universāldatoru aparatūras sistēmas" saglabāts likumprojekta 1.pantā, jo likumprojekta pašreizējā redakcijā tas lietots vairāk kā vienu reizi.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w:t>
            </w:r>
            <w:r w:rsidR="00000000" w:rsidRPr="00000000" w:rsidDel="00000000">
              <w:rPr>
                <w:b w:val="1"/>
                <w:rtl w:val="0"/>
              </w:rPr>
              <w:t xml:space="preserve">piedāvāt tirgū</w:t>
            </w:r>
            <w:r w:rsidR="00000000" w:rsidRPr="00000000" w:rsidDel="00000000">
              <w:rPr>
                <w:rtl w:val="0"/>
              </w:rPr>
              <w:t xml:space="preserve"> - par samaksu vai bez maksas piegādāt preci izplatīšanai, patēriņam vai izmantošanai Eiropas Savienības tirgū, veicot komercdarbību;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Komerclikuma 1. panta otrajai daļai terminam "komercdarbība" ir specifiska nozīme, kas atšķiras un ir šaurāka par termina "saimnieciskā darbība" izpratni, turklāt likumprojekta 1. panta 23. punktā u.c. vienībās norādīts uz saimnieciskās darbības veicējiem, nevis komersantiem. Ņemot vērā minēto, lūdzam izvērtēt un nepieciešamības gadījumā precizēt likumprojekta 1. panta 17. punktu, termina "komercdarbība” vietā izmantojot terminu "saimnieciskā 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b w:val="1"/>
                <w:rtl w:val="0"/>
              </w:rPr>
              <w:t xml:space="preserve">piedāvāt tirgū</w:t>
            </w:r>
            <w:r w:rsidR="00000000" w:rsidRPr="00000000" w:rsidDel="00000000">
              <w:rPr>
                <w:rtl w:val="0"/>
              </w:rPr>
              <w:t xml:space="preserve"> - par samaksu vai bez maksas piegādāt preci izplatīšanai, patēriņam vai izmantošanai Eiropas Savienības tirgū, veicot saimniecisko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w:t>
            </w:r>
            <w:r w:rsidR="00000000" w:rsidRPr="00000000" w:rsidDel="00000000">
              <w:rPr>
                <w:b w:val="1"/>
                <w:rtl w:val="0"/>
              </w:rPr>
              <w:t xml:space="preserve">prece </w:t>
            </w:r>
            <w:r w:rsidR="00000000" w:rsidRPr="00000000" w:rsidDel="00000000">
              <w:rPr>
                <w:rtl w:val="0"/>
              </w:rPr>
              <w:t xml:space="preserve">- ražošanas procesā radīta viela, preparāts vai izstrādājums, izņemot pārtiku, barību, dzīvus augus un dzīvniekus, cilvēku izcelsmes produktus, augu un dzīvnieku produktus, kuri ir saistīti ar to turpmāku pavairošanu;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izstrādājums nav piemērojams, jo netiek izmantots speciālajos normatīvajos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produkts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w:t>
            </w:r>
            <w:r w:rsidR="00000000" w:rsidRPr="00000000" w:rsidDel="00000000">
              <w:rPr>
                <w:b w:val="1"/>
                <w:rtl w:val="0"/>
              </w:rPr>
              <w:t xml:space="preserve">prece </w:t>
            </w:r>
            <w:r w:rsidR="00000000" w:rsidRPr="00000000" w:rsidDel="00000000">
              <w:rPr>
                <w:rtl w:val="0"/>
              </w:rPr>
              <w:t xml:space="preserve">- ražošanas procesā radīta viela, preparāts vai produkts, izņemot pārtiku, barību, dzīvus augus un dzīvniekus, cilvēku izcelsmes produktus, augu un dzīvnieku produktus, kuri ir saistīti ar to turpmāku pavairošanu;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starptautiskais dzelzceļa pasažieru pārvadājumu pakalpojums </w:t>
            </w:r>
            <w:r w:rsidR="00000000" w:rsidRPr="00000000" w:rsidDel="00000000">
              <w:rPr>
                <w:rtl w:val="0"/>
              </w:rPr>
              <w:t xml:space="preserve">– dzelzceļa pasažieru pārvadājumu pakalpojums starp Eiropas Savienības dalībvalstīm, kurā vilciens šķērso Latvijas Republikas robežu ar citu Eiropas Savienības dalībvalsti, un ja galvenais pakalpojuma mērķis ir pārvadāt pasažierus starp stacijām, kas atrodas dažādās Eiropas Savienības dalībvalstīs; vilciens var būt apvienots un/vai sadalīts posmos, un dažādiem tā posmiem var būt dažādi maršruta sākuma un gala punkti ar noteikumu, ka visi vagoni šķērso Latvijas Republikas robežu ar citu Eiropas Savienības dalībvalsti;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 panta 20. punktā simbolu un vārdus "un/vai" aizstāt ar saikli "un" vai saikli "vai", jo no attiecīgās normas nav skaidrs, vai ar simbolu un vārdiem "un/vai" tiek saprasts saiklis "un" vai saiklis "vai". Pamatojoties uz juridiskās tehnikas prasībām, tiesību normai ir jābūt skaidrai, lai tā lietotājs un piemērotājs gūtu nepārprotamu priekšstatu par saviem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ražotājs </w:t>
            </w:r>
            <w:r w:rsidR="00000000" w:rsidRPr="00000000" w:rsidDel="00000000">
              <w:rPr>
                <w:rtl w:val="0"/>
              </w:rPr>
              <w:t xml:space="preserve">- fiziska vai juridiska persona, kas ražo preci vai liek preci izveidot vai ražot, un tirgo minēto preci ar savu nosaukumu vai preču 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nosaukumu vai preču zīmi - fiziskai personai būs vārds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 ar savu vārdu, nosaukumu vai preču 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ražotājs </w:t>
            </w:r>
            <w:r w:rsidR="00000000" w:rsidRPr="00000000" w:rsidDel="00000000">
              <w:rPr>
                <w:rtl w:val="0"/>
              </w:rPr>
              <w:t xml:space="preserve">- fiziska vai juridiska persona, kas ražo preci vai liek preci izveidot vai ražot, un tirgo minēto preci ar savu vārdu, nosaukumu vai preču zīmi;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Tirgū ir atļauts piedāvāt preces un sniegt pakalpojumus, kas atbilst šā likuma 1.pielikumā noteiktajām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panta pirmajā daļā norādīts uz atļauju piedāvāt preces un sniegt pakalpojumus tirgū, tomēr norādām, ka atbilstoši Eiropas Parlamenta un Padomes 2019. gada 17. aprīļa direktīvas (ES) 2019/882 par preču un pakalpojumu piekļūstamībām (turpmāk -  direktīva Nr. 2019/882) 4. panta 1. punktam dalībvalstis saskaņā ar šā panta 2., 3. un 5. punktu un ievērojot 14. pantu nodrošina, ka uzņēmēji </w:t>
            </w:r>
            <w:r w:rsidR="00000000" w:rsidRPr="00000000" w:rsidDel="00000000">
              <w:rPr>
                <w:u w:val="single"/>
                <w:rtl w:val="0"/>
              </w:rPr>
              <w:t xml:space="preserve">laiž tirgū</w:t>
            </w:r>
            <w:r w:rsidR="00000000" w:rsidRPr="00000000" w:rsidDel="00000000">
              <w:rPr>
                <w:rtl w:val="0"/>
              </w:rPr>
              <w:t xml:space="preserve"> vienīgi produktus un sniedz vienīgi pakalpojumus, kuri atbilst I pielikumā izklāstītajām piekļūstamības prasībām. Saskaņā ar minētās direktīvas 3. panta 16. punktu laist tirgū nozīmē produktu pirmo reizi darīt pieejamu Eiropas Savienības tirgū. Ievērojot minēto, lūdzam atbilstoši precizēt likumprojekta 4. panta pirmo daļu u.c. likumprojekta vienības, kur norādes uz laišanu tirgū vietā atrodamas norādes par preču piedāvāšanu un pakalpojumu sniegšanu tirgū (likumprojektā cituviet lietots arī termins "laist tirgū"). Kā arī lūdzam izvērtēt un likumprojekta 1. pantu papildināt ar termina "laist tirgū" skaidrojumu, kam ir būtiska nozīme likumprojekta korektai izpratnei un precīzai piemērošanai (piemēram, terminu var skaidrot līdzīgi, kā tas darīts Plastmasu saturošu izstrādājumu patēriņa samazināšanas likuma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attiecīgi grozījumi likumprojekta 4.panta pirmajā daļā. Papildus likumprojekta 1.pants papildināts ar terminiem "laist tirgū" un "piedāvāt tirgū" atbilstoši Direktīvai 2019/882 un precizēta terminu lietošana visā likumprojektā. Proti, termins "laist tirgū" nozīmē preci pirmo reizi piedāvāt Eiropas Savienības tirgū, savukārt "piedāvāt tirgū" saistāms ar preču izplatīšanu, patēriņu un izmantošanu Eiropas Savienības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Tirgū ir atļauts laist preces un sniegt pakalpojumus, kas atbilst šā likuma 1.pielikumā noteiktajām piekļūstamības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Pasažieru pārvadājumu pakalpojumus, kuri atbilst prasībām par piekļūstamas informācijas un informācijas par piekļūstamību sniegšanu, kas noteiktas Eiropas Parlamenta un Padomes 2004. gada 11. februāra regulā (EK) Nr. 261/2004, ar ko paredz kopīgus noteikumus par kompensāciju un atbalstu pasažieriem sakarā ar iekāpšanas atteikumu un lidojumu atcelšanu vai ilgu kavēšanos, Regulā Nr. 1107/2006,  Eiropas Parlamenta un Padomes 2021. gada 29. aprīļa regulā (ES) 2021/782 par dzelzceļa pasažieru tiesībām un pienākumiem, Regulā Nr. 1177/2010 un Eiropas Parlamenta un Padomes  2011. gada 16. februāra Regulā Nr. 181/2011 par autobusu pasažieru tiesībām, un attiecīgajos normatīvajos aktos, kuri pieņemti, pamatojoties uz Direktīvu 2008/57/EK, uzskata par atbilstīgiem šā likuma prasībām. Ja šajā likumā ir paredzētas prasības papildus tām prasībām, kas paredzētas minētajās regulās un normatīvajos aktos, papildu prasības piemēro pilnībā.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5. pantā ietverto atsauci uz normatīvajiem aktiem, kas pieņemti, pamatojoties uz Eiropas Parlamenta un Padomes 2008. gada 17. jūnija Direktīvu 2008/57/EK par dzelzceļa sistēmas savstarpēju izmantojamību Kopienā, kā arī sniegt atbilstošu skaidrojumu likumprojekta anotācijā. Norādām, ka minētā direktīva ir atcelta ar Eiropas Parlamenta un Padomes 2016. gada 11. maija Direktīvu (ES) 2016/797 par dzelzceļa sistēmas savstarpēju izmantojamību Eiropas Savienībā un Eiropas Parlamenta un Padomes 2016. gada 11. maija Direktīvu (ES) 2016/798 par dzelzceļa drošību, kā arī no likumprojekta un tā anotācijas šobrīd neizriet, par kādiem normatīvajiem aktiem likumprojekta 5. pantā ir runa, tai skaitā, vai tās ir Eiropas Savienības regulas vai citi tiesību akti, un precīza šo normatīvo aktu joma. Ierosinām likumprojekta 5. pantā norādīt konkrētu normatīvo aktu jomu, izvairoties no atsauces par direktīvu, bet likumprojekta anotācijā skaidrot, kādi normatīvie akti ietveras attiecīgajā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Pasažieru pārvadājumu pakalpojumus, kuri atbilst prasībām par piekļūstamas informācijas un informācijas par piekļūstamību sniegšanu, kas noteiktas Eiropas Parlamenta un Padomes 2004. gada 11. februāra regulā (EK) Nr. 261/2004, ar ko paredz kopīgus noteikumus par kompensāciju un atbalstu pasažieriem sakarā ar iekāpšanas atteikumu un lidojumu atcelšanu vai ilgu kavēšanos, Regulā Nr. 1107/2006,  Eiropas Parlamenta un Padomes 2021. gada 29. aprīļa regulā (ES) 2021/782 par dzelzceļa pasažieru tiesībām un pienākumiem, Regulā Nr. 1177/2010 un Eiropas Parlamenta un Padomes  2011. gada 16. februāra Regulā Nr. 181/2011 par autobusu pasažieru tiesībām, un attiecīgajos tieši piemērojamajos Eiropas Savienības tiesību aktos, kuri pieņemti Eiropas Savienības dzelzceļa sistēmas savstarpējas izmantojamības nodrošināšanas jomā, uzskata par atbilstīgiem šā likuma prasībām. Ja šajā likumā ir paredzētas prasības papildus tām prasībām, kas paredzētas minētajās regulās un normatīvajos aktos, papildu prasības piemēro pilnībā.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Ražotājs sagatavo tehnisko dokumentāciju saskaņā ar šā likuma 2. pielikumu un veic tajā izklāstīto atbilstības novērtēšanas procedūru vai nodrošina tās veikšanu. Ja ar atbilstības novērtēšanas procedūru ir pierādīts, ka prece atbilst piemērojamām piekļūstamības prasībām, ražotājs sagatavo atbilstības deklarāciju un marķē preci ar CE atbilstības marķējumu.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likumprojektu, nodrošinot, ka tajā tiek lietota konsekventa un vienveidīga terminoloģija. Norādām, ka šobrīd, piemēram, likumprojektā norādīts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preču marķēšanu ar CE atbilstības marķējumu un CE zīmes uzlikšanu;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harmonizētajiem un saskaņotajiem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pilsētu un piepilsētu pārvadājumu pakalpojumiem un pilsētu pārvadājumu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preču laišana tirgū ar savu nosaukumu un preču laišanu tirgū ar savu 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piekļūstamības prasībām un piekļūstamības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Ražotājs saskaņā ar šā likuma 7.pantu sagatavo tehnisko dokumentāciju un veic atbilstības novērtēšanas procedūru vai nodrošina tās veikšanu. Ja ar atbilstības novērtēšanas procedūru ir pierādīts, ka prece atbilst piemērojamām piekļūstamības prasībām, ražotājs sagatavo atbilstības deklarāciju un uzliek CE zīmi.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Ražotājs uz preces norāda savu nosaukumu vai reģistrēto preču zīmi un kontaktadresi, kur ar to var sazināties, vai, ja tas nav iespējams, minēto informāciju norāda uz iepakojuma vai precei pievienotajā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direktīvas Nr. 2019/882 7. panta 6. punkta otrā un trešā teikumā ietverto prasību pārņemšanu likumprojekta 6. panta sestajā daļā vai sniegt pamatotu skaidrojumu par attiecīgo direktīvas prasību pārņemšanu likumprojekta anotācijā. Tāpat līdzīgi lūdzam attiecīgo prasību (un arī citu prasību, kas attiecinātas uz ražotāju), ja tas izriet no direktīvas Nr. 2019/882) attiecināt arī uz citiem saimnieciskās darbības veicējiem, ciktāl tas izriet no direktīvas Nr. 2019/882.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Ražotājs uz preces norāda savu vārdu, nosaukumu vai reģistrēto preču zīmi, vienu adresi un kontaktinformāciju, kur ar to var sazināties, vai, ja tas nav iespējams, minēto informāciju norāda uz iepakojuma vai precei pievienotajā dokumentā. Kontaktinformācija ir skaidra, saprotama un viegli uztverama.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Ražotājs, kurš uzskata vai kuram ir pamats uzskatīt, ka prece, kuru tas ir laidis tirgū, neatbilst šim likumam, nekavējoties veic korektīvās darbības, lai nodrošinātu minētās preces atbilstību šā likuma prasībām vai, ja nepieciešams,  to izņemtu no tirgus, un informē tirgus uzraudzības iestādi, norādot detalizētu informāciju, jo īpaši par neatbilstību un veiktajām korektīvajām darbībām. Šādos gadījumos ražotājs uztur reģistru par piemērojamām piekļūstamības prasībām neatbilstošajām precēm un ar tām saistītajām sūdzībām.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anotācijā skaidrot, par ko (papildus informācijai par neatbilstību un veiktajām korektīvajām darbībām) vēl norādāma informācija likumprojekta 6. panta astotajā daļā, 8. panta astotajā daļā, 9. panta piektajā daļā un 11. panta sestajā daļā, ņemot vērā minētajās vienībās lietoto norādi "jo īpaši". 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Norādei "jo īpaši" (</w:t>
            </w:r>
            <w:r w:rsidR="00000000" w:rsidRPr="00000000" w:rsidDel="00000000">
              <w:rPr>
                <w:i w:val="1"/>
                <w:rtl w:val="0"/>
              </w:rPr>
              <w:t xml:space="preserve">Eng.</w:t>
            </w:r>
            <w:r w:rsidR="00000000" w:rsidRPr="00000000" w:rsidDel="00000000">
              <w:rPr>
                <w:rtl w:val="0"/>
              </w:rPr>
              <w:t xml:space="preserve"> "in particular") šajā pantā nav tiesiski nozīmīga satura piepildījuma, tādēļ vārdi "jo īpaši" šajā normā un citos attiecīgajos pantos ir izslēgti.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Ražotājs, kurš uzskata vai kuram ir pamats uzskatīt, ka prece, kuru tas ir laidis tirgū, neatbilst šim likumam, nekavējoties veic korektīvās darbības, lai nodrošinātu minētās preces atbilstību šā likuma prasībām vai, ja nepieciešams,  to izņemtu no tirgus, un informē tirgus uzraudzības iestādi, norādot detalizētu informāciju par neatbilstību un veiktajām korektīvajām darbībām. Šādos gadījumos ražotājs uztur reģistru par piemērojamām piekļūstamības prasībām neatbilstošajām precēm un ar tām saistītajām sūdzībām.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Pēc tirgus uzraudzības iestādes pieprasījuma ražotājs tai sniedz nepieciešamo informāciju un dokumentāciju valsts valodā, lai pierādītu preces atbilstību šā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direktīvas Nr. 2019/882 7. panta 9. punktam pieprasījumam sniegt nepieciešamo informāciju un dokumentāciju jābūt pamatotam. Attiecīgi lūdzam atbilstoši precizēt likumprojektu vai sniegt pamatotu skaidrojumu par attiecīgās direktīvas prasības pārņemšanu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līdzīgi vēršam uzmanību, ka pieprasījumam jābūt pamatotam arī gadījumos, kad informācija tiek pieprasīta, nevis no ražotāja, bet cita saimnieciskās darbības veicēja, kādēļ lūdzam atbilstoši precizēt likumprojektu arī attiecīgos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Pēc tirgus uzraudzības iestādes pamatota pieprasījuma ražotājs tai sniedz nepieciešamo informāciju un dokumentāciju valsts valodā, lai pierādītu preces atbilstību šā likuma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Ražotājs rakstveidā var pilnvarot pārstāvi veikt šā likuma 6. panta trešajā, ceturtajā, piektajā, sestajā, septītajā, astotajā, devītajā, desmitajā un vienpadsmitajā daļā noteiktos pienākumus.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likumprojektu, nodrošinot, ka tā pielikumos ietvertais regulējums nedublē (jo īpaši sk. pielikumu ievaddaļas) un nav pretrunā ar likumprojekta pamattekstā ietverto regulējumu, piemēram, likumprojekta 7. panta pirmā daļa šobrīd ir pretrunā cita starpā ar likumprojekta 2. pielikuma piekto daļu (izņēmumi par pilnvarošanu noteikti direktīvā un pārstāvi nevar pilnvarot veikt vienīgi direktīvas Nr. 2019/882 8. panta 1. punkta otrajā teikumā minēto).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Ražotājs ar rakstisku pilnvaru var iecelt pilnvarotu pārstāvi. Pilnvarotā pārstāvja pilnvarās neietilpst šā likuma 6. panta pirmajā daļā noteiktie pienākumi un tehniskās dokumentācijas izstrāde.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tirgus uzraudzības iestādes pieprasījuma sadarboties ar tirgus uzraudzības iestādi, lai novērstu preces neatbilstību piemērojamām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7. panta otrās daļas 3. punktu. Norādām, ka direktīvas Nr. 2019/882 8. panta 2. punkta "c" apakšpunkts paredz ierobežojumu konkrētajam pilnvarotā pārstāvja pienākumam attiecībā uz to, ciktāl konkrētā prece attiecas uz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tirgus uzraudzības iestādes pieprasījuma sadarboties ar tirgus uzraudzības iestādi, lai novērstu neatbilstību piemērojamām piekļūstamības prasībām precei, uz kuru attiecas tā pilnvaras.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Izplatītāja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sniegt pamatotu skaidrojumu par direktīvas Nr. 2019/882 10. panta 1. punkta prasību pārņemšanu likumprojektā. Nepieciešamības gadījumā lūdzam atbilstoši papildināt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Likumprojekta 9.panta pirmā daļa precizēta, kā arī 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Izplatītāja pienākumi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aprakstu par pakalpojuma darbību un funkcionalitāti;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Nr. 2019/882 V pielikuma 1. punkta "a" apakšpunkts paredz cita starpā sniegt vispārīgu pakalpojuma aprakstu piekļūstamos formātos. Attiecīgi lūdzam izvērtēt un atbilstoši papildināt likumprojekta 11. pantu vai sniegt pamatotu skaidrojumu par minētās direktīvas prasības pārņemšanu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vispārīgu pakalpojuma aprakstu piekļūstamos formātos;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pakalpojuma sniegšanas process un tā pārraudzība nodrošina pakalpojuma atbilstību šā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ar likumprojekta 11. panta otrās daļas 3. punktu tiek korekti pārņemts direktīvas Nr. 2019/882 V pielikuma 3. punkts. Norādām, ka minētā direktīvas vienība paredz sniegt informāciju kas pamato (no angļu valodas versijas "demonstrate") to, ka pakalpojuma sniegšanas process un tā pārraudzība nodrošina pakalpojuma atbilstību, t.i., ne tikai formāli apliecina. Nepieciešamības gadījumā lūdzam precizēt likumprojekta 11. panta otrās daļas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12.panta otrās daļas 3.punktu izsakot jaunā redakcijā. Attiecīgi saimnieciskās darbības veicējs ar apliecinājumu garantē un pamato, ka pakalpojums ir atbilstošs gan šajā pantā ietvertajām prasībām, gan likuma 1.pielikuma prasībām. Jāņem vērā, ka Eiropas Komisija plāno izdot Eiropas standartizācijas organizācijām mandātu 1.pielikuma prasību tehniskai precizēšanai. Tādējādi nākotnē ražotājs un pakalpojumu sniedzējs, garantējot atbilstību šā likuma 1.pielikuma prasībām varēs papildus izmantot arī saskaņoto standartu, ja tāds tiks izdots.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ar kuru pamato, ka pakalpojuma sniegšanas process un tā pārraudzība nodrošina pakalpojuma atbilstību šajā pantā noteiktajām prasībām, kā arī atbilstību šā likuma 1. pielikumam.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Neatbilstības piekļūstamības prasībām gadījumā pakalpojuma sniedzējs veic korektīvos pasākumus, lai panāktu pakalpojuma atbilstību prasībām. Ja pakalpojums neatbilst piekļūstamības prasībām, pakalpojuma sniedzējs par to nekavējoties informē kompetentās iestādes tajās dalībvalstīs, kurās pakalpojums tiek sniegts, norādot nepieciešamo informāciju, jo īpaši par neatbilstību un veiktajiem korektīvajiem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skaidri saprotams, kādēļ likumprojektā tiek veikta diferenciācija attiecībā uz to, kuras dalībvalsts attiecīgi kompetentās iestādes un tirgus uzraudzības iestādes tiek informētas atkarībā no tā, vai tiek sniegts pakalpojums vai piegādāta prece, proti, likumprojekta 11. panta sestā daļa konkretizē, kuras valsts kompetentās iestādes (pakalpojumu gadījumā) tiek informētas, savukārt attiecībā uz tirgus uzraudzības iestādēm (preču gadījumā) tas netiek norādīts. Ievērojot minēto, lūdzam sniegt pamatotu skaidrojumu par minēto likumprojekta anotācijā. Ja atbilstošu skaidrojumu nav iespējams sniegt, lūdzam atbilstoši precizēt likumprojektu, nodrošinot korektu un vienveidīgu direktīvas Nr. 2019/882 prasību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 Vēršam uzmanību, ka preču neatbilstības jomā Patērētāju tiesību aizsardzības centram un citu dalībvalstu tirgus uzraudzības iestādēm ir vienota procedūra (Tirgus uzraudzības informācijas un saziņas sistēma (ICSMS) un Kopienas ātrās ziņošanas sistēma (RAPEX)), kādā tiek paziņots par preču neatbilstību, tādēļ preču jomā komunikācija notiek caur savas valsts tirgus uzraudzības iestādi, savukārt pakalpojumu jomā Eiropas Savienībā šādas vienotas, centralizētas kompetento iestāžu sistēmas nav, tādēļ tiek paredzēts, ka pakalpojumu sniedzējam pašam ir jāinformē ārvalstu kompetentās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Neatbilstības piekļūstamības prasībām gadījumā pakalpojuma sniedzējs veic korektīvos pasākumus, lai panāktu pakalpojuma atbilstību prasībām. Ja pakalpojums neatbilst piekļūstamības prasībām, pakalpojuma sniedzējs par to nekavējoties informē kompetentās iestādes tajās dalībvalstīs, kurās pakalpojums tiek sniegts, norādot nepieciešamo informāciju par neatbilstību un veiktajiem korektīvajiem pasākumiem.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pakalpojuma sniegšanas process un tā pārraudzība nodrošina pakalpojuma atbilstību šajā pantā noteiktajām prasībām, kā arī atbilstību šā likuma 1.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13. punktā norādīts, ka likumprojekta 12. panta otrās daļas 3. punkts izteikts jaunā redakcijā un attiecīgi saimnieciskās darbības veicējs ar apliecinājumu garantē un pamato, ka pakalpojums ir atbilstošs gan šajā pantā ietvertajām prasībām, gan likuma 1. pielikuma prasībām. Tomēr vēršam uzmanību, ka no minētā punkta neizriet attiecīgs regulējums, ka ar apliecinājumu tiek pamatots,ka pakalpojums ir atbilstošs gan šajā pantā ietvertajām prasībām, gan likuma 1. pielikuma prasībām, kādēļ lūdzam atbilstoši precizēt likumprojektu vai sniegt attiecīgu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ar kuru pamato, ka pakalpojuma sniegšanas process un tā pārraudzība nodrošina pakalpojuma atbilstību šajā pantā noteiktajām prasībām, kā arī atbilstību šā likuma 1. pielikumam.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Saimnieciskās darbības veicējs pēc tirgus uzraudzības iestādes vai kompetentās iestādes pieprasījuma iesniedz novērtējuma kopiju. Mikrouzņēmums, kas piedāvā preces, ir atbrīvots no pienākuma novērtējumu dokumentēt un pēc tirgus uzraudzības iestādes pieprasījuma mikrouzņēmums sniedz tai faktus, kas ir būtiski saskaņā ar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11. panta ceturtā daļa ir neskaidra un nav loģiski strukturēta. Proti, ja mikrouzņēmums, kas piedāvā preces, ir atbrīvots no pienākuma novērtējumu dokumentēt, tad nav skaidrs, kādēļ un kādos apstākļos pēc tirgus uzraudzības iestādes pieprasījuma mikrouzņēmumam jāsniedz tai fakti, kas ir būtiski saskaņā ar novērtējumu. Ievērojot minēto, lūdzam atbilstoši precizēt minēto likumprojekta vienību. Norādām, ka atbilstoši juridiskās tehnikas prasībām tiesību normai ir jābūt skaidrai, lai tās lietotājs un piemērotājs gūtu nepārprotamu priekšstatu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Mikrouzņēmums, kas piedāvā preces, ir atbrīvots no pienākuma novērtējumu dokumentēt rakstveidā. Pēc tirgus uzraudzības iestādes pieprasījuma mikrouzņēmums sniedz tai faktus, kas ir būtiski saistībā ar būtisku izmaiņu vai nesamērīga sloga atrunas piemērošanu.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4. pielikumā norādītajam paraugam, papildinot ar nepieciešamo informāciju, kas izriet no šā likuma 2.pielikumā norādītajiem kritērijiem. Atbilstības deklarācijā norādīto informāciju regulāri atjauno. Prasības par šā likuma 2.pielikumā norādīto tehnisko dokumentāciju nerada nevajadzīgu slogu mikrouzņēmumiem un mazajiem un vidējiem uzņēmumiem, tomēr arī šā likuma 12.pantā noteiktajos gadījumos ražotājam ir pienākums sagatavot vispārīgu preces aprakstu, kā tas noteikts šā likuma 2.pielikuma otrajā daļā. Atbilstības deklarāciju sagatavo tās Eiropas Savienības dalībvalsts valodā, kurā prece tiek piedāvāta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anotācijā skaidrot, cik bieži informācija atjaunojama, lai tā tiktu novērtēta kā regulāra atjaunošana atbilstoši likumprojekta 14. panta otrajai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konsultācijām ar Patērētāju tiesību aizsardzības centru tiesību normas tiesiskās noteiktības nolūkā vārds "regulāri" aizstāts ar "pastāvīgi", kā arī iekļauts skaidrojums anotācijā. Atbilstības deklarācijas atjaunošanai ir saistīta un atkarīga no ražošanas procesiem, izmaiņām programmatūrā un standartos. Līdz ar to atbilstības deklarācija ir atjaunojama, tiklīdz ir mainījies kāds no piemērojamiem nosacījumiem. Normā lietots vārds "pastāvīgi", līdzīgi kā tas tiek lietots, piemēram, Ministru kabineta 2016.gada 7.jūnija noteikumu Nr.360 “Radioiekārtu atbilstības novērtēšanas, piedāvāšanas tirgū, uzstādīšanas un lietošanas noteikumi” 28.2.apakšpunktā.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2. pielikumā norādītajam paraugam, papildinot to ar 7.pantā norādīto informāciju. Atbilstības deklarācijā norādīto informāciju pastāvīgi atjauno. Atbilstības deklarāciju sagatavo tās Eiropas Savienības dalībvalsts valodā, kurā prece tiek piedāvāta tirgū.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4. pielikumā norādītajam paraugam, papildinot ar nepieciešamo informāciju, kas izriet no šā likuma 2.pielikumā norādītajiem kritērijiem. Atbilstības deklarācijā norādīto informāciju regulāri atjauno. Prasības par šā likuma 2.pielikumā norādīto tehnisko dokumentāciju nerada nevajadzīgu slogu mikrouzņēmumiem un mazajiem un vidējiem uzņēmumiem, tomēr arī šā likuma 12.pantā noteiktajos gadījumos ražotājam ir pienākums sagatavot vispārīgu preces aprakstu, kā tas noteikts šā likuma 2.pielikuma otrajā daļā. Atbilstības deklarāciju sagatavo tās Eiropas Savienības dalībvalsts valodā, kurā prece tiek piedāvāta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un precizēt likumprojekta 14. panta otro daļu un sniegt atbilstošu skaidrojumu likumprojekta anotācijā. Proti, norādām, ka nav skaidri saprotams pamatojums paredzēt izņēmumu no nevajadzīga sloga mikrouzņēmumiem un mazajiem un vidējiem uzņēmumiem radīšanas, paredzot šā likuma 12. pantā noteiktajos gadījumos ražotājam pienākumu sagatavot vispārīgu preces aprakstu, kā tas noteikts šā likuma 2.pielikuma otrajā daļā. Tai skaitā nav skaidri saprotams, vai minētais izņēmums paredzēts, pārņemot direktīvas Nr. 2019/882 prasības, vai minētais izņēmums ir vienīgais no principa, ka netiek uzlikts nevajadzīgs slogs mikrouzņēmumiem un mazajiem un vidējiem uzņēmumiem (tai skaitā arī, kā konkrēti izpaužas minētais princips), kā arī nav saprotama atsauce uz šā likuma 12. pantu (tai skaitā ņemot vērā mikrouzņēmumam 12. panta ceturtajā daļā paredzēto atbrīvojumu).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Normas teksts pārstrādāts, ņemot vērā konsultācijas ar Patērētāju tiesību aizsardzības centru un Eiropas Komisiju. Tehniskās dokumentācijas sagatavošana ir ražotāja pienākums, kas tieši izriet no Direktīvas 2019/882 7.panta 2.punkta un "vieglāka tehniskās dokumentācijas sagatavošana" nav iespējama pēc būtības.  Ražotājam ir pienākums sagatavot tehnisko dokumentāciju  neatkarīgi no tā vai komersants ir mazais un vidējais uzņēmums vai mikrouzņēmums.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2. pielikumā norādītajam paraugam, papildinot to ar 7.pantā norādīto informāciju. Atbilstības deklarācijā norādīto informāciju pastāvīgi atjauno. Atbilstības deklarāciju sagatavo tās Eiropas Savienības dalībvalsts valodā, kurā prece tiek piedāvāta tirgū.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2. pielikumā norādītajam paraugam, papildinot ar nepieciešamo informāciju, kas izriet no šā likuma 7.pantā norādītajiem kritērijiem. Atbilstības deklarācijā norādīto informāciju pastāvīgi atjauno. Atbilstības deklarāciju sagatavo tās Eiropas Savienības dalībvalsts valodā, kurā prece tiek piedāvāta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precizēt likumprojektu, nodrošinot, ka tā 2. pielikumā ietvertais regulējums nedublē un nav pretrunā ar likumprojekta pamattekstā ietverto regulējumu, piemēram, likumprojekta 16. panta otrā daļa šobrīd ir pretrunā cita starpā ar likumprojekta 2. pielikuma ievaddaļu (nav skaidrs, vai norādāma nepieciešamā informācija, kas izriet no šā likuma 7.pantā norādītajiem kritērijiem vai kritēriji, kas izriet no šā likuma 7. panta, turklāt nav skaidri saprotams, par kādiem 7. pantā ietvertajiem kritērijiem ir runa).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Atbilstības deklarāciju sagatavo atbilstoši šā likuma 2. pielikumā norādītajam paraugam, papildinot to ar 7.pantā norādīto informāciju. Atbilstības deklarācijā norādīto informāciju pastāvīgi atjauno. Atbilstības deklarāciju sagatavo tās Eiropas Savienības dalībvalsts valodā, kurā prece tiek piedāvāta tirgū.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 atbilstības marķējumu norāda uz preces un tas ir viegli saskatāms, salasāms un neizdzēšams. Ja preces rakstura dēļ tas nav iespējams, to uzliek iepakojumam un pavaddokumentiem.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izvērtēt un salāgot likumprojekta 15. panta pirmās daļas pirmo teikumu ar direktīvas Nr. 2019/882 18. panta 1. punktu, kas paredz, ka iepretim likumprojektam alternatīvi CE zīmi iekļaujama produkta datu plāksnītē. Alternatīvi lūdzam sniegt pamatotu skaidrojumu par direktīvas Nr. 2019/882 18. panta 1. punkta pārņemšanu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 zīmi uzliek precei vai iekļauj tās datu plāksnītē, un tā ir viegli saskatāma, salasāma un neizdzēšama. Ja preces rakstura dēļ tas nav iespējams, CE zīmi uzliek iepakojumam un pavaddokumentiem.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 zīme ir uzlikta, pārkāpjot šā likuma 16. pantu vai Eiropas Parlamenta un Padomes 2008.gada 9.jūlija regulas (EK) Nr.765/2008, ar ko nosaka prasības akreditācijai un atceļ Regulu (EEK) Nr. 339/93 30.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17. panta pirmās daļas 1. punktā ietverto atsauci uz likumprojekta 16. pantu, kas neatbilst likumprojekta vienībai, ar kuru tiek pārņemtas direktīvas Nr. 2019/882 18. panta prasības (proti, no likumprojekta un tā anotācijas izriet, ka attiecīgās prasības pārņemtas likumprojekta 15.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līdzīgi lūdzam pārskatīt un precizēt likumprojektu, nodrošinot, ka izdarītās atsauces visos gadījumos ir korektas un precīzas. Norādām, ka, piemēram, likumprojekta 2. pielikuma trešajā daļā ietverta atsauce uz šī pielikuma 2. punktu, tomēr minētajā pielikumā nav punktu. Tāpat, piemēram, likumprojekta 19. panta 7. punktā ietverta atsauce uz šā likuma 3.panta otrās daļas "e" apakšpunktu, tomēr no likumprojekta teksta neizriet, par kuru attiecīgās daļas punktu, kurš tālāk strukturēts apakšpunktos, iet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 zīme ir uzlikta, pārkāpjot šā likuma 17.pantu vai Eiropas Parlamenta un Padomes 2008.gada 9.jūlija regulas (EK) Nr.765/2008, ar ko nosaka prasības akreditācijai un atceļ Regulu (EEK) Nr. 339/93 30. 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nav izpildīta kāda no šā likuma 6. vai 8. pantā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17. panta pirmās daļas 7. punktu ar direktīvas Nr. 2019/882 22. panta 1. punkta "g" apakšpunktu, kas iepretim likumprojektam paredz norādi uz </w:t>
            </w:r>
            <w:r w:rsidR="00000000" w:rsidRPr="00000000" w:rsidDel="00000000">
              <w:rPr>
                <w:u w:val="single"/>
                <w:rtl w:val="0"/>
              </w:rPr>
              <w:t xml:space="preserve">administratīvajām</w:t>
            </w:r>
            <w:r w:rsidR="00000000" w:rsidRPr="00000000" w:rsidDel="00000000">
              <w:rPr>
                <w:rtl w:val="0"/>
              </w:rPr>
              <w:t xml:space="preserve">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nav izpildīta kāda no šā likuma 6. vai 9. pantā noteiktajām administratīvajām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sniedzēja pienākums ir izskatīt patērētāju un pasažieru sūdzības. Ja saņemta rakstveida sūdzība, pakalpojuma sniedzēja pienākums ir sagatavot rakstveida atbildi viena mēneša laikā no sūdzības saņemšanas dienas, informējot par iespējamu risinājumu, pasākumiem neatbilstības novēršanai vai pamatotu atteikumu. Ja objektīvu iemeslu dēļ nav iespējams sniegt atbildi viena mēneša laikā, pakalpojuma sniedzējs ir tiesīgs pagarināt atbildes sniegšanu uz diviem mēnešiem no sūdzības saņemšanas dienas, par to  paziņojot iesniedzējam un norādot pamatojumu pagarinājuma nepieciešamībai.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“1.3. Pašreizējā situācija, problēmas un risinājumi” apakšsadaļā “Risinājuma apraksts” ir norādīts, ka likumprojektā tiek paredzēts tiešs sūdzību iesniegšanas mehānisms, sākotnēji patērētājam un pasažierim vēršoties pie pakalpojumu sniedzēja. Tomēr likumprojekta 18.panta pirmajā daļā ir noteikts tikai pakalpojuma sniedzēja pienākums izskatīt sūdzību, ja tāda tiks saņemta. Minētajā pantā nav noteikts, ka patērētājs un pasažieris sākotnēji sūdzību iesniedz attiecīgajam pakalpojuma sniedzējam. Papildus vēršama uzmanība, ka likuma “Par sabiedrisko pakalpojumu regulatoriem” 25.panta ceturtajā daļā ir noteikti termiņi, kādā sabiedrisko pakalpojumu sniedzējs izskata lietotāju, tajā skaitā elektronisko sakaru pakalpojumu lietotāju rakstveida iesniegumus un sūdzības. Un proti, sabiedrisko pakalpojumu sniedzējs, tajā skaitā elektronisko sakaru komersants nodrošina atbildes sniegšanu uz lietotāju rakstveida iesniegumiem un sūdzībām 15 dienu laikā pēc iesnieguma vai sūdzības saņemšanas. Ja iesnieguma vai sūdzības izskatīšanai ir nepieciešama papildu pārbaude vai būtiska papildu informācija, sabiedrisko pakalpojumu sniedzējs nodrošina atbildes sniegšanu 30 dienu laikā pēc iesnieguma vai sūdzības saņemšanas. Ievērojot minēto, ir nepieciešams precizēt likumprojekta 18.panta pirmo daļu, nosakot, ka patērētājs un pasažieris sūdzību par pakalpojuma piekļūstamību iesniedz attiecīgajam pakalpojuma sniedzējam, kā arī, lai nodrošinātu savlaicīgu sūdzību par pakalpojuma piekļūstamību izskatīšanu un ievērotu likuma “Par sabiedrisko pakalpojumu regulatoriem” 25.panta ceturtajā daļā sabiedrisko pakalpojumu sniedzējiem noteiktos sūdzību izskatīšanas termiņus, likumprojekta 18.panta pirmā daļa ir papildināma, nosakot, ka pakalpojumu sniedzējs atbildi uz sūdzību par elektronisko sakaru pakalpojumu piekļūstamību sniedz likumā “Par sabiedrisko pakalpojumu regulatoriem” noteiktajā termiņā. Attiecīgi ir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Patērētājs un pasažieris sūdzību par pakalpojuma piekļūstamību iesniedz attiecīgajam pakalpojuma sniedzējam. Pakalpojuma sniedzējs viena mēneša laikā no rakstveida sūdzības saņemšanas dienas sagatavo rakstveida atbildi, informējot par iespējamu risinājumu, pasākumiem neatbilstības novēršanai vai pamatotu atteikumu. Ja objektīvu iemeslu dēļ nav iespējams sniegt atbildi viena mēneša laikā, pakalpojuma sniedzējs ir tiesīgs pagarināt atbildes sniegšanu uz diviem mēnešiem no sūdzības saņemšanas dienas, par to  paziņojot sūdzības iesniedzējam un norādot pamatojumu pagarinājuma nepieciešamībai. Pakalpojuma sniedzējs atbildi uz patērētāja sūdzību par elektronisko sakaru pakalpojumu piekļūstamību sniedz likumā “Par sabiedrisko pakalpojumu regulatoriem” noteiktajā termiņā.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Patērētājs un pasažieris sūdzību par pakalpojuma piekļūstamību iesniedz attiecīgajam pakalpojuma sniedzējam. Pakalpojuma sniedzējs viena mēneša laikā no rakstveida sūdzības saņemšanas dienas sagatavo rakstveida atbildi, informējot par iespējamu risinājumu, pasākumiem neatbilstības novēršanai vai pamatotu atteikumu. Ja objektīvu iemeslu dēļ nav iespējams sniegt atbildi viena mēneša laikā, pakalpojuma sniedzējs ir tiesīgs pagarināt atbildes sniegšanu uz diviem mēnešiem no sūdzības saņemšanas dienas, par to  paziņojot sūdzības iesniedzējam un norādot pamatojumu pagarinājuma nepieciešamībai. Pakalpojuma sniedzējs atbildi uz patērētāja sūdzību par elektronisko sakaru pakalpojumu piekļūstamību sniedz likumā “Par sabiedrisko pakalpojumu regulatoriem” noteiktajā termiņā.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Kompetentās iestādes lēmumu pakalpojuma sniedzējs, kura tiesības vai tiesiskās intereses tiek ierobežotas, var pārsūdzēt Administratīvajā rajona tiesā normatīvajos aktos noteiktajā kārtībā. Lēmuma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20.panta ceturtās daļas pirmajā teikumā aizstāt vārdus "normatīvajos aktos noteiktajā kārtībā" ar vārdiem "Administratīvā procesa likumā noteiktajā kārtībā". Norādām, ka formulējums "normatīvajos aktos noteiktajā kārtībā" ir pārāk plašs. Vienlaikus lūdzam likumprojekta anotācijā sniegt pamatojumu attiecībā uz likumprojekta 20.panta ceturtās daļas otrajā teikumā ietverto regulējumu, ņemot vērā, ka tas ir izņēmums no Administratīvā procesa likuma 185.panta pirmajā daļā noteiktā principa.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Kompetentās iestādes, izņemot Sabiedrisko pakalpojumu regulēšanas komisijas, lēmumu pakalpojuma sniedzējs var pārsūdzēt Administratīvajā rajona tiesā Administratīvā procesa likumā noteiktajā kārtībā. Sabiedrisko pakalpojumu regulēšanas komisijas lēmumu pakalpojuma sniedzējs var pārsūdzēt Administratīvajā apgabaltiesā. Lēmuma pārsūdzēšana neaptur tā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Kompetentās iestādes lēmumu pakalpojuma sniedzējs, kura tiesības vai tiesiskās intereses tiek ierobežotas, var pārsūdzēt Administratīvajā rajona tiesā normatīvajos aktos noteiktajā kārtībā. Lēmuma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2007.gada 5.decembra rīkojuma Nr.775 “Par Administratīvā procesa efektivizēšanas koncepciju” 1.1.apakšpunktu nolemts atbalstīt  pieeju, ka tādu institūciju koleģiālas institūcijas, kas pieņem sākotnējo lēmumu un kas ir funkcionāli neatkarīgas, pieņem lēmumu koleģiāli, spējot nodrošināt atklātu un objektīvu procesa norisi, un sastāv no īpašā kārtībā ieceltiem kvalificētiem attiecīgās jomas ekspertiem, pieņemtie lēmumi nav pārsūdzami Administratīvajā rajona tiesā, bet uzreiz Administratīvajā apgabaltiesā. Saskaņā ar likuma “Par sabiedrisko pakalpojumu regulatoriem” 11.panta ceturto daļu Regulatora administratīvo aktu, kas izdots saskaņā ar šo likumu, vai Regulatora faktisko rīcību var pārsūdzēt Administratīvajā apgabaltiesā. Ievērojot minēto, ir nepieciešams papildināt normu, nosakot, ka Regulatora lēmumu var pārsūdzēt Administratīvajā apgabaltiesā. Attiecīgi ir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Kompetentās iestādes, izņemot Sabiedrisko pakalpojumu regulēšanas komisijas, lēmumu pakalpojuma sniedzējs var pārsūdzēt Administratīvajā rajona tiesā. Sabiedrisko pakalpojumu regulēšanas komisijas lēmumu pakalpojuma sniedzējs var pārsūdzēt Administratīvajā apgabaltiesā. Lēmuma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Kompetentās iestādes, izņemot Sabiedrisko pakalpojumu regulēšanas komisijas, lēmumu pakalpojuma sniedzējs var pārsūdzēt Administratīvajā rajona tiesā Administratīvā procesa likumā noteiktajā kārtībā. Sabiedrisko pakalpojumu regulēšanas komisijas lēmumu pakalpojuma sniedzējs var pārsūdzēt Administratīvajā apgabaltiesā. Lēmuma pārsūdzēšana neaptur tā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Kompetentā iestāde informāciju par savu šajā likumā noteikto kompetenci, veiktajiem pasākumiem un pieņemtajiem lēmumiem pēc pieprasījuma dara pieejamu  piekļūstamos formātos.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likumprojektā un tā anotācijā skaidrot, kam tiek darīta pieejama informācija, bet likumprojekta anotācijā - detalizēti skaidrot, kā izpaužas informācijas darīšana pieejama piekļūstamā formātā, uz ko norādīts arī vairākās citās likumprojekta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Kompetentā iestāde informāciju par savu šajā likumā noteikto kompetenci, veiktajiem pasākumiem un pieņemtajiem lēmumiem pēc pieprasījuma sabiedrībai nodrošina piekļūstamos formātos.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Kompetentā iestāde savlaicīgi paziņo Eiropas Komisijai nepieciešamo informāciju saistībā ar šā likuma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23. panta sestā daļa uzliek ziņošanas pienākumu Eiropas Komisijai visām likumprojekta 22. pantā paredzētajām kompetentajām iestādēm. Minētais ziņošanas pienākums izriet no Eiropas Parlamenta un Padomes 2019.gada 17.aprīļa direktīvas (ES) 2019/882 par preču un pakalpojumu piekļūstamībām (turpmāk - Direktīva 2019/882) 33. panta 3. punkta, saskaņā ar kuru dalībvalstis savlaicīgi dara zināmu Eiropas Komisijai visu informāciju, kas tai nepieciešama šādu ziņojumu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pamatoti dalībvalstīm noteikto ziņošanas pienākumu Eiropas Komisijai deleģēt tālāk zemākstāvošām padotības iestādēm, kuras atrodas dažādu institūciju pakļautībā;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 likumdevējs Direktīvas 2019/882 normā ir skaidri norādījis, ka Eiropas Komisijai sniedzama vienota informācija, nevis vairākas, dažādas, no vairākām tirgus uzraudzības iestādēm, kas ir izveidotas konkrētajā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2019/882 prasības neizpildes gadījumā Eiropas Komisija vērsīsies ar pārkāpuma procedūru pret dalībvalsti, kas būs jāgatavo konkrētajai atbildīgajai institūcijai par šīs direktīvas pārņemšanu, proti, Labklājības ministrijai, un nevis iepriekš minētajām kompetentajām iestādēm (Direktīvā 2019/882 – tirgus uzraudzības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iepriekš netika saskaņota un tās piemērošana raisa bažas.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Ņemov vērā minēto, kā arī tiesiskās skaidrības un noteiktības nolūkā lūdzam izteikt likumprojekta 23. panta sesto daļu jaunā redakcijā vai to izslēgt.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 ir atbildīga par Direktīvas 2019/882 33. panta 3. punktā paredzētās informācijas savlaicīgu iesniegšanu Eiropas Komisijai.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Kompetentā iestāde pēc Labklājības ministrijas pieprasījuma iesniedz tai informāciju saistībā ar šā likuma piemērošanu. Labklājības ministrija iegūto informāciju savlaicīgi paziņo Eiropas Komisijai.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 vai pakalpojumu, kura iezīmes, elementi vai funkcijas atbilst šā likuma 1. pielikumā norādītajām piekļūstamības prasībām, saskaņā ar šā likuma 1.pielikuma VI nodaļu uzskata par atbilstošu citiem Eiropas Savienības tiesību aktiem piekļūstamības jomā attiecībā uz minētajām piekļūstamības iezīmēm, elementiem vai funkcijām, ja vien citos Eiropas Savienības tiesību aktos nav paredzētas atšķirīgas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21. pantā vai tā anotācijā skaidrot, par kādiem Eiropas Savienības tiesību aktiem minētajā pantā ir runa. Norādām, ka likumprojektā pieļaujams atsaukties vienīgi uz tieši piemērojamiem Eiropas Savienības normatīvajiem aktiem un nacionālajiem normatīvajiem aktiem, ar kuriem pārņemtas Eiropas Savienības lēmumu un direktīvu prasības. Skaidrojam, ka par tieši piemērojamiem Eiropas Savienības tiesību aktiem ir pamats uzskatīt dibināšanas līgumus, regulas un lēmumus, kas adresēti dalībvalstīm (lai tos attiecinātu uz privātpersonām šie lēmumi pārņemami līdzīgi, kā tiek pārņemtas direktīvu prasības), savukārt direktīvas nav tieši piemērojamas un tās prasības ir pārņemamas nacionālajos normatīvajos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 vai pakalpojumu, kura iezīmes, elementi vai funkcijas atbilst šā likuma 1. pielikumā norādītajām piekļūstamības prasībām, saskaņā ar šā likuma 1.pielikuma VI nodaļu prezumē par atbilstošu piekļūstamības prasībām, kas noteiktas citos tieši piemērojamos Eiropas Savienības tiesību aktos un nacionālajos normatīvajos aktos, ar kuriem pārņemtas Eiropas Savienības tiesību aktu prasības, attiecībā uz minētajām iezīmēm, elementiem vai funkcijām, ja vien citos Eiropas Savienības tiesību aktos nav paredzētas atšķirīgas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 vai pakalpojumu, kura iezīmes, elementi vai funkcijas atbilst šā likuma 1. pielikumā norādītajām piekļūstamības prasībām, saskaņā ar šā likuma 1.pielikuma VI nodaļu uzskata par atbilstošu citiem Eiropas Savienības tiesību aktiem piekļūstamības jomā attiecībā uz minētajām piekļūstamības iezīmēm, elementiem vai funkcijām, ja vien citos Eiropas Savienības tiesību aktos nav paredzētas atšķirīgas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likumprojekta 24. pantā vai tā anotācijā skaidrot, par kādiem Eiropas Savienības tiesību aktiem minētajā pantā ir runa, kas neizriet no likumprojekta anotācijas. Norādām, ka likumprojektā pieļaujams atsaukties vienīgi</w:t>
            </w:r>
            <w:r w:rsidR="00000000" w:rsidRPr="00000000" w:rsidDel="00000000">
              <w:rPr>
                <w:b w:val="1"/>
                <w:rtl w:val="0"/>
              </w:rPr>
              <w:t xml:space="preserve"> </w:t>
            </w:r>
            <w:r w:rsidR="00000000" w:rsidRPr="00000000" w:rsidDel="00000000">
              <w:rPr>
                <w:rtl w:val="0"/>
              </w:rPr>
              <w:t xml:space="preserve">uz tieši piemērojamiem Eiropas Savienības normatīvajiem aktiem un nacionālajiem normatīvajiem aktiem, ar kuriem pārņemtas Eiropas Savienības lēmumu un direktīvu prasības. Skaidrojam, ka par tieši piemērojamiem Eiropas Savienības tiesību aktiem ir pamats uzskatīt dibināšanas līgumus, regulas un lēmumus, kas adresēti dalībvalstīm (lai tos attiecinātu uz privātpersonām šie lēmumi pārņemami līdzīgi, kā tiek pārņemtas direktīvu prasības), savukārt direktīvas nav tieši piemērojamas un tās prasības ir pārņemamas nacionālajos normatīvajos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kas saņemts no Eiropas Komisijas.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 vai pakalpojumu, kura iezīmes, elementi vai funkcijas atbilst šā likuma 1. pielikumā norādītajām piekļūstamības prasībām, saskaņā ar šā likuma 1.pielikuma VI nodaļu prezumē par atbilstošu piekļūstamības prasībām, kas noteiktas citos tieši piemērojamos Eiropas Savienības tiesību aktos un nacionālajos normatīvajos aktos, ar kuriem pārņemtas Eiropas Savienības tiesību aktu prasības, attiecībā uz minētajām iezīmēm, elementiem vai funkcijām, ja vien citos Eiropas Savienības tiesību aktos nav paredzētas atšķirīgas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Precēm, kas laistas tirgū līdz 2025. gada 27. jūnijam, nepiemēro šajā likumā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ietverto informāciju salāgot ar likumprojekta Pārejas noteikumu 1. un 4. punktu, ņemot vērā, ka šobrīd anotācijā un minētajās likumprojekta Pārejas noteikumu vienībās neatbilst datums (t.i., 2025. gada 27. vai 28. jūnijs).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Precēm, kas laistas tirgū līdz 2025. gada 27. jūnijam, nepiemēro šajā likumā noteiktās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Precēm, kas laistas tirgū līdz 2025. gada 27. jūnijam, nepiemēro šajā likumā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 2. un 3. pielikums neatbilst normatīvo aktu izstrādes juridiskās tehnikas prasībām par pielikumiem, jo minētie pielikumi ir izteikti vienkārša teksta veidā ar daļām, punktiem un apakšpunktiem par paredzot vairākas prasības un tiesību subjektu tiesības un pienākumus. Ievērojot minēto, šajos pielikumos esošo regulējumu lūdzam iekļaut likumprojekta pamattekstā.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iepriekšējais 2.pielikums iekļauts likumprojekta pamattekstā kā 7.pants "Atbilstības novērtēšanas procedūra precei". Likumprojekta iepriekšējais 3.pielikums iekļauts likumprojekta pamattekstā kā 14.pants "Nesamērīga sloga novērtējuma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1.pielikums būtiski pārstrādāts, izsakot to tabulas veidā. Likumprojekta 1.pielikumu ir būtiski saglabāt pielikuma formātā, neinkorporējot to pamattekstā, jo saskaņā ar Eiropas Komisijas sniegto informāciju, Eiropas Komisija plāno izdot standartizācijas mandātu Eiropas standartizācijas organizācijām ar mērķi paskaidrot un tehniski detalizētāk aprakstīt Direktīvas 2019/882 1.pielikumā iekļautās prasības (kas šobrīd norāda uz principiem un funkcionalitāti, tomēr nenosauc konkrētas vienības (burtu lielums, skaļums, transakcijas ātrums, centimetri utt.). Ja kāda no Eiropas standartizācijas organizācijām pieņems šo mandātu, saskaņotais standarts varētu tikt izstrādāts turpmāko trīs gadu laikā. Tādējādi uzņēmējam nākotnē būs jāsalīdzina likuma 1.pielikums un tā papildinājumi saskaņotajā standartā. Tādējādi ir ļoti būtiski saglabāt iespējami pārskatāmu 1.pielikumu esošajā redakcijā, lai vēlāk atvieglotu uzņēmēju darbu likuma piemērošanā kontekstā ar saskaņoto standartu.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Precēm, kas laistas tirgū līdz 2025. gada 27. jūnijam, nepiemēro šajā likumā noteiktās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līgumi, kas noslēgti līdz 2025. gada 27. jūnijam, paliek spēkā līdz to beigu termiņam. Ja šāda līguma darbība turpinās pēc 2030. gada 27. jūnija, pakalpojuma sniedzējs nodrošina līguma atbilstību šā likuma prasībām un, izvērtējot faktiskos apstākļus, sniedz pakalpojuma lietotājam šajā likumā noteikto piekļūstamības informāciju saistībā ar attiecīgo līgumu vai vienojas par līguma teksta pārskatīšanu.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pārejas noteikumu otro punktu ir pārņemtas direktīvas Nr. 2019/882 32. panta pirmā punkta otrās daļas prasības. Tomēr Tieslietu ministrijas ieskatā minētā direktīva nosaka piekļūstamības prasības pakalpojumiem, bet neizvirza pēc būtības "formas" prasības līgumiem. Tāpat attiecīgās direktīvas pamatnoteikumos nav norādīts par pašiem "pakalpojuma līgumiem", arī direktīvas apsvērumos nekas nav skaidrots par direktīvas minēto pantu vai līguma pārslēgšanu, pielāgošanu vai cita veida rīcību attiecībā tieši uz pašiem līgumiem, vai līguma sekām, ja prasības netiek ievērotas. Tāpat attiecībā uz piekļūstamības prasībām patērētājiem paredzētu banku pakalpojumiem – nodrošinot, ka informācija ir saprotama un tās sarežģītība nepārsniedz B2 līmeni Eiropas Padomes Eiropas Vienotajā valodu prasmes līmeņa noteikšanas sistēmā, direktīva Nr. 2019/882 nesniedz risinājuma piemēru tās II pielikumā "Indikatīvi nesaistoši tādu iespējamu risinājumu piemēri, ar kuriem palīdz izpildīt I pielikumā noteiktās piekļūstamības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anotācija ir papildināta ar skaidrojumu par valodas līmeni, paužam bažas, ka normas būtība un sagaidāmā rīcība no pakalpojuma sniedzējiem nav pietiekami skaidra. Proti, ja līgums ir spēkā uz vairākiem gadiem un pakalpojums tiek sniegts un patērētājs to saņem, nav saprotams, kādēļ līgums nevar palikt spēkā pēc 2030. gada 27. jūnija, tāpat arī tas, kas notiks pēc minētā datuma, t.i., vai minētā norma nozīmē, ka līgumi automātiski zaudē spēku, vai tas nozīmē, ka, piemēram, kredītlīgumi zaudē spēku un patērētājam tie ir jāizpilda. Attiecīgi nav saprotams, kas pakalpojuma sniedzējam šobrīd ir jādara attiecībā uz visiem noslēgtajiem pakalpojuma līgumiem, piemēram, ko nozīmē līguma teksta pārskatīšana praksē (vai tas nozīmē, ka visi līguma noteikumi ir jāpārraksta un abām pusēm līgums ir jāparaksta no jauna; vai tā būs līguma grozīšana; ko darīt pakalpojuma sniedzējam, ja patērētājs atsakās parakstīt līgumu; vai patērētājs var atteikties pildīt līgumu, ja līgums neatbilst likuma prasībām; vai pakalpojuma sniedzējs var izbeigt līgumu, ja tas nenodrošina piekļūstamības prasības, piemēram, paziņojot patērētājam, ka izbeidz pakalpojuma sniegšanu pēc 2030. gada 27. jūnija; vai tā ir noslēgtā līguma teksta pārnese tehniski uz tādu formu, lai nodrošinātu piekļūstamību). Anotācijā norādīts, ka likumprojekts neparedz visu esošo līgumu automātisku pārskatīšanu un pakalpojumu sniedzējam katrs gadījums ir jāizvērtē individuāli, nodrošinot, ka līgums un informācija  ir saprotama un uztverama, tomēr iepriekš norādītie aspekti par prasību neievērošanu nav pietiekami skaidri.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likumprojekta anotācijā sniegt skaidrojumu, kāda rīcība sagaidāma no pakalpojuma sniedzējiem attiecībā uz līgumiem, lai ievērotu normā noteikto, kas notiek ar līgumiem, ja prasības netiek ievērotas; kādas ir līguma pušu tiesības un pienākumi attiecībā uz likumprojekta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Pakalpojumu līgumi, kas noslēgti līdz 2025. gada 27. jūnijam, paliek spēkā līdz to beigu termiņam. Ja šāda līguma darbība turpinās pēc 2030. gada 27. jūnija, pakalpojuma sniedzējs nodrošina līguma atbilstību piekļūstamības prasībām un, izvērtējot faktiskos apstākļus, sniedz pakalpojuma lietotājam šajā likumā noteikto piekļūstamības informāciju saistībā ar attiecīgo līgumu vai vienojas par līguma teksta pielāgošanu piekļūstamības prasībām.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Pakalpojuma sniedzējs līdz 2030. gada 27.jūnijam var turpināt sniegt pakalpojumus, izmantojot preces, kuras tas likumīgi izmantoja, lai pirms minētā datuma sniegtu līdzīgus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anotācijā sniegto skaidrojumu ar likumprojekta Pārejas noteikumu 3. punktu un direktīvas Nr. 2019/882 32. panta pirmā punkta pirmo daļu, kas paredz līdzīgu pakalpojumu sniegšanu pirms 2030. gada 28. jūnija (tātad 27. jūnija un iepriekšējiem datumiem).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Pakalpojuma sniedzējs līdz 2030. gada 27.jūnijam var turpināt sniegt pakalpojumus, izmantojot preces, kuras tas likumīgi izmantoja, lai līdz minētajam datumam sniegtu līdzīgus pakalpojumus.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3.panta trešā daļa stājas spēkā 2027.gada 28.jūnijā.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3. panta trešā daļa ir cieši saistīta ar likumprojekta 1. pielikuma V nodaļas piemērošanu, lūdzam likumprojekta Pārejas noteikuma 5. punktā ietverto spēkā stāšanās nosacījumu attiecināt uz minēto pielikuma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3.panta trešā daļa un 1. pielikuma V nodaļa stājas spēkā 2027.gada 28.jūnijā.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Preču un pakalpojumu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likumprojekta 1. pielikumu, nodrošinot, ka tajā ietvertās piekļūstamības prasības atbilst direktīvas Nr. 2019/882 I pielikumam. Piemēram,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1. pielikuma I nodaļas ievaddaļā norādīts, ka preci projektē un ražo tā, lai to varētu lietot personas ar invaliditāti, tomēr norādām, ka atbilstoši direktīvas Nr. 2019/882 I pielikuma I iedaļai produktiem jābūt projektētiem un ražotiem tā, </w:t>
            </w:r>
            <w:r w:rsidR="00000000" w:rsidRPr="00000000" w:rsidDel="00000000">
              <w:rPr>
                <w:u w:val="single"/>
                <w:rtl w:val="0"/>
              </w:rPr>
              <w:t xml:space="preserve">lai tos pēc iespējas vairāk lietotu</w:t>
            </w:r>
            <w:r w:rsidR="00000000" w:rsidRPr="00000000" w:rsidDel="00000000">
              <w:rPr>
                <w:rtl w:val="0"/>
              </w:rPr>
              <w:t xml:space="preserve"> personas ar invaliditāti, attiecīgi secināms, ka prasība pārsniedz to, ka preces vispār var lietot minētās personas (tāpat līdzīga neprecīzitāte pieļauta 1. pielikuma VII nodaļas pirmajā daļā). Turklāt līdzīgs nosacījums likumprojektā iepretim minētajam direktīvas pielikumam netiek attiecināts uz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1. pielikuma II nodaļas 1. punkts iepretim direktīvas Nr. 2019/882 I pielikuma II iedaļai neparedz informāciju par produkta piekļūstamības īpašībām kā piemēru informācijai par atvēršanu, aizvēršanu, lietošanu, likvidēšanu, turklāt neparedz attiecināt uz informāciju par produkta piekļūstamības īpašībām nosacījumu "ja šāda informācija tiek sniegta", no kura izriet, ka visos gadījumos šāda informācija nav sniedzama;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1. pielikuma IV nodaļas 1. punktā un V nodaļā iepretim direktīvas Nr. 2019/882 I pielikuma IV un V iedaļai nav norādīts uz informācijas nosūtīšanu vispiemērotākai ārkārtas izsaukumu centrālei;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likumprojekta 1. pielikuma 3. punktā norādīts uz mobilajām ierīcēm balstītiem pakalpojumiem un mobilajām lietotnēm, var piekļūt konsekventi un piemēroti, proti, uztverami, izmantojami, saprotami un skaidri, tomēr atbilstoši direktīvas Nr. 2019/882 III iedaļas "c" apakšpunktam mobilās lietotnes ir piemērs uz mobilajām ierīcēm balstītiem pakalpojumiem, turklāt nevis piekļuve, bet paši attiecīgie pakalpojumi padarāmi uztverami, izmantojami, saprotami un skaidri;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likumprojekta 1. pielikuma IV pielikuma trešās daļas 1. punktā norādīts uz ēku piekļūstamību, tomēr no direktīvas Nr. 2019/882 I pielikuma IV iedaļas "c" apakšpunkta 1. punkta izriet, ka konkrētais nosacījums attiecināms uz būvēto vidi, kas ir plašāks jēdziens un pirmšķietami aptver ne tikai ēkas, bet citus objektus (būves). Alternatīvi lūdzam sniegt pamatotu skaidrojumu par likumprojekta 1. pielikuma IV pielikuma trešās daļas 1. punkta atbilstību minētajai direktīvas vienībai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likumprojekta 1. pielikuma IV pielikuma trešās daļas 2. punktā norādīts uz viedo biļešu pārdošanu, t.i., elektronisku biļešu rezervēšanu un to iepriekšēju iegādi, tomēr no direktīvas Nr. 2019/882 I pielikuma IV iedaļas "c" apakšpunkta 1. punkta izriet, ka elektroniska biļešu rezervēšana un to iepriekšēja iegāde ir vienīgi viedo biļešu pārdošanas piemēri (sk. norādi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likumprojekta 1. pielikuma IV pielikuma sestās daļas 3. punkts cita starpā paredz, ka elektroniskai grāmatai nodrošina </w:t>
            </w:r>
            <w:r w:rsidR="00000000" w:rsidRPr="00000000" w:rsidDel="00000000">
              <w:rPr>
                <w:u w:val="single"/>
                <w:rtl w:val="0"/>
              </w:rPr>
              <w:t xml:space="preserve">piekļuvi</w:t>
            </w:r>
            <w:r w:rsidR="00000000" w:rsidRPr="00000000" w:rsidDel="00000000">
              <w:rPr>
                <w:rtl w:val="0"/>
              </w:rPr>
              <w:t xml:space="preserve"> saturam, </w:t>
            </w:r>
            <w:r w:rsidR="00000000" w:rsidRPr="00000000" w:rsidDel="00000000">
              <w:rPr>
                <w:u w:val="single"/>
                <w:rtl w:val="0"/>
              </w:rPr>
              <w:t xml:space="preserve">datņu satura pārskatīšanai un izkārtojumam</w:t>
            </w:r>
            <w:r w:rsidR="00000000" w:rsidRPr="00000000" w:rsidDel="00000000">
              <w:rPr>
                <w:rtl w:val="0"/>
              </w:rPr>
              <w:t xml:space="preserve">, tomēr no direktīvas Nr. 2019/882 I pielikuma IV iedaļas "f" apakšpunkta "iii" punkta izriet, ka nodrošināma piekļuve saturam, </w:t>
            </w:r>
            <w:r w:rsidR="00000000" w:rsidRPr="00000000" w:rsidDel="00000000">
              <w:rPr>
                <w:u w:val="single"/>
                <w:rtl w:val="0"/>
              </w:rPr>
              <w:t xml:space="preserve">datņu satura pārskatīšana un izkārtojums;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likumprojekta 1. pielikuma VII pielikuma pirmajā daļā norādīts uz vairākām funkcijām (preču projektēšanas un ražošanas funkcijām), tomēr direktīvas Nr. 2019/882 I pielikuma VII iedaļas pirmajā daļā alternatīvi norādīts arī uz līdzekļiem līdztekus minētajām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likumprojekta 1. pielikuma VII pielikuma pirmajā daļā norādīts uz funkcionālā snieguma kritēriju izmantošanu kā alternatīvu tikai vienai vai vairākām konkrētām tehniskajām prasībām, tomēr direktīvas Nr. 2019/882 I pielikuma VII iedaļas otrajā daļā paredzēts, ka funkcionālā snieguma kritērijus var izmantot tikai kā alternatīvu vienai vai vairākām konkrētām tehniskajām prasībām, t.i., ierobežojums attiecināms tieši uz izmantošanas veidu kopumā, nevis alternatīvu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likumprojekta 1. pielikuma VII nodaļā otrās daļas 8. punktā norādīts uz izmantošanas iespējamību  ar ierobežotu spēju aizsniegt un mazāku spēku (nav skaidrs, salīdzinoši ar ko mazāku spēku), tomēr direktīvas Nr. 2019/882 I pielikuma VII iedaļas "h" apakšpunktā norādīts uz izmantošanas iespējamību ar ierobežotu aizsniegtspēju un </w:t>
            </w:r>
            <w:r w:rsidR="00000000" w:rsidRPr="00000000" w:rsidDel="00000000">
              <w:rPr>
                <w:u w:val="single"/>
                <w:rtl w:val="0"/>
              </w:rPr>
              <w:t xml:space="preserve">ierobežotu spēku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nepieciešamie precizējumi. Papildus informējam, ka attiecībā uz  šī iebilduma 3) punktu Anotācijā pievienots paskaidrojums saskaņā ar Iekšlietu ministrijas un Valsts ugunsdzēsības un glābšanas dienesta sniegto informāciju, ka Latvijā ir tikai viena ārkārtas izsaukuma centrāle, līdz ar to nav nepieciešams transponēt tekstu par "vispiemērotāko ārkārtas izsaukuma centrāli".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Preču un pakalpojumu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ietverta atsauce uz Eiropas Padomes Eiropas Vienoto valodu prasmes līmeņa noteikšanas sistēmu. Vēršam uzmanību, ka no likumprojekta un tā anotācijas neizriet dokumentu, kas minēto sistēmu paredz, pieejamība un saistošais spēks attiecībā uz privātpersonām. Saistībā ar minēto norādām, ka likumprojektā nedrīkst atsaukties un uzlikt par pienākumu ievērot juridiski nesaistošus dokumentus. Proti, atbilstoši Ministru kabineta 2009. gada 3. februāra noteikumu Nr. 108 "Normatīvo aktu projektu sagatavošanas noteikumi" 59. punktam likumprojektā var rakstīt atsauces uz citām likumprojekta vienībām (iekšējās atsauces) un citiem tāda paša vai augstāka juridiska spēka normatīvajiem aktiem. Skaidrojam, ka nacionālajos normatīvajos aktos nav iespējams juridiski korekti izdarīt atsauces uz starptautisko tiesību dokumentiem, kas nav saistoši Latvijai, nav tulkoti latviešu valodā un attiecīgi publiskoti, kā arī nav iespējams izveidot juridiski korektas atsauces uz tā saucamo </w:t>
            </w:r>
            <w:r w:rsidR="00000000" w:rsidRPr="00000000" w:rsidDel="00000000">
              <w:rPr>
                <w:i w:val="1"/>
                <w:rtl w:val="0"/>
              </w:rPr>
              <w:t xml:space="preserve">soft law</w:t>
            </w:r>
            <w:r w:rsidR="00000000" w:rsidRPr="00000000" w:rsidDel="00000000">
              <w:rPr>
                <w:rtl w:val="0"/>
              </w:rPr>
              <w:t xml:space="preserve"> (dokumentiem, kas jau pēc savas būtības nav juridiski saistoši, piemēram, vadlīnijas, deklarācijas, rekomendācijas, rokasgrāmatas, ieteikumi). Minētais izriet no fakta, ka Latvijas Republikas normatīvo aktu normas uzliek privātpersonām saistības un ir obligātas visā Latvijas Republikas teritorijā. Piemēram, nav korekti noteikt par obligātām tādas starptautisko dokumentu prasības, kam ir rekomendējošs vai skaidrojošs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likumprojektā un tā anotācijā skaidrot, kādos dokumentos ietverta Eiropas Padomes Eiropas Vienoto valodu prasmes līmeņa noteikšanas sistēma, to pieejamību un saistošo spēku (vajadzības gadījumā izdarot atbilstošu atsauci uz normatīvajiem aktiem noteiktā jomā). Nepieciešamības gadījumā lūdzam papildināt likumprojektu, pārņemot tajā attiecīgo dokumentu prasības (t.i., kritērijus B2 līmeņa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Papildināta anotācija ar šādu skaidrojumu:  Eiropas Padomes Eiropas Vienotās valodu prasmes līmeņa noteikšanas sistēma (Eng. - Council of Europe Common European Framework of Reference for Languages, starptautiski lietots saīsinājums - CEFR) ir Eiropā, kā arī citos kontinentos plaši lietota sistēma, kura ir pilnveidota pēdējo divdesmit gadu laikā ar mērķi nodrošināt pārskatāmu, saskaņotu un visaptverošu pamatu valodu programmu un mācību satura vadlīniju izstrādei, mācību un mācību materiālu izstrādei un svešvalodu prasmes novērtēšanai. Eiropas Padomes mājas lapā pieejami oficiālie valodas līmeņu apraksta tulkojumi (Eng. Official translations of the CEFR Global Scale), pieejami: https://www.coe.int/en/web/common-european-framework-reference-languages/official-translations-of-the-cefr-global-scale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B2 līmeņa apraksts – “Spēj saprast galveno sarežģītos tekstos gan par konkrētiem, gan abstraktiem tematiem, arī diskusijās par profesionāliem jautājumiem savā specialitātē. Spēj sarunāties samērā brīvi un spontāni, tā ka saziņa ar dzimtās valodas runātājiem noris bez savstarpēja sasprindzinājuma. Spēj izveidot skaidru, detalizētu tekstu par dažādiem tematiem, pamatot savu viedokli, izklāstot apspriežamā jautājuma pozitīvās un negatīvās puses”. Ņemot vērā minēto, finanšu pakalpojumu sniedzējam jānodrošina finanšu līgumu saprotamība un tās sarežģītības līmenis nedrīkst pārsniegt B2 līmeni, tomēr līgums vai tā pielikums var būt sagatavots pat vēl vieglākā valodā kā B2 līmenis, piemēram, izmantot vieglās valodas principus (Eng. Easy to read), kas ir rakstiskas informācijas pasniegšanas metode, lai cilvēkiem ar lasīšanas grūtībām būtu vieglāk informāciju saprast. Viegli lasāma valoda ir teikumi, kuru garums nepārsniedz desmit līdz piecpadsmit vārdus, un katram teikumam ir tikai viena ideja un viens darbības vārds. Sīkāka informācija pieejama: https://www.inclusion-europe.eu/wp-content/uploads/2017/06/EN_Information_for_all.pdf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uzlabotu finanšu pakalpojumu līgumu saprotamību, ir ieteicams, ka finanšu pakalpojumu sniedzējs standarta līgumu tekstus saskaņo, konsultējoties ar personas ar invaliditāti pārstāvošajām nevalstiskajām organizācijām un mērķgrupu - personām ar garīga rakstura traucējumiem, personām ar lasīšanas vai uztveres grūtībām.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Preču un pakalpojumu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 pielikumā izslēgt atsauci uz Eiropas Padomes Eiropas Vienoto valodu prasmes līmeņa noteikšanas sistēmu vai alternatīvi papildināt minēto pielikumu ar kritērijiem B2 līmeņa noteikšanai. Norādām, ka attiecīgie noteikumi, kas ir pamatā minētajai sistēmai nav juridiski saistoši, savukārt likumprojektā nedrīkst atsaukties un uzlikt par pienākumu ievērot juridiski nesaistošus dokumentus. Proti, atbilstoši Ministru kabineta 2009. gada 3. februāra noteikumu Nr. 108 "Normatīvo aktu projektu sagatavošanas noteikumi" 59. punktam likumprojektā var rakstīt atsauces uz citām likumprojekta vienībām (iekšējās atsauces) un citiem tāda paša vai augstāka juridiska spēka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2.pielikuma "Atbilstības deklarācija" (3) un (5) punktu izteikt tādā pašā redakcijā kā Eiropas Parlamenta un Padomes 2008.gada 9.jūlija Lēmuma Nr.68/2008/EK par produktu tirdzniecības vienotu sistēmu un ar ko atceļ Padomes Lēmumu 93/465/EEK III pielikuma 3. un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Nesamērīga sloga novērtējuma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likumprojekta 3. pielikuma pirmās daļas "b" punktu un trešās daļas "b" apakšpunktu ar direktīvas Nr. 2019/882 VI pielikuma attiecīgi 1. punkta otrās daļas "a" apakšpunkta "ii" punktu un 3. punkta otrās daļas "a" apakšpunkta "ii" punktu attiecībā uz izmaksām par kompetenču par piekļūstamību iegūšanu vai sniegt pamatotu skaidrojumu par minēto direktīvas prasību pilnīgu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redakcija precizēta. Vienlaikus atbilstoši Tieslietu ministrijas norādījumam par juridiskās tehnikas prasībām 3.pielikums ir iekļauts likumprojekta pamattekstā kā 13.pants "Būtiskas izmaiņas un nesamērīgs slogs".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4. pielikuma trešajā daļā vai likumprojekta anotācijā skaidrot, kā izpaužas </w:t>
            </w:r>
            <w:r w:rsidR="00000000" w:rsidRPr="00000000" w:rsidDel="00000000">
              <w:rPr>
                <w:u w:val="single"/>
                <w:rtl w:val="0"/>
              </w:rPr>
              <w:t xml:space="preserve">pilnas</w:t>
            </w:r>
            <w:r w:rsidR="00000000" w:rsidRPr="00000000" w:rsidDel="00000000">
              <w:rPr>
                <w:rtl w:val="0"/>
              </w:rPr>
              <w:t xml:space="preserve"> atbildības uzņemšanās vai izslēgt vārdu "pilnas",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likumprojekta 4. pielikuma pirmo daļu, jo nav skaidrs, vai informācija sniedzama par preces tipu, partijas vai sērijas numuru. Vienlaikus lūdzam izvērtēt un norādīt arī uz citu identifikācijas elementu, ņemot vērā, ka minētais izriet cita starpā no Parlamenta un Padomes 2008. gada 9. jūlija Lēmuma Nr. 768/2008/EK  par produktu tirdzniecības vienotu sistēmu un ar ko atceļ Padomes Lēmumu 93/465/EEK III 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6. un 11.pants paredz tādus pienākumus uzņēmējiem, kuri var palielināt administratīvās un atbilstības izmaksas. Šī likumprojekta ietvaros par atbilstības prasībām ir uzskatāmas 1.pielikumā uzskaitītās prasības. Saistībā ar administratīvajām izmaksām jāmin, ka likumprojekts paredz papildus prasības jau spēkā esošajā regulējumā noteiktajam (piemēram, apraksts par pakalpojuma darbību un funkcionalitāti, apraksts par pakalpojuma atbilstību 1.pielikumā noteiktajām piekļūstamības prasībām), tādējādi lūdzam aizpildīt anotācijas 2.sadaļas 3. un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papildināts Anotācijas 2.sadaļas 3. un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anotācijā ir vērtējums par pozitīvu likumprojekta ietekmi uz personām ar invaliditāti, kā arī uzņēmumu konkurētspēju visās Eiropas Savienības dalībvalstīs. Tomēr anotācijā nav norādīts, vai ir apzināts to uzņēmumu īpatsvars (vismaz provizoriski), kurus skars likumprojektā paredzētās prasības, un cik lielā mērā, ievērojot, ka mikrouzņēmumiem, kas sniedz likumprojektā minētos pakalpojumus, nav paredzēts pienākums pakalpojumu sniegšanā ievērot piekļūstamības prasības, taču tiem ir jānodrošina prasību ievērošana attiecībā uz precēm. Proti, vai un cik lielai uzņēmumu daļai īstermiņā būs lielākas izmaksas saistībā ar piekļustamības prasībām. Lūdzam pilnveidot ietekmes aprakstu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2.2.3.apakšpunkts. Informējam, ka likumprojekta izstrādes laikā notikušas konsultācijas un semināri ar Latvijas Tirdzniecības un rūpniecības kameru (tiešsaistes sanāksme 2022.gada 7.aprīlī) , Latvijas Darba devēju konfederāciju (sanāksme 2022.gada 24.februārī), Finanšu nozares asociāciju (sanāksmes 2021.gada 7.decembrī un 2022.gada 7.martā), Latvijas Grāmatizdevēju asociāciju (sanāksme 2021.gada 3.jūnijā), Latvijas Elektrotehnikas un elektronikas rūpniecības asociāciju un Latvijas Datortehnoloģiju asociāciju (sanāksme 2021.gada 1.aprīlī un 2022.gada 7.aprīlī) u.c. Papildus semināri un konsultācijas likumprojekta izstrādes gaitā notikušas ar tādiem uzņēmējiem, kuri sniedz likuma darbības jomā ietilpstošos pakalpojumus - elektronisko sakaru pakalpojumu sniedzēji, piemēram, SIA "Bite Latvija", "Tele2", "Latvijas Mobilais Telefons"; audiovizuālo mediju pakalpojumu sniedzēji (piemēram, SIA "Tet"); finanšu pakalpojumu sniedzēji (piem., Swedbank Latvija, SEB banka, kā arī citi finanšu pakalpojumu sniedzēji, kuru intereses likumprojekta tapšanas gaitā pārstāvēja Finanšu nozares asociācija). Savukārt preču jomā netika konstatēta būtiska ietekme uz Latvijas preču ražotājiem, jo saskaņā ar Latvijas Tirdzniecības un rūpniecības kameras sniegto informāciju Latvijā praktiski nav tādu uzņēmumu, kas ražotu likumprojekta darbības jomā ietilpstošās preces (ir informācija par vienu Latvijas uzņēmumu, proti, SIA “Mikrotīkls", kas ražo galiekārtas ar interaktīvu datošanas spēju, ko izmanto elektronisko sakaru pakalpojumiem; uzņēmums tika aicināts uz sanāksmēm 2021.gada 1.aprīlī un 2022.gada 7.aprīlī). Savukārt importētājiem un izplatītājiem nav paredzama būtiska ietekme, jo tie piegādās un izplatīs tādas preces, kas būs pieejamas tirgū, vienlaikus pārliecinoties par to atbilstību visām Eiropas Savienības tiesību aktu prasībām, tai skaitā šī likumprojekta prasībām (ko ražotājs faktiski būs jau apliecinājis ar CE zīmes uzlikšanu precei).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6.sadaļā ir uzskaitītas institūcijas, kuras tika iesaistītas likumprojekta izstrādē. Ņemot vērā projekta būtisku ietekmi uz uzņēmumiem, aicinām iesaistīt uzņēmēju organizācijas (Latvijas Tirdzniecības un rūpniecības kamera, ražotāju asociācijas u.c.) likumprojekta saskaņošanā. Vēršam uzmanību, ka likumprojekta publikācija TAP portālā nav piemērotākais un efektīvākais veids mērķgrupas iesaistei tik nozīmīgu izmaiņu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6.4.apakšpunkts ar informāciju par likumprojekta izstrādes un saskaņošanas gaitā iesaistītajām uzņēmēju organizācijām.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9.19. apakšpunktu lūdzam papildināt likumprojekta anotācijas 5.4. sadaļas 1. tabulu ar skaidrojumu par direktīvas Nr. 2019/882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skaidrojumu minētajā tabulā sniegt detalizētākā veidā, nodrošinot, ka katram minētās direktīvas pantam vai panta daļai un apakšpunktam korespondē nacionāla normatīvā akta pants, panta daļa vai punkts, tādējādi nodrošinot, ka kāda no direktīvas prasībām nejaušības pēc nav palikusi nepārņemta vai veids, kādā to plāno pārņemt, nav neatbilstošs. Tāpat lūdzam izvērtēt un svītrot norādi, ka ar likumprojekta anotāciju tiek pārņemtas direktīvas Nr. 2019/882 prasības vai konkretizēt un skaidrot, kā tieši attiecīgās prasības tiek 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gadījumos, kad netiek pārņemta kāda minētās direktīvas vienība, lūdzam konsekventi sniegt izvērstu skaidrojumu, kādēļ attiecīgā vienība nav jāpārņem (šobrīd vairākos gadījumos tas nav norādīts, piemēram, par 21.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ja minētā direktīva tiek pārņemta ar vairākiem tiesību aktiem (piemēram, arī likumu “Par atbilstības novērtēšanu”), tad anotācijas V sadaļas 1. tabulā lūdzam norādīt ne tikai tie citi tiesību akti, bet arī šo tiesību aktu konkrētas normas, tādējādi nodrošinot, ka attiecīgā direktīva tiek pārņemta korekti un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tabula būtiski pārstrādāta, iekļaujot detalizētu skaidrojumu par katru direktīvas vienību un tai korespondējošo nacionālā tiesību akta normu. Vēršam uzmanību, ka Anotācijas 5.4. 1. tabulas rindas ir jauktā secībā, jo TAP sistēma pati tās nekontrolēti maina vietām (nav iespējams izsekot Direktīvas pantiem secīgi, jo tabulas rindas ir automātiski samainījušās vietām). Problēma ir pieteikta TAP atbalsta dienestam, bet vēl nav atrisināta.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direktīva Nr. 2019/882 vairākos gadījumos, piemēram, 4. panta 4. un 7. punkts, 31. panta 3. punktā, 32. panta 2. punktā paredz rīcības brīvību, lūdzam atbilstoši noteikumu Nr. 617 9.19. apakšpunktam papildināt likumprojekta anotācijas 5.4. sadaļu, detalizēti aizpildot aili (sniedzot pamatojumu) par dalībvalsts rīcības brīvības izmantošanu, norādot konkrētās direktīvas normas, kas paredz rīcības brīvību, kādā veidā minētā rīcības brīvība ir izmantota likumprojektā, un to, kādēļ ir vai nav izmantota direktīvā Nr. 2019/882 paredzētā rīcības brīvība, nepieciešamības gadījumā ietverot minētajā ailē arī informāciju, kura ietverta cituviet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izriet, ka ar likumprojektu cita starpā tiek nodrošināta Apvienoto Nāciju Organizācijas 2006.gada 13.decembra Konvencijas par personu ar invaliditāti tiesībām saistību izpilde. Saistībā ar minēto lūdzam saskaņā ar noteikumu Nr. 617 9.19. apakšpunktu likumprojekta anotācijas 5.5. sadaļā sniegt izvērstāku informāciju par ar likumprojektu izpildītajām saistībām, kas izriet no minētā mītnes līguma, norādot arī paredzēto saistību īstenošanai nepiecie­šamos pasākumus vai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5.5.sadaļa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Konvencijas par personu ar invaliditāti tiesībām 9.pants nosaka, ka personām ar invaliditāti vienlīdzīgi ar citiem ir jānodrošina piekļuve fiziskajai videi, transportam, informācijai un sakariem, tostarp informācijas un sakaru tehnoloģijām un sistēmām, kā arī citiem objektiem un pakalpojumiem, kas ir atvērti vai ko sniedz sabiedrībai gan pilsētās, gan lauku rajonos. Konvencijā noteikts pienākums veicināt personām ar invaliditāti piemērotu jauno tehnoloģiju, tostarp informācijas un sakaru tehnoloģiju, pārvietošanās palīglīdzekļu, ierīču un palīgtehnoloģiju pētniecību un izstrādi, kā arī veicināt to pieejamību un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Vienotu piekļūstamības prasību noteikšana plaša patēriņa precēm un pakalpojumiem sekmēs personu ar invaliditāti līdzdalību un neatkarīgu dzīvi sabiedrībā, uzlabojot piekļuvi precēm un pakalpojumiem, kas, pateicoties to sākotnējam dizainam vai vēlākiem pielāgojumiem, atbildīs personu ar invaliditāti īpašajām vajadzībām. Tādējādi šis likumprojekts veicina ANO Konvencijas par personu ar invaliditāti tiesībām 9.panta saistību īstenošanu, nosakot vienotas piekļūstamības prasības likumprojekta tvērumā esošajās preču un pakalpojumu grupās.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tieši ANO Konvencijas par personu ar invaliditāti tiesībām 9.panta saistības, kuras tieši saistošas arī Eiropas Savienībai ka valstu organizācijai, kas Konvenciju ratificējusi, mudināja Eiropas Savienību nākt klajā ar Direktīvas 2019/882 priekšlikumu, lai harmonizētā veidā visās dalībvalstīs palīdzētu ieviest Konvencijas 9.pantu.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paralēli šim likumprojektam likumā “Par atbilstības novērtēšanu” tiek gatavoti grozījumi, kas paredz papildināt to ar jaunu III</w:t>
            </w:r>
            <w:r w:rsidR="00000000" w:rsidRPr="00000000" w:rsidDel="00000000">
              <w:rPr>
                <w:vertAlign w:val="superscript"/>
                <w:rtl w:val="0"/>
              </w:rPr>
              <w:t xml:space="preserve">1</w:t>
            </w:r>
            <w:r w:rsidR="00000000" w:rsidRPr="00000000" w:rsidDel="00000000">
              <w:rPr>
                <w:rtl w:val="0"/>
              </w:rPr>
              <w:t xml:space="preserve"> nodaļu par tirgus uzraudzību, lai veicinātu Eiropas Parlamenta un Padomes 2019. gada 20. jūnija Regulu 2019/1020 par tirgus uzraudzību un produktu atbilstību un ar ko groza Direktīvu 2004/42/EK un Regulas (EK) Nr. 765/2008 un (ES) Nr. 305/2011, normu un tajā noteikto pilnvaru koordinētu piemērošanu. Likuma “Par atbilstības novērtēšanu” III</w:t>
            </w:r>
            <w:r w:rsidR="00000000" w:rsidRPr="00000000" w:rsidDel="00000000">
              <w:rPr>
                <w:vertAlign w:val="superscript"/>
                <w:rtl w:val="0"/>
              </w:rPr>
              <w:t xml:space="preserve">1</w:t>
            </w:r>
            <w:r w:rsidR="00000000" w:rsidRPr="00000000" w:rsidDel="00000000">
              <w:rPr>
                <w:rtl w:val="0"/>
              </w:rPr>
              <w:t xml:space="preserve"> nodaļa nosaka kārtību, kādā uzraugošās iestādes veic tirgus uzraudzību. Ņemot vērā to, ka prasībām neatbilstošas preces var apdraudēt cilvēku veselību un pat dzīvību, gadījumos, kad attiecīgie komersanti nesadarbojas un noteiktajā laikā neveic atbilstošas korektīvās darbības labprātīgi, tādējādi panākot preces atbilstību noteiktajām piemērojamajām piekļūstamības prasībām, Patērētāju tiesību aizsardzības centrs, saskaņā ar  likuma “Par atbilstības novērtēšanu” III</w:t>
            </w:r>
            <w:r w:rsidR="00000000" w:rsidRPr="00000000" w:rsidDel="00000000">
              <w:rPr>
                <w:vertAlign w:val="superscript"/>
                <w:rtl w:val="0"/>
              </w:rPr>
              <w:t xml:space="preserve">1</w:t>
            </w:r>
            <w:r w:rsidR="00000000" w:rsidRPr="00000000" w:rsidDel="00000000">
              <w:rPr>
                <w:rtl w:val="0"/>
              </w:rPr>
              <w:t xml:space="preserve"> nodaļu, ir tiesīgs pieņemt lēmumus, lai konstatētie trūkumi un to iespējamais apdraudējums tiktu novērsti iespējami īsā laikā. Likumprojekts nosaka administratīvo atbildību par tādu preču laišanu tirgū, piedāvāšanu vai pārdošanu, kuras neatbilst piekļūstamības prasībām, par ko atbildība paredzēta saskaņā ar likuma “Par atbilstības novērtēšanu” 19.panta otro daļu. Saistībā ar minēto, ņemot vērā, ka likumprojektā ietvertais regulējums ir cieši saistīts ar iepriekš minētajiem grozījumiem likumā “Par atbilstības novērtēšanu”, lūdzam atbilstoši papildināt likumprojekta anotācijas 4. sadaļu ar atbilstošu skaidrojumu par minēto grozījumu nepieciešamību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tiek pārņemtas arī Eiropas Parlamenta un Padomes 2008. gada 9. jūlija Lēmuma Nr. 768/2008/EK  par produktu tirdzniecības vienotu sistēmu un ar ko atceļ Padomes Lēmumu 93/465/EEK, prasības, bet ieviestas  Eiropas Parlamenta un Padomes 2008. gada 9. jūlija Regulas (EK) Nr. 765/2008, ar ko nosaka akreditācijas un tirgus uzraudzības prasības attiecībā uz produktu tirdzniecību un atceļ Regulu (EEK) Nr. 339/93, prasības, lūdzam saskaņā ar noteikumu Nr. 617 9.19. apakšpunktu papildināt likumprojekta anotācijas 5. sadaļu, skaidrojot attiecīgo prasību pārņemšanu un ieviešanu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likumprojekta 1.pantā pārņemti direktīvas Nr. 2019/882 3. panta noteikumi un skaidroti šajā likumā lietotie termini, kas līdz šim Latvijas Republikas normatīvajos aktos nav definēti vai arī šā likuma kontekstā tiek lietoti specifiskā veidā un tvērumā. Saistībā ar minēto saskaņā ar noteikumu Nr. 617 9.1. apakšpunktu lūdzam likumprojekta anotāciju papildināt ar skaidrojumu, kuri direktīvā Nr. 2019/882 3. pantā minētie termini netiek skaidroti vai tiek likumprojektā lietoti specifiskā veidā un tvērumā, tai skaitā skaidojot attiecīgo tvērumu un tādējādi izvairoties no tā, ka direktīvas Nr. 2019/882 prasības netiek pilnībā pārņemtas. Norādām, ka šobrīd, piemēram, nav skaidrs pamats likumprojektā skaidrot terminus autobusu pasažieru pārvadājumu pakalpojums un dzelzceļa pasažieru pārvadājumu pakalpojums, atbilstoši direktīvai Nr. 2019/882 neatsaucoties uz Eiropas Savienības regulām, kur attiecīgie pakalpojumi tiek definēti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likumprojekta 18.panta pirmo daļu attiecībā par atbildes uz sūdzību sniegšanu, nepieciešams papildināt anotāciju ar norādi, ka pakalpojuma sniedzējs atbildi uz patērētāja sūdzību par elektronisko sakaru pakalpojumu piekļūstamību sniedz likumā “Par sabiedrisko pakalpojumu regulatoriem” noteiktajā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likumprojekta 20.panta ceturto daļu attiecībā par Sabiedrisko pakalpojumu regulēšanas komisijas lēmumu pārsūdzību, nepieciešams papildināt anotāciju ar norādi, ka Sabiedrisko pakalpojumu regulēšanas komisijas lēmumu pakalpojuma sniedzējs var pārsūdzēt Administratīvajā apgabaltiesā, ievērojot likumā “Par sabiedrisko pakalpojumu regulatoriem”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42. punktā minēto iebildumu, ņemot vērā, ka izziņā norādīts uz attiecīgā iebilduma ņemšanu vērā, tomēr likumprojekta anotācijas 5. sadaļa nav atbilstoši papildināta.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kompetentajai iestādei ir pienākums, atbilstoši Iesniegumu likumam, sniegt rakstisku atbildi patērētājam vai pasažierim, informējot par veiktajiem vai plānotajiem pasākumiem attiecībā uz iesniegumā minētajiem apstākļiem (likumprojekta 23.panta 1.daļa).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kompetentajai iestādei ir pienākums, atbilstoši normatīvajos aktos noteiktajam, sniegt rakstisku atbildi patērētājam vai pasažierim, informējot par veiktajiem vai plānotajiem pasākumiem attiecībā uz iesniegumā minētajiem apstākļiem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audiovizuālo mediju pakalpojums </w:t>
            </w:r>
            <w:r w:rsidR="00000000" w:rsidRPr="00000000" w:rsidDel="00000000">
              <w:rPr>
                <w:rtl w:val="0"/>
              </w:rPr>
              <w:t xml:space="preserve">- Elektronisko plašsaziņas līdzekļu likuma 1.pantā definētais audiovizuālais elektroniskā plašsaziņas līdzekļa pakalpojums;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 punktā ietvert precīzu atsauci uz Elektronisko plašsaziņas līdzekļu likuma 1. panta apakšvienību, kur definēts elektroniskā plašsaziņas līdzekļa pakalpojums, tādējādi atvieglojot likumprojekta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Konsultācijās ar Kultūras ministriju secināts, ka iespējami turpmāki grozījumi Elektronisko plašsaziņas līdzekļu likuma 1.pantā varētu izmainīt arī 1.panta terminu numerāciju. Tādējādi, ja tiktu veidota atsauce uz konkrētu Elektronisko plašsaziņas līdzekļu likuma 1.panta apakšvienību, tā ilgākā laika periodā varētu kļūt nekorekta.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audiovizuālo mediju pakalpojums </w:t>
            </w:r>
            <w:r w:rsidR="00000000" w:rsidRPr="00000000" w:rsidDel="00000000">
              <w:rPr>
                <w:rtl w:val="0"/>
              </w:rPr>
              <w:t xml:space="preserve">- Elektronisko plašsaziņas līdzekļu likuma 1.pantā definētais audiovizuālais elektroniskā plašsaziņas līdzekļa pakalpojums;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r w:rsidR="00000000" w:rsidRPr="00000000" w:rsidDel="00000000">
              <w:rPr>
                <w:b w:val="1"/>
                <w:rtl w:val="0"/>
              </w:rPr>
              <w:t xml:space="preserve">pilsētas pārvadājumu pakalpojums</w:t>
            </w:r>
            <w:r w:rsidR="00000000" w:rsidRPr="00000000" w:rsidDel="00000000">
              <w:rPr>
                <w:rtl w:val="0"/>
              </w:rPr>
              <w:t xml:space="preserve"> - autobusa, dzelzceļa, tramvaja un trolejbusa pasažieru pārvadājumu pakalpojums, kas tiek sniegts pilsētas nozīmes maršrutā, t.i., maršrutā, kas nodrošina pārvietošanos valstspilsētas administratīvajās robežās, kā arī no šīs pilsētas uz tuvākajām apkārtējām teritorijām;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teritoriju un apdzīvoto vietu likuma 7.pants noteic apdzīvoto vietu viedus, viens no tiem ir pilsēta. Savukārt šā paša likuma 4.pants  Latvijas Republiku iedala šādās administratīvajās teritorijās:1) valstspilsētu pašvaldību teritorijās; un 2) novadu pašvaldību (turpmāk — novadi) teritorijās.Tā kā 18.punkts runā par pilsētas pārvadājumu pakalpojumu, secinām, ka 18.punkts attiecināms uz visu veidu pārvadājumu pakalpojumiem pilsētu administratīvajās robežās, tādēļ,lūdzam vārdus "valstspilsētas administratīvajās robežās" aizstāt ar vārdiem "pilsētas administratīvajās robežās", lai nodrošinātu vienveidīgu terminoloģijas lietošanu. Turklāt valstspilsēta saskaņā ar Administratīvo teritoriju un apdzīvoto vietu likuma 7.pantu ir apdzīvota vieta - pilsēta.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Konsultācijās ar Latvijas Pašvaldību savienību un Autotransporta direkciju nolemts, ka tiek saglabāta iepriekšējā redakcija "valstspilsētas administratīvajās robežās", ņemot vērā Sabiedriskā transporta pakalpojumu likuma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r w:rsidR="00000000" w:rsidRPr="00000000" w:rsidDel="00000000">
              <w:rPr>
                <w:b w:val="1"/>
                <w:rtl w:val="0"/>
              </w:rPr>
              <w:t xml:space="preserve">pilsētas pārvadājumu pakalpojums</w:t>
            </w:r>
            <w:r w:rsidR="00000000" w:rsidRPr="00000000" w:rsidDel="00000000">
              <w:rPr>
                <w:rtl w:val="0"/>
              </w:rPr>
              <w:t xml:space="preserve"> - autobusa, dzelzceļa, tramvaja, trolejbusa un metro pasažieru pārvadājumu pakalpojums, kas tiek sniegts pilsētas nozīmes maršrutā, t.i., maršrutā, kas nodrošina pārvietošanos valstspilsētas administratīvajās robežās, kā arī no šīs pilsētas uz tuvākajām apkārtējām teritorijām;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r w:rsidR="00000000" w:rsidRPr="00000000" w:rsidDel="00000000">
              <w:rPr>
                <w:b w:val="1"/>
                <w:rtl w:val="0"/>
              </w:rPr>
              <w:t xml:space="preserve">pilsētas pārvadājumu pakalpojums</w:t>
            </w:r>
            <w:r w:rsidR="00000000" w:rsidRPr="00000000" w:rsidDel="00000000">
              <w:rPr>
                <w:rtl w:val="0"/>
              </w:rPr>
              <w:t xml:space="preserve"> - autobusa, dzelzceļa, tramvaja un trolejbusa pasažieru pārvadājumu pakalpojums, kas tiek sniegts pilsētas nozīmes maršrutā, t.i., maršrutā, kas nodrošina pārvietošanos valstspilsētas administratīvajās robežās, kā arī no šīs pilsētas uz tuvākajām apkārtējām teritorijām;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 panta 18. punktā 21. punktā, kā arī 1. pielikuma V sadaļā nodrošināt pilnīgu Eiropas Parlamenta un Padomes 2019.gada 17.aprīļa direktīvā (ES) 2019/882 par preču un pakalpojumu piekļūstamībām ietverto prasību pārņemšanu, norādot attiecīgi uz metro, kā arī tādu gadījumu tiesisko regulējumu, ja pastāv vairākas ārkārtas izsaukuma centrāles. Norādām, ka, piemēram, tas, ka šobrīd Latvijā nav metro, neizslēdz nepieciešamību pārņemt minētās direktīvas prasības. Skaidrojam, ka Eiropas Savienības Tiesas judikatūrā ir atzīts, ka tiesiskās drošības princips un nepieciešamība nodrošināt pilnīgu direktīvu piemērošanu juridiski, nevis tikai faktiski, prasa, lai visas dalībvalstis pārņemtu attiecīgās direktīvas prasības ar skaidru, precīzu un pārskatāmu tiesisko regulējumu, paredzot saistošas normas jomā, uz kuru tā attiecas. Dalībvalstīm ir šāds pienākums, lai novērstu jebkādas konkrētā brīdī esošās situācijas izmaiņas tajās un nodrošinātu, ka ikviens tiesību subjekts Kopienā, ietverot dalībvalstis, kurās noteikta direktīvā minēta darbība nepastāv, jebkuros apstākļos skaidri un precīzi zinātu savas tiesības un pienākumus (šajā ziņā sk.</w:t>
            </w:r>
            <w:r w:rsidR="00000000" w:rsidRPr="00000000" w:rsidDel="00000000">
              <w:rPr>
                <w:i w:val="1"/>
                <w:rtl w:val="0"/>
              </w:rPr>
              <w:t xml:space="preserve"> Eiropas Savienības Tiesas 2010.gada 14.janvāra spriedumu lietā C 343/08 Komisija/Čehija 40. un 41.punkts un tajos norādītā judikatūra, ECLI:EU:C:2010:14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Tiesas ieskatā tas, ka direktīvā minētā darbība netiek veikta kādā dalībvalstī, neietekmē tās pienākumu transponēt direktīvu, ja nav iespējams izslēgt iespēju, ka šāda darbība varētu pastāvēt nākotnē. Attiecīgi Eiropas Savienības Tiesas 2001. gada 13. decembra spriedumā lietā C-372/00 Komisija/Īrija un 2002. gada 30. maija spriedumā lietā C-441/00 Komisija/Apvienotā Karaliste,  tika nospriests, ka tas, ka Īrijā un Ziemeļīrijā nav ātrgaitas vilcienu, neatbrīvo Īriju un Lielbritānijas un Ziemeļīrijas Apvienoto Karalisti no pienākuma transponēt Padomes Direktīvu 96/48/EK par Eiropas ātrgaitas dzelzceļu sistēmas savstarpēju izmantojamību.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r w:rsidR="00000000" w:rsidRPr="00000000" w:rsidDel="00000000">
              <w:rPr>
                <w:b w:val="1"/>
                <w:rtl w:val="0"/>
              </w:rPr>
              <w:t xml:space="preserve">pilsētas pārvadājumu pakalpojums</w:t>
            </w:r>
            <w:r w:rsidR="00000000" w:rsidRPr="00000000" w:rsidDel="00000000">
              <w:rPr>
                <w:rtl w:val="0"/>
              </w:rPr>
              <w:t xml:space="preserve"> - autobusa, dzelzceļa, tramvaja, trolejbusa un metro pasažieru pārvadājumu pakalpojums, kas tiek sniegts pilsētas nozīmes maršrutā, t.i., maršrutā, kas nodrošina pārvietošanos valstspilsētas administratīvajās robežās, kā arī no šīs pilsētas uz tuvākajām apkārtējām teritorijām;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w:t>
            </w:r>
            <w:r w:rsidR="00000000" w:rsidRPr="00000000" w:rsidDel="00000000">
              <w:rPr>
                <w:b w:val="1"/>
                <w:rtl w:val="0"/>
              </w:rPr>
              <w:t xml:space="preserve">prece </w:t>
            </w:r>
            <w:r w:rsidR="00000000" w:rsidRPr="00000000" w:rsidDel="00000000">
              <w:rPr>
                <w:rtl w:val="0"/>
              </w:rPr>
              <w:t xml:space="preserve">- ražošanas procesā radīta viela, preparāts vai izstrādājums, izņemot pārtiku, barību, dzīvus augus un dzīvniekus, cilvēku izcelsmes produktus, augu un dzīvnieku produktus, kuri ir saistīti ar to turpmāku pavairošanu;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- 28.06.2022.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izstrādājums nav piemērojams, jo netiek izmantots speciālajos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prece </w:t>
            </w:r>
            <w:r w:rsidR="00000000" w:rsidRPr="00000000" w:rsidDel="00000000">
              <w:rPr>
                <w:rtl w:val="0"/>
              </w:rPr>
              <w:t xml:space="preserve">- ražošanas procesā radīta viela, preparāts vai produkts, izņemot pārtiku, barību, dzīvus augus un dzīvniekus, cilvēku izcelsmes produktus, augu un dzīvnieku produktus, kuri ir saistīti ar to turpmāku pavairošanu;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w:t>
            </w:r>
            <w:r w:rsidR="00000000" w:rsidRPr="00000000" w:rsidDel="00000000">
              <w:rPr>
                <w:b w:val="1"/>
                <w:rtl w:val="0"/>
              </w:rPr>
              <w:t xml:space="preserve">prece </w:t>
            </w:r>
            <w:r w:rsidR="00000000" w:rsidRPr="00000000" w:rsidDel="00000000">
              <w:rPr>
                <w:rtl w:val="0"/>
              </w:rPr>
              <w:t xml:space="preserve">- ražošanas procesā radīta viela, preparāts vai produkts, izņemot pārtiku, barību, dzīvus augus un dzīvniekus, cilvēku izcelsmes produktus, augu un dzīvnieku produktus, kuri ir saistīti ar to turpmāku pavairošanu;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ražotājs </w:t>
            </w:r>
            <w:r w:rsidR="00000000" w:rsidRPr="00000000" w:rsidDel="00000000">
              <w:rPr>
                <w:rtl w:val="0"/>
              </w:rPr>
              <w:t xml:space="preserve">- fiziska vai juridiska persona, kas ražo preci vai liek preci izveidot vai ražot, un tirgo minēto preci ar savu nosaukumu vai preču 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- 28.06.2022.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nosaukumu vai preču zīmi - fiziskai personai būs vārds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ražotājs </w:t>
            </w:r>
            <w:r w:rsidR="00000000" w:rsidRPr="00000000" w:rsidDel="00000000">
              <w:rPr>
                <w:rtl w:val="0"/>
              </w:rPr>
              <w:t xml:space="preserve">- fiziska vai juridiska persona, kas ražo preci vai liek preci izveidot vai ražot, un tirgo minēto preci ar savu vārdu, nosaukumu vai preču zīmi;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w:t>
            </w:r>
            <w:r w:rsidR="00000000" w:rsidRPr="00000000" w:rsidDel="00000000">
              <w:rPr>
                <w:b w:val="1"/>
                <w:rtl w:val="0"/>
              </w:rPr>
              <w:t xml:space="preserve">ražotājs </w:t>
            </w:r>
            <w:r w:rsidR="00000000" w:rsidRPr="00000000" w:rsidDel="00000000">
              <w:rPr>
                <w:rtl w:val="0"/>
              </w:rPr>
              <w:t xml:space="preserve">- fiziska vai juridiska persona, kas ražo preci vai liek preci izveidot vai ražot, un tirgo minēto preci ar savu vārdu, nosaukumu vai preču zīmi;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w:t>
            </w:r>
            <w:r w:rsidR="00000000" w:rsidRPr="00000000" w:rsidDel="00000000">
              <w:rPr>
                <w:b w:val="1"/>
                <w:rtl w:val="0"/>
              </w:rPr>
              <w:t xml:space="preserve">reģionālo pārvadājumu pakalpojums </w:t>
            </w:r>
            <w:r w:rsidR="00000000" w:rsidRPr="00000000" w:rsidDel="00000000">
              <w:rPr>
                <w:rtl w:val="0"/>
              </w:rPr>
              <w:t xml:space="preserve">- autobusu un dzelzceļa pasažieru pārvadājumu pakalpojums, kas tiek sniegts reģionālas nozīmes maršrutā un nodrošina pārvietošanos: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terminu skaidrojumus saistībā ar sabiedriskā transporta pilsētas (1.panta 18.punkts) un reģionālo pārvadājumu (1.panta 21.punkts) pakalpojumiem iekļaut secīgi vienu aiz otra.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Termini likumprojekta 1.pantā norādīti alfabētiskā secībā.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w:t>
            </w:r>
            <w:r w:rsidR="00000000" w:rsidRPr="00000000" w:rsidDel="00000000">
              <w:rPr>
                <w:b w:val="1"/>
                <w:rtl w:val="0"/>
              </w:rPr>
              <w:t xml:space="preserve">reģionālo pārvadājumu pakalpojums </w:t>
            </w:r>
            <w:r w:rsidR="00000000" w:rsidRPr="00000000" w:rsidDel="00000000">
              <w:rPr>
                <w:rtl w:val="0"/>
              </w:rPr>
              <w:t xml:space="preserve">- autobusa, dzelzceļa, tramvaja, trolejbusa un metro pasažieru pārvadājumu pakalpojums, kas tiek sniegts reģionālas nozīmes maršrutā un nodrošina pārvietošanos: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universāldatoru aparatūras sistēmas un to operētājsistēmas (programmatūra, kas uztur saskarni ar perifēro aparatūru, plāno uzdevumus, iedala atmiņu un nodrošina standarta saskarni lietotājam, kad nedarbojas neviena lietojumprogramma, tostarp grafisko lietotāja saskarni, neatkarīgi no tā, vai šāda programmatūra ir patērētāju universāldatoru aparatūras sastāvdaļa vai savrupa programmatūra, kas paredzēta izmantošanai patērētāju universāldatoru aparatūrā, izņemot operētājsistēmas ielādētāju, ievadizvades pamatsistēmu vai citu aparātprogrammatūru, kas nepieciešama palaišanas laikā vai tad, kad tiek instalēta operētājsistēma);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3. panta pirmās daļas 1. punktā un citos līdzīgos gadījumos terminu skaidrojumus neietvert iekavās, bet atsevišķi norādīt uz attiecīgo termina izpratni likumprojektā (t.i., ko saprot ar attiecīgo terminu likumprojektā), izvairoties no pieturzīmes iekavas lietošanas.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universāldatoru aparatūras sistēmas un to operētājsistēmas. Operētājsistēma šā likuma ietvaros ir programmatūra, kas uztur saskarni ar perifēro aparatūru, plāno uzdevumus, iedala atmiņu un nodrošina standarta saskarni lietotājam, kad nedarbojas neviena lietojumprogramma, tostarp grafisko lietotāja saskarni, neatkarīgi no tā, vai šāda programmatūra ir patērētāju universāldatoru aparatūras sastāvdaļa vai savrupa programmatūra, kas paredzēta izmantošanai patērētāju universāldatoru aparatūrā, izņemot operētājsistēmas ielādētāju, ievadizvades pamatsistēmu vai citu aparātprogrammatūru, kas nepieciešama palaišanas laikā vai tad, kad tiek instalēta operētājsistēma;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šādi gaisa, autobusu, dzelzceļa un ūdenstransporta pasažieru pārvadājumu pakalpojumu elementi, izņemot pilsētu un reģionālo pārvadājumu pakalpojumus, uz kuriem attiecas tikai šā punkta e)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likumprojektu, atsaucēs uz konkrētu vienību apakšvienībām - apakšpunktiem - neizmantojot pieturzīmi iekavas, bet attiecīgās apakšvienības liekot pēdiņās (piemēram, "e" apakšpunkts), tādējādi nodrošinot gramatiski korektas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šādi gaisa, autobusu, dzelzceļa un ūdenstransporta pasažieru pārvadājumu pakalpojumu elementi, izņemot pilsētu un reģionālo pārvadājumu pakalpojumus, uz kuriem attiecas tikai šā punkta "e" apakšpunkts: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Maksājumu pakalpojumu un elektroniskās naudas likumā minētie maksājumu pakalpojumi, ar maksājumu kontu saistītie pakalpojumi un elektroniskā nauda;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Maksājumu pakalpojumu un elektroniskās naudas likuma 1. panta 2.</w:t>
            </w:r>
            <w:r w:rsidR="00000000" w:rsidRPr="00000000" w:rsidDel="00000000">
              <w:rPr>
                <w:vertAlign w:val="superscript"/>
                <w:rtl w:val="0"/>
              </w:rPr>
              <w:t xml:space="preserve">2</w:t>
            </w:r>
            <w:r w:rsidR="00000000" w:rsidRPr="00000000" w:rsidDel="00000000">
              <w:rPr>
                <w:rtl w:val="0"/>
              </w:rPr>
              <w:t xml:space="preserve"> punkta ievaddaļai Elektroniskā nauda ir noteikta elektroniskā ierīcē (viedkartē vai datora atmiņā) glabāta monetārā vērtība. Attiecīgi secināms, ka elektroniskā nauda nav pakalpojums, bet gan monetārā vērtība, kādēļ lūdzam redakcionāli precizēt likumprojektu, raksturojot attiecīgā pakalpojuma priekšmetu,t.i., kā izpaužas konkrētais maksājuma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Direktīvas 2019/882 3.panta 28) punktam likumprojekta tvērumā ietverti konkrēti finanšu pakalpojumu veidi, kas attiecīgi transponēti likumprojekta 3.panta otrās daļas 4.punktā. Savukārt likumprojekta 3.panta otrās daļas 4. punkta "c" apakšpunktā ir ietverti trīs dažādi finanšu pakalpojumu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maksājumu kontu saistītie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elektroniskā nauda.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3.panta otrās daļas 4. punkta "c" apakšpunkta redakcija ir saskaņota ar Finanšu ministriju un tā ir korekta.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Maksājumu pakalpojumu un elektroniskās naudas likumā minētie maksājumu pakalpojumi, ar maksājumu kontu saistītie pakalpojumi un elektroniskā nauda;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Likumu piemēro atbildēšanai uz vienoto ārkārtas palīdzības izsaukuma numuru "112" saskaņā ar šā likuma I pielikuma V nodaļā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3. panta trešajā daļā ietverto norādi "saskaņā ar šā likuma I pielikuma V nodaļā noteiktajām prasībām" ietvert likumprojekta 4. pantā, tādējādi nodrošinot strukturāli konsekventas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Likumu piemēro atbildēšanai uz vienoto ārkārtas palīdzības izsaukuma numuru "112".</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Pasažieru pārvadājumu pakalpojumus, kuri atbilst prasībām par piekļūstamas informācijas un informācijas par piekļūstamību sniegšanu, kas noteiktas Eiropas Parlamenta un Padomes 2004. gada 11. februāra regulā (EK) Nr. 261/2004, ar ko paredz kopīgus noteikumus par kompensāciju un atbalstu pasažieriem sakarā ar iekāpšanas atteikumu un lidojumu atcelšanu vai ilgu kavēšanos, Regulā Nr. 1107/2006,  Eiropas Parlamenta un Padomes 2021. gada 29. aprīļa regulā (ES) 2021/782 par dzelzceļa pasažieru tiesībām un pienākumiem, Regulā Nr. 1177/2010 un Eiropas Parlamenta un Padomes  2011. gada 16. februāra Regulā Nr. 181/2011 par autobusu pasažieru tiesībām, un attiecīgajos normatīvajos aktos, kuri pieņemti, pamatojoties uz Direktīvu 2008/57/EK, uzskata par atbilstīgiem šā likuma prasībām. Ja šajā likumā ir paredzētas prasības papildus tām prasībām, kas paredzētas minētajās regulās un normatīvajos aktos, papildu prasības piemēro pilnībā.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likumprojekta 5. pantā ietvert pilnu Eiropas Parlamenta un Padomes 2008. gada 17. jūnija Direktīvas 2008/57/EK par dzelzceļa sistēmas savstarpēju izmantojamību Kopienā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likumprojekta 5.pantā veikti kopsakarā ar Izziņas 4.punktā izteikto iebildumu.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Pasažieru pārvadājumu pakalpojumus, kuri atbilst prasībām par piekļūstamas informācijas un informācijas par piekļūstamību sniegšanu, kas noteiktas Eiropas Parlamenta un Padomes 2004. gada 11. februāra regulā (EK) Nr. 261/2004, ar ko paredz kopīgus noteikumus par kompensāciju un atbalstu pasažieriem sakarā ar iekāpšanas atteikumu un lidojumu atcelšanu vai ilgu kavēšanos, Regulā Nr. 1107/2006,  Eiropas Parlamenta un Padomes 2021. gada 29. aprīļa regulā (ES) 2021/782 par dzelzceļa pasažieru tiesībām un pienākumiem, Regulā Nr. 1177/2010 un Eiropas Parlamenta un Padomes  2011. gada 16. februāra Regulā Nr. 181/2011 par autobusu pasažieru tiesībām, un attiecīgajos tieši piemērojamajos Eiropas Savienības tiesību aktos, kuri pieņemti Eiropas Savienības dzelzceļa sistēmas savstarpējas izmantojamības nodrošināšanas jomā, uzskata par atbilstīgiem šā likuma prasībām. Ja šajā likumā ir paredzētas prasības papildus tām prasībām, kas paredzētas minētajās regulās un normatīvajos aktos, papildu prasības piemēro pilnībā.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Šā likuma izpratnē importētāju un izplatītāju uzskata par ražotāju un tam ir šajā nodaļā noteiktie pienākumi, ja tas laiž tirgū preces  ar savu vārdu vai preču zīmi vai izmaina tirgū laisto preci tā, ka tas var ietekmēt preces atbilstību šā likuma 1.pielikumā minētajām piemērojamām piekļūstamības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vienveidot terminoloģiju, nav skaidrs, vai preču laišanai tirgū ar savu vārdu atbilst preču laišana tirgū ar savu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Šā likuma izpratnē importētāju un izplatītāju uzskata par ražotāju un tam ir šajā nodaļā noteiktie pienākumi, ja tas laiž tirgū preces  ar savu vārdu, nosaukumu vai preču zīmi, vai izmaina tirgū laisto preci tā, ka tas var ietekmēt preces atbilstību šā likuma 1.pielikumā minētajām piemērojamām piekļūstamības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saimnieciskās darbības veicējs no citiem publiskiem vai privātiem avotiem, kas nav saimnieciskās darbības veicēja paša resursi, saņem finansējumu, kas tiek sniegts ar nolūku uzlabot piekļūstamību, tas nav tiesīgs balstīties uz šā panta pirmās daļas 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likumprojekta 12. panta piekto daļu, norādot nevis uz balstīšanos uz noteiktu likumprojekta vienību, bet gan attiecīgajā vienībā ietvertā izņēmuma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saimnieciskās darbības veicējs no citiem publiskiem vai privātiem avotiem, kas nav saimnieciskās darbības veicēja paša resursi, saņem finansējumu, kas tiek sniegts ar nolūku uzlabot piekļūstamību, tas nav tiesīgs balstīties uz nesamērīga sloga izņēmumu.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Nesamērīga sloga novērtējuma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pārņemt precīzu Eiropas Parlamenta un Padomes 2019.gada 17.aprīļa direktīvas (ES) 2019/882  par produktu un pakalpojumu piekļūstamības prasībām (Dokuments attiecas uz EEZ) 6.pielikuma redakciju, saglabājot likuma 14.pantā ietvertās definīcijas.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Nesamērīga sloga novērtējuma kritēriji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pierādītu, ka piekļūstamības prasību izpilde saimnieciskās darbības veicējam rada nesamērīgu slogu, novērtējumu veic pēc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14. pantā nodrošināt gramatiski korektu tiesību normu un norādi uz novērtējuma veikšanu pēc noteiktiem kritērijiem aizstāt ar norādi par novērtējuma veikšanu atbilstoši noteiktiem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pierādītu, ka piekļūstamības prasību izpilde saimnieciskās darbības veicējam rada nesamērīgu slogu, novērtējumu veic atbilstoši šādiem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Atbilstības deklarācijā norāda, ka ir pierādīta preces atbilstība šā likuma 1.pielikumā minētajām piemērojamām piekļūstamības prasībām. Ja izņēmuma kārtā tiek izmantots šā likuma 12. pants, atbilstības deklarācijā norāda, kurām piekļūstamības prasībām piemēro izņēmumu.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14. panta pirmās daļas otro teikumu, nenorādot uz likuma 12. panta izmantošanu, bet gan 12. pantā minētā izņēmuma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Atbilstības deklarācijā norāda, ka ir pierādīta preces atbilstība šā likuma 4.pantā un 1.pielikumā noteiktajām piemērojamām piekļūstamības prasībām. Ja izņēmuma kārtā tiek izmantota šā likuma 13.pantā minētā būtisku izmaiņu vai nesamērīga sloga atruna, atbilstības deklarācijā norāda, kurām piekļūstamības prasībām piemēro izņēmumu.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Patērētāju un pasažieru sūdzību izskatīšana pie pakalpojuma sniedzēja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pants nosaka vispārēju sūdzību iesniegšanas un izskatīšanas kārtību (gan pie pakalpojuma sniedzēja, gan kompetentajā iestādē), ir nepieciešams attiecīgi precizēt panta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Sūdzību iesniegšanas un izskatīšanas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Sūdzību iesniegšanas un izskatīšanas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šā panta pirmajā daļā noteiktajā kārtībā patērētāja vai pasažiera sūdzība nav atrisināta vai pakalpojuma sniedzējs nav sniedzis atbildi, patērētājam ir tiesības vērsties attiecīgajā, šā likuma 19.pantā noteiktajā kompetentajā iestādē.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ātrāku un efektīvāku sūdzības izskatīšanu kompetentajā iestādē, nepieciešams noteikt, ka patērētājam un pasažierim, iesniedzot sūdzību kompetentajā iestādē, klāt jāpievieno pakalpojuma sniedzēja atbildi, ja tāda ir 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 panta pirmajā daļā noteiktajā kārtībā patērētāja vai pasažiera sūdzība nav atrisināta vai pakalpojuma sniedzējs nav sniedzis atbildi, patērētājam un pasažierim ir tiesības vērsties attiecīgajā šā likuma 19.pantā noteiktajā kompetentajā iestādē ar tāda paša satura sūdzību, pievienojot pakalpojuma sniedzēja atbildi, ja tāda ir sniegta.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šā panta pirmajā daļā noteiktajā kārtībā patērētāja vai pasažiera sūdzība nav atrisināta vai pakalpojuma sniedzējs nav sniedzis atbildi, patērētājam un pasažierim ir tiesības vērsties attiecīgajā šā likuma 22.pantā noteiktajā kompetentajā iestādē ar tāda paša satura sūdzību, pievienojot pakalpojuma sniedzēja atbildi, ja tāda ir sniegta.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Preču un pakalpojumu piekļūstamības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1. un 3. pielikumu, nodrošinot vienveidīgu izteiksmi likumprojekta normās, ar kurām tiek pārņemtas direktīvas Nr. 2019/882 prasības. Norādām, ka šobrīd, piemēram, likumprojekta: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 pielikuma III nodaļas 2. punkta "f" apakšpunktā norādīts uz netekstuāla satura papildināšanu ar šā satura alternatīvu attēlojumu, savukārt līdzīgā gadījumā II nodaļas 2. punkta "e" apakšpunktā norādīts uz netekstuāla satura papildināšanu ar satura alternatīvu attēlojumu;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 pielikuma VI nodaļas 1. punkta "c" apakšpunktā norādīts uz publicēšanu citos veidos, savukārt līdzīgā gadījumā minētās nodaļas 1. punkta "a" apakšpunktā - uz darīšanu pieejamu citos veidos;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1. pielikuma VII nodaļā otrās daļas 8. punktā, salīdzinot ar citiem funkcionālā snieguma kritērijiem, nav norādīts attiecīgā kritērija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3. pielikuma pirmās daļas 2. punkta "a" apakšpunktā norādīts uz izmaksām saistībā ar preces vai pakalpojuma piekļūstamības izveidi, savukārt līdzīgā gadījumā minētā pielikuma trešās daļās 2. punkta "a" apakšpunktā norādīts uz izmaksām saistībā ar preces vai pakalpojuma piekļūstamības elementu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novērtēšanas procedūra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 pielikumā neatsaukties uz šā likuma 4. pantā noteiktajām piekļūstamības prasībām, ņemot vērā, ka attiecīgās prasības ietvertas likumprojekta 1.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Ietverta atsauce uz 4.pantu un 1. pielikumu, ņemot vērā to savstarpējo saistību. Vienlaikus, atbilstoši Tieslietu ministrijas norādījumam par juridiskās tehnikas prasībām, iepriekšējais 2.pielikums "Atbilstības novērtēšanas procedūra precei" iekļauts likumprojekta pamattekstā kā 7.pants.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- 28.06.2022.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2.pielikuma "Atbilstības deklarācija" (3) un (5) punktu izteikt tādā pašā redakcijā kā Eiropas Parlamenta un Padomes 2008.gada 9.jūlija Lēmuma Nr.68/2008/EK par produktu tirdzniecības vienotu sistēmu un ar ko atceļ Padomes Lēmumu 93/465/EEK III pielikuma 3. un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likumprojekta 4. pielikuma piekto daļu, kas šobrīd kļūdaini izteikta kā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likumprojekta anotāciju, nodrošinot, ka katrā gadījumā ir korekti atspoguļotas likumprojekta vienības, kuru būtība, nepieciešamība un mērķis likumprojekta anotācijā attiecīgā gadījumā tiek skaidrots (sk. piemēram, nekorektās atsauces uz likumprojekta 21. pantu un 12. panta tālākām apakšvienībām).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pie skaidrojuma attiecībā uz likumprojekta 24.pantu ir cita starpā minēts, ka "ne Direktīvas 2019/882 preambula, ne tās normas specifiski nenorāda uz konkrētiem "citiem Eiropas Savienības tiesību aktiem", tomēr jāņem vērā, ka piekļūstamības prasības gan līdz Direktīvas 2019/882 pieņemšanai, gan arī pēc tam pastāvīgi tiek iekļautas arī citos Eiropas Savienības tiesību aktos - piemēram, pasažieru pārvadājumu jomā, tīmekļvietņu, </w:t>
            </w:r>
            <w:r w:rsidR="00000000" w:rsidRPr="00000000" w:rsidDel="00000000">
              <w:rPr>
                <w:u w:val="single"/>
                <w:rtl w:val="0"/>
              </w:rPr>
              <w:t xml:space="preserve">publisko iepirkumu jomā</w:t>
            </w:r>
            <w:r w:rsidR="00000000" w:rsidRPr="00000000" w:rsidDel="00000000">
              <w:rPr>
                <w:rtl w:val="0"/>
              </w:rPr>
              <w:t xml:space="preserve"> un citur."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piekļūstamības prasības pēc būtības netiek noteiktas ar publisko iepirkumu jomas normatīvajiem aktiem, līdz ar to lūdzam no minētā teikuma svītrot atsauci uz publisko iepirkumu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Redakcija ir precizēta atbilstoši no Eiropas Komisijas saņemtajam skaidrojumam.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apakšsadaļu "Risinājuma apraksts", aizstājot atsauci uz pantu, kurā noteikts, ka administratīvā akta pārsūdzēšana neaptur tā darbību patērētāju tiesību aizsardzības jomā, proti, korektais pants ir Patērētāju tiesību aizsardzības likuma 26.</w:t>
            </w:r>
            <w:r w:rsidR="00000000" w:rsidRPr="00000000" w:rsidDel="00000000">
              <w:rPr>
                <w:vertAlign w:val="superscript"/>
                <w:rtl w:val="0"/>
              </w:rPr>
              <w:t xml:space="preserve">18</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noteikumu 2. punkts paredz cita starpā, ja pakalpojumu līgumi, kuru darbība turpinās pēc 2030. gada 27. jūnija, pakalpojuma sniedzējs nodrošina līguma atbilstību šā likuma prasībām un, izvērtējot faktiskos apstākļus, sniedz pakalpojuma lietotājam šajā likumā noteikto piekļūstamo informāciju saistībā ar attiecīgo līgumu vai vienojas par līguma teksta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jau iepriekš pauda bažas par likumprojekta Pārejas noteikumu 2. punkta skaidrību un to, vai attiecīgi līgums paliek spēkā arī pēc 2030. gada 27. jūnija, ja nav nodrošinātas piekļūstamības prasības (vēl jo vairāk, ja līgums līdz minētajam datumam tiek pildīts), vai līgumu var nepildīt vai vienpusēji izbeigt, ja netiek nodrošinātas piekļūstamības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likumprojekta anotāciju, Tieslietu ministrija secina, ka faktiski, lai nodrošinātu likumprojekta mērķi un panāktu pakalpojumu piekļūstamību personām ar invaliditāti un visām personām, kurām ir ilgstoši fiziski, garīgi, intelektuāli vai maņu traucējumi, kas mijiedarbībā ar dažādiem šķēršļiem var apgrūtināt viņu pilnvērtīgu un efektīvu līdzdalību sabiedrības dzīvē vienlīdzīgi ar citiem, pakalpojuma sniedzējiem ir pienākums nodrošināt, ka pakalpojums, tajā skaitā, pakalpojuma līgums atbilstu piekļūstamības prasībām – jeb līgums ir piekļūstams ikvienai personai. Līdz ar to secināms, ka pakalpojuma sniedzējs sniedz piekļūstamības informāciju pakalpojuma lietotājam vai vienojas, ka līguma teksts tiks pielāgots piekļūstamības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Tieslietu ministrija secina, lai ievērotu likumprojektu un sasniegtu tā mērķi, pakalpojuma sniedzējam nodrošinot piekļūstamības prasības, pakalpojuma līguma priekšmets, sastāvdaļas un forma netiek grozīta. Tāpat tas neietekmē pakalpojuma līguma spēkā esamību un nedod tiesības pusēm vienpusēji uzteikt līgumu vai to nepildīt. Nodrošinot piekļūstamības prasības, nodibinātās saistības netiek grozītas, pārjaunotas vai izbeigtas. Tāpat likumprojekta prasību ievērošana nevar tikt izmantots kā iemesls nodibinātās saistības grozīšanai, pārjaunošanai vai izbeigšanai, vai līguma normu pēc būtības grozīšanai. Savukārt likumprojekta prasību neievērošana nav pamats līguma vienpusējai izbeigšanai un līgums paliek spēkā arī pēc 2030. gada 27. jūnija, tomēr pakalpojuma lietotājam ir visas šajā likumā garantētās tiesības savu interešu aizsardzībai. Minētais tieši tādā veidā nav minēts anotācijā, bet secināms interpretējot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likumprojekta anotācijā skaidri norādīt par likumprojekta prasību ievērošanas un neievērošanas tiesiskajām sekām attiecībā uz pakalpojuma līgumiem (to priekšmetiem, sastāvdaļām, formu, spēkā esamību, tiesiskajām attiecībām (nodibināšanu, pārgrozīšanu vai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līgumi, kas noslēgti līdz 2025. gada 27. jūnijam, paliek spēkā līdz to beigu termiņam. Ja šāda līguma darbība turpinās pēc 2030. gada 27. jūnija, pakalpojuma sniedzējs nodrošina līguma atbilstību piekļūstamības prasībām un, izvērtējot faktiskos apstākļus, sniedz pakalpojuma lietotājam šajā likumā noteikto piekļūstamības informāciju saistībā ar attiecīgo līgumu vai vienojas par līguma teksta pielāgošanu piekļūstamības prasībām.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Likumprojekta anotācija papildināta ar attiecīgo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- 28.06.2022.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kompetentajai iestādei ir pienākums, atbilstoši Iesniegumu likumam, sniegt rakstisku atbildi patērētājam vai pasažierim, informējot par veiktajiem vai plānotajiem pasākumiem attiecībā uz iesniegumā minētajiem apstākļiem (likumprojekta 23.panta 1.daļa).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kompetentajai iestādei ir pienākums, atbilstoši normatīvajos aktos noteiktajam, sniegt rakstisku atbildi patērētājam vai pasažierim, informējot par veiktajiem vai plānotajiem pasākumiem attiecībā uz iesniegumā minētajiem apstākļiem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"Preču un pakalpojumu piekļūstamības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Finanšu ministrijas izstrādātajiem likumprojektiem "Grozījumi Publisko iepirkumu likumā" (22-TA-42) un "Grozījumi Sabiedrisko pakalpojumu sniedzēju iepirkumu likumā" (22-TA-70) tiek pārņemtas Direktīvas 2019/882 24.panta 1.punkta prasības un attiecīgi minētie likumprojekti iesniedzami izskatīšanai Saeimā vienlaikus ar likumprojektu "Preču un pakalpojumu piekļūstamības likums", lūdzam attiecīgi precizēt MK sēdes protokollēmuma projektu, paredzot, ka likumprojekts "Preču un pakalpojumu piekļūstamības likums" iesniedzams un izskatāms Saeimā vienlaikus ar abiem minētajiem publisko iepirkumu jomas likumprojektiem (kā paketes likumprojekti).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"Preču un pakalpojumu piekļūstamības likums"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21-TA-1599</w:t>
    </w:r>
    <w:r>
      <w:br/>
    </w:r>
    <w:r w:rsidR="00000000" w:rsidRPr="00000000" w:rsidDel="00000000">
      <w:rPr>
        <w:rtl w:val="0"/>
      </w:rPr>
      <w:t xml:space="preserve">30.06.2022. 10.55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21-TA-1599</w:t>
    </w:r>
    <w:r>
      <w:br/>
    </w:r>
    <w:r w:rsidR="00000000" w:rsidRPr="00000000" w:rsidDel="00000000">
      <w:rPr>
        <w:rtl w:val="0"/>
      </w:rPr>
      <w:t xml:space="preserve">30.06.2022. 10.55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Izziņa_21-TA-1599.docx</dc:title>
</cp:coreProperties>
</file>

<file path=docProps/custom.xml><?xml version="1.0" encoding="utf-8"?>
<Properties xmlns="http://schemas.openxmlformats.org/officeDocument/2006/custom-properties" xmlns:vt="http://schemas.openxmlformats.org/officeDocument/2006/docPropsVTypes"/>
</file>