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iekļauta pietiekama un pamatota analīze no potenciālo projektu iesniedzēju puses par interesi, gatavību un pieprasījumu 4.3.1.specifiskā atbalsta mēķa "Veicināt energoefektivitāti un vietējo AER izmantošanu centralizētajā siltumapgādē" (turpmāk - 4.3.1.SAM) jaunas atlases īstenošanai.  Ņemot vērā projektam paredzēto Kohēzijas fonda izmaksu ierobežojumu, atlasē iespējami vismaz trīs projekti, taču no šobrīd pieejamās informācijas nav skaidrs, vai projektu iesniedzējiem ir interese, kapacitāte un gatavība īstenot projektus 4.3.1.SAM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gatavības pakāpe gan no finansiālā aspekta, gan no tehniskā, gan arī no administratīvā ir būtisks priekšnosacījums efektīvai un kvalitatīvai projektu atlasei un vēlāk jo īpaši ieviešanai, t.sk. ņemot vērā arī minimālo termiņu 4.3.1.SAM 3.atlases kārtas īstenošanai, lūdzam sniegt detalizētāku informāciju un izvērstu analīzi par interesentu skaitu un gatavības pakāpi, pamatojot, ka tā ir “augsta”, tādējādi paskaidrojot 4.3.1.SAM 3.atlases kārtas aktualitāti un nepieciešamību tirgum, nevis, piemēram, kādam konkrētam tirgus spēlētājam. Vēršam uzmanību, ka šobrīd plānotais  4.3.1.SAM 3.atlases kārtas formāts – atklāta projektu iesniegumu atlase –  paredz caurspīdīguma un vienlīdzības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papaildināta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4.3.1.specifiskā atbalsta mērķa “Veicināt energoefektivitāti un vietējo AER izmantošanu centralizētajā siltumapgādē” (turpmāk – 4.3.1.SAM) 3.kārtas nacionālo līdzfinansējumu, ņemot vērā, ka 3.kārtas un 2.kārtas finansējuma kopsumma nav atbilstoša kopējam 4.3.1.SAM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11.punktu, palielinot rādītājus atbilstoši finansējuma palielinājuma, kā arī  izdalīt atsevišķi darbības programmas "Izaugsme un nodarbinātība" 4.3.1.specifiskā atbalsta mērķa "Veicināt energoefektivitāti un vietējo AER izmantošanu centralizētajā siltumapgādē 3.atlases kārtas sasniedzamos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tiks pievienots protokollēmums, kurā skaidri nofiksētas attiecīgās finansējuma pārdales un rādītāju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kopējais finansējums darbības programmas "Izaugsme un nodarbinātība" 4.3.1.specifiskā atbalsta mērķa "Veicināt energoefektivitāti un vietējo AER izmantošanu centralizētajā siltumapgādē" īstenošanai tiek palielināts par 29 589 033 euro (Kohēzijas fonda finansējums  11 835 613 euro un privātais finansējums 17 753 420 euro), nepieciešams aizpildīt anotācijas 3.sadaļu, norādot 2022.gadam un turpmākajiem gadiem paredzēto Kohēzijas fonda finansējumu, kā arī palielinātā finansējuma apmēru konkrētajos gados, vienlaikus pie citas informācijas norādot kā tiks nodrošināts finansējuma palielinājums.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 Problēmas apraksts" lūdzam precizēt norādīto 4.1.1. un 4.3.1. SAM neapgūto finansējumu, vai arī sniegt skaidrojumu, ņemot vērā, ka atbilstoši KPVIS datiem uz 07.02.2022., 4.1.1. SAM KF atlikums ir 3 427 597.91  EUR, savukārt, 4.3.1.SAM KF atlikums ir 1 572 876.94 EUR, t.sk. virssaistību kompensēšanai novirzāmais finansējums. Lūdzam veikt attiecīgus precizējumus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 Risinājuma apraksts" lūdzam dzēst sekojošu teikumu, jo tā dublējas ar “Problēmas aprakstā” norādīto: "Kā arī Ekonomikas ministrija uzskata, ņemot vērā, ka visas iepriekš minētās atlases kārtas ir noslēgušās un jaunas atlases kārtas šajās programmās netiek plānotas, nav lietderīgi veikt rādītāju un finansējumu grozījumus visos Ministra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norādītajām Eiropas Savienības regulām. Ņemot vērā minēto, Tieslietu ministrija varēs sniegt precīzu izvērtējumu par noteikumu projekta atbilstību Eiropas Savienības regulām pēc anotācijas precizēšanas, aizpildot anotācijas V sadaļu, jo īpaši tās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ir attiecināmi ne tikai uz jauno trešo kārtu, bet tie aptver arī projekta otro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projekta anotācijā skaidrot, kā projektā paredzētie grozījumi ietekmēs personas, kuras jau ir saņēmušas atbalstu (vai minētajām personām pasliktināsies tiesiski iegūtais stāvoklis), tai skaitā, vai atbalstu saņēmušās personas ir informētas par iespējamiem grozījumiem un tās brīvprātīgi piekritušas tiem. Ja grozījumi negatīvi un bez būtiska pamatojuma ietekmēs personu jau iegūtās tiesības, Tieslietu ministrija nevar atbalstīt projekta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8.1.6. sadaļu par grozījumu horizontālo ietekmi uz vidi un klimatneitralitāti, tai skaitā iekļaujot informāciju par 4.3.1.SAM 3.kārtai piemērojamajiem HP IA projektu iesniegumu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Nr.495 grozījumu mērķis ir papildināt ar projektu atlases 3.kārtu, jo ir neapgūts finansējuma apjoms, nav saprotams anotācijā norādītā informācija pie risinājuma apraksta, ka “..Ekonomikas ministrija uzskata, ņemot vērā, ka visas iepriekš minētās atlases kārtas ir noslēgušās un jaunas atlases kārtas šajās programmās netiek plānotas, nav lietderīgi veikt rādītāju un finansējumu grozījumus..”, un līdz ar to nav skaidrs 3.kārtas sniegtais devums 4.3.1.SAM mērķu un rādītāju sasniegšanā. VARAM kā atbildīgā institūcija ES fondu 2014.-2020.gada periodā par horizontālo prioritāti “Ilgtspējīga attīstība”  (turpmāk - HP IA) norāda, ka 4.3.1.SAM ir tieša pozitīva ietekme uz klimata pārmaiņu mērķu sasniegšanu ES fondu investīcijās, tādēļ lūdzam anotācijā skaidrot par iznākuma rādītāju sasniegšanu 3.kārtas ietvaros. Anotācijā ir iekļaujama informācija par HP IA kvalitātes kritēriju (zaļās darba vietas un zaļais iepirkums) piemērošanu 3.kārtas atlases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analīzi par risku izvērtējumu īstenot projektus līdz 2023.gada 31.decembrim, ņemot vērā projektu specifiku, sezonalitāti, kā arī vidējo 4.3.1.specifiskā atbalsta mērķa “Veicināt energoefektivitāti un vietējo AER izmantošanu centralizētajā siltumapgādē” (turpmāk - 4.3.1.SAM)  projektu īstenošanas termiņu. Vēršam uzmanību, ka ierobežots projekta maksimālā Kohēzijas fonda atbalsts negarantē, ka projekti tiks īstenoti līdz 2023.gada 31.decembrim. Papildus vēršam Ekonomikas ministrijas (turpmāk – EM)  uzmanību uz Finanšu ministrijas 2022.gada 13.janvāra vēstulē Nr.5.1-16/16/127 jau norādītajiem riskiem jaunas 4.3.1.SAM atlases īstenošanai, attiecīgi nepieciešams būtiski papildināt anotāciju pēc būtības, atbildot uz FM uzdotiem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sniegt EM analīzi un vērtējumu par ātrāku projektu īstenošanas iespēju ES fondu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ņemot vērā šī brīža ģeopolitiso situāciju ir maksimāli ātri jāsniedz atbalsts komersantiem, lai maksimāli nodrošinātu atteikšanos no gāzes. Šobrīd Ekonomikas ministrija izvērtē, ka abu iepriekšējo kārtu apguve ir ļoti laba un ātrākais risinājums kā sniegt atbalstu ir grozījumu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finansējuma sadalījumu starp intervenču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“Kā arī Ekonomikas ministrija uzskata, ņemot vērā, ka visas iepriekš minētās atlases kārtas ir noslēgušās un jaunas atlases kārtas šajās programmās netiek plānotas, nav lietderīgi veikt rādītāju un finansējumu grozījumus visos Ministra kabineta noteikumos.”. Ņemot vērā plānotās finansējuma pārdales, vēršam uzmanību, ka ir nepieciešams veikt grozījumus saistītajos MK noteikumos par 4.1.1.specifiskā atbalsta mērķa "Veicināt efektīvu energoresursu izmantošanu, enerģijas patēriņa samazināšanu un pāreju uz AER apstrādes rūpniecības nozarē" un 4.3.1.specifiskā atbalsta mērķa “Veicināt energoefektivitāti un vietējo AER izmantošanu centralizētajā siltumapgādē”  īstenošanu, attiecīgi samazinot pieejamo finansējumu, vai, lai mazinātu administratīvo slogu, pievienot noteikumu projektam protokollēmumu, kurā skaidri nofiksētas attiecīgās finansējuma pārdales un rādītāju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Atlases kārtu kopējais attiecināmais finansējums ir ne mazāks kā 57 175 593 </w:t>
            </w:r>
            <w:r w:rsidR="00000000" w:rsidRPr="00000000" w:rsidDel="00000000">
              <w:rPr>
                <w:i w:val="1"/>
                <w:rtl w:val="0"/>
              </w:rPr>
              <w:t xml:space="preserve">euro</w:t>
            </w:r>
            <w:r w:rsidR="00000000" w:rsidRPr="00000000" w:rsidDel="00000000">
              <w:rPr>
                <w:rtl w:val="0"/>
              </w:rPr>
              <w:t xml:space="preserve">, tai skaitā Kohēzijas fonda finansējums –   22 870 237 </w:t>
            </w:r>
            <w:r w:rsidR="00000000" w:rsidRPr="00000000" w:rsidDel="00000000">
              <w:rPr>
                <w:i w:val="1"/>
                <w:rtl w:val="0"/>
              </w:rPr>
              <w:t xml:space="preserve">euro</w:t>
            </w:r>
            <w:r w:rsidR="00000000" w:rsidRPr="00000000" w:rsidDel="00000000">
              <w:rPr>
                <w:rtl w:val="0"/>
              </w:rPr>
              <w:t xml:space="preserve"> un privātais finansējums –   34 305 872 </w:t>
            </w:r>
            <w:r w:rsidR="00000000" w:rsidRPr="00000000" w:rsidDel="00000000">
              <w:rPr>
                <w:i w:val="1"/>
                <w:rtl w:val="0"/>
              </w:rPr>
              <w:t xml:space="preserve">euro</w:t>
            </w:r>
            <w:r w:rsidR="00000000" w:rsidRPr="00000000" w:rsidDel="00000000">
              <w:rPr>
                <w:rtl w:val="0"/>
              </w:rPr>
              <w:t xml:space="preserve">. Otrās atlases kārtas kopējais attiecināmais finansējums ir 27 586 560 </w:t>
            </w:r>
            <w:r w:rsidR="00000000" w:rsidRPr="00000000" w:rsidDel="00000000">
              <w:rPr>
                <w:i w:val="1"/>
                <w:rtl w:val="0"/>
              </w:rPr>
              <w:t xml:space="preserve">euro</w:t>
            </w:r>
            <w:r w:rsidR="00000000" w:rsidRPr="00000000" w:rsidDel="00000000">
              <w:rPr>
                <w:rtl w:val="0"/>
              </w:rPr>
              <w:t xml:space="preserve">, tai skaitā Kohēzijas fonda finansējums – 11 034 624 </w:t>
            </w:r>
            <w:r w:rsidR="00000000" w:rsidRPr="00000000" w:rsidDel="00000000">
              <w:rPr>
                <w:i w:val="1"/>
                <w:rtl w:val="0"/>
              </w:rPr>
              <w:t xml:space="preserve">euro</w:t>
            </w:r>
            <w:r w:rsidR="00000000" w:rsidRPr="00000000" w:rsidDel="00000000">
              <w:rPr>
                <w:rtl w:val="0"/>
              </w:rPr>
              <w:t xml:space="preserve"> un privātais finansējums – 16 551 936 </w:t>
            </w:r>
            <w:r w:rsidR="00000000" w:rsidRPr="00000000" w:rsidDel="00000000">
              <w:rPr>
                <w:i w:val="1"/>
                <w:rtl w:val="0"/>
              </w:rPr>
              <w:t xml:space="preserve">euro</w:t>
            </w:r>
            <w:r w:rsidR="00000000" w:rsidRPr="00000000" w:rsidDel="00000000">
              <w:rPr>
                <w:rtl w:val="0"/>
              </w:rPr>
              <w:t xml:space="preserve">, un trešās atlases kārtas kopējais attiecināmais finansējums ir 29 589 033 </w:t>
            </w:r>
            <w:r w:rsidR="00000000" w:rsidRPr="00000000" w:rsidDel="00000000">
              <w:rPr>
                <w:i w:val="1"/>
                <w:rtl w:val="0"/>
              </w:rPr>
              <w:t xml:space="preserve">euro</w:t>
            </w:r>
            <w:r w:rsidR="00000000" w:rsidRPr="00000000" w:rsidDel="00000000">
              <w:rPr>
                <w:rtl w:val="0"/>
              </w:rPr>
              <w:t xml:space="preserve">, tai skaitā Kohēzijas fonda finansējums – 11 835 613 </w:t>
            </w:r>
            <w:r w:rsidR="00000000" w:rsidRPr="00000000" w:rsidDel="00000000">
              <w:rPr>
                <w:i w:val="1"/>
                <w:rtl w:val="0"/>
              </w:rPr>
              <w:t xml:space="preserve">euro</w:t>
            </w:r>
            <w:r w:rsidR="00000000" w:rsidRPr="00000000" w:rsidDel="00000000">
              <w:rPr>
                <w:rtl w:val="0"/>
              </w:rPr>
              <w:t xml:space="preserve"> un privātais finansējums – 17 753 420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atbalsta programma (attiecībā uz atbalstu saskaņā ar Komisijas 2014.gada 17.jūnija Regulu (ES) Nr.651/2014, ar ko noteiktas atbalsta kategorijas atzīst par saderīgām ar iekšējo tirgu, piemērojot Līguma 107. un 108.pantu) paziņota Eiropas Komisijai ir līdz 2020.gada 31.decembrim, attiecīgi, pēc šī datuma komercdarbības atbalstu ar minēto regulu piešķirt nedrīkst, pretējā gadījumā atbalsts kvalificējams kā nelikumīgs. Vienlaikus, ar grozījumiem plānots būtiski palielināt programmas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plānots pagarināt atbalsta programmu, lai pieņemtu jaunus lēmumus par atbalsta piešķiršanu, kā arī palielināt arī programmas finansējumu, lūdzam anotāciju papildināt ar informāciju, ka 20 darba dienu laikā pēc grozījumu stāšanās spēkā Eiropas Komisijā tiks iesniegta kopsavilkuma informācija, izmantojot SANI2 sistēmu, kā arī iekļaut anotācijā skaidrojumu, ka/vai no 2021.gada 1.janvāra līdz grozījumu spēkā stāšanās brīdim nav pieņemti lēmumi par atbalsta piešķiršanu saskaņā ar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Atlases kārtu kopējais attiecināmais finansējums ir ne mazāks kā 199 203 911</w:t>
            </w:r>
            <w:r w:rsidR="00000000" w:rsidRPr="00000000" w:rsidDel="00000000">
              <w:rPr>
                <w:i w:val="1"/>
                <w:rtl w:val="0"/>
              </w:rPr>
              <w:t xml:space="preserve"> euro</w:t>
            </w:r>
            <w:r w:rsidR="00000000" w:rsidRPr="00000000" w:rsidDel="00000000">
              <w:rPr>
                <w:rtl w:val="0"/>
              </w:rPr>
              <w:t xml:space="preserve"> (tai skaitā virssaistību finansējumu – 56 550 000 </w:t>
            </w:r>
            <w:r w:rsidR="00000000" w:rsidRPr="00000000" w:rsidDel="00000000">
              <w:rPr>
                <w:i w:val="1"/>
                <w:rtl w:val="0"/>
              </w:rPr>
              <w:t xml:space="preserve">euro</w:t>
            </w:r>
            <w:r w:rsidR="00000000" w:rsidRPr="00000000" w:rsidDel="00000000">
              <w:rPr>
                <w:rtl w:val="0"/>
              </w:rPr>
              <w:t xml:space="preserve">), tai skaitā Kohēzijas fonda finansējums – 23 131 564 </w:t>
            </w:r>
            <w:r w:rsidR="00000000" w:rsidRPr="00000000" w:rsidDel="00000000">
              <w:rPr>
                <w:i w:val="1"/>
                <w:rtl w:val="0"/>
              </w:rPr>
              <w:t xml:space="preserve">euro</w:t>
            </w:r>
            <w:r w:rsidR="00000000" w:rsidRPr="00000000" w:rsidDel="00000000">
              <w:rPr>
                <w:rtl w:val="0"/>
              </w:rPr>
              <w:t xml:space="preserve"> un privātais finansējums – 119 522 347</w:t>
            </w:r>
            <w:r w:rsidR="00000000" w:rsidRPr="00000000" w:rsidDel="00000000">
              <w:rPr>
                <w:i w:val="1"/>
                <w:rtl w:val="0"/>
              </w:rPr>
              <w:t xml:space="preserve"> euro</w:t>
            </w:r>
            <w:r w:rsidR="00000000" w:rsidRPr="00000000" w:rsidDel="00000000">
              <w:rPr>
                <w:rtl w:val="0"/>
              </w:rPr>
              <w:t xml:space="preserve">. Otrās atlases kārtas kopējais attiecināmais finansējums ir 27 168 681 </w:t>
            </w:r>
            <w:r w:rsidR="00000000" w:rsidRPr="00000000" w:rsidDel="00000000">
              <w:rPr>
                <w:i w:val="1"/>
                <w:rtl w:val="0"/>
              </w:rPr>
              <w:t xml:space="preserve">euro</w:t>
            </w:r>
            <w:r w:rsidR="00000000" w:rsidRPr="00000000" w:rsidDel="00000000">
              <w:rPr>
                <w:rtl w:val="0"/>
              </w:rPr>
              <w:t xml:space="preserve">, tai skaitā Kohēzijas fonda finansējums – 10 867 472 </w:t>
            </w:r>
            <w:r w:rsidR="00000000" w:rsidRPr="00000000" w:rsidDel="00000000">
              <w:rPr>
                <w:i w:val="1"/>
                <w:rtl w:val="0"/>
              </w:rPr>
              <w:t xml:space="preserve">euro</w:t>
            </w:r>
            <w:r w:rsidR="00000000" w:rsidRPr="00000000" w:rsidDel="00000000">
              <w:rPr>
                <w:rtl w:val="0"/>
              </w:rPr>
              <w:t xml:space="preserve"> un privātais finansējums – 16 301 209 </w:t>
            </w:r>
            <w:r w:rsidR="00000000" w:rsidRPr="00000000" w:rsidDel="00000000">
              <w:rPr>
                <w:i w:val="1"/>
                <w:rtl w:val="0"/>
              </w:rPr>
              <w:t xml:space="preserve">euro</w:t>
            </w:r>
            <w:r w:rsidR="00000000" w:rsidRPr="00000000" w:rsidDel="00000000">
              <w:rPr>
                <w:rtl w:val="0"/>
              </w:rPr>
              <w:t xml:space="preserve">, un trešās atlases kārtas kopējais attiecināmais finansējums ir 172 035 230 </w:t>
            </w:r>
            <w:r w:rsidR="00000000" w:rsidRPr="00000000" w:rsidDel="00000000">
              <w:rPr>
                <w:i w:val="1"/>
                <w:rtl w:val="0"/>
              </w:rPr>
              <w:t xml:space="preserve">euro</w:t>
            </w:r>
            <w:r w:rsidR="00000000" w:rsidRPr="00000000" w:rsidDel="00000000">
              <w:rPr>
                <w:rtl w:val="0"/>
              </w:rPr>
              <w:t xml:space="preserve"> (tai skaitā virssaistību finansējumu – 56 550 000 </w:t>
            </w:r>
            <w:r w:rsidR="00000000" w:rsidRPr="00000000" w:rsidDel="00000000">
              <w:rPr>
                <w:i w:val="1"/>
                <w:rtl w:val="0"/>
              </w:rPr>
              <w:t xml:space="preserve">euro</w:t>
            </w:r>
            <w:r w:rsidR="00000000" w:rsidRPr="00000000" w:rsidDel="00000000">
              <w:rPr>
                <w:rtl w:val="0"/>
              </w:rPr>
              <w:t xml:space="preserve">), tai skaitā Kohēzijas fonda finansējums – 12 264 092 </w:t>
            </w:r>
            <w:r w:rsidR="00000000" w:rsidRPr="00000000" w:rsidDel="00000000">
              <w:rPr>
                <w:i w:val="1"/>
                <w:rtl w:val="0"/>
              </w:rPr>
              <w:t xml:space="preserve">euro</w:t>
            </w:r>
            <w:r w:rsidR="00000000" w:rsidRPr="00000000" w:rsidDel="00000000">
              <w:rPr>
                <w:rtl w:val="0"/>
              </w:rPr>
              <w:t xml:space="preserve"> un privātais finansējums – 103 221 138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tiek konstatēts Komisijas regulas Nr. 651/2014 prasību pārkāpums, finansējuma saņēmējam ir pienākums atmaksāt sadarbības iestādei visu projekta ietvaros saņemto nelikumīgo valsts atbalstu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MK noteikumu ietvaros tiek sniegts saskaņā ar Komisijas regulu Nr. 651/2014, un, ņemot vērā Komercdarbības atbalsta likuma IV un V daļā noteikto, ja tiek pārkāptas Komisijas regulas Nr. 651/2014 prasības nelikumīgs komercdarbības atbalsta ir atgūstams no līdzekļiem, kas brīvi no valsts atbalsta, lūdzam papildināt MK noteikumus ar punktu, kas paredz nelikumīga komercdarbības atbalsta atgūšanu,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tiek konstatēts Komisijas regulas Nr. 651/2014 prasību pārkāpums,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tehnisku iemeslu dēļ, izziņā nav iespējams pievienots precizēto 18.</w:t>
            </w:r>
            <w:r w:rsidR="00000000" w:rsidRPr="00000000" w:rsidDel="00000000">
              <w:rPr>
                <w:vertAlign w:val="superscript"/>
                <w:rtl w:val="0"/>
              </w:rPr>
              <w:t xml:space="preserve">1</w:t>
            </w:r>
            <w:r w:rsidR="00000000" w:rsidRPr="00000000" w:rsidDel="00000000">
              <w:rPr>
                <w:rtl w:val="0"/>
              </w:rPr>
              <w:t xml:space="preserve"> reakciju.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tiek konstatēts Komisijas regulas Nr. 1407/2013 prasību pārkāpums,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MKN ietvaros tiek sniegts saskaņā ar Komisijas regulu Nr. 1407/2013, un, ņemot vērā Komercdarbības atbalsta likuma IV un V daļā noteikto, ja tiek pārkāptas Komisijas regulas Nr. 1407/2013 prasības nelikumīgs komercdarbības atbalsta ir atgūstams no līdzekļiem, kas brīvi no valsts atbalsta, lūdzam papildināt MKN ar punktu, kas paredz nelikumīga komercdarbības atbalsta atgūšanu,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tiek konstatēts Komisijas regulas Nr. 1407/2013 prasību pārkāpums, finansējuma saņēmējam ir pienākums atmaksāt sadarbības iestādei visu projekta ietvaros saņemto de minimis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tiek konstatēts Komisijas regulas Nr. 1407/2013 prasību pārkāpums, finansējuma saņēmējam ir pienākums atmaksāt sadarbības iestādei visu projekta ietvaros saņemto de minimis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tiek konstatēts Komisijas lēmuma Nr. 2012/21/ES prasību pārkāpums šo noteikumu ietvaros īstenotā projektā, finansējuma saņēmējam ir pienākums atmaksāt sadarbības iestādei visu projekta ietvaros saņemto nelikumīgo valsts atbalstu kopā ar procentiem, kuru likmi publicē Eiropas Komisija saskaņā ar Komisijas regulas Nr. 794/2004 10. pantu, tiem pieskaitot 100 bāzes punktus, no dienas, kad valsts atbalsts tika izmaksāts valsts atbalsta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MK noteikumu ietvaros tiek sniegts saskaņā ar Komisijas lēmumu Nr. 2012/21/ES, un, ņemot vērā Komercdarbības atbalsta likuma IV un V daļā noteikto, ja tiek pārkāptas Komisijas lēmuma Nr. 2012/21/ES prasības nelikumīgs komercdarbības atbalsta ir atgūstams no līdzekļiem, kas brīvi no valsts atbalsta, lūdzam papildināt MK noteikumus ar punktu, kas paredz nelikumīga komercdarbības atbalsta atgūšanu,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tiek konstatēts Komisijas lēmuma Nr. 2012/21/ES prasību pārkāpums šo noteikumu ietvaros īstenotā projektā,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pārdalīts no 4.3.1.specifiskā atbalsta mērķa “Veicināt energoefektivitāti un vietējo AER izmantošanu centralizētajā siltumapgādē” 2.kārtas 417 879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tiek konstatēts Komisijas lēmuma Nr. 2012/21/ES prasību pārkāpums šo noteikumu ietvaros īstenotā projektā,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24.4.1.apakšpunktu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nepārsniedz 56 580 euro gadā, ja attiecināmās izmaksas ir virs pieciem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24.4.2.apakšpunktu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nepārsniedz 24 426 euro gadā, pieskaitot 0,64 % no attiecināmajām izmaksām, neieskaitot projekta vadības personāla izmaksas, ja attiecināmās izmaksas ir līdz pieciem miljoniem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 Problēmas apraksts" pēdējā rindkopā lūdzam precizēt terminu no “nepieciešamais” uz “pieejamais”. Ņemot vērā, ka atlases formāts ir APIA, tad projektu iesniedzēju loks ir indikatīvs.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labots termins šeit, aicinājums labot arī zemāk 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pirmajā rindkopā norādīto informāciju, ņemot vērā, ka finansējums netiek pārdalīts no 4.3.1.specifiskā atbalsta mērķa “Veicināt energoefektivitāti un vietējo AER izmantošanu centralizētajā siltumapgādē” 2.kārtas.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4.3.1. specifiskā atbalsta mērķa “Veicināt energoefektivitāti un vietējo AER izmantošanu centralizētajā siltumapgādē” pirmā projektu iesniegumu atlases kārta ir noslēgusies un pēc apkopotās informācijas ir neapgūts finansējums 8 301 348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pārdalīts no 4.3.1.specifiskā atbalsta mērķa “Veicināt energoefektivitāti un vietējo AER izmantošanu centralizētajā siltumapgādē” 2.kārtas 417 879</w:t>
            </w:r>
            <w:r w:rsidR="00000000" w:rsidRPr="00000000" w:rsidDel="00000000">
              <w:rPr>
                <w:i w:val="1"/>
                <w:rtl w:val="0"/>
              </w:rPr>
              <w:t xml:space="preserve"> 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projektu, nosakot projekta iesniedzējam pienākumu iesniegt izmaksu ieguvumu analīzi (turpmāk – IIA), aizstājot līdzšinējo tehniski ekonomisko pamatojumu, kas neparedz tik izvērstu un detalizētu analīzi. Pienākumu nodrošināt šī dokumenta iesniegšanu lūdzam paredzēt piemēram, pie noteikumu projekta II sadaļas “Projekta iesniedzējam un projekta iesniegumam noteiktās prasības” t.sk. precizējot 15.punktu, kas nosaka prasības attiecībā uz finanšu aprēķiniem “15. Finanšu aprēķinus projekta iesniegumā veic, pamatojoties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īstenošanas pēdējā gada beigās projekta ietvaros izveidoto objektu nodod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projekta ietvaros izdevumus un ienākumus norāda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finanšu aprēķinos piemēro reālo finansiālo diskonta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norādītā informācija atbilst plānotajam siltumenerģijas tarifam atbilstoši normatīvajiem aktiem enerģētikas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IIA nodrošinās un sniegs pierādījumus ES fondu investīciju nepieciešamībai caur detalizētāku un pārskatāmāku pierādījumu apjomu (naudas plūsmu aprēķiniem, pamatojumiem), kā arī precīzāk un strukturētāk būs novērtējams vai un cik nepieciešams līdzfinansējums, kas līdz šim bija salīdzinoši komplicētāks process. Vienlaikus vēršam uzmanību un skaidrojam, ka šis nav uzskatāms par būtisku izmaiņu salīdzinoši ar iepriekšējām kārtām, bet gan ir vērtējams kā skaidrāks, koncentrētāks un pamatotāks risinājums kā pierādīt investīciju lietderību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lielākā daļa projektu kuri tiks iesniegti jau dokumentācija ir izstrādes stadijā vai tuvu gala stadijai, lai nepārstrādātu izstrādāto dokumentāciju un nepaildzinātu iesnigšanas laiku, priekšlikums šobrīd netiek ņemts vērā, bet šo punktu ņemsim vērā iztrādājot noteikumu projektu jaunajā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24.6.3. būvlaukuma teritorijas sakārtošanas izmaksas pēc būvdarbu pabeigšanas, ja tas nepieciešams centralizētās siltumapgādes ražošanas avota, siltumenerģijas akumulācijas iekārtas un pārvades un sadales sistēmas rekonstrukcijai un būvniecībai;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MK noteikumos vai anotācijā būtu nepieciešamas precizēt, ka būvlaukuma teritorijas sakārtošanas izmaksas pēc būvdarbu pabeigšanas ir attiecināmas, ja tās ir tieši saistītas ar centralizētās siltumapgādes ražošanas avota, siltumenerģijas akumulācijas iekārtas un pārvades un sadales sistēmas rekonstrukciju un būvniecību un ja bez šo darbu veikšanas nav iespējams uzsākt objekta darbību un nodot objektu ekspluatācijā, ko arī apliecina neatkarīga, sertificēta 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precizējums nepieciešams, lai izvairītos no situācijām, centieniem projekta ietvaros attiecināt citas tieši neattiecināmas izmaksas, piem., pievadceļu, administrācijai paredzēto stāvlaukumu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24.6.3. būvlaukuma teritorijas sakārtošanas izmaksas pēc būvdarbu pabeigšanas, ja tas ir tieši nepieciešams centralizētās siltumapgādes ražošanas avota, siltumenerģijas akumulācijas iekārtas un pārvades un sadales sistēmas rekonstrukcijai, būvniecībai un nodošanai objektu ekspluatācijā;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Specifiskā atbalsta un atlases kārtu ietvaros tiek atbalstīti tādi pasākumi, kuri ir tieši saistīti ar projekta ietvaros veiktajām darbībām, ir samērīgi un pamatoti.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praksi kontekstā ar Revīzijas iestādes norādēm attiecībā uz interešu konflikta jautājumu kontroles pastiprināšanas nepieciešamību, lūdzam papildināt 33.punktu ar palīgteikumu, ka: “Specifiskā atbalsta un atlases kārtu ietvaros tiek atbalstīti tādi pasākumi, kuri ir tieši saistīti ar projekta ietvaros veiktajām darbībām, ir samērīgi un pamatoti, kā arī to īstenošana nodrošināta ievērojot Finanšu regulas 61.pantā definēto attiecībā uz interešu konfliktu.".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Specifiskā atbalsta un atlases kārtu ietvaros tiek atbalstīti tādi pasākumi, kuri ir tieši saistīti ar projekta ietvaros veiktajām darbībām, ir samērīgi un pamatoti, kā arī to īstenošana nodrošināta ievērojot Finanšu regulas 61.pantā definēto attiecībā uz interešu konfliktu.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Otrās atlases kārtas ietvaros projektu īsteno no dienas, kad noslēgts līgums par projekta īstenošanu, trešās atlases kārtas ietvaros projektu īsteno no pieteikuma iesniegšanas dienas, bet ne ilgāk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35.punktā norādīto, ka 4.3.1.pecifiskā atbalsta mērķa “Veicināt energoefektivitāti un vietējo AER izmantošanu centralizētajā siltumapgādē” 2.kārtas īstenošanas termiņa uzskaite sākas atbilstoši MK 2017. gada 22.augusta noteikumos Nr.495 “Darbības programmas “Izaugsme un nodarbinātība” 4.3.1.specifiskā atbalsta mērķa “Veicināt energoefektivitāti un vietējo AER izmantošanu centralizētajā siltumapgādē” otrās projektu iesniegumu atlases kārtas īstenošanas noteikumi” (turpmāk – MK noteikumi Nr.495) 29., 30., un 31.puntkā noteiktajam, ņemot vērā, ka pēc būtības jau šī brīža MK noteikumu Nr.495 redakcija paredz opciju aktivitātes uzsākt pēc projekta iesnieguma iesniegšanas brīža/dienas vai pat ātrāk. Attiecīgi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Otrās atlases kārtas ietvaros projektu īsteno no dienas, kad noslēgts līgums par projekta īstenošanu, trešās atlases kārtas ietvaros projektu īsteno no pieteikuma iesniegšanas dienas, bet ne ilgāk kā līdz 2023.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22-TA-267</w:t>
    </w:r>
    <w:r>
      <w:br/>
    </w:r>
    <w:r w:rsidR="00000000" w:rsidRPr="00000000" w:rsidDel="00000000">
      <w:rPr>
        <w:rtl w:val="0"/>
      </w:rPr>
      <w:t xml:space="preserve">08.03.2022. 12.33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22-TA-267</w:t>
    </w:r>
    <w:r>
      <w:br/>
    </w:r>
    <w:r w:rsidR="00000000" w:rsidRPr="00000000" w:rsidDel="00000000">
      <w:rPr>
        <w:rtl w:val="0"/>
      </w:rPr>
      <w:t xml:space="preserve">08.03.2022. 12.33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Izziņa_22-TA-267.docx</dc:title>
</cp:coreProperties>
</file>

<file path=docProps/custom.xml><?xml version="1.0" encoding="utf-8"?>
<Properties xmlns="http://schemas.openxmlformats.org/officeDocument/2006/custom-properties" xmlns:vt="http://schemas.openxmlformats.org/officeDocument/2006/docPropsVTypes"/>
</file>