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17. jūlija noteikumos Nr. 429 "Noteikumi par transportlīdzekļu sastāvdaļām un materiāliem, kuri drīkst saturēt svinu, dzīvsudrabu, kadmiju vai sešvērtīgā hroma savienojumus"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anotācijas 1.3. apakšpunktā norāda būtiskāko informāciju par problēmas analīzi. Sadaļā “Problēma” apraksta problēmu, savukārt sadaļā “Risinājums“ ieraksta attiecīgās problēmas risinājumu, kas paredzēts projektā. Identificējot vairākas problēmas, katru problēmu un tās risinājumu norāda atsevišķos laukos.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 ka saskaņā ar projektu ir plānoti ne tikai anotācijā jau skaidrotie grozījumi Ministru kabineta 2018. gada 17. jūlija noteikumu Nr. 429 “Noteikumi par transportlīdzekļu sastāvdaļām un materiāliem, kuri drīkst saturēt svinu, dzīvsudrabu, kadmiju vai sešvērtīgā hroma savienojumus” (turpmāk – noteikumi Nr. 429) pielikuma 1.5. un 2.2. apakšpunktos, bet arī pielikuma 3.3.1. apakšpunktā, dzēšot teksta daļu: "&lt; 75 W pastāvīgas ekspluatācijas apstākļos". Attiecīgi, lūdzam pilnībā atspoguļot anotācijas 1.3.apakšpunktā visas problēmas un to risinājumus (projektā ietvertos grozījumus), tādā veidā nodrošinot skaidru, konkrētu un nepārprotamu izprati par plānotajiem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1.3. apakšpunkta problēmas aprakstā skaidro problēmu, kuras risināšanai nepieciešama projekta izstrāde. Problēmas identificēšanai un raksturošanai pēc iespējas izmanto uz pierādījumiem balstītus faktus. Problēmas risinājuma sadaļā katrai identificētajai problēmai piedāvā savu risinājumu, atspoguļo praktiski plānotos risinājumus problēmas novēršanai, raksturojot projekta grozījumus (tos tieši nepārrakstot).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anotācijā ietvertā problēmas apraksta un risinājuma apraksta izriet tikai vispārīga problēma, kas sasitīta ar plānotajiem grozījumiem Ministru kabineta 2018. gada 17. jūlija noteikumos Nr. 429 “Noteikumi par transportlīdzekļu sastāvdaļām un materiāliem, kuri drīkst saturēt svinu, dzīvsudrabu, kadmiju vai sešvērtīgā hroma savienojumus” (turpmāk – noteikumi Nr. 429) pielikuma 2.2. apakšpunktā, nav skaidroti visi plānotie grozījumi noteikumu Nr.429 pielikumā un projekta 1. punkts. Arī pašreizējās situācijas aprakstā nav pilnībā atspoguļota situācija par visiem, grozījumos ietvertajiem noteikumu Nr.429 punktiem, piemēram, pielikuma 3.3.1. apakšpunkts. Attiecīgi, lūdzam pilnībā atspoguļot anotācijas 1.3.apakšpunktā visus projektā ietvertos grozījumus, tādā veidā nodrošinot skaidru, konkrētu un nepārprotamu izprati par plānotajiem grozījumiem un to nepieciešamības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papildināts, norādīti plānotie grozījumi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apakšpunkta 1. tabulā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katru attiecīgā Eiropas Savienības tiesību akta pantu, daļu, punktu, apakšpunktu, kas jāpārņem vai jāievieš nacionālajā tiesību sistēmā (A aile),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katru projekta pantu, daļu, punktu, apakšpunktu, ar kuru tiks pārņemts vai ieviests Eiropas Savienības tiesību akta pants, daļa, punkts vai apakšpunkts, vai norāda vispārīgu atsauci uz tiesību aktu, kurā ir vai tiks pārņemtas norādītās Eiropas Savienības tiesību akta vienības (B aile)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attiecīgo Eiropas Savienības tiesību aktu normas projektā tiek pārņemtas vai ieviestas pilnībā vai daļēji (C aile). Daļējas pārņemšanas/ ieviešanas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norāda, kad un kādā veidā tiks nodrošināta minēto saistību izpilde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norāda institūciju, kura ir atbildīga par šo saistību izpildi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norāda, vai attiecīgais projekta pants, daļa, punkts, apakšpunkts (kas norādīts B ailē) paredz stingrākas prasības, nekā paredzēts attiecīgajā Eiropas Savienības tiesību akta pantā, daļā, punktā, apakšpunktā (D aile).Ja projekts paredz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attiecīgu skaidrojumu par šādu prasību nepieciešamību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norāda iespējamās alternatīvas (t. sk. alternatīvas, kas neparedz tiesiskā regulējuma izstrādi), kādos gadījumos būtu iespējams izvairīties no stingrāku prasību noteikšanas, nekā paredzēts attiecīgajos ES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atkārtoti vēršam uzmanību, ka anotācijas 5.4. apakšpunkta 1. tabulā, nolūkā nodrošināt pilnībā skaidru un nepārprotamu informāciju par Latvijas starptautisko saistību izpildi,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pilnībā atspoguļot visas Direktīvas 2023/544 ieviešamās tiesību normas, piemēram, Direktīvas 2023/544 2. panta pirmais punkts pārņemts projekta 1. punktā. Jānodrošina, ka, atbilstoši augstāk sniegtajam skaidrojumam, ir nepārprotami saprotams kā pilnībā tiek nodrošināta Direktīvas 2023/544 ieviešana, pašlaik anotācijas 5.4. apakšpunktā atspoguļota tikai daļa Direktīvas 2023/544.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"A" ailē norādītās Direktīvas 2023/544 vienības, jo, piemēram, Direktīvā 2023/544 ir "pielikuma 2.c i) punkts" nevis vienkārši "2.c i)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5.3. apakšpunktā, analizējot tiesību akta projekta atbilstība Latvijas Republikas starptautiskajām saistībām, pie citas informācijas ietverta vispārīga norāde, ka ar noteikumiem Nr.429, bez Direktīvas 2023/544, ieviesta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2000. gada 18. septembra Direktīva 2000/53/EK par nolietotiem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Komisijas 2017. gada 15. novembra Direktīva 2017/2096/ES, ar ko groza II pielikuma Eiropas Parlamenta un Padomes Direktīvā 2000/53/EK par nolietotiem transportlīdzekļiem (turpmāk - Direktīva 2017/2096).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konkrēti skaidrots kā nodrošināta uzskaitīto tiesību aktu ieviešana. Piemēram, atbilstoši projektam tiek plānoti grozījumi Noteikumu Nr.429 pielikuma 3.3.1. apakšpunktā, atbilstoši noteikumu Nr. 429 anotācijai ar pielikuma 3.3. apakšpunktu ieviests Direktīvas 2017/2096  pielikuma 14. punkts, bet ar noteikumu Nr.429 pielikuma 1.5. punktu Direktīvas 2017/2096 pielikuma 2.c “i” punkts, kas projektā netiek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kāpēc uzskaitīti tikai konkrētie tiesību akti, jo atbilstoši noteikumu Nr. 429 un Ministru kabineta 2020. gada 5. maija noteikumu Nr. 265 "Grozījumi Ministru kabineta 2018. gada 17. jūlija noteikumos Nr. 429 “Noteikumi par transportlīdzekļu sastāvdaļām un materiāliem, kuri drīkst saturēt svinu, dzīvsudrabu, kadmiju vai sešvērtīgā hroma savienojumus”” (turpmāk - noteikumi Nr.265) anotācijām noteikumos Nr.429 ir ieviesta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2019. gada 17. decembra deleģētā Direktīva 2020/363, ar ko groza II pielikumu Eiropas Parlamenta un Padomes Direktīvā 2000/53/EK par nolietotiem transportlīdzekļiem prasības attiecībā uz dažiem atbrīvojumiem svina un svina savienojumu izmantošanai detaļās;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Komisijas 2019. gada 17. decembra deleģētā Direktīva 2020/362, ar ko groza II pielikumu Eiropas Parlamenta un Padomes Direktīvā 2000/53/EK par nolietotiem transportlīdzekļiem prasības attiecībā uz atbrīvojumu sešvērtīgā hroma kā pretkorozijas līdzekļa izmantošanai dzīvojamo autofurgonu absorbcijas ledusskapju dzesēšanas sistēmās no oglekļa tērauda, kuras pielikuma 14. punkts, atbilstoši noteikumu Nr.265 anotācijai, ieviests noteikumu Nr.429 3.3.apakšpunktā.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iesakām pārskatīt norādīto informāciju par tiesību akta projekta atbilstība Latvijas Republikas starptautiskajām saistībām un veikt nepieciešamos precizējumus, nolūkā nodrošināt korektu Latvijas starptautisko saistību izpildi un nodrošināt pilnvērtīgas informācijas pieejamību. Nepieciešamības gadījumā iesakām anotācijas 5.4. apakšpunkta 1. tabulā pie citas informācijas norādīt, ko konkrēti paredz sagatavotie grozījumi. Uzsverot, ka citi grozījumi noteikumos Nr.429 vai tā pielikumos nav izdarīti un iepriekš noteikumos Nr.429 ieviestās, no starptautiskajiem tiesību aktiem izrietošās, prasības netiek ietekmētas vai 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veiktas izmaiņas  pie izstrādes pamatojuma norādot ES dokuments. Tādejādi ir izņemts apraksts ārā no cita informācija, kas bija 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5.4. apakšpunkta 1. tabulas "A" kolonnā norādāma konkrēta informācija par katru Eiropas Savienības tiesību akta pantu, daļu, punktu, apakšpunktu, kas jāpārņem vai jāievieš nacionālajā tiesību sistēmā. Pašreizējā anotācijas redakcijā tiek norādīta tikai vispārīga atsauce uz Direktīvu 2023/544, no kā nav skaidrs vai, kā un kur ir ieviesta katra Direktīvas 2023/544 tiesību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nolūkā nodrošināt pilnībā skaidru un nepārprotamu informāciju par Latvijas starptautisko saistību izpildi Direktīvas 2023/544 tiesību normas ieviešanas procesā, lūdzam papildināt anotācijas 5.4. apakšpunkta 1. tabulu korekti atspoguļojot Direktīvas 2023/544 tiesību normu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5.4.1 tabulā norādīti punkti, kuros tiek veikti grozījumi.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apakšpunktā kā projekta pamatojums norādīts </w:t>
            </w:r>
            <w:r w:rsidR="00000000" w:rsidRPr="00000000" w:rsidDel="00000000">
              <w:rPr>
                <w:i w:val="1"/>
                <w:rtl w:val="0"/>
              </w:rPr>
              <w:t xml:space="preserve">"Veikts pētījums / aptauja starptautiski (piemēram, OECD, Eiropas Komisijas vai citu starptautisku organizāciju) veiktie pētījumi"</w:t>
            </w:r>
            <w:r w:rsidR="00000000" w:rsidRPr="00000000" w:rsidDel="00000000">
              <w:rPr>
                <w:rtl w:val="0"/>
              </w:rPr>
              <w:t xml:space="preserve">, savukārt āttiecīgā apakšpunkta aprakstā un pārējā anotācijas tekstā nav norādes vai skaidrojumu par pamatojumā minēto pētījumu. No citās anotācijas sadaļās norādītās informācijas secināms, ka projekts izstrādāts, lai pārņemtu atsevišķas Direktīvas 2023/544 tiesību normas, kas šķietami varētu būt grozījumu pamatojums. Attiecīgi, lūdzam pārskatīt anotācijā norādīto informāciju un veikt nepieciešamos precizējumus, norādot korektu grozījumu izstrādes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skaidrojot projekta pamatojumu, anotācijas 1.1. apakšpunktā, ietverta ne tikai informācija par projekta pamatojumu, bet arī informācija, kas šķietami skaidrojama anotācijas 1.3. apakšpunktā. Attiecīgi lūdzam pārskatīt anotācijas 1.1. apakšpunktā ietverto informāciju un veikt nepieciešamās darbības, lai nodrošinātu korektu projekta skaidrojumu un tā 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1.1. izstrādes pamatojums norādīts ES dokuments.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tostarp attiecas, piemēram, uz saīsinājumu "Direktīva 2023/544/ES" un "Direktīvu 2023/544/ES, ar ko groza II pielikumu Eiropas Parlamenta un Padomes Direktīvu 2000/53/EK par nolietotiem transportlīdzekļiem prasības attiecībā uz atbrīvojumiem svina izmantošanai alumīnija sakausējumos mehāniskai apstrādei, vara sakausējumos un dažās akumulatoru baterijās".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noteikumu Nr. 108 „Normatīvo aktu projektu sagatavošanas noteikumi” 168. punktam. Atsaucē uz Eiropas Savienības tiesību aktu norādot šādu informāciju: direktīvas izdevējinstitūcija (Komisija, Padome, Eiropas Parlaments); direktīvas pieņemšanas datums; vārds "direktīva"; direktīvas numurs un nosaukums. Piemēram, Komisijas 2022. gada 16. decembra Deleģētā direktīva (ES) 2023/544, ar ko Eiropas Parlamenta un Padomes Direktīvu 2000/53/EK groza attiecībā uz atbrīvojumiem svina izmantošanai alumīnija sakausējumos mehāniskai apstrādei, vara sakausējumos un dažās akumulatoru baterijās.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iesakām pārbaudīt norādes uz Eiropas Savienības tiesību aktiem, nodrošinot, ka tie tiek pierakstīti atbilstoši juridiskās tehnikas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apakšpunkta risinājuma aprakstā norādīts: "Kā arī transportlīdzekļi, kuru tips apstiprināts </w:t>
            </w:r>
            <w:r w:rsidR="00000000" w:rsidRPr="00000000" w:rsidDel="00000000">
              <w:rPr>
                <w:u w:val="single"/>
                <w:rtl w:val="0"/>
              </w:rPr>
              <w:t xml:space="preserve">pirms 2023. gada 1. janvāra</w:t>
            </w:r>
            <w:r w:rsidR="00000000" w:rsidRPr="00000000" w:rsidDel="00000000">
              <w:rPr>
                <w:rtl w:val="0"/>
              </w:rPr>
              <w:t xml:space="preserve"> un šiem transportlīdzekļiem paredzētās rezerves daļas", lai projekta pielikuma 2.2.2. apakšpunktā norādīts: "transportlīdzekļi, kuru tips apstiprināts </w:t>
            </w:r>
            <w:r w:rsidR="00000000" w:rsidRPr="00000000" w:rsidDel="00000000">
              <w:rPr>
                <w:u w:val="single"/>
                <w:rtl w:val="0"/>
              </w:rPr>
              <w:t xml:space="preserve">pirms 2024. gada 1. janvāra</w:t>
            </w:r>
            <w:r w:rsidR="00000000" w:rsidRPr="00000000" w:rsidDel="00000000">
              <w:rPr>
                <w:rtl w:val="0"/>
              </w:rPr>
              <w:t xml:space="preserve"> un šiem transportlīdzekļiem paredzētas rezerves daļas". Lūdzam pārbaudīt konkrēto informāciju un salāgot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salāgota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projekta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tostarp attiecas, piemēram, uz saīsinājumu "Eiropas Parlamenta un Padomes Regulas (ES) 2018/858". Lūdzam norādīt pilnu regulas nosaukumu un ievērot, ka atsauces uz Eiropas Savienības tiesību aktiem noformēt atbilstoši Ministru kabineta 2009. gada 3. februāra noteikumu Nr. 108 „Normatīvo aktu projektu sagatavošanas noteikumi” 171. punktam. Atsaucē uz Eiropas Savienības tiesību aktu norādot šādu informāciju: regulas izdevējinstitūcija (Komisija, Padome, Eiropas Parlaments); regulas pieņemšanas datums; vārds "regula"; regulas numurs un nosaukums. Tāpat lūdzam ievērot korektu regulas pierakstu arī projekta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tostarp attiecas uz nosaukumu: "Komisijas 2022. gada 16. decembra Deleģētā direktīva (ES) 2023/544, ar ko Eiropas Parlamenta un Padomes Direktīvu 2000/53/EK groza attiecībā uz atbrīvojumiem svina izmantošanai alumīnija sakausējumos mehāniskai apstrādei, vara sakausējumos un dažās akumulatoru baterijās", tā pieteikto saīsinājumu "Direktīva 2023/544/ES" un paralēli lietoto, nepieteikto saīsinājumu "Eiropas Parlamenta un Padomes Direktīva 2023/544/ES", nepieteikto saīsinājumu "OECD". Attiecīgi iesakām pārskatīt anotācijā lietotos saīsinājumus un nepieciešamības gadījumā lūdzam veikt nepieciešamos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 ailē norāda katru projekta pantu, daļu, punktu, apakšpunktu, ar kuru tiks pārņemts vai ieviests Eiropas Savienības tiesību akta pants, daļa, punkts vai apakšpunkts, vai norāda vispārīgu atsauci uz tiesību aktu, kurā ir vai tiks pārņemtas norādītās Eiropas Savienības tiesību akta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anotācijas 5.4. apakšpunkta 1. tabulas "A" kolonnas "Direktīvas 2023/544 2.panta 1.punkts" rindas "B" ailes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anotācijas 5.4. apakšpunkta 1. tabulas "A" kolonnas "Direktīvas 2023/544 pielikums (Direktīvas 2000/53/EK II pielikuma 2.punkta c i) apakšpunkts)" rindas "B" ailes formulējumu. Vēršam uzmanību, ka grozījumi pielikumā atbilst noteikumu projekta 2. punktam ((MK noteikumu Nr.429 pielikuma 1.5.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anotācijas 5.4. apakšpunkta 1. tabulas "A" kolonnas "Direktīvas 2023/544 pielikums (Direktīvas 2000/53/EK II pielikuma 5.punkta b i) apakšpunkts)" rindas "B" ailes formulējumu. Vēršam uzmanību, ka grozījumi pielikumā atbilst noteikumu projekta 2. punktam ((MK noteikumu Nr.429 pielikuma 2.2.1. apakšpunktam).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anotācijas 5.4. apakšpunkta 1. tabulas "A" kolonnas "Direktīvas 2023/544 pielikums (Direktīvas 2000/53/EK II pielikums 5.punkta b ii) apakšpunkts)" rindas "B" ailes formulējumu. Vēršam uzmanību, ka grozījumi pielikumā atbilst noteikumu projekta 2. punktam ((MK noteikumu Nr.429 pielikuma 2.2.2. apakšpunktam).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sadaļā "cita informācija" iesakām papildināt ar to, ka uzskaitītās normas nav jāpārņem, jo tajās, noteikta paziņošanas kārtība, spēkā stāšanās kārtība un adresāti.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5.4.1. tabulā.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plānotos grozījumus noteikumos Nr. 429 un to, ka ar pielikuma 3.3. apakšpunktu ieviests Eiropas Komisijas 2017. gada 15. novembra Direktīvas 2017/2096/ES, ar ko groza II pielikuma Eiropas Parlamenta un Padomes Direktīvā 2000/53/EK par nolietotiem transportlīdzekļiem (turpmāk - Direktīva 2017/2096) pielikuma 14. punkts, bet ar noteikumu Nr.429 pielikuma 1.5. punktu tajos ieviests arī Direktīvas 2017/2096 pielikuma 2.c “i” punkts, lūdzam izvērtēt, vai Direktīva 2017/2096 pielikuma 14. punkts nav attiecināms arī uz noteikumu Nr.429. 3.3. apakšpunktiem (projekts paredz grozījumus 3.3.1. apakšpunktā) un vai Direktīvas 2017/2096 pielikuma 2.c “i” punkts joprojām tiek ieviests ar noteikumu Nr.429 pielikuma 1.5.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iesakām pārskatīt norādīto informāciju par tiesību akta projekta atbilstība Latvijas Republikas starptautiskajām saistībām un veikt nepieciešamos precizējumus, nolūkā nodrošināt korektu Latvijas starptautisko saistību izpildi un nodrošināt pilnvērtīgas informācijas pieejamību. Piemēram, konstatējot, ka augstāk minētās Eiropas Savienības tiesību normas joprojām ir attiecināmas uz projektā grozījumiem pakļautajiem punktiem, iesakām papildināt anotācijas 5.4. apakšpunkta 1. tabulu, pie citas informācijas norādot, ko konkrēti paredz sagatavotie grozījumi. Uzsverot, ka citi grozījumi noteikumos Nr.429 vai tā pielikumos nav izdarīti un iepriekš noteikumos Nr.429 ieviestās, no starptautiskajiem tiesību aktiem izrietošās, prasības netiek ietekmētas vai nepārņemtas.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23-TA-158</w:t>
    </w:r>
    <w:r>
      <w:br/>
    </w:r>
    <w:r w:rsidR="00000000" w:rsidRPr="00000000" w:rsidDel="00000000">
      <w:rPr>
        <w:rtl w:val="0"/>
      </w:rPr>
      <w:t xml:space="preserve">26.05.2023. 11.51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23-TA-158</w:t>
    </w:r>
    <w:r>
      <w:br/>
    </w:r>
    <w:r w:rsidR="00000000" w:rsidRPr="00000000" w:rsidDel="00000000">
      <w:rPr>
        <w:rtl w:val="0"/>
      </w:rPr>
      <w:t xml:space="preserve">26.05.2023. 11.51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Izziņa_23-TA-158.docx</dc:title>
</cp:coreProperties>
</file>

<file path=docProps/custom.xml><?xml version="1.0" encoding="utf-8"?>
<Properties xmlns="http://schemas.openxmlformats.org/officeDocument/2006/custom-properties" xmlns:vt="http://schemas.openxmlformats.org/officeDocument/2006/docPropsVTypes"/>
</file>