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24-TA-2494: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20. maija noteikumos Nr. 251 "Kārtība, kādā aitu sugas dzīvniekiem veic slimības </w:t>
      </w:r>
      <w:r w:rsidR="00000000" w:rsidRPr="00000000" w:rsidDel="00000000">
        <w:rPr>
          <w:i w:val="1"/>
          <w:rtl w:val="0"/>
        </w:rPr>
        <w:t xml:space="preserve">Maedi-Visna</w:t>
      </w:r>
      <w:r w:rsidR="00000000" w:rsidRPr="00000000" w:rsidDel="00000000">
        <w:rPr>
          <w:rtl w:val="0"/>
        </w:rPr>
        <w:t xml:space="preserve"> uzraudzību, kontroli un apkarošanu"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20. maija noteikumos Nr. 251 "Kārtība, kādā aitu sugas dzīvniekiem veic slimības </w:t>
            </w:r>
            <w:r w:rsidR="00000000" w:rsidRPr="00000000" w:rsidDel="00000000">
              <w:rPr>
                <w:i w:val="1"/>
                <w:rtl w:val="0"/>
              </w:rPr>
              <w:t xml:space="preserve">Maedi-Visna</w:t>
            </w:r>
            <w:r w:rsidR="00000000" w:rsidRPr="00000000" w:rsidDel="00000000">
              <w:rPr>
                <w:rtl w:val="0"/>
              </w:rPr>
              <w:t xml:space="preserve"> uzraudzību, kontroli un apkarošanu"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1.9. un 1.11. apakšpunktos piedāvātajos grozījumos norādīto apakšpunktu numerāciju, lai tā nepārklājas ar numerāciju, kas jau norādīta noteikumu projekta 1.8. un 1.10.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1.7., 1.9., 1.11. apakšpunkti, izsakot jaunā redakcijā (papildinot noteikumus Nr. 251 ar 27.</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1 </w:t>
            </w:r>
            <w:r w:rsidR="00000000" w:rsidRPr="00000000" w:rsidDel="00000000">
              <w:rPr>
                <w:rtl w:val="0"/>
              </w:rPr>
              <w:t xml:space="preserve">un 33.</w:t>
            </w:r>
            <w:r w:rsidR="00000000" w:rsidRPr="00000000" w:rsidDel="00000000">
              <w:rPr>
                <w:vertAlign w:val="superscript"/>
                <w:rtl w:val="0"/>
              </w:rPr>
              <w:t xml:space="preserve">1</w:t>
            </w:r>
            <w:r w:rsidR="00000000" w:rsidRPr="00000000" w:rsidDel="00000000">
              <w:rPr>
                <w:rtl w:val="0"/>
              </w:rPr>
              <w:t xml:space="preserve"> punktu) un norādot, ar kādu vienību noteikumi tiek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20. maija noteikumos Nr. 251 "Kārtība, kādā aitu sugas dzīvniekiem veic slimības </w:t>
            </w:r>
            <w:r w:rsidR="00000000" w:rsidRPr="00000000" w:rsidDel="00000000">
              <w:rPr>
                <w:i w:val="1"/>
                <w:rtl w:val="0"/>
              </w:rPr>
              <w:t xml:space="preserve">Maedi-Visna</w:t>
            </w:r>
            <w:r w:rsidR="00000000" w:rsidRPr="00000000" w:rsidDel="00000000">
              <w:rPr>
                <w:rtl w:val="0"/>
              </w:rPr>
              <w:t xml:space="preserve"> uzraudzību, kontroli un apkarošanu"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2015, 70. nr.; 2016, 159. 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1.7. apakšpunktu, korekti norādot, ar kādu vienību noteikumi tiek papildināti (27.2.3. vai 27.3. apakšpunktu). Kā arī lūdzam apvienot noteikumu projekta 1.6. apakšpunktu ar 1.7. apakšpunktu, 1.8. ar 1.9. apakšpunktu un 1.10. ar 1.11.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1.7., 1.9., 1.11. apakšpunkti, izsakot jaunā redakcijā (papildinot noteikumus Nr. 251 ar 27.</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1 </w:t>
            </w:r>
            <w:r w:rsidR="00000000" w:rsidRPr="00000000" w:rsidDel="00000000">
              <w:rPr>
                <w:rtl w:val="0"/>
              </w:rPr>
              <w:t xml:space="preserve">punktu) un norādot, ar kādu vienību noteikumi tiek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2014, 99. nr.; 2015, 70. nr.; 2016, 159. 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2015, 70. nr.; 2016, 159. 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dzīvnieku ievietošanai no dalībvalsts vai attiecīgi trešās valsts pastāv atšķirīgi nosacījumi (piem., Eiropas Parlamenta un Padomes 2016. gada 9. marta Regulas (ES) 2016/429 par pārnēsājamām dzīvnieku slimībām un ar ko groza un atceļ konkrētus aktus dzīvnieku veselības jomā ("Dzīvnieku veselības tiesību akts"), 229. pants attiecināms vienīgi uz dzīvnieku ievietošanu no trešajām valstīm un teritorijām, nevis no dalībvalstīm), lūdzam diferencēt un noteikumu projekta 1.6., 1.8. un 1.10. apakšpunktā precīzi norādīt, kādi normatīvie akti (un prasības) attiecināmi gadījumos, kad dzīvniekus ievieto no dalībvalstīm, un kādi -, kad dzīvniekus ievieto no trešajām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1.7., 1.9., 1.11. apakšpunkti (papildinot noteikumus Nr. 251 ar 27.</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1 </w:t>
            </w:r>
            <w:r w:rsidR="00000000" w:rsidRPr="00000000" w:rsidDel="00000000">
              <w:rPr>
                <w:rtl w:val="0"/>
              </w:rPr>
              <w:t xml:space="preserve">un 33.</w:t>
            </w:r>
            <w:r w:rsidR="00000000" w:rsidRPr="00000000" w:rsidDel="00000000">
              <w:rPr>
                <w:vertAlign w:val="superscript"/>
                <w:rtl w:val="0"/>
              </w:rPr>
              <w:t xml:space="preserve">1 </w:t>
            </w:r>
            <w:r w:rsidR="00000000" w:rsidRPr="00000000" w:rsidDel="00000000">
              <w:rPr>
                <w:rtl w:val="0"/>
              </w:rPr>
              <w:t xml:space="preserve">punktu), izsakot jaunā redakcijā un precīzi norādot, kādi normatīvie akti attiecināmi, kad dzīvniekus ievieto no dalībvalstīm un no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2014, 99. nr.; 2015, 70. nr.; 2016, 159. 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2015, 70. nr.; 2016, 159. 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noteikumu projekta 1.6., 1.8. un 1.10. apakšpunktu ar atsauci uz konkrētām Komisijas 2019. gada 17. decembra Deleģētā regulas (ES) 2020/688, ar ko attiecībā uz dzīvnieku veselības prasībām, kuras reglamentē sauszemes dzīvnieku un inkubējamu olu pārvietošanu Savienībā, papildina Eiropas Parlamenta un Padomes Regulu (ES) 2016/429 (turpmāk - regula Nr. 2020/688) un Komisijas 2020. gada 30. janvāra Deleģētās regulas (ES) 2020/692, ar ko attiecībā uz noteikumiem par noteiktu dzīvnieku, reproduktīvo produktu un dzīvnieku izcelsmes produktu sūtījumu ievešanu Savienībā, to pārvietošanu un rīkošanos ar tiem pēc ievešanas papildina Eiropas Parlamenta un Padomes Regulu (ES) 2016/429 (turpmāk - regula Nr. 2020/692), vienībām,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norādot 1.7, 1.9.  un 1.11. apakšpunktā (noteikumu Nr. 251 27.</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1</w:t>
            </w:r>
            <w:r w:rsidR="00000000" w:rsidRPr="00000000" w:rsidDel="00000000">
              <w:rPr>
                <w:rtl w:val="0"/>
              </w:rPr>
              <w:t xml:space="preserve"> punktā) atsauces uz konkrētām regulas 2016/429, regulas 2020/688 un regulas 2020/692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anotācijas 1.3. apakšsadaļā ietvertais skaidrojums un 5.4.1. tabulā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2014, 99. nr.; 2015, 70. nr.; 2016, 159. 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2015, 70. nr.; 2016, 159. 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regula Nr. 2020/688 un regula Nr. 2020/692, kuras tiek ieviestas ar noteikumu projekta 1.6., 1.8. un 1.10. apakšpunktu, vairākos gadījumos satur rīcības brīvību (piemēram, sk. regulas Nr. 2020/692 29. panta 1. un 2. punktu), lūdzam izvērtēt un papildināt noteikumu  projekta anotācijas 5.4. apakšsadaļu ar skaidrojumu, vai rīcības brīvība tikusi izmantota, kā tā tikusi izmantota, kā arī sniegt apsvērumus rīcības brīvības izmantošanai vai neizmantošanai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norādot 1.7, 1.9.  un 1.11. apakšpunktā (noteikumu Nr. 251 27.</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1</w:t>
            </w:r>
            <w:r w:rsidR="00000000" w:rsidRPr="00000000" w:rsidDel="00000000">
              <w:rPr>
                <w:rtl w:val="0"/>
              </w:rPr>
              <w:t xml:space="preserve"> punktā) atsauces uz konkrētām regulas 2016/429, regulas 2020/688 un regulas 2020/692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anotācijas 1.3. apakšsadaļā ietvertais skaidrojums un 5.4.1. tabulā informācija, norādot, ka attiecīgo regulu vienības neparedz rīcības brīvību dalībvalstij pārņemt vai ieviest dzīvnieku pārvietošanas prasības, kā arī regulu prasības ir tieši piemērojamas.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251 "Kārtība, kādā aitu sugas dzīvniekiem veic slimības </w:t>
            </w:r>
            <w:r w:rsidR="00000000" w:rsidRPr="00000000" w:rsidDel="00000000">
              <w:rPr>
                <w:i w:val="1"/>
                <w:rtl w:val="0"/>
              </w:rPr>
              <w:t xml:space="preserve">Maedi-Visna </w:t>
            </w:r>
            <w:r w:rsidR="00000000" w:rsidRPr="00000000" w:rsidDel="00000000">
              <w:rPr>
                <w:rtl w:val="0"/>
              </w:rPr>
              <w:t xml:space="preserve">uzraudzību, kontroli un apkarošanu" (Latvijas Vēstnesis, 2014, 99. nr.; 2015, 70. nr.; 2016, 159. 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noteikumu projekta anotāciju ar skaidrojumu par noteikumu projekta 1.11. apakšpunktā ietvertā regulējuma būtību, nepieciešamību un mērķi (piemēram, šobrīd vairs netiek paredzēta prasība par to, ka dzīvniekiem jābūt trīs gadus pēc kārtas seroloģiski izmeklētiem).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1.11. apakšpunkta redakcija (noteikumu Nr. 251 33.</w:t>
            </w:r>
            <w:r w:rsidR="00000000" w:rsidRPr="00000000" w:rsidDel="00000000">
              <w:rPr>
                <w:vertAlign w:val="superscript"/>
                <w:rtl w:val="0"/>
              </w:rPr>
              <w:t xml:space="preserve">1</w:t>
            </w:r>
            <w:r w:rsidR="00000000" w:rsidRPr="00000000" w:rsidDel="00000000">
              <w:rPr>
                <w:rtl w:val="0"/>
              </w:rPr>
              <w:t xml:space="preserve">1.2. apakšpunkts), norādot, ka dzīvniekiem jābūt trīs gadus pēc kārtas seroloģiski izmeklētiem.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24-TA-2494</w:t>
    </w:r>
    <w:r>
      <w:br/>
    </w:r>
    <w:r w:rsidR="00000000" w:rsidRPr="00000000" w:rsidDel="00000000">
      <w:rPr>
        <w:rtl w:val="0"/>
      </w:rPr>
      <w:t xml:space="preserve">02.12.2024. 13.41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24-TA-2494</w:t>
    </w:r>
    <w:r>
      <w:br/>
    </w:r>
    <w:r w:rsidR="00000000" w:rsidRPr="00000000" w:rsidDel="00000000">
      <w:rPr>
        <w:rtl w:val="0"/>
      </w:rPr>
      <w:t xml:space="preserve">02.12.2024. 13.41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Izziņa_24-TA-2494.docx</dc:title>
</cp:coreProperties>
</file>

<file path=docProps/custom.xml><?xml version="1.0" encoding="utf-8"?>
<Properties xmlns="http://schemas.openxmlformats.org/officeDocument/2006/custom-properties" xmlns:vt="http://schemas.openxmlformats.org/officeDocument/2006/docPropsVTypes"/>
</file>