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25-TA-1044: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26. marta noteikumos Nr. 196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pirmās un otrās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(06.06.2024.)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5.3.apakšpunktu,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- 6.punktā divās vietās svītrot informāciju par valsts budžeta līdzfinansējumu, tā vietā norādot pašvaldības līdzfinansējumu, ievērojot,  ka noteikumu projektā paredzētās izmaiņas saistītas ar pasākuma otrās atlases kārtu, kurai paredzēts pašvaldības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punktā “Cita informācija” vārdus “finansējums tiks izmaksāts no tās pašas” aizstāt ar vārdiem “ERAF finansējums tiks pieprasīts no”.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Aizpildīts 3. sadaļas 5.3 apakšpunkts ar informāciju par noteikumu projekta ietekmi uz pašvaldības budžetu, 6.  punktā un punktā “Cita informācija” veikti atbilstoši precizējumi.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un sadarbības partneris (ja attiecināms) izstrādā nosacījumus, kā pārliecināties par interešu konflikta, krāpšanas un korupcijas risku neesību,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 kā arī paraksta apliecinājumu par interešu konflikta neesību, lai tiktu ievērotas Eiropas Parlamenta un Padomes 2024. gada 23. septembra Regulas (ES, </w:t>
            </w:r>
            <w:r w:rsidR="00000000" w:rsidRPr="00000000" w:rsidDel="00000000">
              <w:rPr>
                <w:i w:val="1"/>
                <w:rtl w:val="0"/>
              </w:rPr>
              <w:t xml:space="preserve">Euratom</w:t>
            </w:r>
            <w:r w:rsidR="00000000" w:rsidRPr="00000000" w:rsidDel="00000000">
              <w:rPr>
                <w:rtl w:val="0"/>
              </w:rPr>
              <w:t xml:space="preserve">) 2024/2509 par finanšu noteikumiem, ko piemēro Savienības vispārējam budžetam (pārstrādāta redakcija) 61. pantā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31.punkta nepieciešamību, ņemot vērā gan konkrētā specifiskā atbalsta mērķa projekta veidu, kā arī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(ES) fondu atbalsta saņemšanu un vienlaikus kuros, atbilstoši specifiskā atbalsta mērķim, finansējuma saņēmējs atlases kārtībā ES fondu dalībniekiem vai gala saņēmējiem  sniedz finansiālu atbalstu (t.s. daudzpakāpju projekti). Papildus jānorāda, ka saskaņā ar noteikumu 37.7.apakšpunktu finansējuma saņēmējam jau ir noteikts pienākums izstrādāt nosacījumus, kā arī pārliecināties par interešu konflikta neesību, tostarp identificēt apstākļus, kas izraisa vai var izraisīt interešu konfliktu, kas rada apdraudējumu vai kaitējumu projekta īstenošanā, noteikt veicamos pasākumus un izstrādāt darbības plānu interešu konflikta preventīvai novēršanai un gadījumiem, kad interešu konflikts ir atklāts.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ir izvērtējusi priekšlikumu un uzskata par nepieciešamu saglabāt noteikumu projekta 31. punktu nemainīgu, lai nodrošinātu finansējuma saņēmēju informētību par pienākumu ievērot Eiropas Parlamenta un Padomes 2024. gada 23. septembra Regulas (ES, Euratom) 2024/2509 par Savienības vispārējā budžeta finanšu noteikumiem (pārstrādātā redakcija) 61. panta prasības attiecībā uz interešu konflikta, krāpšanas un korupcijas risku novēršanu.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un sadarbības partneris (ja attiecināms) izstrādā nosacījumus, kā pārliecināties par interešu konflikta, krāpšanas un korupcijas risku neesību,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 kā arī paraksta apliecinājumu par interešu konflikta neesību, lai tiktu ievērotas Eiropas Parlamenta un Padomes 2024. gada 23. septembra Regulas (ES, </w:t>
            </w:r>
            <w:r w:rsidR="00000000" w:rsidRPr="00000000" w:rsidDel="00000000">
              <w:rPr>
                <w:i w:val="1"/>
                <w:rtl w:val="0"/>
              </w:rPr>
              <w:t xml:space="preserve">Euratom</w:t>
            </w:r>
            <w:r w:rsidR="00000000" w:rsidRPr="00000000" w:rsidDel="00000000">
              <w:rPr>
                <w:rtl w:val="0"/>
              </w:rPr>
              <w:t xml:space="preserve">) 2024/2509 par finanšu noteikumiem, ko piemēro Savienības vispārējam budžetam (pārstrādāta redakcija) 61. pantā noteiktās prasības.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25-TA-1044</w:t>
    </w:r>
    <w:r>
      <w:br/>
    </w:r>
    <w:r w:rsidR="00000000" w:rsidRPr="00000000" w:rsidDel="00000000">
      <w:rPr>
        <w:rtl w:val="0"/>
      </w:rPr>
      <w:t xml:space="preserve">09.06.2025. 20.14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25-TA-1044</w:t>
    </w:r>
    <w:r>
      <w:br/>
    </w:r>
    <w:r w:rsidR="00000000" w:rsidRPr="00000000" w:rsidDel="00000000">
      <w:rPr>
        <w:rtl w:val="0"/>
      </w:rPr>
      <w:t xml:space="preserve">09.06.2025. 20.14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Izziņa_25-TA-1044.docx</dc:title>
</cp:coreProperties>
</file>

<file path=docProps/custom.xml><?xml version="1.0" encoding="utf-8"?>
<Properties xmlns="http://schemas.openxmlformats.org/officeDocument/2006/custom-properties" xmlns:vt="http://schemas.openxmlformats.org/officeDocument/2006/docPropsVTypes"/>
</file>