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24-TA-2911: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2023. gada 31. janvāra noteikumos Nr. 50 "Kārtība, kādā administrē un uzrauga Eiropas Lauksaimniecības garantiju fondu un Eiropas Lauksaimniecības fondu lauku attīstībai, kā arī valsts un Eiropas Savienības atbalstu lauksaimniecībai un lauku attīstībai 2023.–2027. gada plānošanas periodā"</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left w:val="nil"/>
              <w:right w:val="nil"/>
            </w:tcBorders>
          </w:tcPr>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1.0 Likumi.lv (31.10.2024.)</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Zemkopības ministrijas un tās padotībā esošo iestāžu koplietošanas informācijas sistēmu un informācijas un komunikācijas tehnoloģiju infrastruktūru uztur un attīsta Lauku atbalsta dienests.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- 05.02.2025.)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Termins "IKT infrastruktūra" ietver gan informācijas sistēmas, gan iekārtas un aparatūru.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Viens no Valsts informācijas sistēmu likuma uzdevumiem ir noteikt skaidras valsts informācijas sistēmas pārziņa funkcijas. Tas nepieciešams, lai būtu skaidri noteikta un nodalīta atbildība institūcijai, kas normatīvajos aktos noteiktajā kārtībā organizē un vada valsts informācijas sistēmas darbību (nodalot no IKT pakalpojumu sniedzēja atbildības). Likumprojektā lietotie termini "uztur un attīsta" nepietiekami skaidri nosaka Lauku atbalsta dienesta atbildības loku.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lūdzu veikt šādas darbības: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precizēt termina "infrastruktūra" lietojumu;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gadījumā, ja termins "infrastruktūra" ietver arī informācijas sistēmas, lūdzu precizēt regulējuma tvērumu, kā arī lietot Valsts informācijas sistēmu likumam atbilstošus terminus, lai viennozīmīgi noteiktu Lauku atbalsta dienesta atbildības loku.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Zemkopības ministrijas un tās padotībā esošo iestāžu informācijas sistēmas tiek izmitinātas un darbinātas valsts datu apstrādes mākoņa infrastruktūrā, kuru zemkopības nozarē uztur un attīsta Lauku atbalsta dienests.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- 25.02.2025.)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papildināt anotāciju ar starpiestāžu sarunās panākto vienošanos, ka MK noteikumu  17.punkta redakcija neierobežo Lauku atbalsta dienesta iespējas nākotnē sniegt pakalpojumus arī citām valsts pārvaldes iestādēm, ne tikai Zemkopības ministrijas resoram, paredzētā finansējuma un pieejamo resursu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noteikumu17.punkta redakcija neierobežo Lauku atbalsta dienesta iespējas nākotnē sniegt pakalpojumus arī citām valsts pārvaldes iestādēm, ne tikai Zemkopības ministrijas resoram, paredzētā finansējuma un pieejamo resursu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(LB - 06.02.2025.)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 sadaļā, problēmas aprakstā par norēķinu kontu, uz kuru veicami valsts un ES atbalsta maksājumi, otrās rindkopas pirmajā teikumā nepieciešams precizēt atsauci uz Ministru kabineta noteikumu Nr. 50 33. punktu, labojot to no "43." uz "33."</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- 07.02.2025.)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pārskatīt anotācijas 1.3. apakšsadaļu, sniedzot precīzus noteikumu projekta skaidrojumus. Vēršam uzmanību, ka, piemēram, tiek norādīts "</w:t>
            </w:r>
            <w:r w:rsidR="00000000" w:rsidRPr="00000000" w:rsidDel="00000000">
              <w:rPr>
                <w:i w:val="1"/>
                <w:rtl w:val="0"/>
              </w:rPr>
              <w:t xml:space="preserve">nepieciešams paplašināt noteikumu Nr. 50 43. punktā dotās iespējas</w:t>
            </w:r>
            <w:r w:rsidR="00000000" w:rsidRPr="00000000" w:rsidDel="00000000">
              <w:rPr>
                <w:rtl w:val="0"/>
              </w:rPr>
              <w:t xml:space="preserve">" vai "</w:t>
            </w:r>
            <w:r w:rsidR="00000000" w:rsidRPr="00000000" w:rsidDel="00000000">
              <w:rPr>
                <w:i w:val="1"/>
                <w:rtl w:val="0"/>
              </w:rPr>
              <w:t xml:space="preserve">tāpēc ir jāgroza noteikumu Nr. 50 217. punkts</w:t>
            </w:r>
            <w:r w:rsidR="00000000" w:rsidRPr="00000000" w:rsidDel="00000000">
              <w:rPr>
                <w:rtl w:val="0"/>
              </w:rPr>
              <w:t xml:space="preserve">", taču noteikumu projekts neparedz šādus grozījumus.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 precizēta anotācijas apakšsadaļa "1.3.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Tiesību akta projekta ietekmējamās sabiedrības grupas, ietekme uz tautsaimniecības attīstību un administratīvo slogu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- 07.02.2025.)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noteikumu projekts tiešām nekādā veidā neietekmē nevienu sabiedrības grupu, ņemot vēra, ka no noteikumu projekta izriet grozījumi, piemēram, attiecībā uz atbalsta saņēmēju maksājumu kontiem.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 papildināta anotācijas apakšsadaļa "2.1. Sabiedrības grupas, kuras tiesiskais regulējums ietekmē, vai varētu ietekmēt".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Tiesību akta projekta ietekmējamās sabiedrības grupas, ietekme uz tautsaimniecības attīstību un administratīvo slogu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- 25.02.2025.)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anotācijas 5.4. apakšsadaļā veiktos precizējumus. Vēršam uzmanību, ka atbilstoši 5.4. apakšsadaļas 1. tabulas Eiropas Parlamenta un Padomes 2021. gada 2. decembra Regulas (ES) 2021/2116 par kopējās lauksaimniecības politikas finansēšanu, pārvaldību un uzraudzību un ar ko atceļ Regulu (ES) Nr. 1306/2013 (turpmāk - regula 2021/2116) sadaļas skaidrojumiem projekta 1. punkts neievieš regulas 2021/2116 72. punktu. Proti, minēto vienību "</w:t>
            </w:r>
            <w:r w:rsidR="00000000" w:rsidRPr="00000000" w:rsidDel="00000000">
              <w:rPr>
                <w:i w:val="1"/>
                <w:rtl w:val="0"/>
              </w:rPr>
              <w:t xml:space="preserve">turpina ieviest Lauku atbalsta dienests, kurš pamatojoties uz Ministru kabineta 2024. gada 13. septembra rīkojumu Nr. 743 "Par Lauksaimniecības datu centra likvidāciju" pārņem Lauksaimniecības datu centra funkcijas un ir norādīts noteikumu Nr. 50 7.3. apakšpunktā</w:t>
            </w:r>
            <w:r w:rsidR="00000000" w:rsidRPr="00000000" w:rsidDel="00000000">
              <w:rPr>
                <w:rtl w:val="0"/>
              </w:rPr>
              <w:t xml:space="preserve">". Attiecīgi no sniegtajiem skaidrojumiem saprotams, ka anotācijas 5.4. apakšsadaļas 1. tabulas regulas 2021/2116 sadaļas "B" ailē norādāms Ministru kabineta 2023. gada 31. janvāra noteikumu Nr. 50 "Kārtība, kādā administrē un uzrauga Eiropas Lauksaimniecības garantiju fondu un Eiropas Lauksaimniecības fondu lauku attīstībai, kā arī valsts un Eiropas Savienības atbalstu lauksaimniecībai un lauku attīstībai 2023.–2027. gada plānošanas periodā" 7.3. apakšpunkts.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- 07.02.2025.)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anotācijas 5.sadaļu, ņemot vērā, ka atbilstoši Ministru kabineta 2023. gada 31. janvāra noteikumu Nr. 50 "Kārtība, kādā administrē un uzrauga Eiropas Lauksaimniecības garantiju fondu un Eiropas Lauksaimniecības fondu lauku attīstībai, kā arī valsts un Eiropas Savienības atbalstu lauksaimniecībai un lauku attīstībai 2023.–2027. gada plānošanas periodā" (turpmāk - noteikumi Nr.50) un grozījumu anotācijām un noteikumu Nr.50 redakcijai tā 20. punkts ievieš Eiropas Parlamenta un Padomes 2021. gada 2. decembra Regulas (ES) 2021/2115, ar ko izveido noteikumus par atbalstu stratēģiskajiem plāniem, kuri dalībvalstīm jāizstrādā saskaņā ar kopējo lauksaimniecības politiku (KLP stratēģiskie plāni) un kurus finansē no Eiropas Lauksaimniecības garantiju fonda (ELGF) un no Eiropas Lauksaimniecības fonda lauku attīstībai (ELFLA), un ar ko atceļ Regulas (ES) Nr. 1305/2013 un (ES) Nr. 1307/2013 89. pantu, 94. pantu un 125. panta 1.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lūdzam pārskatīt noteikumu projektu un izvērtēt, vai uz to attiecināmās, anotācijā nenorādītās (iepriekš ieviestās), Eiropas Savienības tiesību normas joprojām ir attiecināmas. Šādā gadījumā, iesakām papildināt anotācijas 5. sadaļu ar norādēm uz Eiropas Savienības tiesību normām vai norādīt, ka līdz šim ieviestās, no Eiropas Savienības tiesību normām  izrietošās prasības netiek mainītas un ietekmētas.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ar noteikumu projekta 1. punktā svītroto noteikumu Nr.50 7.5. apakšpunktu iepriekš ieviests Eiropas Parlamenta un Padomes 2021. gada 2. decembra Regulas (ES) 2021/2116 par kopējās lauksaimniecības politikas finansēšanu, pārvaldību un uzraudzību un ar ko atceļ Regulu (ES) Nr. 1306/2013 72. punkts. Ņemot vērā, ka konkrētā regula joprojām ir spēkā esoša, lūdzam izvērtēt, vai iepriekš ieviesto tiesību normu vairs nav nepieciešams ieviests un skaidrot to anotācijā, līdzīgi kā grozījumu noteikumu Nr.50 20. punktā.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 papildināta anotācijas apakšsadaļa "5.1. Saistības pret Eiropas Savienību" un apakšsadaļa "5.4. 1. tabula. Tiesību akta projekta atbilstība ES tiesību aktiem".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 Šo noteikumu 1.2. apakšpunktā minētā fonda finansējumu un, ja tas ir paredzēts projekta iesniegumā, valsts budžeta finansējumu Lauku atbalsta dienests bezskaidras naudas norēķinu veidā pārskaita uz atbalsta saņēmēja maksājumu kontu, kas atvērts pie maksājumu pakalpojumu sniedzēja saskaņā ar Maksājumu pakalpojumu un elektroniskās naudas likuma 2. panta otrās daļas 1., 2., 4., 7. un 8. punktu. Ja atbalsta maksājums ir paredzēts pasākumu projektam no valsts un Eiropas Savienības atbalsta lauku attīstībai (atklātu projektu iesniegumu konkursu un vienreizēju maksājumu veidā), maksājumu pārskaita bezskaidras naudas norēķinu veidā uz atbalsta saņēmēja maksājumu kontu, kas atvērts pie maksājumu pakalpojumu sniedzēja saskaņā ar Maksājumu pakalpojumu un elektroniskās naudas likuma 2. panta otrās daļas 1., 2., 4., 7. un 8. punktu, ievērojot kārtību, kādā Valsts kase nodrošina maksājumu pakalpojumu sniegšanu.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(LB - 06.02.2025.)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noteikumu (grozījumu) projekta 5. punktā ietvertajā Ministru kabineta noteikumu Nr. 50 33. punktā un attiecīgajā anotācijas 1.3. sadaļas risinājuma aprakstā izslēgt vārdus "bezskaidras naudas norēķinu veidā" un precizēt tekstu par atsauci uz Maksājumu pakalpojumu un elektroniskās naudas likumu atbilstoši piedāvātajai redakcijai. Vārdus “bezskaidras naudas norēķinu veidā” nav nepieciešams rakstīt, jo teksts "maksājumu pārskaita uz atbalsta saņēmēja maksājumu kontu” ir pietiekams un nodrošina, ka šos maksājumus neizmaksās skaidrā naudā, bet vienmēr pārskaitīs elektroniski.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 Šo noteikumu 1.2. apakšpunktā minētā fonda finansējumu un, ja tas ir paredzēts projekta iesniegumā, valsts budžeta finansējumu Lauku atbalsta dienests pārskaita uz atbalsta saņēmēja maksājumu kontu, kas </w:t>
            </w:r>
            <w:r w:rsidR="00000000" w:rsidRPr="00000000" w:rsidDel="00000000">
              <w:rPr>
                <w:u w:val="single"/>
                <w:rtl w:val="0"/>
              </w:rPr>
              <w:t xml:space="preserve">atvērts pie Maksājumu pakalpojumu un elektroniskās naudas likuma 2. panta otrās daļas 1., 2., 4., 7. vai 8. punktā minētā maksājumu pakalpojumu sniedzēja</w:t>
            </w:r>
            <w:r w:rsidR="00000000" w:rsidRPr="00000000" w:rsidDel="00000000">
              <w:rPr>
                <w:rtl w:val="0"/>
              </w:rPr>
              <w:t xml:space="preserve">. Ja atbalsta maksājums ir paredzēts pasākumu projektam no valsts un Eiropas Savienības atbalsta lauku attīstībai (atklātu projektu iesniegumu konkursu un vienreizēju maksājumu veidā), maksājumu pārskaita uz atbalsta saņēmēja maksājumu kontu, kas </w:t>
            </w:r>
            <w:r w:rsidR="00000000" w:rsidRPr="00000000" w:rsidDel="00000000">
              <w:rPr>
                <w:u w:val="single"/>
                <w:rtl w:val="0"/>
              </w:rPr>
              <w:t xml:space="preserve">atvērts pie Maksājumu pakalpojumu un elektroniskās naudas likuma 2. panta otrās daļas 1., 2., 4., 7. vai 8. punktā minētā maksājumu pakalpojumu sniedzēja</w:t>
            </w:r>
            <w:r w:rsidR="00000000" w:rsidRPr="00000000" w:rsidDel="00000000">
              <w:rPr>
                <w:rtl w:val="0"/>
              </w:rPr>
              <w:t xml:space="preserve">, ievērojot kārtību, kādā Valsts kase nodrošina maksājumu pakalpojumu sniegšanu.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 Šo noteikumu 1.2. apakšpunktā minētā fonda finansējumu un, ja tas ir paredzēts projekta iesniegumā, valsts budžeta finansējumu Lauku atbalsta dienests pārskaita uz atbalsta saņēmēja maksājumu kontu, kas atvērts pie Maksājumu pakalpojumu un elektroniskās naudas likuma 2. panta otrās daļas 1., 2., 4., 7. vai 8. punktā minētā maksājumu pakalpojumu sniedzēja. Ja atbalsta maksājums ir paredzēts pasākumu projektam no valsts un Eiropas Savienības atbalsta lauku attīstībai (atklātu projektu iesniegumu konkursu un vienreizēju maksājumu veidā), maksājumu pārskaita uz atbalsta saņēmēja maksājumu kontu, kas atvērts pie Maksājumu pakalpojumu un elektroniskās naudas likuma 2. panta otrās daļas 1., 2., 4., 7. vai 8. punktā minētā maksājumu pakalpojumu sniedzēja, ievērojot kārtību, kādā Valsts kase nodrošina maksājumu pakalpojumu sniegšanu.</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24-TA-2911</w:t>
    </w:r>
    <w:r>
      <w:br/>
    </w:r>
    <w:r w:rsidR="00000000" w:rsidRPr="00000000" w:rsidDel="00000000">
      <w:rPr>
        <w:rtl w:val="0"/>
      </w:rPr>
      <w:t xml:space="preserve">03.03.2025. 12.36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24-TA-2911</w:t>
    </w:r>
    <w:r>
      <w:br/>
    </w:r>
    <w:r w:rsidR="00000000" w:rsidRPr="00000000" w:rsidDel="00000000">
      <w:rPr>
        <w:rtl w:val="0"/>
      </w:rPr>
      <w:t xml:space="preserve">03.03.2025. 12.36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Izziņa_24-TA-2911.docx</dc:title>
</cp:coreProperties>
</file>

<file path=docProps/custom.xml><?xml version="1.0" encoding="utf-8"?>
<Properties xmlns="http://schemas.openxmlformats.org/officeDocument/2006/custom-properties" xmlns:vt="http://schemas.openxmlformats.org/officeDocument/2006/docPropsVTypes"/>
</file>