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E38D" w14:textId="7D864B52" w:rsidR="00576E16" w:rsidRPr="001508A1" w:rsidRDefault="00576E16" w:rsidP="00576E16">
      <w:pPr>
        <w:rPr>
          <w:b/>
          <w:i/>
          <w:sz w:val="22"/>
        </w:rPr>
      </w:pPr>
      <w:r w:rsidRPr="00C62F8B">
        <w:rPr>
          <w:sz w:val="26"/>
          <w:szCs w:val="26"/>
        </w:rPr>
        <w:t>Budžeta un finanšu (nodokļu) komisija</w:t>
      </w:r>
      <w:r>
        <w:rPr>
          <w:sz w:val="26"/>
          <w:szCs w:val="26"/>
        </w:rPr>
        <w:tab/>
      </w:r>
    </w:p>
    <w:p w14:paraId="32DEE38E" w14:textId="3CBB3577" w:rsidR="002E317B" w:rsidRDefault="00576E16" w:rsidP="0015589F">
      <w:pPr>
        <w:jc w:val="right"/>
        <w:rPr>
          <w:sz w:val="26"/>
          <w:szCs w:val="26"/>
        </w:rPr>
      </w:pPr>
      <w:r w:rsidRPr="00C62F8B">
        <w:rPr>
          <w:sz w:val="26"/>
          <w:szCs w:val="26"/>
        </w:rPr>
        <w:t>L</w:t>
      </w:r>
      <w:r>
        <w:rPr>
          <w:sz w:val="26"/>
          <w:szCs w:val="26"/>
        </w:rPr>
        <w:t xml:space="preserve">ikumprojekts </w:t>
      </w:r>
      <w:r w:rsidR="0035548E">
        <w:rPr>
          <w:sz w:val="26"/>
          <w:szCs w:val="26"/>
        </w:rPr>
        <w:t>(steidzams) otrajam</w:t>
      </w:r>
      <w:r w:rsidR="00C55326">
        <w:rPr>
          <w:sz w:val="26"/>
          <w:szCs w:val="26"/>
        </w:rPr>
        <w:t xml:space="preserve"> lasījumam</w:t>
      </w:r>
    </w:p>
    <w:p w14:paraId="76F8C869" w14:textId="77777777" w:rsidR="00851702" w:rsidRPr="0015589F" w:rsidRDefault="00851702" w:rsidP="0015589F">
      <w:pPr>
        <w:jc w:val="right"/>
        <w:rPr>
          <w:sz w:val="26"/>
          <w:szCs w:val="26"/>
        </w:rPr>
      </w:pPr>
    </w:p>
    <w:p w14:paraId="59271BC0" w14:textId="77777777" w:rsidR="00A87755" w:rsidRPr="00A87755" w:rsidRDefault="002E317B" w:rsidP="00A87755">
      <w:pPr>
        <w:jc w:val="center"/>
        <w:rPr>
          <w:b/>
          <w:bCs/>
          <w:iCs/>
          <w:sz w:val="28"/>
          <w:szCs w:val="28"/>
        </w:rPr>
      </w:pPr>
      <w:r w:rsidRPr="00EB0501">
        <w:rPr>
          <w:rStyle w:val="Emphasis"/>
          <w:b/>
          <w:i w:val="0"/>
          <w:sz w:val="26"/>
          <w:szCs w:val="26"/>
        </w:rPr>
        <w:t xml:space="preserve"> </w:t>
      </w:r>
      <w:r w:rsidR="00A87755" w:rsidRPr="00A87755">
        <w:rPr>
          <w:b/>
          <w:bCs/>
          <w:iCs/>
          <w:sz w:val="28"/>
          <w:szCs w:val="28"/>
        </w:rPr>
        <w:t>Grozījumi Konkurences likumā</w:t>
      </w:r>
    </w:p>
    <w:p w14:paraId="32DEE390" w14:textId="57C52541" w:rsidR="00576E16" w:rsidRPr="00FC3F53" w:rsidRDefault="00265EF2" w:rsidP="00576E16">
      <w:pPr>
        <w:jc w:val="center"/>
        <w:rPr>
          <w:rStyle w:val="Emphasis"/>
          <w:b/>
          <w:sz w:val="26"/>
          <w:szCs w:val="26"/>
        </w:rPr>
      </w:pPr>
      <w:r>
        <w:rPr>
          <w:rStyle w:val="Emphasis"/>
          <w:b/>
          <w:sz w:val="26"/>
          <w:szCs w:val="26"/>
        </w:rPr>
        <w:t>(Nr.</w:t>
      </w:r>
      <w:r w:rsidR="00851702">
        <w:rPr>
          <w:rStyle w:val="Emphasis"/>
          <w:b/>
          <w:sz w:val="26"/>
          <w:szCs w:val="26"/>
        </w:rPr>
        <w:t>11</w:t>
      </w:r>
      <w:r>
        <w:rPr>
          <w:rStyle w:val="Emphasis"/>
          <w:b/>
          <w:sz w:val="26"/>
          <w:szCs w:val="26"/>
        </w:rPr>
        <w:t>8</w:t>
      </w:r>
      <w:r w:rsidR="00A87755">
        <w:rPr>
          <w:rStyle w:val="Emphasis"/>
          <w:b/>
          <w:sz w:val="26"/>
          <w:szCs w:val="26"/>
        </w:rPr>
        <w:t>8</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14:paraId="32DEE391" w14:textId="77777777" w:rsidR="002E317B" w:rsidRPr="00495B31" w:rsidRDefault="002E317B" w:rsidP="00576E16">
      <w:pPr>
        <w:rPr>
          <w:rStyle w:val="Emphasis"/>
          <w:b/>
          <w:sz w:val="26"/>
          <w:szCs w:val="26"/>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3969"/>
        <w:gridCol w:w="567"/>
        <w:gridCol w:w="3969"/>
        <w:gridCol w:w="1418"/>
        <w:gridCol w:w="1418"/>
      </w:tblGrid>
      <w:tr w:rsidR="0035548E" w:rsidRPr="00D117AD" w14:paraId="32DEE394" w14:textId="2F31745B" w:rsidTr="00534C93">
        <w:tc>
          <w:tcPr>
            <w:tcW w:w="3969" w:type="dxa"/>
            <w:shd w:val="clear" w:color="auto" w:fill="auto"/>
          </w:tcPr>
          <w:p w14:paraId="32DEE392" w14:textId="77777777" w:rsidR="0035548E" w:rsidRPr="00D117AD" w:rsidRDefault="0035548E" w:rsidP="00F65DFC">
            <w:pPr>
              <w:jc w:val="center"/>
              <w:rPr>
                <w:b/>
                <w:bCs/>
                <w:iCs/>
                <w:szCs w:val="24"/>
              </w:rPr>
            </w:pPr>
            <w:r w:rsidRPr="00D117AD">
              <w:rPr>
                <w:b/>
                <w:szCs w:val="24"/>
              </w:rPr>
              <w:t>Spēkā esošā redakcija</w:t>
            </w:r>
          </w:p>
        </w:tc>
        <w:tc>
          <w:tcPr>
            <w:tcW w:w="3969" w:type="dxa"/>
            <w:shd w:val="clear" w:color="auto" w:fill="auto"/>
          </w:tcPr>
          <w:p w14:paraId="7075BF89" w14:textId="77777777" w:rsidR="0035548E" w:rsidRPr="00D117AD" w:rsidRDefault="0035548E" w:rsidP="0035548E">
            <w:pPr>
              <w:jc w:val="center"/>
              <w:rPr>
                <w:b/>
                <w:szCs w:val="24"/>
              </w:rPr>
            </w:pPr>
            <w:r w:rsidRPr="00D117AD">
              <w:rPr>
                <w:b/>
                <w:szCs w:val="24"/>
              </w:rPr>
              <w:t>Pirmā lasījuma redakcija</w:t>
            </w:r>
          </w:p>
          <w:p w14:paraId="32DEE393" w14:textId="28BFDFFB" w:rsidR="0035548E" w:rsidRPr="00D117AD" w:rsidRDefault="0035548E" w:rsidP="00F65DFC">
            <w:pPr>
              <w:jc w:val="center"/>
              <w:rPr>
                <w:b/>
                <w:szCs w:val="24"/>
              </w:rPr>
            </w:pPr>
          </w:p>
        </w:tc>
        <w:tc>
          <w:tcPr>
            <w:tcW w:w="567" w:type="dxa"/>
          </w:tcPr>
          <w:p w14:paraId="6A4A6F8A" w14:textId="4B9FA4D1" w:rsidR="0035548E" w:rsidRPr="00D117AD" w:rsidRDefault="0035548E" w:rsidP="00D117AD">
            <w:pPr>
              <w:jc w:val="center"/>
              <w:rPr>
                <w:b/>
                <w:szCs w:val="24"/>
              </w:rPr>
            </w:pPr>
            <w:r w:rsidRPr="00D117AD">
              <w:rPr>
                <w:b/>
                <w:szCs w:val="24"/>
              </w:rPr>
              <w:t>Nr.</w:t>
            </w:r>
          </w:p>
        </w:tc>
        <w:tc>
          <w:tcPr>
            <w:tcW w:w="3969" w:type="dxa"/>
          </w:tcPr>
          <w:p w14:paraId="64212209" w14:textId="77777777" w:rsidR="0035548E" w:rsidRPr="00D117AD" w:rsidRDefault="0035548E" w:rsidP="0035548E">
            <w:pPr>
              <w:jc w:val="center"/>
              <w:rPr>
                <w:b/>
                <w:szCs w:val="24"/>
              </w:rPr>
            </w:pPr>
            <w:r w:rsidRPr="00D117AD">
              <w:rPr>
                <w:b/>
                <w:szCs w:val="24"/>
              </w:rPr>
              <w:t>Priekšlikumi</w:t>
            </w:r>
          </w:p>
          <w:p w14:paraId="11BFEB6A" w14:textId="0C9CA5E9" w:rsidR="0035548E" w:rsidRPr="00D117AD" w:rsidRDefault="0035548E" w:rsidP="0035548E">
            <w:pPr>
              <w:jc w:val="center"/>
              <w:rPr>
                <w:b/>
                <w:szCs w:val="24"/>
              </w:rPr>
            </w:pPr>
            <w:r w:rsidRPr="00D117AD">
              <w:rPr>
                <w:b/>
                <w:szCs w:val="24"/>
              </w:rPr>
              <w:t>(</w:t>
            </w:r>
            <w:r w:rsidR="00D117AD">
              <w:rPr>
                <w:b/>
                <w:szCs w:val="24"/>
              </w:rPr>
              <w:t>3</w:t>
            </w:r>
            <w:r w:rsidRPr="00D117AD">
              <w:rPr>
                <w:b/>
                <w:szCs w:val="24"/>
              </w:rPr>
              <w:t>)</w:t>
            </w:r>
          </w:p>
        </w:tc>
        <w:tc>
          <w:tcPr>
            <w:tcW w:w="1418" w:type="dxa"/>
          </w:tcPr>
          <w:p w14:paraId="38C99B0A" w14:textId="2AA7421A" w:rsidR="0035548E" w:rsidRPr="00D117AD" w:rsidRDefault="0035548E" w:rsidP="0035548E">
            <w:pPr>
              <w:jc w:val="center"/>
              <w:rPr>
                <w:b/>
                <w:szCs w:val="24"/>
              </w:rPr>
            </w:pPr>
            <w:r w:rsidRPr="00D117AD">
              <w:rPr>
                <w:b/>
                <w:szCs w:val="24"/>
              </w:rPr>
              <w:t>Ministru kabineta atzinums</w:t>
            </w:r>
          </w:p>
        </w:tc>
        <w:tc>
          <w:tcPr>
            <w:tcW w:w="1418" w:type="dxa"/>
          </w:tcPr>
          <w:p w14:paraId="1749A2B3" w14:textId="3C0215C1" w:rsidR="0035548E" w:rsidRPr="00D117AD" w:rsidRDefault="0035548E" w:rsidP="0035548E">
            <w:pPr>
              <w:jc w:val="center"/>
              <w:rPr>
                <w:b/>
                <w:szCs w:val="24"/>
              </w:rPr>
            </w:pPr>
            <w:r w:rsidRPr="00D117AD">
              <w:rPr>
                <w:b/>
                <w:szCs w:val="24"/>
              </w:rPr>
              <w:t>Komisijas atzinums</w:t>
            </w:r>
          </w:p>
        </w:tc>
      </w:tr>
      <w:tr w:rsidR="0035548E" w:rsidRPr="00851702" w14:paraId="61B7D289" w14:textId="7EF3661F" w:rsidTr="00534C93">
        <w:tc>
          <w:tcPr>
            <w:tcW w:w="3969" w:type="dxa"/>
            <w:shd w:val="clear" w:color="auto" w:fill="auto"/>
          </w:tcPr>
          <w:p w14:paraId="0FBF1C63" w14:textId="77777777" w:rsidR="0035548E" w:rsidRPr="00851702" w:rsidRDefault="0035548E" w:rsidP="00F65DFC">
            <w:pPr>
              <w:ind w:firstLine="567"/>
              <w:jc w:val="both"/>
              <w:rPr>
                <w:b/>
                <w:sz w:val="22"/>
              </w:rPr>
            </w:pPr>
          </w:p>
        </w:tc>
        <w:tc>
          <w:tcPr>
            <w:tcW w:w="3969" w:type="dxa"/>
            <w:shd w:val="clear" w:color="auto" w:fill="auto"/>
          </w:tcPr>
          <w:p w14:paraId="31B0ABB3" w14:textId="6C87A342" w:rsidR="0035548E" w:rsidRPr="00851702" w:rsidRDefault="0035548E" w:rsidP="00534C93">
            <w:pPr>
              <w:suppressAutoHyphens/>
              <w:ind w:firstLine="567"/>
              <w:jc w:val="both"/>
              <w:rPr>
                <w:sz w:val="22"/>
              </w:rPr>
            </w:pPr>
            <w:r w:rsidRPr="00A87755">
              <w:rPr>
                <w:sz w:val="22"/>
              </w:rPr>
              <w:t>Izdarīt Konkurences likumā (Latvijas Republikas Saeimas un Ministru Kabineta Ziņotājs, 2001, 22. nr.; 2004, 10. nr.; 2008, 9., 24. nr.; 2009, 14. nr.; Latvijas Vēstnesis, 2009, 194. nr.; 2013, 188. nr.; 2015, 107. nr.; 2016, 104. nr.; 2017, 208. nr.; 2019, 71. nr.) šādus grozījumus:</w:t>
            </w:r>
          </w:p>
        </w:tc>
        <w:tc>
          <w:tcPr>
            <w:tcW w:w="567" w:type="dxa"/>
          </w:tcPr>
          <w:p w14:paraId="2C2FB8B7" w14:textId="77777777" w:rsidR="0035548E" w:rsidRPr="00D117AD" w:rsidRDefault="0035548E" w:rsidP="00D117AD">
            <w:pPr>
              <w:suppressAutoHyphens/>
              <w:jc w:val="center"/>
              <w:rPr>
                <w:b/>
                <w:sz w:val="22"/>
              </w:rPr>
            </w:pPr>
          </w:p>
        </w:tc>
        <w:tc>
          <w:tcPr>
            <w:tcW w:w="3969" w:type="dxa"/>
          </w:tcPr>
          <w:p w14:paraId="29F2216D" w14:textId="77777777" w:rsidR="0035548E" w:rsidRPr="00A87755" w:rsidRDefault="0035548E" w:rsidP="00A87755">
            <w:pPr>
              <w:suppressAutoHyphens/>
              <w:ind w:firstLine="567"/>
              <w:jc w:val="both"/>
              <w:rPr>
                <w:sz w:val="22"/>
              </w:rPr>
            </w:pPr>
          </w:p>
        </w:tc>
        <w:tc>
          <w:tcPr>
            <w:tcW w:w="1418" w:type="dxa"/>
          </w:tcPr>
          <w:p w14:paraId="23563ADB" w14:textId="77777777" w:rsidR="0035548E" w:rsidRPr="00A87755" w:rsidRDefault="0035548E" w:rsidP="00A87755">
            <w:pPr>
              <w:suppressAutoHyphens/>
              <w:ind w:firstLine="567"/>
              <w:jc w:val="both"/>
              <w:rPr>
                <w:sz w:val="22"/>
              </w:rPr>
            </w:pPr>
          </w:p>
        </w:tc>
        <w:tc>
          <w:tcPr>
            <w:tcW w:w="1418" w:type="dxa"/>
          </w:tcPr>
          <w:p w14:paraId="5AA19CD6" w14:textId="77777777" w:rsidR="0035548E" w:rsidRPr="00A87755" w:rsidRDefault="0035548E" w:rsidP="00A87755">
            <w:pPr>
              <w:suppressAutoHyphens/>
              <w:ind w:firstLine="567"/>
              <w:jc w:val="both"/>
              <w:rPr>
                <w:sz w:val="22"/>
              </w:rPr>
            </w:pPr>
          </w:p>
        </w:tc>
      </w:tr>
      <w:tr w:rsidR="0035548E" w:rsidRPr="00851702" w14:paraId="3767E035" w14:textId="050A950A" w:rsidTr="00534C93">
        <w:tc>
          <w:tcPr>
            <w:tcW w:w="3969" w:type="dxa"/>
            <w:shd w:val="clear" w:color="auto" w:fill="auto"/>
          </w:tcPr>
          <w:p w14:paraId="3D131F7F" w14:textId="77777777" w:rsidR="0035548E" w:rsidRPr="00165372" w:rsidRDefault="0035548E" w:rsidP="00165372">
            <w:pPr>
              <w:ind w:firstLine="567"/>
              <w:jc w:val="both"/>
              <w:rPr>
                <w:sz w:val="22"/>
              </w:rPr>
            </w:pPr>
            <w:r w:rsidRPr="00165372">
              <w:rPr>
                <w:b/>
                <w:bCs/>
                <w:sz w:val="22"/>
              </w:rPr>
              <w:t>5.pants. Konkurences padomes sastāvs un darbība</w:t>
            </w:r>
          </w:p>
          <w:p w14:paraId="035B0D84" w14:textId="77777777" w:rsidR="0035548E" w:rsidRDefault="0035548E" w:rsidP="00534C93">
            <w:pPr>
              <w:ind w:firstLine="567"/>
              <w:jc w:val="both"/>
              <w:rPr>
                <w:sz w:val="22"/>
              </w:rPr>
            </w:pPr>
            <w:r w:rsidRPr="00165372">
              <w:rPr>
                <w:sz w:val="22"/>
              </w:rPr>
              <w:t xml:space="preserve">(1) Konkurences padomes lēmējinstitūcija ir padome, kas Konkurences padomes vārdā pieņem lēmumus un slēdz administratīvos līgumus konkurences lietās. Konkurences padomes sastāvā ir struktūrvienības, kas nodrošina tās darbību, pildot sekretariāta un ekspertu funkcijas, sagatavojot lietas materiālus, dokumentus un lēmumu projektus izskatīšanai padomes sēdēs, pārstāvot Konkurences padomi tiesā un īstenojot Konkurences padomes pieņemto lēmumu </w:t>
            </w:r>
            <w:r w:rsidRPr="00534C93">
              <w:rPr>
                <w:sz w:val="22"/>
              </w:rPr>
              <w:t>izpildi. Padome sastāv no trim padomes locekļiem, no kuriem viens ir padomes priekšsēdētājs.</w:t>
            </w:r>
          </w:p>
          <w:p w14:paraId="4092AC0E" w14:textId="77777777" w:rsidR="00534C93" w:rsidRDefault="00534C93" w:rsidP="00534C93">
            <w:pPr>
              <w:ind w:firstLine="567"/>
              <w:jc w:val="both"/>
              <w:rPr>
                <w:sz w:val="22"/>
              </w:rPr>
            </w:pPr>
          </w:p>
          <w:p w14:paraId="3016B17D" w14:textId="2D08AAF1" w:rsidR="00534C93" w:rsidRPr="00165372" w:rsidRDefault="00534C93" w:rsidP="00534C93">
            <w:pPr>
              <w:ind w:firstLine="567"/>
              <w:jc w:val="both"/>
              <w:rPr>
                <w:sz w:val="22"/>
              </w:rPr>
            </w:pPr>
          </w:p>
        </w:tc>
        <w:tc>
          <w:tcPr>
            <w:tcW w:w="3969" w:type="dxa"/>
            <w:shd w:val="clear" w:color="auto" w:fill="auto"/>
          </w:tcPr>
          <w:p w14:paraId="12125673" w14:textId="77777777" w:rsidR="0035548E" w:rsidRPr="00A87755" w:rsidRDefault="0035548E" w:rsidP="00A87755">
            <w:pPr>
              <w:suppressAutoHyphens/>
              <w:ind w:firstLine="567"/>
              <w:jc w:val="both"/>
              <w:rPr>
                <w:sz w:val="22"/>
              </w:rPr>
            </w:pPr>
            <w:r w:rsidRPr="00A87755">
              <w:rPr>
                <w:sz w:val="22"/>
              </w:rPr>
              <w:t>1. 5. pantā:</w:t>
            </w:r>
          </w:p>
          <w:p w14:paraId="648B33FF" w14:textId="77777777" w:rsidR="0035548E" w:rsidRPr="00A87755" w:rsidRDefault="0035548E" w:rsidP="00A87755">
            <w:pPr>
              <w:suppressAutoHyphens/>
              <w:ind w:firstLine="567"/>
              <w:jc w:val="both"/>
              <w:rPr>
                <w:sz w:val="22"/>
              </w:rPr>
            </w:pPr>
            <w:r w:rsidRPr="00A87755">
              <w:rPr>
                <w:sz w:val="22"/>
              </w:rPr>
              <w:t>izslēgt pirmās daļas trešo teikumu;</w:t>
            </w:r>
          </w:p>
          <w:p w14:paraId="71A3E3D2" w14:textId="77777777" w:rsidR="0035548E" w:rsidRPr="00A87755" w:rsidRDefault="0035548E" w:rsidP="00A87755">
            <w:pPr>
              <w:suppressAutoHyphens/>
              <w:ind w:firstLine="567"/>
              <w:jc w:val="both"/>
              <w:rPr>
                <w:sz w:val="22"/>
              </w:rPr>
            </w:pPr>
          </w:p>
        </w:tc>
        <w:tc>
          <w:tcPr>
            <w:tcW w:w="567" w:type="dxa"/>
          </w:tcPr>
          <w:p w14:paraId="22EA7574" w14:textId="77777777" w:rsidR="0035548E" w:rsidRPr="00D117AD" w:rsidRDefault="0035548E" w:rsidP="00D117AD">
            <w:pPr>
              <w:suppressAutoHyphens/>
              <w:jc w:val="center"/>
              <w:rPr>
                <w:b/>
                <w:sz w:val="22"/>
              </w:rPr>
            </w:pPr>
          </w:p>
        </w:tc>
        <w:tc>
          <w:tcPr>
            <w:tcW w:w="3969" w:type="dxa"/>
          </w:tcPr>
          <w:p w14:paraId="15B289D5" w14:textId="77777777" w:rsidR="0035548E" w:rsidRPr="00A87755" w:rsidRDefault="0035548E" w:rsidP="00534C93">
            <w:pPr>
              <w:suppressAutoHyphens/>
              <w:ind w:firstLine="567"/>
              <w:jc w:val="both"/>
              <w:rPr>
                <w:sz w:val="22"/>
              </w:rPr>
            </w:pPr>
          </w:p>
        </w:tc>
        <w:tc>
          <w:tcPr>
            <w:tcW w:w="1418" w:type="dxa"/>
          </w:tcPr>
          <w:p w14:paraId="6BD4EF2D" w14:textId="77777777" w:rsidR="0035548E" w:rsidRPr="00A87755" w:rsidRDefault="0035548E" w:rsidP="00A87755">
            <w:pPr>
              <w:suppressAutoHyphens/>
              <w:ind w:firstLine="567"/>
              <w:jc w:val="both"/>
              <w:rPr>
                <w:sz w:val="22"/>
              </w:rPr>
            </w:pPr>
          </w:p>
        </w:tc>
        <w:tc>
          <w:tcPr>
            <w:tcW w:w="1418" w:type="dxa"/>
          </w:tcPr>
          <w:p w14:paraId="02044534" w14:textId="77777777" w:rsidR="0035548E" w:rsidRPr="00A87755" w:rsidRDefault="0035548E" w:rsidP="00A87755">
            <w:pPr>
              <w:suppressAutoHyphens/>
              <w:ind w:firstLine="567"/>
              <w:jc w:val="both"/>
              <w:rPr>
                <w:sz w:val="22"/>
              </w:rPr>
            </w:pPr>
          </w:p>
        </w:tc>
      </w:tr>
      <w:tr w:rsidR="0022718A" w:rsidRPr="00851702" w14:paraId="68B01CD9" w14:textId="77777777" w:rsidTr="00534C93">
        <w:tc>
          <w:tcPr>
            <w:tcW w:w="3969" w:type="dxa"/>
            <w:shd w:val="clear" w:color="auto" w:fill="auto"/>
          </w:tcPr>
          <w:p w14:paraId="3838BBD8" w14:textId="2F7AE9EB" w:rsidR="0022718A" w:rsidRPr="00534C93" w:rsidRDefault="0022718A" w:rsidP="0022718A">
            <w:pPr>
              <w:ind w:firstLine="567"/>
              <w:jc w:val="both"/>
              <w:rPr>
                <w:sz w:val="22"/>
              </w:rPr>
            </w:pPr>
            <w:r w:rsidRPr="00534C93">
              <w:rPr>
                <w:sz w:val="22"/>
              </w:rPr>
              <w:lastRenderedPageBreak/>
              <w:t>(2) Padomes priekšsēdētāju un padomes locekļus pēc ekonomikas ministra ieteikuma amatā apstiprina Ministru kabinets.</w:t>
            </w:r>
          </w:p>
        </w:tc>
        <w:tc>
          <w:tcPr>
            <w:tcW w:w="3969" w:type="dxa"/>
            <w:shd w:val="clear" w:color="auto" w:fill="auto"/>
          </w:tcPr>
          <w:p w14:paraId="4D782A56" w14:textId="7F5B3A0A" w:rsidR="0022718A" w:rsidRPr="00A87755" w:rsidRDefault="0022718A" w:rsidP="0022718A">
            <w:pPr>
              <w:suppressAutoHyphens/>
              <w:ind w:firstLine="567"/>
              <w:jc w:val="both"/>
              <w:rPr>
                <w:sz w:val="22"/>
              </w:rPr>
            </w:pPr>
            <w:r w:rsidRPr="00A87755">
              <w:rPr>
                <w:sz w:val="22"/>
              </w:rPr>
              <w:t>izteikt otro daļu šādā redakcijā:</w:t>
            </w:r>
          </w:p>
          <w:p w14:paraId="738B2F8C" w14:textId="15FCF9FD" w:rsidR="0022718A" w:rsidRPr="00A87755" w:rsidRDefault="0022718A" w:rsidP="0022718A">
            <w:pPr>
              <w:suppressAutoHyphens/>
              <w:ind w:firstLine="567"/>
              <w:jc w:val="both"/>
              <w:rPr>
                <w:sz w:val="22"/>
              </w:rPr>
            </w:pPr>
            <w:r w:rsidRPr="00A87755">
              <w:rPr>
                <w:sz w:val="22"/>
              </w:rPr>
              <w:t xml:space="preserve">"(2) Konkurences padomes priekšsēdētāju, kas ir arī padomes priekšsēdētājs, un četrus padomes locekļus pēc ekonomikas ministra ieteikuma amatā uz pieciem gadiem </w:t>
            </w:r>
            <w:r w:rsidRPr="00534C93">
              <w:rPr>
                <w:sz w:val="22"/>
                <w:u w:val="single"/>
              </w:rPr>
              <w:t>ieceļ</w:t>
            </w:r>
            <w:r w:rsidRPr="00A87755">
              <w:rPr>
                <w:sz w:val="22"/>
              </w:rPr>
              <w:t xml:space="preserve"> Ministru kabinets. </w:t>
            </w:r>
            <w:r w:rsidRPr="00534C93">
              <w:rPr>
                <w:sz w:val="22"/>
                <w:u w:val="single"/>
              </w:rPr>
              <w:t>Padomes priekšsēdētāju un padomes locekļus var iecelt amatā atkārtoti vienu reizi pēc kārtas</w:t>
            </w:r>
            <w:r w:rsidRPr="00A87755">
              <w:rPr>
                <w:sz w:val="22"/>
              </w:rPr>
              <w:t>.";</w:t>
            </w:r>
          </w:p>
        </w:tc>
        <w:tc>
          <w:tcPr>
            <w:tcW w:w="567" w:type="dxa"/>
          </w:tcPr>
          <w:p w14:paraId="7D75A9D4" w14:textId="77777777" w:rsidR="0022718A" w:rsidRPr="00D117AD" w:rsidRDefault="0022718A" w:rsidP="0022718A">
            <w:pPr>
              <w:suppressAutoHyphens/>
              <w:jc w:val="center"/>
              <w:rPr>
                <w:b/>
                <w:sz w:val="22"/>
              </w:rPr>
            </w:pPr>
            <w:r w:rsidRPr="00D117AD">
              <w:rPr>
                <w:b/>
                <w:sz w:val="22"/>
              </w:rPr>
              <w:t>1</w:t>
            </w:r>
          </w:p>
          <w:p w14:paraId="4D05524F" w14:textId="77777777" w:rsidR="0022718A" w:rsidRPr="00D117AD" w:rsidRDefault="0022718A" w:rsidP="0022718A">
            <w:pPr>
              <w:suppressAutoHyphens/>
              <w:jc w:val="center"/>
              <w:rPr>
                <w:b/>
                <w:sz w:val="22"/>
              </w:rPr>
            </w:pPr>
          </w:p>
          <w:p w14:paraId="6616E7C5" w14:textId="77777777" w:rsidR="0022718A" w:rsidRPr="00D117AD" w:rsidRDefault="0022718A" w:rsidP="0022718A">
            <w:pPr>
              <w:suppressAutoHyphens/>
              <w:jc w:val="center"/>
              <w:rPr>
                <w:b/>
                <w:sz w:val="22"/>
              </w:rPr>
            </w:pPr>
          </w:p>
          <w:p w14:paraId="7C189431" w14:textId="77777777" w:rsidR="0022718A" w:rsidRPr="00D117AD" w:rsidRDefault="0022718A" w:rsidP="0022718A">
            <w:pPr>
              <w:suppressAutoHyphens/>
              <w:jc w:val="center"/>
              <w:rPr>
                <w:b/>
                <w:sz w:val="22"/>
              </w:rPr>
            </w:pPr>
          </w:p>
          <w:p w14:paraId="4DAFD5C5" w14:textId="77777777" w:rsidR="0022718A" w:rsidRPr="00D117AD" w:rsidRDefault="0022718A" w:rsidP="0022718A">
            <w:pPr>
              <w:suppressAutoHyphens/>
              <w:jc w:val="center"/>
              <w:rPr>
                <w:b/>
                <w:sz w:val="22"/>
              </w:rPr>
            </w:pPr>
          </w:p>
          <w:p w14:paraId="3DAC0525" w14:textId="4B717FD4" w:rsidR="0022718A" w:rsidRPr="00D117AD" w:rsidRDefault="0022718A" w:rsidP="0022718A">
            <w:pPr>
              <w:suppressAutoHyphens/>
              <w:jc w:val="center"/>
              <w:rPr>
                <w:b/>
                <w:sz w:val="22"/>
              </w:rPr>
            </w:pPr>
            <w:r w:rsidRPr="00D117AD">
              <w:rPr>
                <w:b/>
                <w:sz w:val="22"/>
              </w:rPr>
              <w:t>2</w:t>
            </w:r>
          </w:p>
        </w:tc>
        <w:tc>
          <w:tcPr>
            <w:tcW w:w="3969" w:type="dxa"/>
          </w:tcPr>
          <w:p w14:paraId="1047FC87" w14:textId="77777777" w:rsidR="0022718A" w:rsidRPr="00534C93" w:rsidRDefault="0022718A" w:rsidP="0022718A">
            <w:pPr>
              <w:suppressAutoHyphens/>
              <w:ind w:firstLine="567"/>
              <w:jc w:val="both"/>
              <w:rPr>
                <w:b/>
                <w:sz w:val="22"/>
                <w:u w:val="single"/>
              </w:rPr>
            </w:pPr>
            <w:r w:rsidRPr="00534C93">
              <w:rPr>
                <w:b/>
                <w:sz w:val="22"/>
                <w:u w:val="single"/>
              </w:rPr>
              <w:t>Juridiskais birojs</w:t>
            </w:r>
          </w:p>
          <w:p w14:paraId="34AF798C" w14:textId="77777777" w:rsidR="0022718A" w:rsidRPr="00534C93" w:rsidRDefault="0022718A" w:rsidP="0022718A">
            <w:pPr>
              <w:suppressAutoHyphens/>
              <w:ind w:firstLine="567"/>
              <w:jc w:val="both"/>
              <w:rPr>
                <w:sz w:val="22"/>
              </w:rPr>
            </w:pPr>
            <w:r w:rsidRPr="00534C93">
              <w:rPr>
                <w:sz w:val="22"/>
              </w:rPr>
              <w:t>Aizstāt 5. panta otrās daļas pirmajā teikumā (likumprojekta 1. pants) vārdu “ieceļ” ar vārdu “</w:t>
            </w:r>
            <w:r w:rsidRPr="00534C93">
              <w:rPr>
                <w:sz w:val="22"/>
                <w:u w:val="single"/>
              </w:rPr>
              <w:t>apstiprina</w:t>
            </w:r>
            <w:r w:rsidRPr="00534C93">
              <w:rPr>
                <w:sz w:val="22"/>
              </w:rPr>
              <w:t>”.</w:t>
            </w:r>
          </w:p>
          <w:p w14:paraId="1B2AA485" w14:textId="77777777" w:rsidR="0022718A" w:rsidRDefault="0022718A" w:rsidP="0022718A">
            <w:pPr>
              <w:suppressAutoHyphens/>
              <w:ind w:firstLine="567"/>
              <w:jc w:val="both"/>
              <w:rPr>
                <w:b/>
                <w:sz w:val="22"/>
                <w:u w:val="single"/>
              </w:rPr>
            </w:pPr>
          </w:p>
          <w:p w14:paraId="5F26807C" w14:textId="3C2FF60D" w:rsidR="0022718A" w:rsidRDefault="0022718A" w:rsidP="0022718A">
            <w:pPr>
              <w:suppressAutoHyphens/>
              <w:ind w:firstLine="567"/>
              <w:jc w:val="both"/>
              <w:rPr>
                <w:sz w:val="22"/>
              </w:rPr>
            </w:pPr>
            <w:r w:rsidRPr="00534C93">
              <w:rPr>
                <w:b/>
                <w:sz w:val="22"/>
                <w:u w:val="single"/>
              </w:rPr>
              <w:t>Juridiskais birojs</w:t>
            </w:r>
          </w:p>
          <w:p w14:paraId="2E189AC2" w14:textId="77777777" w:rsidR="0022718A" w:rsidRPr="00534C93" w:rsidRDefault="0022718A" w:rsidP="0022718A">
            <w:pPr>
              <w:suppressAutoHyphens/>
              <w:ind w:firstLine="567"/>
              <w:jc w:val="both"/>
              <w:rPr>
                <w:sz w:val="22"/>
              </w:rPr>
            </w:pPr>
            <w:r w:rsidRPr="00534C93">
              <w:rPr>
                <w:sz w:val="22"/>
              </w:rPr>
              <w:t xml:space="preserve">Izteikt 5. panta otrās daļas otro teikumu (likumprojekta 1. pants) šādā redakcijā: </w:t>
            </w:r>
          </w:p>
          <w:p w14:paraId="0B4E3CE1" w14:textId="53BE50D9" w:rsidR="0022718A" w:rsidRPr="00A87755" w:rsidRDefault="0022718A" w:rsidP="0022718A">
            <w:pPr>
              <w:suppressAutoHyphens/>
              <w:ind w:firstLine="567"/>
              <w:jc w:val="both"/>
              <w:rPr>
                <w:sz w:val="22"/>
              </w:rPr>
            </w:pPr>
            <w:r w:rsidRPr="00534C93">
              <w:rPr>
                <w:sz w:val="22"/>
              </w:rPr>
              <w:tab/>
              <w:t>“Viena un tā pati persona var būt par padomes priekšsēdētāju vai padomes locekli ne vairāk kā divus termiņus pēc kārtas.”.</w:t>
            </w:r>
          </w:p>
        </w:tc>
        <w:tc>
          <w:tcPr>
            <w:tcW w:w="1418" w:type="dxa"/>
          </w:tcPr>
          <w:p w14:paraId="18A84F6E" w14:textId="5D7A82B2" w:rsidR="0022718A" w:rsidRDefault="0022718A" w:rsidP="0022718A">
            <w:pPr>
              <w:suppressAutoHyphens/>
              <w:jc w:val="both"/>
              <w:rPr>
                <w:sz w:val="22"/>
              </w:rPr>
            </w:pPr>
            <w:r>
              <w:rPr>
                <w:sz w:val="22"/>
              </w:rPr>
              <w:t>A</w:t>
            </w:r>
            <w:r>
              <w:rPr>
                <w:sz w:val="22"/>
              </w:rPr>
              <w:t>tbalstīt</w:t>
            </w:r>
          </w:p>
          <w:p w14:paraId="2FC875A7" w14:textId="77777777" w:rsidR="0022718A" w:rsidRDefault="0022718A" w:rsidP="0022718A">
            <w:pPr>
              <w:suppressAutoHyphens/>
              <w:jc w:val="both"/>
              <w:rPr>
                <w:sz w:val="22"/>
              </w:rPr>
            </w:pPr>
          </w:p>
          <w:p w14:paraId="615B32C3" w14:textId="77777777" w:rsidR="0022718A" w:rsidRDefault="0022718A" w:rsidP="0022718A">
            <w:pPr>
              <w:suppressAutoHyphens/>
              <w:jc w:val="both"/>
              <w:rPr>
                <w:sz w:val="22"/>
              </w:rPr>
            </w:pPr>
          </w:p>
          <w:p w14:paraId="4FFDB310" w14:textId="77777777" w:rsidR="0022718A" w:rsidRDefault="0022718A" w:rsidP="0022718A">
            <w:pPr>
              <w:suppressAutoHyphens/>
              <w:jc w:val="both"/>
              <w:rPr>
                <w:sz w:val="22"/>
              </w:rPr>
            </w:pPr>
          </w:p>
          <w:p w14:paraId="5F1132EC" w14:textId="77777777" w:rsidR="0022718A" w:rsidRDefault="0022718A" w:rsidP="0022718A">
            <w:pPr>
              <w:suppressAutoHyphens/>
              <w:jc w:val="both"/>
              <w:rPr>
                <w:sz w:val="22"/>
              </w:rPr>
            </w:pPr>
          </w:p>
          <w:p w14:paraId="4B34D3CD" w14:textId="77777777" w:rsidR="0022718A" w:rsidRDefault="0022718A" w:rsidP="0022718A">
            <w:pPr>
              <w:suppressAutoHyphens/>
              <w:jc w:val="both"/>
              <w:rPr>
                <w:sz w:val="22"/>
              </w:rPr>
            </w:pPr>
          </w:p>
          <w:p w14:paraId="53822E72" w14:textId="25ABFBC2" w:rsidR="0022718A" w:rsidRPr="00A87755" w:rsidRDefault="0022718A" w:rsidP="0022718A">
            <w:pPr>
              <w:suppressAutoHyphens/>
              <w:jc w:val="both"/>
              <w:rPr>
                <w:sz w:val="22"/>
              </w:rPr>
            </w:pPr>
            <w:r>
              <w:rPr>
                <w:sz w:val="22"/>
              </w:rPr>
              <w:t>Atbalstīt</w:t>
            </w:r>
          </w:p>
        </w:tc>
        <w:tc>
          <w:tcPr>
            <w:tcW w:w="1418" w:type="dxa"/>
          </w:tcPr>
          <w:p w14:paraId="443CB9C9" w14:textId="77777777" w:rsidR="0022718A" w:rsidRPr="00A87755" w:rsidRDefault="0022718A" w:rsidP="0022718A">
            <w:pPr>
              <w:suppressAutoHyphens/>
              <w:ind w:firstLine="567"/>
              <w:jc w:val="both"/>
              <w:rPr>
                <w:sz w:val="22"/>
              </w:rPr>
            </w:pPr>
          </w:p>
        </w:tc>
      </w:tr>
      <w:tr w:rsidR="0022718A" w:rsidRPr="00851702" w14:paraId="5C642252" w14:textId="54BA7EE0" w:rsidTr="00534C93">
        <w:tc>
          <w:tcPr>
            <w:tcW w:w="3969" w:type="dxa"/>
            <w:shd w:val="clear" w:color="auto" w:fill="auto"/>
          </w:tcPr>
          <w:p w14:paraId="64FC9B04" w14:textId="0D571A62" w:rsidR="0022718A" w:rsidRPr="00534C93" w:rsidRDefault="0022718A" w:rsidP="0022718A">
            <w:pPr>
              <w:ind w:firstLine="567"/>
              <w:jc w:val="both"/>
              <w:rPr>
                <w:sz w:val="22"/>
              </w:rPr>
            </w:pPr>
            <w:r w:rsidRPr="00534C93">
              <w:rPr>
                <w:sz w:val="22"/>
              </w:rPr>
              <w:t>(3) Padomes priekšsēdētāja un padomes locekļu pilnvaru laiks ir pieci gadi. Padomes priekšsēdētāju un padomes locekļus var iecelt amatā atkārtoti vienu reizi pēc kārtas.</w:t>
            </w:r>
          </w:p>
        </w:tc>
        <w:tc>
          <w:tcPr>
            <w:tcW w:w="3969" w:type="dxa"/>
            <w:shd w:val="clear" w:color="auto" w:fill="auto"/>
          </w:tcPr>
          <w:p w14:paraId="7EAD15C8" w14:textId="77777777" w:rsidR="0022718A" w:rsidRPr="00A87755" w:rsidRDefault="0022718A" w:rsidP="0022718A">
            <w:pPr>
              <w:suppressAutoHyphens/>
              <w:ind w:firstLine="567"/>
              <w:jc w:val="both"/>
              <w:rPr>
                <w:sz w:val="22"/>
              </w:rPr>
            </w:pPr>
            <w:r w:rsidRPr="00A87755">
              <w:rPr>
                <w:sz w:val="22"/>
              </w:rPr>
              <w:t>izslēgt trešo daļu.</w:t>
            </w:r>
          </w:p>
          <w:p w14:paraId="49D3C61D" w14:textId="77777777" w:rsidR="0022718A" w:rsidRPr="00A87755" w:rsidRDefault="0022718A" w:rsidP="0022718A">
            <w:pPr>
              <w:suppressAutoHyphens/>
              <w:ind w:firstLine="567"/>
              <w:jc w:val="both"/>
              <w:rPr>
                <w:sz w:val="22"/>
              </w:rPr>
            </w:pPr>
          </w:p>
        </w:tc>
        <w:tc>
          <w:tcPr>
            <w:tcW w:w="567" w:type="dxa"/>
          </w:tcPr>
          <w:p w14:paraId="30992E88" w14:textId="77777777" w:rsidR="0022718A" w:rsidRPr="00D117AD" w:rsidRDefault="0022718A" w:rsidP="0022718A">
            <w:pPr>
              <w:suppressAutoHyphens/>
              <w:jc w:val="center"/>
              <w:rPr>
                <w:b/>
                <w:sz w:val="22"/>
              </w:rPr>
            </w:pPr>
          </w:p>
        </w:tc>
        <w:tc>
          <w:tcPr>
            <w:tcW w:w="3969" w:type="dxa"/>
          </w:tcPr>
          <w:p w14:paraId="7DD613AB" w14:textId="77777777" w:rsidR="0022718A" w:rsidRPr="00A87755" w:rsidRDefault="0022718A" w:rsidP="0022718A">
            <w:pPr>
              <w:suppressAutoHyphens/>
              <w:ind w:firstLine="567"/>
              <w:jc w:val="both"/>
              <w:rPr>
                <w:sz w:val="22"/>
              </w:rPr>
            </w:pPr>
          </w:p>
        </w:tc>
        <w:tc>
          <w:tcPr>
            <w:tcW w:w="1418" w:type="dxa"/>
          </w:tcPr>
          <w:p w14:paraId="0270CDC4" w14:textId="77777777" w:rsidR="0022718A" w:rsidRPr="00A87755" w:rsidRDefault="0022718A" w:rsidP="0022718A">
            <w:pPr>
              <w:suppressAutoHyphens/>
              <w:ind w:firstLine="567"/>
              <w:jc w:val="both"/>
              <w:rPr>
                <w:sz w:val="22"/>
              </w:rPr>
            </w:pPr>
          </w:p>
        </w:tc>
        <w:tc>
          <w:tcPr>
            <w:tcW w:w="1418" w:type="dxa"/>
          </w:tcPr>
          <w:p w14:paraId="11A22B4C" w14:textId="77777777" w:rsidR="0022718A" w:rsidRPr="00A87755" w:rsidRDefault="0022718A" w:rsidP="0022718A">
            <w:pPr>
              <w:suppressAutoHyphens/>
              <w:ind w:firstLine="567"/>
              <w:jc w:val="both"/>
              <w:rPr>
                <w:sz w:val="22"/>
              </w:rPr>
            </w:pPr>
          </w:p>
        </w:tc>
      </w:tr>
      <w:tr w:rsidR="0022718A" w:rsidRPr="00851702" w14:paraId="3C01F68C" w14:textId="1563C6DF" w:rsidTr="00534C93">
        <w:tc>
          <w:tcPr>
            <w:tcW w:w="3969" w:type="dxa"/>
            <w:shd w:val="clear" w:color="auto" w:fill="auto"/>
          </w:tcPr>
          <w:p w14:paraId="3B7F5873" w14:textId="77777777" w:rsidR="0022718A" w:rsidRPr="00165372" w:rsidRDefault="0022718A" w:rsidP="0022718A">
            <w:pPr>
              <w:ind w:firstLine="567"/>
              <w:jc w:val="both"/>
              <w:rPr>
                <w:sz w:val="22"/>
              </w:rPr>
            </w:pPr>
            <w:r w:rsidRPr="00165372">
              <w:rPr>
                <w:b/>
                <w:bCs/>
                <w:sz w:val="22"/>
              </w:rPr>
              <w:t>8.pants. Konkurences padomes lēmumi</w:t>
            </w:r>
          </w:p>
          <w:p w14:paraId="1F711363" w14:textId="77777777" w:rsidR="0022718A" w:rsidRPr="00165372" w:rsidRDefault="0022718A" w:rsidP="0022718A">
            <w:pPr>
              <w:ind w:firstLine="567"/>
              <w:jc w:val="both"/>
              <w:rPr>
                <w:sz w:val="22"/>
              </w:rPr>
            </w:pPr>
            <w:r w:rsidRPr="00165372">
              <w:rPr>
                <w:sz w:val="22"/>
              </w:rPr>
              <w:t>(1) Konkurences padome pieņem lēmumus par:</w:t>
            </w:r>
          </w:p>
          <w:p w14:paraId="50018E1D" w14:textId="77777777" w:rsidR="0022718A" w:rsidRPr="00165372" w:rsidRDefault="0022718A" w:rsidP="0022718A">
            <w:pPr>
              <w:ind w:firstLine="567"/>
              <w:jc w:val="both"/>
              <w:rPr>
                <w:sz w:val="22"/>
              </w:rPr>
            </w:pPr>
            <w:r w:rsidRPr="00165372">
              <w:rPr>
                <w:sz w:val="22"/>
              </w:rPr>
              <w:t>1) lietas ierosināšanu;</w:t>
            </w:r>
          </w:p>
          <w:p w14:paraId="66B5BD82" w14:textId="77777777" w:rsidR="0022718A" w:rsidRPr="00165372" w:rsidRDefault="0022718A" w:rsidP="0022718A">
            <w:pPr>
              <w:ind w:firstLine="567"/>
              <w:jc w:val="both"/>
              <w:rPr>
                <w:sz w:val="22"/>
              </w:rPr>
            </w:pPr>
            <w:r w:rsidRPr="00165372">
              <w:rPr>
                <w:sz w:val="22"/>
              </w:rPr>
              <w:t>2) lēmuma pieņemšanas termiņa pagarināšanu;</w:t>
            </w:r>
          </w:p>
          <w:p w14:paraId="65340F4C" w14:textId="77777777" w:rsidR="0022718A" w:rsidRPr="00165372" w:rsidRDefault="0022718A" w:rsidP="0022718A">
            <w:pPr>
              <w:ind w:firstLine="567"/>
              <w:jc w:val="both"/>
              <w:rPr>
                <w:sz w:val="22"/>
              </w:rPr>
            </w:pPr>
            <w:r w:rsidRPr="00165372">
              <w:rPr>
                <w:sz w:val="22"/>
              </w:rPr>
              <w:t>3) pārkāpuma konstatēšanu, tiesiskā pienākuma un naudas soda uzlikšanu;</w:t>
            </w:r>
          </w:p>
          <w:p w14:paraId="193BC61B" w14:textId="77777777" w:rsidR="0022718A" w:rsidRPr="00165372" w:rsidRDefault="0022718A" w:rsidP="0022718A">
            <w:pPr>
              <w:ind w:firstLine="567"/>
              <w:jc w:val="both"/>
              <w:rPr>
                <w:sz w:val="22"/>
              </w:rPr>
            </w:pPr>
            <w:r w:rsidRPr="00165372">
              <w:rPr>
                <w:sz w:val="22"/>
              </w:rPr>
              <w:t>4) lietas izpētes izbeigšanu;</w:t>
            </w:r>
          </w:p>
          <w:p w14:paraId="252BB813" w14:textId="77777777" w:rsidR="0022718A" w:rsidRPr="00165372" w:rsidRDefault="0022718A" w:rsidP="0022718A">
            <w:pPr>
              <w:ind w:firstLine="567"/>
              <w:jc w:val="both"/>
              <w:rPr>
                <w:sz w:val="22"/>
              </w:rPr>
            </w:pPr>
            <w:r w:rsidRPr="00165372">
              <w:rPr>
                <w:sz w:val="22"/>
              </w:rPr>
              <w:t>5) tirgus dalībnieku apvienošanos;</w:t>
            </w:r>
          </w:p>
          <w:p w14:paraId="19418892" w14:textId="77777777" w:rsidR="0022718A" w:rsidRPr="00165372" w:rsidRDefault="0022718A" w:rsidP="0022718A">
            <w:pPr>
              <w:ind w:firstLine="567"/>
              <w:jc w:val="both"/>
              <w:rPr>
                <w:sz w:val="22"/>
              </w:rPr>
            </w:pPr>
            <w:r w:rsidRPr="00165372">
              <w:rPr>
                <w:sz w:val="22"/>
              </w:rPr>
              <w:t>6) paziņoto vienošanos;</w:t>
            </w:r>
          </w:p>
          <w:p w14:paraId="47F66253" w14:textId="59404ABD" w:rsidR="0022718A" w:rsidRPr="00165372" w:rsidRDefault="0022718A" w:rsidP="0022718A">
            <w:pPr>
              <w:ind w:firstLine="567"/>
              <w:jc w:val="both"/>
              <w:rPr>
                <w:sz w:val="22"/>
              </w:rPr>
            </w:pPr>
            <w:r w:rsidRPr="00165372">
              <w:rPr>
                <w:sz w:val="22"/>
              </w:rPr>
              <w:t>7) Reklāmas likuma pārkāpumiem.</w:t>
            </w:r>
          </w:p>
        </w:tc>
        <w:tc>
          <w:tcPr>
            <w:tcW w:w="3969" w:type="dxa"/>
            <w:shd w:val="clear" w:color="auto" w:fill="auto"/>
          </w:tcPr>
          <w:p w14:paraId="34393B92" w14:textId="557CD531" w:rsidR="0022718A" w:rsidRPr="00A87755" w:rsidRDefault="0022718A" w:rsidP="0022718A">
            <w:pPr>
              <w:suppressAutoHyphens/>
              <w:ind w:firstLine="567"/>
              <w:jc w:val="both"/>
              <w:rPr>
                <w:sz w:val="22"/>
              </w:rPr>
            </w:pPr>
            <w:r w:rsidRPr="00A87755">
              <w:rPr>
                <w:sz w:val="22"/>
              </w:rPr>
              <w:t>2. Papildināt 8. panta pirmo daļu ar 8. punktu šādā redakcijā:</w:t>
            </w:r>
          </w:p>
          <w:p w14:paraId="12AF1A39" w14:textId="77777777" w:rsidR="0022718A" w:rsidRPr="00A87755" w:rsidRDefault="0022718A" w:rsidP="0022718A">
            <w:pPr>
              <w:suppressAutoHyphens/>
              <w:ind w:firstLine="567"/>
              <w:jc w:val="both"/>
              <w:rPr>
                <w:sz w:val="22"/>
              </w:rPr>
            </w:pPr>
            <w:r w:rsidRPr="00A87755">
              <w:rPr>
                <w:sz w:val="22"/>
              </w:rPr>
              <w:t>"8) iesniegumu un sūdzību izskatīšanu."</w:t>
            </w:r>
          </w:p>
          <w:p w14:paraId="5226F7EC" w14:textId="77777777" w:rsidR="0022718A" w:rsidRPr="00A87755" w:rsidRDefault="0022718A" w:rsidP="0022718A">
            <w:pPr>
              <w:suppressAutoHyphens/>
              <w:ind w:firstLine="567"/>
              <w:jc w:val="both"/>
              <w:rPr>
                <w:sz w:val="22"/>
              </w:rPr>
            </w:pPr>
          </w:p>
        </w:tc>
        <w:tc>
          <w:tcPr>
            <w:tcW w:w="567" w:type="dxa"/>
          </w:tcPr>
          <w:p w14:paraId="73966D0B" w14:textId="77777777" w:rsidR="0022718A" w:rsidRPr="00D117AD" w:rsidRDefault="0022718A" w:rsidP="0022718A">
            <w:pPr>
              <w:suppressAutoHyphens/>
              <w:jc w:val="center"/>
              <w:rPr>
                <w:b/>
                <w:sz w:val="22"/>
              </w:rPr>
            </w:pPr>
          </w:p>
        </w:tc>
        <w:tc>
          <w:tcPr>
            <w:tcW w:w="3969" w:type="dxa"/>
          </w:tcPr>
          <w:p w14:paraId="3756EB6C" w14:textId="77777777" w:rsidR="0022718A" w:rsidRPr="00A87755" w:rsidRDefault="0022718A" w:rsidP="0022718A">
            <w:pPr>
              <w:suppressAutoHyphens/>
              <w:ind w:firstLine="567"/>
              <w:jc w:val="both"/>
              <w:rPr>
                <w:sz w:val="22"/>
              </w:rPr>
            </w:pPr>
          </w:p>
        </w:tc>
        <w:tc>
          <w:tcPr>
            <w:tcW w:w="1418" w:type="dxa"/>
          </w:tcPr>
          <w:p w14:paraId="5BCC11FB" w14:textId="77777777" w:rsidR="0022718A" w:rsidRPr="00A87755" w:rsidRDefault="0022718A" w:rsidP="0022718A">
            <w:pPr>
              <w:suppressAutoHyphens/>
              <w:ind w:firstLine="567"/>
              <w:jc w:val="both"/>
              <w:rPr>
                <w:sz w:val="22"/>
              </w:rPr>
            </w:pPr>
          </w:p>
        </w:tc>
        <w:tc>
          <w:tcPr>
            <w:tcW w:w="1418" w:type="dxa"/>
          </w:tcPr>
          <w:p w14:paraId="2FD11EB2" w14:textId="77777777" w:rsidR="0022718A" w:rsidRPr="00A87755" w:rsidRDefault="0022718A" w:rsidP="0022718A">
            <w:pPr>
              <w:suppressAutoHyphens/>
              <w:ind w:firstLine="567"/>
              <w:jc w:val="both"/>
              <w:rPr>
                <w:sz w:val="22"/>
              </w:rPr>
            </w:pPr>
          </w:p>
        </w:tc>
      </w:tr>
      <w:tr w:rsidR="0022718A" w:rsidRPr="00851702" w14:paraId="53AC1A91" w14:textId="049369A9" w:rsidTr="00534C93">
        <w:tc>
          <w:tcPr>
            <w:tcW w:w="3969" w:type="dxa"/>
            <w:shd w:val="clear" w:color="auto" w:fill="auto"/>
          </w:tcPr>
          <w:p w14:paraId="31A4778D" w14:textId="77777777" w:rsidR="0022718A" w:rsidRDefault="0022718A" w:rsidP="0022718A">
            <w:pPr>
              <w:ind w:firstLine="567"/>
              <w:jc w:val="both"/>
              <w:rPr>
                <w:b/>
                <w:sz w:val="22"/>
              </w:rPr>
            </w:pPr>
            <w:r w:rsidRPr="00165372">
              <w:rPr>
                <w:b/>
                <w:sz w:val="22"/>
              </w:rPr>
              <w:t>Pārejas noteikumi</w:t>
            </w:r>
          </w:p>
          <w:p w14:paraId="4E6B9F7E" w14:textId="0161E5EA" w:rsidR="0022718A" w:rsidRPr="00165372" w:rsidRDefault="0022718A" w:rsidP="0022718A">
            <w:pPr>
              <w:ind w:firstLine="567"/>
              <w:jc w:val="both"/>
              <w:rPr>
                <w:sz w:val="22"/>
              </w:rPr>
            </w:pPr>
            <w:r w:rsidRPr="00165372">
              <w:rPr>
                <w:sz w:val="22"/>
              </w:rPr>
              <w:t>17. Ministru kabinets līdz 2019. gada 31. decembrim izdod šā likuma 14.</w:t>
            </w:r>
            <w:r w:rsidRPr="00165372">
              <w:rPr>
                <w:sz w:val="22"/>
                <w:vertAlign w:val="superscript"/>
              </w:rPr>
              <w:t>2</w:t>
            </w:r>
            <w:r w:rsidRPr="00165372">
              <w:rPr>
                <w:sz w:val="22"/>
              </w:rPr>
              <w:t xml:space="preserve"> panta ceturtajā daļā minētos noteikumus.</w:t>
            </w:r>
          </w:p>
        </w:tc>
        <w:tc>
          <w:tcPr>
            <w:tcW w:w="3969" w:type="dxa"/>
            <w:shd w:val="clear" w:color="auto" w:fill="auto"/>
          </w:tcPr>
          <w:p w14:paraId="64931025" w14:textId="4508D004" w:rsidR="0022718A" w:rsidRPr="00A87755" w:rsidRDefault="0022718A" w:rsidP="0022718A">
            <w:pPr>
              <w:suppressAutoHyphens/>
              <w:ind w:firstLine="567"/>
              <w:jc w:val="both"/>
              <w:rPr>
                <w:sz w:val="22"/>
              </w:rPr>
            </w:pPr>
            <w:r w:rsidRPr="00A87755">
              <w:rPr>
                <w:sz w:val="22"/>
              </w:rPr>
              <w:t>3. Papildināt pārejas noteikumus ar 18. un 19. punktu šādā redakcijā:</w:t>
            </w:r>
          </w:p>
          <w:p w14:paraId="78DF4B4E" w14:textId="77777777" w:rsidR="0022718A" w:rsidRPr="00A87755" w:rsidRDefault="0022718A" w:rsidP="0022718A">
            <w:pPr>
              <w:suppressAutoHyphens/>
              <w:ind w:firstLine="567"/>
              <w:jc w:val="both"/>
              <w:rPr>
                <w:sz w:val="22"/>
              </w:rPr>
            </w:pPr>
            <w:r w:rsidRPr="00A87755">
              <w:rPr>
                <w:sz w:val="22"/>
              </w:rPr>
              <w:t xml:space="preserve">"18. Konkurences padomes priekšsēdētājam un padomes locekļiem, kas amatā iecelti līdz 2022. gada 1. jūlijam, noteiktais pilnvaru termiņš ir nemainīgs. Ja Konkurences padomes </w:t>
            </w:r>
            <w:r w:rsidRPr="00A87755">
              <w:rPr>
                <w:sz w:val="22"/>
              </w:rPr>
              <w:lastRenderedPageBreak/>
              <w:t>loceklis sācis pildīt amata pienākumus līdz 2022. gada 1. jūlijam un turpina tos pildīt pēc šā datuma, viņa pilnvaru laiks tiek skaitīts no dienas, kad stājas spēkā Ministru kabineta rīkojums par viņa apstiprināšanu Konkurences padomes locekļa amatā.</w:t>
            </w:r>
          </w:p>
          <w:p w14:paraId="11D28103" w14:textId="079C87EE" w:rsidR="0022718A" w:rsidRPr="00BF276C" w:rsidRDefault="0022718A" w:rsidP="0022718A">
            <w:pPr>
              <w:suppressAutoHyphens/>
              <w:ind w:firstLine="567"/>
              <w:jc w:val="both"/>
              <w:rPr>
                <w:sz w:val="22"/>
              </w:rPr>
            </w:pPr>
            <w:r w:rsidRPr="00A87755">
              <w:rPr>
                <w:sz w:val="22"/>
              </w:rPr>
              <w:t>19. Ministru kabinets veic nepieciešamās darbības, lai nodrošinātu, ka, sākot ar 2022. gada 1. jūliju, Konkurences padomes sastāvā ir tās priekšsēdētājs un četri Konkurences padomes locekļi."</w:t>
            </w:r>
          </w:p>
        </w:tc>
        <w:tc>
          <w:tcPr>
            <w:tcW w:w="567" w:type="dxa"/>
          </w:tcPr>
          <w:p w14:paraId="3BA87B6B" w14:textId="3F36485C" w:rsidR="0022718A" w:rsidRPr="00D117AD" w:rsidRDefault="0022718A" w:rsidP="0022718A">
            <w:pPr>
              <w:suppressAutoHyphens/>
              <w:jc w:val="center"/>
              <w:rPr>
                <w:b/>
                <w:sz w:val="22"/>
              </w:rPr>
            </w:pPr>
            <w:r w:rsidRPr="00D117AD">
              <w:rPr>
                <w:b/>
                <w:sz w:val="22"/>
              </w:rPr>
              <w:lastRenderedPageBreak/>
              <w:t>3</w:t>
            </w:r>
          </w:p>
        </w:tc>
        <w:tc>
          <w:tcPr>
            <w:tcW w:w="3969" w:type="dxa"/>
          </w:tcPr>
          <w:p w14:paraId="763A80D4" w14:textId="77777777" w:rsidR="0022718A" w:rsidRDefault="0022718A" w:rsidP="0022718A">
            <w:pPr>
              <w:suppressAutoHyphens/>
              <w:ind w:firstLine="567"/>
              <w:jc w:val="both"/>
              <w:rPr>
                <w:sz w:val="22"/>
              </w:rPr>
            </w:pPr>
            <w:r w:rsidRPr="00534C93">
              <w:rPr>
                <w:b/>
                <w:sz w:val="22"/>
                <w:u w:val="single"/>
              </w:rPr>
              <w:t>Juridiskais birojs</w:t>
            </w:r>
          </w:p>
          <w:p w14:paraId="6250D336" w14:textId="49123939" w:rsidR="0022718A" w:rsidRPr="00534C93" w:rsidRDefault="0022718A" w:rsidP="0022718A">
            <w:pPr>
              <w:suppressAutoHyphens/>
              <w:ind w:firstLine="567"/>
              <w:jc w:val="both"/>
              <w:rPr>
                <w:sz w:val="22"/>
              </w:rPr>
            </w:pPr>
            <w:r w:rsidRPr="00534C93">
              <w:rPr>
                <w:sz w:val="22"/>
              </w:rPr>
              <w:t>Izteikt pārejas noteikumu 18. un 19. punktu (likumprojekta 3. pants) šādā redakcijā:</w:t>
            </w:r>
          </w:p>
          <w:p w14:paraId="51C39E4D" w14:textId="77777777" w:rsidR="0022718A" w:rsidRPr="00534C93" w:rsidRDefault="0022718A" w:rsidP="0022718A">
            <w:pPr>
              <w:suppressAutoHyphens/>
              <w:ind w:firstLine="567"/>
              <w:jc w:val="both"/>
              <w:rPr>
                <w:sz w:val="22"/>
              </w:rPr>
            </w:pPr>
            <w:r w:rsidRPr="00534C93">
              <w:rPr>
                <w:sz w:val="22"/>
              </w:rPr>
              <w:tab/>
              <w:t xml:space="preserve">"18. Padomes priekšsēdētājam un padomes locekļiem, kas amatā iecelti līdz </w:t>
            </w:r>
            <w:r w:rsidRPr="00534C93">
              <w:rPr>
                <w:sz w:val="22"/>
                <w:u w:val="single"/>
              </w:rPr>
              <w:t>2022. gada 30. jūnijam</w:t>
            </w:r>
            <w:r w:rsidRPr="00534C93">
              <w:rPr>
                <w:sz w:val="22"/>
              </w:rPr>
              <w:t xml:space="preserve">, noteiktais pilnvaru </w:t>
            </w:r>
            <w:r w:rsidRPr="00534C93">
              <w:rPr>
                <w:sz w:val="22"/>
              </w:rPr>
              <w:lastRenderedPageBreak/>
              <w:t xml:space="preserve">termiņš ir nemainīgs. Ja </w:t>
            </w:r>
            <w:r w:rsidRPr="00534C93">
              <w:rPr>
                <w:sz w:val="22"/>
                <w:u w:val="single"/>
              </w:rPr>
              <w:t>padomes priekšsēdētājs</w:t>
            </w:r>
            <w:r w:rsidRPr="00534C93">
              <w:rPr>
                <w:sz w:val="22"/>
              </w:rPr>
              <w:t xml:space="preserve"> vai padomes loceklis sācis pildīt amata pienākumus līdz </w:t>
            </w:r>
            <w:r w:rsidRPr="00534C93">
              <w:rPr>
                <w:sz w:val="22"/>
                <w:u w:val="single"/>
              </w:rPr>
              <w:t>2022. gada 30. jūnijam</w:t>
            </w:r>
            <w:r w:rsidRPr="00534C93">
              <w:rPr>
                <w:sz w:val="22"/>
              </w:rPr>
              <w:t xml:space="preserve"> un turpina tos pildīt pēc šā datuma, viņa pilnvaru </w:t>
            </w:r>
            <w:r w:rsidRPr="00534C93">
              <w:rPr>
                <w:sz w:val="22"/>
                <w:u w:val="single"/>
              </w:rPr>
              <w:t>termiņš</w:t>
            </w:r>
            <w:r w:rsidRPr="00534C93">
              <w:rPr>
                <w:sz w:val="22"/>
              </w:rPr>
              <w:t xml:space="preserve"> tiek skaitīts no dienas, kad stājas spēkā Ministru kabineta rīkojums par viņa apstiprināšanu </w:t>
            </w:r>
            <w:r w:rsidRPr="00534C93">
              <w:rPr>
                <w:sz w:val="22"/>
                <w:u w:val="single"/>
              </w:rPr>
              <w:t>padomes priekšsēdētāja</w:t>
            </w:r>
            <w:r w:rsidRPr="00534C93">
              <w:rPr>
                <w:sz w:val="22"/>
              </w:rPr>
              <w:t xml:space="preserve"> vai padomes locekļa amatā.</w:t>
            </w:r>
          </w:p>
          <w:p w14:paraId="34EF3243" w14:textId="277AF28F" w:rsidR="0022718A" w:rsidRPr="00A87755" w:rsidRDefault="0022718A" w:rsidP="0022718A">
            <w:pPr>
              <w:suppressAutoHyphens/>
              <w:ind w:firstLine="567"/>
              <w:jc w:val="both"/>
              <w:rPr>
                <w:sz w:val="22"/>
              </w:rPr>
            </w:pPr>
            <w:r w:rsidRPr="00534C93">
              <w:rPr>
                <w:sz w:val="22"/>
              </w:rPr>
              <w:tab/>
              <w:t xml:space="preserve">19. Ministru kabinets veic nepieciešamās darbības, lai nodrošinātu, ka, sākot ar 2022. gada 1. jūliju, </w:t>
            </w:r>
            <w:r w:rsidRPr="00534C93">
              <w:rPr>
                <w:sz w:val="22"/>
                <w:u w:val="single"/>
              </w:rPr>
              <w:t>padomes sastāvā ir tās priekšsēdētājs</w:t>
            </w:r>
            <w:r w:rsidRPr="00534C93">
              <w:rPr>
                <w:sz w:val="22"/>
              </w:rPr>
              <w:t xml:space="preserve"> un četri padomes locekļi."</w:t>
            </w:r>
          </w:p>
        </w:tc>
        <w:tc>
          <w:tcPr>
            <w:tcW w:w="1418" w:type="dxa"/>
          </w:tcPr>
          <w:p w14:paraId="66883831" w14:textId="2731D0E4" w:rsidR="0022718A" w:rsidRPr="00A87755" w:rsidRDefault="0022718A" w:rsidP="0022718A">
            <w:pPr>
              <w:suppressAutoHyphens/>
              <w:ind w:firstLine="26"/>
              <w:jc w:val="both"/>
              <w:rPr>
                <w:sz w:val="22"/>
              </w:rPr>
            </w:pPr>
            <w:r>
              <w:rPr>
                <w:sz w:val="22"/>
              </w:rPr>
              <w:lastRenderedPageBreak/>
              <w:t>Atbalstīt</w:t>
            </w:r>
          </w:p>
        </w:tc>
        <w:tc>
          <w:tcPr>
            <w:tcW w:w="1418" w:type="dxa"/>
          </w:tcPr>
          <w:p w14:paraId="26492774" w14:textId="77777777" w:rsidR="0022718A" w:rsidRPr="00A87755" w:rsidRDefault="0022718A" w:rsidP="0022718A">
            <w:pPr>
              <w:suppressAutoHyphens/>
              <w:ind w:firstLine="567"/>
              <w:jc w:val="both"/>
              <w:rPr>
                <w:sz w:val="22"/>
              </w:rPr>
            </w:pPr>
          </w:p>
        </w:tc>
      </w:tr>
      <w:tr w:rsidR="0022718A" w:rsidRPr="00851702" w14:paraId="7696ABB4" w14:textId="5F7B4350" w:rsidTr="00534C93">
        <w:tc>
          <w:tcPr>
            <w:tcW w:w="3969" w:type="dxa"/>
            <w:shd w:val="clear" w:color="auto" w:fill="auto"/>
          </w:tcPr>
          <w:p w14:paraId="6108182F" w14:textId="7920AC27" w:rsidR="0022718A" w:rsidRPr="00F65DFC" w:rsidRDefault="0022718A" w:rsidP="0022718A">
            <w:pPr>
              <w:ind w:firstLine="567"/>
              <w:jc w:val="both"/>
              <w:rPr>
                <w:sz w:val="22"/>
              </w:rPr>
            </w:pPr>
          </w:p>
        </w:tc>
        <w:tc>
          <w:tcPr>
            <w:tcW w:w="3969" w:type="dxa"/>
            <w:shd w:val="clear" w:color="auto" w:fill="auto"/>
          </w:tcPr>
          <w:p w14:paraId="221E395D" w14:textId="77777777" w:rsidR="0022718A" w:rsidRPr="00A87755" w:rsidRDefault="0022718A" w:rsidP="0022718A">
            <w:pPr>
              <w:suppressAutoHyphens/>
              <w:ind w:firstLine="567"/>
              <w:jc w:val="both"/>
              <w:rPr>
                <w:sz w:val="22"/>
              </w:rPr>
            </w:pPr>
            <w:r w:rsidRPr="00A87755">
              <w:rPr>
                <w:sz w:val="22"/>
              </w:rPr>
              <w:t>Likums stājas spēkā 2022. gada 1. janvārī.</w:t>
            </w:r>
          </w:p>
          <w:p w14:paraId="0E949EA4" w14:textId="2BBFCDA6" w:rsidR="0022718A" w:rsidRPr="00BF276C" w:rsidRDefault="0022718A" w:rsidP="0022718A">
            <w:pPr>
              <w:suppressAutoHyphens/>
              <w:ind w:firstLine="567"/>
              <w:jc w:val="both"/>
              <w:rPr>
                <w:sz w:val="22"/>
              </w:rPr>
            </w:pPr>
          </w:p>
        </w:tc>
        <w:tc>
          <w:tcPr>
            <w:tcW w:w="567" w:type="dxa"/>
          </w:tcPr>
          <w:p w14:paraId="3A97E3D4" w14:textId="77777777" w:rsidR="0022718A" w:rsidRPr="00D117AD" w:rsidRDefault="0022718A" w:rsidP="0022718A">
            <w:pPr>
              <w:suppressAutoHyphens/>
              <w:jc w:val="center"/>
              <w:rPr>
                <w:b/>
                <w:sz w:val="22"/>
              </w:rPr>
            </w:pPr>
          </w:p>
        </w:tc>
        <w:tc>
          <w:tcPr>
            <w:tcW w:w="3969" w:type="dxa"/>
          </w:tcPr>
          <w:p w14:paraId="49F85A4B" w14:textId="77777777" w:rsidR="0022718A" w:rsidRPr="00A87755" w:rsidRDefault="0022718A" w:rsidP="0022718A">
            <w:pPr>
              <w:suppressAutoHyphens/>
              <w:ind w:firstLine="567"/>
              <w:jc w:val="both"/>
              <w:rPr>
                <w:sz w:val="22"/>
              </w:rPr>
            </w:pPr>
          </w:p>
        </w:tc>
        <w:tc>
          <w:tcPr>
            <w:tcW w:w="1418" w:type="dxa"/>
          </w:tcPr>
          <w:p w14:paraId="4ED8BE8A" w14:textId="77777777" w:rsidR="0022718A" w:rsidRPr="00A87755" w:rsidRDefault="0022718A" w:rsidP="0022718A">
            <w:pPr>
              <w:suppressAutoHyphens/>
              <w:ind w:firstLine="567"/>
              <w:jc w:val="both"/>
              <w:rPr>
                <w:sz w:val="22"/>
              </w:rPr>
            </w:pPr>
          </w:p>
        </w:tc>
        <w:tc>
          <w:tcPr>
            <w:tcW w:w="1418" w:type="dxa"/>
          </w:tcPr>
          <w:p w14:paraId="16D23A6B" w14:textId="77777777" w:rsidR="0022718A" w:rsidRPr="00A87755" w:rsidRDefault="0022718A" w:rsidP="0022718A">
            <w:pPr>
              <w:suppressAutoHyphens/>
              <w:ind w:firstLine="567"/>
              <w:jc w:val="both"/>
              <w:rPr>
                <w:sz w:val="22"/>
              </w:rPr>
            </w:pPr>
          </w:p>
        </w:tc>
      </w:tr>
    </w:tbl>
    <w:p w14:paraId="32DEE3F4" w14:textId="77777777"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EE3F7" w14:textId="77777777" w:rsidR="00AB6261" w:rsidRDefault="00AB6261">
      <w:r>
        <w:separator/>
      </w:r>
    </w:p>
  </w:endnote>
  <w:endnote w:type="continuationSeparator" w:id="0">
    <w:p w14:paraId="32DEE3F8" w14:textId="77777777" w:rsidR="00AB6261" w:rsidRDefault="00AB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E3F9" w14:textId="77777777"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EE3FA" w14:textId="77777777" w:rsidR="00511D34" w:rsidRDefault="000D71B3"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E3FB" w14:textId="3891CE51"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7AD">
      <w:rPr>
        <w:rStyle w:val="PageNumber"/>
        <w:noProof/>
      </w:rPr>
      <w:t>3</w:t>
    </w:r>
    <w:r>
      <w:rPr>
        <w:rStyle w:val="PageNumber"/>
      </w:rPr>
      <w:fldChar w:fldCharType="end"/>
    </w:r>
  </w:p>
  <w:p w14:paraId="32DEE3FC" w14:textId="77777777" w:rsidR="00511D34" w:rsidRDefault="000D71B3"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EE3F5" w14:textId="77777777" w:rsidR="00AB6261" w:rsidRDefault="00AB6261">
      <w:r>
        <w:separator/>
      </w:r>
    </w:p>
  </w:footnote>
  <w:footnote w:type="continuationSeparator" w:id="0">
    <w:p w14:paraId="32DEE3F6" w14:textId="77777777" w:rsidR="00AB6261" w:rsidRDefault="00AB6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C7A0A"/>
    <w:multiLevelType w:val="hybridMultilevel"/>
    <w:tmpl w:val="2DCEA2C6"/>
    <w:lvl w:ilvl="0" w:tplc="082AB598">
      <w:start w:val="1"/>
      <w:numFmt w:val="bullet"/>
      <w:lvlRestart w:val="0"/>
      <w:lvlText w:val=""/>
      <w:lvlJc w:val="left"/>
      <w:pPr>
        <w:ind w:left="0" w:firstLine="705"/>
      </w:pPr>
      <w:rPr>
        <w:u w:val="none"/>
      </w:rPr>
    </w:lvl>
    <w:lvl w:ilvl="1" w:tplc="409E7D36">
      <w:numFmt w:val="decimal"/>
      <w:lvlText w:val=""/>
      <w:lvlJc w:val="left"/>
    </w:lvl>
    <w:lvl w:ilvl="2" w:tplc="F59CEBAE">
      <w:numFmt w:val="decimal"/>
      <w:lvlText w:val=""/>
      <w:lvlJc w:val="left"/>
    </w:lvl>
    <w:lvl w:ilvl="3" w:tplc="2222F006">
      <w:numFmt w:val="decimal"/>
      <w:lvlText w:val=""/>
      <w:lvlJc w:val="left"/>
    </w:lvl>
    <w:lvl w:ilvl="4" w:tplc="B0A2A76E">
      <w:numFmt w:val="decimal"/>
      <w:lvlText w:val=""/>
      <w:lvlJc w:val="left"/>
    </w:lvl>
    <w:lvl w:ilvl="5" w:tplc="978EB66E">
      <w:numFmt w:val="decimal"/>
      <w:lvlText w:val=""/>
      <w:lvlJc w:val="left"/>
    </w:lvl>
    <w:lvl w:ilvl="6" w:tplc="4AF85F5C">
      <w:numFmt w:val="decimal"/>
      <w:lvlText w:val=""/>
      <w:lvlJc w:val="left"/>
    </w:lvl>
    <w:lvl w:ilvl="7" w:tplc="CD32906A">
      <w:numFmt w:val="decimal"/>
      <w:lvlText w:val=""/>
      <w:lvlJc w:val="left"/>
    </w:lvl>
    <w:lvl w:ilvl="8" w:tplc="D764D4C2">
      <w:numFmt w:val="decimal"/>
      <w:lvlText w:val=""/>
      <w:lvlJc w:val="left"/>
    </w:lvl>
  </w:abstractNum>
  <w:abstractNum w:abstractNumId="1" w15:restartNumberingAfterBreak="0">
    <w:nsid w:val="46626BD8"/>
    <w:multiLevelType w:val="hybridMultilevel"/>
    <w:tmpl w:val="2946B47C"/>
    <w:lvl w:ilvl="0" w:tplc="AEFA4C7C">
      <w:start w:val="1"/>
      <w:numFmt w:val="bullet"/>
      <w:lvlRestart w:val="0"/>
      <w:lvlText w:val=""/>
      <w:lvlJc w:val="left"/>
      <w:pPr>
        <w:ind w:left="0" w:firstLine="705"/>
      </w:pPr>
      <w:rPr>
        <w:u w:val="none"/>
      </w:rPr>
    </w:lvl>
    <w:lvl w:ilvl="1" w:tplc="84205A64">
      <w:numFmt w:val="decimal"/>
      <w:lvlText w:val=""/>
      <w:lvlJc w:val="left"/>
    </w:lvl>
    <w:lvl w:ilvl="2" w:tplc="44D634F4">
      <w:numFmt w:val="decimal"/>
      <w:lvlText w:val=""/>
      <w:lvlJc w:val="left"/>
    </w:lvl>
    <w:lvl w:ilvl="3" w:tplc="F162E59C">
      <w:numFmt w:val="decimal"/>
      <w:lvlText w:val=""/>
      <w:lvlJc w:val="left"/>
    </w:lvl>
    <w:lvl w:ilvl="4" w:tplc="4A702C54">
      <w:numFmt w:val="decimal"/>
      <w:lvlText w:val=""/>
      <w:lvlJc w:val="left"/>
    </w:lvl>
    <w:lvl w:ilvl="5" w:tplc="E6B2E6B4">
      <w:numFmt w:val="decimal"/>
      <w:lvlText w:val=""/>
      <w:lvlJc w:val="left"/>
    </w:lvl>
    <w:lvl w:ilvl="6" w:tplc="43F4679E">
      <w:numFmt w:val="decimal"/>
      <w:lvlText w:val=""/>
      <w:lvlJc w:val="left"/>
    </w:lvl>
    <w:lvl w:ilvl="7" w:tplc="B5BED236">
      <w:numFmt w:val="decimal"/>
      <w:lvlText w:val=""/>
      <w:lvlJc w:val="left"/>
    </w:lvl>
    <w:lvl w:ilvl="8" w:tplc="E4AC57A4">
      <w:numFmt w:val="decimal"/>
      <w:lvlText w:val=""/>
      <w:lvlJc w:val="left"/>
    </w:lvl>
  </w:abstractNum>
  <w:abstractNum w:abstractNumId="2" w15:restartNumberingAfterBreak="0">
    <w:nsid w:val="5FA2053A"/>
    <w:multiLevelType w:val="hybridMultilevel"/>
    <w:tmpl w:val="66F68A9C"/>
    <w:lvl w:ilvl="0" w:tplc="1108AD98">
      <w:start w:val="1"/>
      <w:numFmt w:val="bullet"/>
      <w:lvlRestart w:val="0"/>
      <w:lvlText w:val=""/>
      <w:lvlJc w:val="left"/>
      <w:pPr>
        <w:ind w:left="0" w:firstLine="705"/>
      </w:pPr>
      <w:rPr>
        <w:u w:val="none"/>
      </w:rPr>
    </w:lvl>
    <w:lvl w:ilvl="1" w:tplc="10DE68BC">
      <w:numFmt w:val="decimal"/>
      <w:lvlText w:val=""/>
      <w:lvlJc w:val="left"/>
    </w:lvl>
    <w:lvl w:ilvl="2" w:tplc="906261B4">
      <w:numFmt w:val="decimal"/>
      <w:lvlText w:val=""/>
      <w:lvlJc w:val="left"/>
    </w:lvl>
    <w:lvl w:ilvl="3" w:tplc="CADCE14A">
      <w:numFmt w:val="decimal"/>
      <w:lvlText w:val=""/>
      <w:lvlJc w:val="left"/>
    </w:lvl>
    <w:lvl w:ilvl="4" w:tplc="55B8085E">
      <w:numFmt w:val="decimal"/>
      <w:lvlText w:val=""/>
      <w:lvlJc w:val="left"/>
    </w:lvl>
    <w:lvl w:ilvl="5" w:tplc="7C64A6CE">
      <w:numFmt w:val="decimal"/>
      <w:lvlText w:val=""/>
      <w:lvlJc w:val="left"/>
    </w:lvl>
    <w:lvl w:ilvl="6" w:tplc="A03CC218">
      <w:numFmt w:val="decimal"/>
      <w:lvlText w:val=""/>
      <w:lvlJc w:val="left"/>
    </w:lvl>
    <w:lvl w:ilvl="7" w:tplc="9D2E6146">
      <w:numFmt w:val="decimal"/>
      <w:lvlText w:val=""/>
      <w:lvlJc w:val="left"/>
    </w:lvl>
    <w:lvl w:ilvl="8" w:tplc="2E805904">
      <w:numFmt w:val="decimal"/>
      <w:lvlText w:val=""/>
      <w:lvlJc w:val="left"/>
    </w:lvl>
  </w:abstractNum>
  <w:abstractNum w:abstractNumId="3" w15:restartNumberingAfterBreak="0">
    <w:nsid w:val="6335301C"/>
    <w:multiLevelType w:val="hybridMultilevel"/>
    <w:tmpl w:val="3E7C807E"/>
    <w:lvl w:ilvl="0" w:tplc="3C7257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C7A630C"/>
    <w:multiLevelType w:val="hybridMultilevel"/>
    <w:tmpl w:val="2702D2B6"/>
    <w:lvl w:ilvl="0" w:tplc="1722F5AE">
      <w:start w:val="1"/>
      <w:numFmt w:val="bullet"/>
      <w:lvlRestart w:val="0"/>
      <w:lvlText w:val=""/>
      <w:lvlJc w:val="left"/>
      <w:pPr>
        <w:ind w:left="0" w:firstLine="705"/>
      </w:pPr>
      <w:rPr>
        <w:u w:val="none"/>
      </w:rPr>
    </w:lvl>
    <w:lvl w:ilvl="1" w:tplc="BE80AADE">
      <w:numFmt w:val="decimal"/>
      <w:lvlText w:val=""/>
      <w:lvlJc w:val="left"/>
    </w:lvl>
    <w:lvl w:ilvl="2" w:tplc="BC7A4CFE">
      <w:numFmt w:val="decimal"/>
      <w:lvlText w:val=""/>
      <w:lvlJc w:val="left"/>
    </w:lvl>
    <w:lvl w:ilvl="3" w:tplc="2F5431DA">
      <w:numFmt w:val="decimal"/>
      <w:lvlText w:val=""/>
      <w:lvlJc w:val="left"/>
    </w:lvl>
    <w:lvl w:ilvl="4" w:tplc="017661D4">
      <w:numFmt w:val="decimal"/>
      <w:lvlText w:val=""/>
      <w:lvlJc w:val="left"/>
    </w:lvl>
    <w:lvl w:ilvl="5" w:tplc="75908E48">
      <w:numFmt w:val="decimal"/>
      <w:lvlText w:val=""/>
      <w:lvlJc w:val="left"/>
    </w:lvl>
    <w:lvl w:ilvl="6" w:tplc="E8C0A5BA">
      <w:numFmt w:val="decimal"/>
      <w:lvlText w:val=""/>
      <w:lvlJc w:val="left"/>
    </w:lvl>
    <w:lvl w:ilvl="7" w:tplc="40542362">
      <w:numFmt w:val="decimal"/>
      <w:lvlText w:val=""/>
      <w:lvlJc w:val="left"/>
    </w:lvl>
    <w:lvl w:ilvl="8" w:tplc="E9D0894C">
      <w:numFmt w:val="decimal"/>
      <w:lvlText w:val=""/>
      <w:lvlJc w:val="left"/>
    </w:lvl>
  </w:abstractNum>
  <w:abstractNum w:abstractNumId="5"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1104C4"/>
    <w:multiLevelType w:val="hybridMultilevel"/>
    <w:tmpl w:val="A02E7494"/>
    <w:lvl w:ilvl="0" w:tplc="0BB8F8DC">
      <w:start w:val="4"/>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16"/>
    <w:rsid w:val="00000209"/>
    <w:rsid w:val="00006192"/>
    <w:rsid w:val="00011E6B"/>
    <w:rsid w:val="00020F85"/>
    <w:rsid w:val="000426CA"/>
    <w:rsid w:val="00046CB8"/>
    <w:rsid w:val="00052EAB"/>
    <w:rsid w:val="00055329"/>
    <w:rsid w:val="00064EEB"/>
    <w:rsid w:val="000717D3"/>
    <w:rsid w:val="00072FA9"/>
    <w:rsid w:val="00074B12"/>
    <w:rsid w:val="000816DA"/>
    <w:rsid w:val="00096E2C"/>
    <w:rsid w:val="000A3BEA"/>
    <w:rsid w:val="000B107C"/>
    <w:rsid w:val="000B4129"/>
    <w:rsid w:val="000B5DFB"/>
    <w:rsid w:val="000D33FE"/>
    <w:rsid w:val="000D71B3"/>
    <w:rsid w:val="000E00C4"/>
    <w:rsid w:val="000E159B"/>
    <w:rsid w:val="000E2107"/>
    <w:rsid w:val="000E4D0C"/>
    <w:rsid w:val="000F7092"/>
    <w:rsid w:val="001008F0"/>
    <w:rsid w:val="00102F49"/>
    <w:rsid w:val="00104FCF"/>
    <w:rsid w:val="001179C1"/>
    <w:rsid w:val="00123F63"/>
    <w:rsid w:val="00132BC5"/>
    <w:rsid w:val="0013740E"/>
    <w:rsid w:val="001508A1"/>
    <w:rsid w:val="00155698"/>
    <w:rsid w:val="0015589F"/>
    <w:rsid w:val="0016168C"/>
    <w:rsid w:val="00165372"/>
    <w:rsid w:val="00183079"/>
    <w:rsid w:val="0019678E"/>
    <w:rsid w:val="0019735C"/>
    <w:rsid w:val="001A7561"/>
    <w:rsid w:val="001B4987"/>
    <w:rsid w:val="001E1C46"/>
    <w:rsid w:val="001E7B89"/>
    <w:rsid w:val="001F548E"/>
    <w:rsid w:val="001F5D02"/>
    <w:rsid w:val="0020092F"/>
    <w:rsid w:val="00210D53"/>
    <w:rsid w:val="0021151F"/>
    <w:rsid w:val="0022488C"/>
    <w:rsid w:val="0022718A"/>
    <w:rsid w:val="002317A4"/>
    <w:rsid w:val="00233759"/>
    <w:rsid w:val="00265EF2"/>
    <w:rsid w:val="0027199F"/>
    <w:rsid w:val="0029588D"/>
    <w:rsid w:val="00296180"/>
    <w:rsid w:val="002A5C86"/>
    <w:rsid w:val="002B16C4"/>
    <w:rsid w:val="002C5F5C"/>
    <w:rsid w:val="002C76C3"/>
    <w:rsid w:val="002D05FD"/>
    <w:rsid w:val="002E317B"/>
    <w:rsid w:val="00303D58"/>
    <w:rsid w:val="0031044C"/>
    <w:rsid w:val="00317E4C"/>
    <w:rsid w:val="003446BF"/>
    <w:rsid w:val="00351037"/>
    <w:rsid w:val="003547D1"/>
    <w:rsid w:val="0035548E"/>
    <w:rsid w:val="00356D43"/>
    <w:rsid w:val="003572D6"/>
    <w:rsid w:val="00361FF6"/>
    <w:rsid w:val="0036461C"/>
    <w:rsid w:val="00366B5C"/>
    <w:rsid w:val="00375203"/>
    <w:rsid w:val="00375471"/>
    <w:rsid w:val="00376DB7"/>
    <w:rsid w:val="00382399"/>
    <w:rsid w:val="00382F1D"/>
    <w:rsid w:val="00386D2A"/>
    <w:rsid w:val="003A0935"/>
    <w:rsid w:val="003A34B5"/>
    <w:rsid w:val="003A3FDF"/>
    <w:rsid w:val="003B1A5F"/>
    <w:rsid w:val="003B4F80"/>
    <w:rsid w:val="003C26D8"/>
    <w:rsid w:val="003D05F6"/>
    <w:rsid w:val="003D4D14"/>
    <w:rsid w:val="003E236C"/>
    <w:rsid w:val="003F13E9"/>
    <w:rsid w:val="003F248F"/>
    <w:rsid w:val="003F255F"/>
    <w:rsid w:val="003F30F6"/>
    <w:rsid w:val="003F375E"/>
    <w:rsid w:val="00400014"/>
    <w:rsid w:val="00400CE7"/>
    <w:rsid w:val="00405A5F"/>
    <w:rsid w:val="00413707"/>
    <w:rsid w:val="0041387C"/>
    <w:rsid w:val="004433B5"/>
    <w:rsid w:val="00443D42"/>
    <w:rsid w:val="00457779"/>
    <w:rsid w:val="00465888"/>
    <w:rsid w:val="004677A4"/>
    <w:rsid w:val="00467954"/>
    <w:rsid w:val="004743F5"/>
    <w:rsid w:val="0048560A"/>
    <w:rsid w:val="004B4F59"/>
    <w:rsid w:val="004C733D"/>
    <w:rsid w:val="004E1D36"/>
    <w:rsid w:val="004F08E0"/>
    <w:rsid w:val="004F4938"/>
    <w:rsid w:val="004F4FB6"/>
    <w:rsid w:val="004F7ABB"/>
    <w:rsid w:val="00504A68"/>
    <w:rsid w:val="00513F7B"/>
    <w:rsid w:val="0053133B"/>
    <w:rsid w:val="00534C93"/>
    <w:rsid w:val="005374E5"/>
    <w:rsid w:val="00572523"/>
    <w:rsid w:val="005755D6"/>
    <w:rsid w:val="00576E16"/>
    <w:rsid w:val="005975E5"/>
    <w:rsid w:val="005A56B8"/>
    <w:rsid w:val="005B4453"/>
    <w:rsid w:val="005B4AE9"/>
    <w:rsid w:val="005D37BB"/>
    <w:rsid w:val="005E0126"/>
    <w:rsid w:val="005E1CB0"/>
    <w:rsid w:val="005E3343"/>
    <w:rsid w:val="005E54AA"/>
    <w:rsid w:val="00604032"/>
    <w:rsid w:val="00606DBE"/>
    <w:rsid w:val="0061617B"/>
    <w:rsid w:val="0061795F"/>
    <w:rsid w:val="00617B54"/>
    <w:rsid w:val="00620D2C"/>
    <w:rsid w:val="00626465"/>
    <w:rsid w:val="00632DD9"/>
    <w:rsid w:val="006356C8"/>
    <w:rsid w:val="006432DE"/>
    <w:rsid w:val="00653AA9"/>
    <w:rsid w:val="006619AD"/>
    <w:rsid w:val="006633D1"/>
    <w:rsid w:val="006636DF"/>
    <w:rsid w:val="00671932"/>
    <w:rsid w:val="00673591"/>
    <w:rsid w:val="00681536"/>
    <w:rsid w:val="00696369"/>
    <w:rsid w:val="006A2FCC"/>
    <w:rsid w:val="006B67DE"/>
    <w:rsid w:val="006B7EEA"/>
    <w:rsid w:val="006C0E36"/>
    <w:rsid w:val="006C7328"/>
    <w:rsid w:val="006E098F"/>
    <w:rsid w:val="00700753"/>
    <w:rsid w:val="00720428"/>
    <w:rsid w:val="00720B41"/>
    <w:rsid w:val="007332F2"/>
    <w:rsid w:val="00746C61"/>
    <w:rsid w:val="007529E6"/>
    <w:rsid w:val="00770F0C"/>
    <w:rsid w:val="00772DD6"/>
    <w:rsid w:val="00781EAD"/>
    <w:rsid w:val="007851E1"/>
    <w:rsid w:val="00786EC7"/>
    <w:rsid w:val="0078718D"/>
    <w:rsid w:val="0079145E"/>
    <w:rsid w:val="00793199"/>
    <w:rsid w:val="007A1AF4"/>
    <w:rsid w:val="007A340C"/>
    <w:rsid w:val="007A3FFC"/>
    <w:rsid w:val="007A59BC"/>
    <w:rsid w:val="007A699D"/>
    <w:rsid w:val="007C4AB6"/>
    <w:rsid w:val="007D0FF4"/>
    <w:rsid w:val="007D2484"/>
    <w:rsid w:val="007E2C08"/>
    <w:rsid w:val="008145B9"/>
    <w:rsid w:val="00825529"/>
    <w:rsid w:val="008353AD"/>
    <w:rsid w:val="0084288E"/>
    <w:rsid w:val="00851702"/>
    <w:rsid w:val="008555DD"/>
    <w:rsid w:val="00855FEF"/>
    <w:rsid w:val="00870F8A"/>
    <w:rsid w:val="0087454D"/>
    <w:rsid w:val="00876AD8"/>
    <w:rsid w:val="008776DB"/>
    <w:rsid w:val="00883733"/>
    <w:rsid w:val="00883897"/>
    <w:rsid w:val="00884683"/>
    <w:rsid w:val="008954B7"/>
    <w:rsid w:val="008A2A30"/>
    <w:rsid w:val="008B41FB"/>
    <w:rsid w:val="008B6968"/>
    <w:rsid w:val="008C3CD9"/>
    <w:rsid w:val="008C4DF6"/>
    <w:rsid w:val="008D0FC9"/>
    <w:rsid w:val="008E3A44"/>
    <w:rsid w:val="008F1D5F"/>
    <w:rsid w:val="008F244E"/>
    <w:rsid w:val="008F2D0D"/>
    <w:rsid w:val="008F6628"/>
    <w:rsid w:val="00903E38"/>
    <w:rsid w:val="009074E6"/>
    <w:rsid w:val="0093694D"/>
    <w:rsid w:val="00940883"/>
    <w:rsid w:val="0094485C"/>
    <w:rsid w:val="0094696A"/>
    <w:rsid w:val="00953442"/>
    <w:rsid w:val="009558A2"/>
    <w:rsid w:val="009636A8"/>
    <w:rsid w:val="0096593E"/>
    <w:rsid w:val="0098171D"/>
    <w:rsid w:val="00982469"/>
    <w:rsid w:val="009A3D9C"/>
    <w:rsid w:val="009A52CF"/>
    <w:rsid w:val="009B0367"/>
    <w:rsid w:val="009B08A6"/>
    <w:rsid w:val="009B0A7F"/>
    <w:rsid w:val="009B21A4"/>
    <w:rsid w:val="009B729D"/>
    <w:rsid w:val="009B7F3C"/>
    <w:rsid w:val="009C281E"/>
    <w:rsid w:val="009C2B01"/>
    <w:rsid w:val="009D0BAE"/>
    <w:rsid w:val="009D4684"/>
    <w:rsid w:val="009D7372"/>
    <w:rsid w:val="009E5BB4"/>
    <w:rsid w:val="009E626C"/>
    <w:rsid w:val="009E7CF0"/>
    <w:rsid w:val="009F1889"/>
    <w:rsid w:val="00A0560D"/>
    <w:rsid w:val="00A100C9"/>
    <w:rsid w:val="00A12DA1"/>
    <w:rsid w:val="00A169B5"/>
    <w:rsid w:val="00A400CF"/>
    <w:rsid w:val="00A41DCD"/>
    <w:rsid w:val="00A55C5F"/>
    <w:rsid w:val="00A655B9"/>
    <w:rsid w:val="00A759A7"/>
    <w:rsid w:val="00A801CC"/>
    <w:rsid w:val="00A87755"/>
    <w:rsid w:val="00A95368"/>
    <w:rsid w:val="00AA01E7"/>
    <w:rsid w:val="00AA1600"/>
    <w:rsid w:val="00AA41F7"/>
    <w:rsid w:val="00AA7863"/>
    <w:rsid w:val="00AB1FE4"/>
    <w:rsid w:val="00AB3A14"/>
    <w:rsid w:val="00AB6261"/>
    <w:rsid w:val="00AD0025"/>
    <w:rsid w:val="00AE05F9"/>
    <w:rsid w:val="00B12903"/>
    <w:rsid w:val="00B14AB9"/>
    <w:rsid w:val="00B14E2C"/>
    <w:rsid w:val="00B27DA4"/>
    <w:rsid w:val="00B33F56"/>
    <w:rsid w:val="00B340C2"/>
    <w:rsid w:val="00B6215C"/>
    <w:rsid w:val="00B6582A"/>
    <w:rsid w:val="00B712D1"/>
    <w:rsid w:val="00B7430C"/>
    <w:rsid w:val="00B74AE3"/>
    <w:rsid w:val="00B84EF7"/>
    <w:rsid w:val="00B86BB3"/>
    <w:rsid w:val="00B87376"/>
    <w:rsid w:val="00B9149D"/>
    <w:rsid w:val="00BA6772"/>
    <w:rsid w:val="00BC08DD"/>
    <w:rsid w:val="00BC28EA"/>
    <w:rsid w:val="00BC3C78"/>
    <w:rsid w:val="00BC6DFF"/>
    <w:rsid w:val="00BD0C66"/>
    <w:rsid w:val="00BD16A7"/>
    <w:rsid w:val="00BD2CDF"/>
    <w:rsid w:val="00BE4D1F"/>
    <w:rsid w:val="00BF0203"/>
    <w:rsid w:val="00BF09C0"/>
    <w:rsid w:val="00BF1E57"/>
    <w:rsid w:val="00BF276C"/>
    <w:rsid w:val="00C004FC"/>
    <w:rsid w:val="00C115D0"/>
    <w:rsid w:val="00C127F1"/>
    <w:rsid w:val="00C17839"/>
    <w:rsid w:val="00C324B1"/>
    <w:rsid w:val="00C34CF9"/>
    <w:rsid w:val="00C55326"/>
    <w:rsid w:val="00C554EE"/>
    <w:rsid w:val="00C57F6E"/>
    <w:rsid w:val="00C62C71"/>
    <w:rsid w:val="00C74443"/>
    <w:rsid w:val="00C757AA"/>
    <w:rsid w:val="00C83BEB"/>
    <w:rsid w:val="00C868D3"/>
    <w:rsid w:val="00CA5347"/>
    <w:rsid w:val="00CB1DC1"/>
    <w:rsid w:val="00CB5CE2"/>
    <w:rsid w:val="00CD32BD"/>
    <w:rsid w:val="00CD5E12"/>
    <w:rsid w:val="00CD5FC9"/>
    <w:rsid w:val="00CF2763"/>
    <w:rsid w:val="00D011AD"/>
    <w:rsid w:val="00D03806"/>
    <w:rsid w:val="00D117AD"/>
    <w:rsid w:val="00D4342B"/>
    <w:rsid w:val="00D513AD"/>
    <w:rsid w:val="00D65E06"/>
    <w:rsid w:val="00D664C1"/>
    <w:rsid w:val="00D665E0"/>
    <w:rsid w:val="00D7094B"/>
    <w:rsid w:val="00D72D9F"/>
    <w:rsid w:val="00D74397"/>
    <w:rsid w:val="00D769C5"/>
    <w:rsid w:val="00D84175"/>
    <w:rsid w:val="00D85517"/>
    <w:rsid w:val="00D90147"/>
    <w:rsid w:val="00D9205B"/>
    <w:rsid w:val="00D92108"/>
    <w:rsid w:val="00DA2307"/>
    <w:rsid w:val="00DA6A48"/>
    <w:rsid w:val="00DC2434"/>
    <w:rsid w:val="00DC7C2D"/>
    <w:rsid w:val="00DE1744"/>
    <w:rsid w:val="00DE4D1D"/>
    <w:rsid w:val="00DE6C36"/>
    <w:rsid w:val="00DF71FD"/>
    <w:rsid w:val="00E0312B"/>
    <w:rsid w:val="00E10283"/>
    <w:rsid w:val="00E2277A"/>
    <w:rsid w:val="00E23276"/>
    <w:rsid w:val="00E26686"/>
    <w:rsid w:val="00E30D2D"/>
    <w:rsid w:val="00E33285"/>
    <w:rsid w:val="00E44E0B"/>
    <w:rsid w:val="00E46724"/>
    <w:rsid w:val="00E5223E"/>
    <w:rsid w:val="00E528EE"/>
    <w:rsid w:val="00E71869"/>
    <w:rsid w:val="00E9681F"/>
    <w:rsid w:val="00E96962"/>
    <w:rsid w:val="00EA007C"/>
    <w:rsid w:val="00EA52E1"/>
    <w:rsid w:val="00EA5739"/>
    <w:rsid w:val="00EB0501"/>
    <w:rsid w:val="00EB218E"/>
    <w:rsid w:val="00EB6866"/>
    <w:rsid w:val="00EB6E7D"/>
    <w:rsid w:val="00EC3568"/>
    <w:rsid w:val="00EC3FEB"/>
    <w:rsid w:val="00EC4586"/>
    <w:rsid w:val="00EE52E4"/>
    <w:rsid w:val="00EF0958"/>
    <w:rsid w:val="00F03DBC"/>
    <w:rsid w:val="00F04F02"/>
    <w:rsid w:val="00F10578"/>
    <w:rsid w:val="00F11B45"/>
    <w:rsid w:val="00F20C25"/>
    <w:rsid w:val="00F35401"/>
    <w:rsid w:val="00F36723"/>
    <w:rsid w:val="00F36B31"/>
    <w:rsid w:val="00F41481"/>
    <w:rsid w:val="00F5084C"/>
    <w:rsid w:val="00F51CF1"/>
    <w:rsid w:val="00F63B70"/>
    <w:rsid w:val="00F65DFC"/>
    <w:rsid w:val="00F6603B"/>
    <w:rsid w:val="00F823B4"/>
    <w:rsid w:val="00F82E0A"/>
    <w:rsid w:val="00F95B9E"/>
    <w:rsid w:val="00F95E0B"/>
    <w:rsid w:val="00F97FB5"/>
    <w:rsid w:val="00FA4FDD"/>
    <w:rsid w:val="00FB01D5"/>
    <w:rsid w:val="00FC3F53"/>
    <w:rsid w:val="00FE50B9"/>
    <w:rsid w:val="00FF40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E38D"/>
  <w15:docId w15:val="{90D65D68-BB86-4DAD-AA72-0EEA2B68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character" w:customStyle="1" w:styleId="UnresolvedMention1">
    <w:name w:val="Unresolved Mention1"/>
    <w:basedOn w:val="DefaultParagraphFont"/>
    <w:uiPriority w:val="99"/>
    <w:semiHidden/>
    <w:unhideWhenUsed/>
    <w:rsid w:val="004B4F59"/>
    <w:rPr>
      <w:color w:val="605E5C"/>
      <w:shd w:val="clear" w:color="auto" w:fill="E1DFDD"/>
    </w:rPr>
  </w:style>
  <w:style w:type="paragraph" w:styleId="BalloonText">
    <w:name w:val="Balloon Text"/>
    <w:basedOn w:val="Normal"/>
    <w:link w:val="BalloonTextChar"/>
    <w:uiPriority w:val="99"/>
    <w:semiHidden/>
    <w:unhideWhenUsed/>
    <w:rsid w:val="000D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794">
      <w:bodyDiv w:val="1"/>
      <w:marLeft w:val="0"/>
      <w:marRight w:val="0"/>
      <w:marTop w:val="0"/>
      <w:marBottom w:val="0"/>
      <w:divBdr>
        <w:top w:val="none" w:sz="0" w:space="0" w:color="auto"/>
        <w:left w:val="none" w:sz="0" w:space="0" w:color="auto"/>
        <w:bottom w:val="none" w:sz="0" w:space="0" w:color="auto"/>
        <w:right w:val="none" w:sz="0" w:space="0" w:color="auto"/>
      </w:divBdr>
    </w:div>
    <w:div w:id="17969352">
      <w:bodyDiv w:val="1"/>
      <w:marLeft w:val="0"/>
      <w:marRight w:val="0"/>
      <w:marTop w:val="0"/>
      <w:marBottom w:val="0"/>
      <w:divBdr>
        <w:top w:val="none" w:sz="0" w:space="0" w:color="auto"/>
        <w:left w:val="none" w:sz="0" w:space="0" w:color="auto"/>
        <w:bottom w:val="none" w:sz="0" w:space="0" w:color="auto"/>
        <w:right w:val="none" w:sz="0" w:space="0" w:color="auto"/>
      </w:divBdr>
    </w:div>
    <w:div w:id="44718272">
      <w:bodyDiv w:val="1"/>
      <w:marLeft w:val="0"/>
      <w:marRight w:val="0"/>
      <w:marTop w:val="0"/>
      <w:marBottom w:val="0"/>
      <w:divBdr>
        <w:top w:val="none" w:sz="0" w:space="0" w:color="auto"/>
        <w:left w:val="none" w:sz="0" w:space="0" w:color="auto"/>
        <w:bottom w:val="none" w:sz="0" w:space="0" w:color="auto"/>
        <w:right w:val="none" w:sz="0" w:space="0" w:color="auto"/>
      </w:divBdr>
    </w:div>
    <w:div w:id="51268804">
      <w:bodyDiv w:val="1"/>
      <w:marLeft w:val="0"/>
      <w:marRight w:val="0"/>
      <w:marTop w:val="0"/>
      <w:marBottom w:val="0"/>
      <w:divBdr>
        <w:top w:val="none" w:sz="0" w:space="0" w:color="auto"/>
        <w:left w:val="none" w:sz="0" w:space="0" w:color="auto"/>
        <w:bottom w:val="none" w:sz="0" w:space="0" w:color="auto"/>
        <w:right w:val="none" w:sz="0" w:space="0" w:color="auto"/>
      </w:divBdr>
    </w:div>
    <w:div w:id="54209413">
      <w:bodyDiv w:val="1"/>
      <w:marLeft w:val="0"/>
      <w:marRight w:val="0"/>
      <w:marTop w:val="0"/>
      <w:marBottom w:val="0"/>
      <w:divBdr>
        <w:top w:val="none" w:sz="0" w:space="0" w:color="auto"/>
        <w:left w:val="none" w:sz="0" w:space="0" w:color="auto"/>
        <w:bottom w:val="none" w:sz="0" w:space="0" w:color="auto"/>
        <w:right w:val="none" w:sz="0" w:space="0" w:color="auto"/>
      </w:divBdr>
    </w:div>
    <w:div w:id="62223212">
      <w:bodyDiv w:val="1"/>
      <w:marLeft w:val="0"/>
      <w:marRight w:val="0"/>
      <w:marTop w:val="0"/>
      <w:marBottom w:val="0"/>
      <w:divBdr>
        <w:top w:val="none" w:sz="0" w:space="0" w:color="auto"/>
        <w:left w:val="none" w:sz="0" w:space="0" w:color="auto"/>
        <w:bottom w:val="none" w:sz="0" w:space="0" w:color="auto"/>
        <w:right w:val="none" w:sz="0" w:space="0" w:color="auto"/>
      </w:divBdr>
    </w:div>
    <w:div w:id="106122012">
      <w:bodyDiv w:val="1"/>
      <w:marLeft w:val="0"/>
      <w:marRight w:val="0"/>
      <w:marTop w:val="0"/>
      <w:marBottom w:val="0"/>
      <w:divBdr>
        <w:top w:val="none" w:sz="0" w:space="0" w:color="auto"/>
        <w:left w:val="none" w:sz="0" w:space="0" w:color="auto"/>
        <w:bottom w:val="none" w:sz="0" w:space="0" w:color="auto"/>
        <w:right w:val="none" w:sz="0" w:space="0" w:color="auto"/>
      </w:divBdr>
    </w:div>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39537440">
      <w:bodyDiv w:val="1"/>
      <w:marLeft w:val="0"/>
      <w:marRight w:val="0"/>
      <w:marTop w:val="0"/>
      <w:marBottom w:val="0"/>
      <w:divBdr>
        <w:top w:val="none" w:sz="0" w:space="0" w:color="auto"/>
        <w:left w:val="none" w:sz="0" w:space="0" w:color="auto"/>
        <w:bottom w:val="none" w:sz="0" w:space="0" w:color="auto"/>
        <w:right w:val="none" w:sz="0" w:space="0" w:color="auto"/>
      </w:divBdr>
    </w:div>
    <w:div w:id="142814211">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289240137">
      <w:bodyDiv w:val="1"/>
      <w:marLeft w:val="0"/>
      <w:marRight w:val="0"/>
      <w:marTop w:val="0"/>
      <w:marBottom w:val="0"/>
      <w:divBdr>
        <w:top w:val="none" w:sz="0" w:space="0" w:color="auto"/>
        <w:left w:val="none" w:sz="0" w:space="0" w:color="auto"/>
        <w:bottom w:val="none" w:sz="0" w:space="0" w:color="auto"/>
        <w:right w:val="none" w:sz="0" w:space="0" w:color="auto"/>
      </w:divBdr>
    </w:div>
    <w:div w:id="307251066">
      <w:bodyDiv w:val="1"/>
      <w:marLeft w:val="0"/>
      <w:marRight w:val="0"/>
      <w:marTop w:val="0"/>
      <w:marBottom w:val="0"/>
      <w:divBdr>
        <w:top w:val="none" w:sz="0" w:space="0" w:color="auto"/>
        <w:left w:val="none" w:sz="0" w:space="0" w:color="auto"/>
        <w:bottom w:val="none" w:sz="0" w:space="0" w:color="auto"/>
        <w:right w:val="none" w:sz="0" w:space="0" w:color="auto"/>
      </w:divBdr>
    </w:div>
    <w:div w:id="322323173">
      <w:bodyDiv w:val="1"/>
      <w:marLeft w:val="0"/>
      <w:marRight w:val="0"/>
      <w:marTop w:val="0"/>
      <w:marBottom w:val="0"/>
      <w:divBdr>
        <w:top w:val="none" w:sz="0" w:space="0" w:color="auto"/>
        <w:left w:val="none" w:sz="0" w:space="0" w:color="auto"/>
        <w:bottom w:val="none" w:sz="0" w:space="0" w:color="auto"/>
        <w:right w:val="none" w:sz="0" w:space="0" w:color="auto"/>
      </w:divBdr>
    </w:div>
    <w:div w:id="323435745">
      <w:bodyDiv w:val="1"/>
      <w:marLeft w:val="0"/>
      <w:marRight w:val="0"/>
      <w:marTop w:val="0"/>
      <w:marBottom w:val="0"/>
      <w:divBdr>
        <w:top w:val="none" w:sz="0" w:space="0" w:color="auto"/>
        <w:left w:val="none" w:sz="0" w:space="0" w:color="auto"/>
        <w:bottom w:val="none" w:sz="0" w:space="0" w:color="auto"/>
        <w:right w:val="none" w:sz="0" w:space="0" w:color="auto"/>
      </w:divBdr>
    </w:div>
    <w:div w:id="327098081">
      <w:bodyDiv w:val="1"/>
      <w:marLeft w:val="0"/>
      <w:marRight w:val="0"/>
      <w:marTop w:val="0"/>
      <w:marBottom w:val="0"/>
      <w:divBdr>
        <w:top w:val="none" w:sz="0" w:space="0" w:color="auto"/>
        <w:left w:val="none" w:sz="0" w:space="0" w:color="auto"/>
        <w:bottom w:val="none" w:sz="0" w:space="0" w:color="auto"/>
        <w:right w:val="none" w:sz="0" w:space="0" w:color="auto"/>
      </w:divBdr>
    </w:div>
    <w:div w:id="374812884">
      <w:bodyDiv w:val="1"/>
      <w:marLeft w:val="0"/>
      <w:marRight w:val="0"/>
      <w:marTop w:val="0"/>
      <w:marBottom w:val="0"/>
      <w:divBdr>
        <w:top w:val="none" w:sz="0" w:space="0" w:color="auto"/>
        <w:left w:val="none" w:sz="0" w:space="0" w:color="auto"/>
        <w:bottom w:val="none" w:sz="0" w:space="0" w:color="auto"/>
        <w:right w:val="none" w:sz="0" w:space="0" w:color="auto"/>
      </w:divBdr>
    </w:div>
    <w:div w:id="378630719">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41800537">
      <w:bodyDiv w:val="1"/>
      <w:marLeft w:val="0"/>
      <w:marRight w:val="0"/>
      <w:marTop w:val="0"/>
      <w:marBottom w:val="0"/>
      <w:divBdr>
        <w:top w:val="none" w:sz="0" w:space="0" w:color="auto"/>
        <w:left w:val="none" w:sz="0" w:space="0" w:color="auto"/>
        <w:bottom w:val="none" w:sz="0" w:space="0" w:color="auto"/>
        <w:right w:val="none" w:sz="0" w:space="0" w:color="auto"/>
      </w:divBdr>
    </w:div>
    <w:div w:id="487863103">
      <w:bodyDiv w:val="1"/>
      <w:marLeft w:val="0"/>
      <w:marRight w:val="0"/>
      <w:marTop w:val="0"/>
      <w:marBottom w:val="0"/>
      <w:divBdr>
        <w:top w:val="none" w:sz="0" w:space="0" w:color="auto"/>
        <w:left w:val="none" w:sz="0" w:space="0" w:color="auto"/>
        <w:bottom w:val="none" w:sz="0" w:space="0" w:color="auto"/>
        <w:right w:val="none" w:sz="0" w:space="0" w:color="auto"/>
      </w:divBdr>
    </w:div>
    <w:div w:id="505636830">
      <w:bodyDiv w:val="1"/>
      <w:marLeft w:val="0"/>
      <w:marRight w:val="0"/>
      <w:marTop w:val="0"/>
      <w:marBottom w:val="0"/>
      <w:divBdr>
        <w:top w:val="none" w:sz="0" w:space="0" w:color="auto"/>
        <w:left w:val="none" w:sz="0" w:space="0" w:color="auto"/>
        <w:bottom w:val="none" w:sz="0" w:space="0" w:color="auto"/>
        <w:right w:val="none" w:sz="0" w:space="0" w:color="auto"/>
      </w:divBdr>
    </w:div>
    <w:div w:id="513107218">
      <w:bodyDiv w:val="1"/>
      <w:marLeft w:val="0"/>
      <w:marRight w:val="0"/>
      <w:marTop w:val="0"/>
      <w:marBottom w:val="0"/>
      <w:divBdr>
        <w:top w:val="none" w:sz="0" w:space="0" w:color="auto"/>
        <w:left w:val="none" w:sz="0" w:space="0" w:color="auto"/>
        <w:bottom w:val="none" w:sz="0" w:space="0" w:color="auto"/>
        <w:right w:val="none" w:sz="0" w:space="0" w:color="auto"/>
      </w:divBdr>
    </w:div>
    <w:div w:id="527183884">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2330663">
      <w:bodyDiv w:val="1"/>
      <w:marLeft w:val="0"/>
      <w:marRight w:val="0"/>
      <w:marTop w:val="0"/>
      <w:marBottom w:val="0"/>
      <w:divBdr>
        <w:top w:val="none" w:sz="0" w:space="0" w:color="auto"/>
        <w:left w:val="none" w:sz="0" w:space="0" w:color="auto"/>
        <w:bottom w:val="none" w:sz="0" w:space="0" w:color="auto"/>
        <w:right w:val="none" w:sz="0" w:space="0" w:color="auto"/>
      </w:divBdr>
    </w:div>
    <w:div w:id="557282078">
      <w:bodyDiv w:val="1"/>
      <w:marLeft w:val="0"/>
      <w:marRight w:val="0"/>
      <w:marTop w:val="0"/>
      <w:marBottom w:val="0"/>
      <w:divBdr>
        <w:top w:val="none" w:sz="0" w:space="0" w:color="auto"/>
        <w:left w:val="none" w:sz="0" w:space="0" w:color="auto"/>
        <w:bottom w:val="none" w:sz="0" w:space="0" w:color="auto"/>
        <w:right w:val="none" w:sz="0" w:space="0" w:color="auto"/>
      </w:divBdr>
    </w:div>
    <w:div w:id="564410191">
      <w:bodyDiv w:val="1"/>
      <w:marLeft w:val="0"/>
      <w:marRight w:val="0"/>
      <w:marTop w:val="0"/>
      <w:marBottom w:val="0"/>
      <w:divBdr>
        <w:top w:val="none" w:sz="0" w:space="0" w:color="auto"/>
        <w:left w:val="none" w:sz="0" w:space="0" w:color="auto"/>
        <w:bottom w:val="none" w:sz="0" w:space="0" w:color="auto"/>
        <w:right w:val="none" w:sz="0" w:space="0" w:color="auto"/>
      </w:divBdr>
    </w:div>
    <w:div w:id="59096891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07467527">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52094965">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773284893">
      <w:bodyDiv w:val="1"/>
      <w:marLeft w:val="0"/>
      <w:marRight w:val="0"/>
      <w:marTop w:val="0"/>
      <w:marBottom w:val="0"/>
      <w:divBdr>
        <w:top w:val="none" w:sz="0" w:space="0" w:color="auto"/>
        <w:left w:val="none" w:sz="0" w:space="0" w:color="auto"/>
        <w:bottom w:val="none" w:sz="0" w:space="0" w:color="auto"/>
        <w:right w:val="none" w:sz="0" w:space="0" w:color="auto"/>
      </w:divBdr>
    </w:div>
    <w:div w:id="795568437">
      <w:bodyDiv w:val="1"/>
      <w:marLeft w:val="0"/>
      <w:marRight w:val="0"/>
      <w:marTop w:val="0"/>
      <w:marBottom w:val="0"/>
      <w:divBdr>
        <w:top w:val="none" w:sz="0" w:space="0" w:color="auto"/>
        <w:left w:val="none" w:sz="0" w:space="0" w:color="auto"/>
        <w:bottom w:val="none" w:sz="0" w:space="0" w:color="auto"/>
        <w:right w:val="none" w:sz="0" w:space="0" w:color="auto"/>
      </w:divBdr>
    </w:div>
    <w:div w:id="827357108">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67448857">
      <w:bodyDiv w:val="1"/>
      <w:marLeft w:val="0"/>
      <w:marRight w:val="0"/>
      <w:marTop w:val="0"/>
      <w:marBottom w:val="0"/>
      <w:divBdr>
        <w:top w:val="none" w:sz="0" w:space="0" w:color="auto"/>
        <w:left w:val="none" w:sz="0" w:space="0" w:color="auto"/>
        <w:bottom w:val="none" w:sz="0" w:space="0" w:color="auto"/>
        <w:right w:val="none" w:sz="0" w:space="0" w:color="auto"/>
      </w:divBdr>
    </w:div>
    <w:div w:id="896209840">
      <w:bodyDiv w:val="1"/>
      <w:marLeft w:val="0"/>
      <w:marRight w:val="0"/>
      <w:marTop w:val="0"/>
      <w:marBottom w:val="0"/>
      <w:divBdr>
        <w:top w:val="none" w:sz="0" w:space="0" w:color="auto"/>
        <w:left w:val="none" w:sz="0" w:space="0" w:color="auto"/>
        <w:bottom w:val="none" w:sz="0" w:space="0" w:color="auto"/>
        <w:right w:val="none" w:sz="0" w:space="0" w:color="auto"/>
      </w:divBdr>
    </w:div>
    <w:div w:id="960958332">
      <w:bodyDiv w:val="1"/>
      <w:marLeft w:val="0"/>
      <w:marRight w:val="0"/>
      <w:marTop w:val="0"/>
      <w:marBottom w:val="0"/>
      <w:divBdr>
        <w:top w:val="none" w:sz="0" w:space="0" w:color="auto"/>
        <w:left w:val="none" w:sz="0" w:space="0" w:color="auto"/>
        <w:bottom w:val="none" w:sz="0" w:space="0" w:color="auto"/>
        <w:right w:val="none" w:sz="0" w:space="0" w:color="auto"/>
      </w:divBdr>
    </w:div>
    <w:div w:id="968898409">
      <w:bodyDiv w:val="1"/>
      <w:marLeft w:val="0"/>
      <w:marRight w:val="0"/>
      <w:marTop w:val="0"/>
      <w:marBottom w:val="0"/>
      <w:divBdr>
        <w:top w:val="none" w:sz="0" w:space="0" w:color="auto"/>
        <w:left w:val="none" w:sz="0" w:space="0" w:color="auto"/>
        <w:bottom w:val="none" w:sz="0" w:space="0" w:color="auto"/>
        <w:right w:val="none" w:sz="0" w:space="0" w:color="auto"/>
      </w:divBdr>
    </w:div>
    <w:div w:id="968903196">
      <w:bodyDiv w:val="1"/>
      <w:marLeft w:val="0"/>
      <w:marRight w:val="0"/>
      <w:marTop w:val="0"/>
      <w:marBottom w:val="0"/>
      <w:divBdr>
        <w:top w:val="none" w:sz="0" w:space="0" w:color="auto"/>
        <w:left w:val="none" w:sz="0" w:space="0" w:color="auto"/>
        <w:bottom w:val="none" w:sz="0" w:space="0" w:color="auto"/>
        <w:right w:val="none" w:sz="0" w:space="0" w:color="auto"/>
      </w:divBdr>
    </w:div>
    <w:div w:id="1034965541">
      <w:bodyDiv w:val="1"/>
      <w:marLeft w:val="0"/>
      <w:marRight w:val="0"/>
      <w:marTop w:val="0"/>
      <w:marBottom w:val="0"/>
      <w:divBdr>
        <w:top w:val="none" w:sz="0" w:space="0" w:color="auto"/>
        <w:left w:val="none" w:sz="0" w:space="0" w:color="auto"/>
        <w:bottom w:val="none" w:sz="0" w:space="0" w:color="auto"/>
        <w:right w:val="none" w:sz="0" w:space="0" w:color="auto"/>
      </w:divBdr>
    </w:div>
    <w:div w:id="1040982737">
      <w:bodyDiv w:val="1"/>
      <w:marLeft w:val="0"/>
      <w:marRight w:val="0"/>
      <w:marTop w:val="0"/>
      <w:marBottom w:val="0"/>
      <w:divBdr>
        <w:top w:val="none" w:sz="0" w:space="0" w:color="auto"/>
        <w:left w:val="none" w:sz="0" w:space="0" w:color="auto"/>
        <w:bottom w:val="none" w:sz="0" w:space="0" w:color="auto"/>
        <w:right w:val="none" w:sz="0" w:space="0" w:color="auto"/>
      </w:divBdr>
    </w:div>
    <w:div w:id="1058406612">
      <w:bodyDiv w:val="1"/>
      <w:marLeft w:val="0"/>
      <w:marRight w:val="0"/>
      <w:marTop w:val="0"/>
      <w:marBottom w:val="0"/>
      <w:divBdr>
        <w:top w:val="none" w:sz="0" w:space="0" w:color="auto"/>
        <w:left w:val="none" w:sz="0" w:space="0" w:color="auto"/>
        <w:bottom w:val="none" w:sz="0" w:space="0" w:color="auto"/>
        <w:right w:val="none" w:sz="0" w:space="0" w:color="auto"/>
      </w:divBdr>
    </w:div>
    <w:div w:id="1085224969">
      <w:bodyDiv w:val="1"/>
      <w:marLeft w:val="0"/>
      <w:marRight w:val="0"/>
      <w:marTop w:val="0"/>
      <w:marBottom w:val="0"/>
      <w:divBdr>
        <w:top w:val="none" w:sz="0" w:space="0" w:color="auto"/>
        <w:left w:val="none" w:sz="0" w:space="0" w:color="auto"/>
        <w:bottom w:val="none" w:sz="0" w:space="0" w:color="auto"/>
        <w:right w:val="none" w:sz="0" w:space="0" w:color="auto"/>
      </w:divBdr>
    </w:div>
    <w:div w:id="1087841984">
      <w:bodyDiv w:val="1"/>
      <w:marLeft w:val="0"/>
      <w:marRight w:val="0"/>
      <w:marTop w:val="0"/>
      <w:marBottom w:val="0"/>
      <w:divBdr>
        <w:top w:val="none" w:sz="0" w:space="0" w:color="auto"/>
        <w:left w:val="none" w:sz="0" w:space="0" w:color="auto"/>
        <w:bottom w:val="none" w:sz="0" w:space="0" w:color="auto"/>
        <w:right w:val="none" w:sz="0" w:space="0" w:color="auto"/>
      </w:divBdr>
    </w:div>
    <w:div w:id="1124813777">
      <w:bodyDiv w:val="1"/>
      <w:marLeft w:val="0"/>
      <w:marRight w:val="0"/>
      <w:marTop w:val="0"/>
      <w:marBottom w:val="0"/>
      <w:divBdr>
        <w:top w:val="none" w:sz="0" w:space="0" w:color="auto"/>
        <w:left w:val="none" w:sz="0" w:space="0" w:color="auto"/>
        <w:bottom w:val="none" w:sz="0" w:space="0" w:color="auto"/>
        <w:right w:val="none" w:sz="0" w:space="0" w:color="auto"/>
      </w:divBdr>
    </w:div>
    <w:div w:id="1141339426">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42642221">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284731940">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18151425">
      <w:bodyDiv w:val="1"/>
      <w:marLeft w:val="0"/>
      <w:marRight w:val="0"/>
      <w:marTop w:val="0"/>
      <w:marBottom w:val="0"/>
      <w:divBdr>
        <w:top w:val="none" w:sz="0" w:space="0" w:color="auto"/>
        <w:left w:val="none" w:sz="0" w:space="0" w:color="auto"/>
        <w:bottom w:val="none" w:sz="0" w:space="0" w:color="auto"/>
        <w:right w:val="none" w:sz="0" w:space="0" w:color="auto"/>
      </w:divBdr>
    </w:div>
    <w:div w:id="1334525488">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367753732">
      <w:bodyDiv w:val="1"/>
      <w:marLeft w:val="0"/>
      <w:marRight w:val="0"/>
      <w:marTop w:val="0"/>
      <w:marBottom w:val="0"/>
      <w:divBdr>
        <w:top w:val="none" w:sz="0" w:space="0" w:color="auto"/>
        <w:left w:val="none" w:sz="0" w:space="0" w:color="auto"/>
        <w:bottom w:val="none" w:sz="0" w:space="0" w:color="auto"/>
        <w:right w:val="none" w:sz="0" w:space="0" w:color="auto"/>
      </w:divBdr>
    </w:div>
    <w:div w:id="1486043075">
      <w:bodyDiv w:val="1"/>
      <w:marLeft w:val="0"/>
      <w:marRight w:val="0"/>
      <w:marTop w:val="0"/>
      <w:marBottom w:val="0"/>
      <w:divBdr>
        <w:top w:val="none" w:sz="0" w:space="0" w:color="auto"/>
        <w:left w:val="none" w:sz="0" w:space="0" w:color="auto"/>
        <w:bottom w:val="none" w:sz="0" w:space="0" w:color="auto"/>
        <w:right w:val="none" w:sz="0" w:space="0" w:color="auto"/>
      </w:divBdr>
    </w:div>
    <w:div w:id="1502966520">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61136610">
      <w:bodyDiv w:val="1"/>
      <w:marLeft w:val="0"/>
      <w:marRight w:val="0"/>
      <w:marTop w:val="0"/>
      <w:marBottom w:val="0"/>
      <w:divBdr>
        <w:top w:val="none" w:sz="0" w:space="0" w:color="auto"/>
        <w:left w:val="none" w:sz="0" w:space="0" w:color="auto"/>
        <w:bottom w:val="none" w:sz="0" w:space="0" w:color="auto"/>
        <w:right w:val="none" w:sz="0" w:space="0" w:color="auto"/>
      </w:divBdr>
    </w:div>
    <w:div w:id="1562865122">
      <w:bodyDiv w:val="1"/>
      <w:marLeft w:val="0"/>
      <w:marRight w:val="0"/>
      <w:marTop w:val="0"/>
      <w:marBottom w:val="0"/>
      <w:divBdr>
        <w:top w:val="none" w:sz="0" w:space="0" w:color="auto"/>
        <w:left w:val="none" w:sz="0" w:space="0" w:color="auto"/>
        <w:bottom w:val="none" w:sz="0" w:space="0" w:color="auto"/>
        <w:right w:val="none" w:sz="0" w:space="0" w:color="auto"/>
      </w:divBdr>
    </w:div>
    <w:div w:id="1585798119">
      <w:bodyDiv w:val="1"/>
      <w:marLeft w:val="0"/>
      <w:marRight w:val="0"/>
      <w:marTop w:val="0"/>
      <w:marBottom w:val="0"/>
      <w:divBdr>
        <w:top w:val="none" w:sz="0" w:space="0" w:color="auto"/>
        <w:left w:val="none" w:sz="0" w:space="0" w:color="auto"/>
        <w:bottom w:val="none" w:sz="0" w:space="0" w:color="auto"/>
        <w:right w:val="none" w:sz="0" w:space="0" w:color="auto"/>
      </w:divBdr>
    </w:div>
    <w:div w:id="1653676285">
      <w:bodyDiv w:val="1"/>
      <w:marLeft w:val="0"/>
      <w:marRight w:val="0"/>
      <w:marTop w:val="0"/>
      <w:marBottom w:val="0"/>
      <w:divBdr>
        <w:top w:val="none" w:sz="0" w:space="0" w:color="auto"/>
        <w:left w:val="none" w:sz="0" w:space="0" w:color="auto"/>
        <w:bottom w:val="none" w:sz="0" w:space="0" w:color="auto"/>
        <w:right w:val="none" w:sz="0" w:space="0" w:color="auto"/>
      </w:divBdr>
    </w:div>
    <w:div w:id="1688170267">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65682002">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4877035">
      <w:bodyDiv w:val="1"/>
      <w:marLeft w:val="0"/>
      <w:marRight w:val="0"/>
      <w:marTop w:val="0"/>
      <w:marBottom w:val="0"/>
      <w:divBdr>
        <w:top w:val="none" w:sz="0" w:space="0" w:color="auto"/>
        <w:left w:val="none" w:sz="0" w:space="0" w:color="auto"/>
        <w:bottom w:val="none" w:sz="0" w:space="0" w:color="auto"/>
        <w:right w:val="none" w:sz="0" w:space="0" w:color="auto"/>
      </w:divBdr>
    </w:div>
    <w:div w:id="1855219365">
      <w:bodyDiv w:val="1"/>
      <w:marLeft w:val="0"/>
      <w:marRight w:val="0"/>
      <w:marTop w:val="0"/>
      <w:marBottom w:val="0"/>
      <w:divBdr>
        <w:top w:val="none" w:sz="0" w:space="0" w:color="auto"/>
        <w:left w:val="none" w:sz="0" w:space="0" w:color="auto"/>
        <w:bottom w:val="none" w:sz="0" w:space="0" w:color="auto"/>
        <w:right w:val="none" w:sz="0" w:space="0" w:color="auto"/>
      </w:divBdr>
    </w:div>
    <w:div w:id="1863588591">
      <w:bodyDiv w:val="1"/>
      <w:marLeft w:val="0"/>
      <w:marRight w:val="0"/>
      <w:marTop w:val="0"/>
      <w:marBottom w:val="0"/>
      <w:divBdr>
        <w:top w:val="none" w:sz="0" w:space="0" w:color="auto"/>
        <w:left w:val="none" w:sz="0" w:space="0" w:color="auto"/>
        <w:bottom w:val="none" w:sz="0" w:space="0" w:color="auto"/>
        <w:right w:val="none" w:sz="0" w:space="0" w:color="auto"/>
      </w:divBdr>
    </w:div>
    <w:div w:id="1864972837">
      <w:bodyDiv w:val="1"/>
      <w:marLeft w:val="0"/>
      <w:marRight w:val="0"/>
      <w:marTop w:val="0"/>
      <w:marBottom w:val="0"/>
      <w:divBdr>
        <w:top w:val="none" w:sz="0" w:space="0" w:color="auto"/>
        <w:left w:val="none" w:sz="0" w:space="0" w:color="auto"/>
        <w:bottom w:val="none" w:sz="0" w:space="0" w:color="auto"/>
        <w:right w:val="none" w:sz="0" w:space="0" w:color="auto"/>
      </w:divBdr>
    </w:div>
    <w:div w:id="187649780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05799805">
      <w:bodyDiv w:val="1"/>
      <w:marLeft w:val="0"/>
      <w:marRight w:val="0"/>
      <w:marTop w:val="0"/>
      <w:marBottom w:val="0"/>
      <w:divBdr>
        <w:top w:val="none" w:sz="0" w:space="0" w:color="auto"/>
        <w:left w:val="none" w:sz="0" w:space="0" w:color="auto"/>
        <w:bottom w:val="none" w:sz="0" w:space="0" w:color="auto"/>
        <w:right w:val="none" w:sz="0" w:space="0" w:color="auto"/>
      </w:divBdr>
    </w:div>
    <w:div w:id="1906068356">
      <w:bodyDiv w:val="1"/>
      <w:marLeft w:val="0"/>
      <w:marRight w:val="0"/>
      <w:marTop w:val="0"/>
      <w:marBottom w:val="0"/>
      <w:divBdr>
        <w:top w:val="none" w:sz="0" w:space="0" w:color="auto"/>
        <w:left w:val="none" w:sz="0" w:space="0" w:color="auto"/>
        <w:bottom w:val="none" w:sz="0" w:space="0" w:color="auto"/>
        <w:right w:val="none" w:sz="0" w:space="0" w:color="auto"/>
      </w:divBdr>
    </w:div>
    <w:div w:id="1943412144">
      <w:bodyDiv w:val="1"/>
      <w:marLeft w:val="0"/>
      <w:marRight w:val="0"/>
      <w:marTop w:val="0"/>
      <w:marBottom w:val="0"/>
      <w:divBdr>
        <w:top w:val="none" w:sz="0" w:space="0" w:color="auto"/>
        <w:left w:val="none" w:sz="0" w:space="0" w:color="auto"/>
        <w:bottom w:val="none" w:sz="0" w:space="0" w:color="auto"/>
        <w:right w:val="none" w:sz="0" w:space="0" w:color="auto"/>
      </w:divBdr>
    </w:div>
    <w:div w:id="1965382466">
      <w:bodyDiv w:val="1"/>
      <w:marLeft w:val="0"/>
      <w:marRight w:val="0"/>
      <w:marTop w:val="0"/>
      <w:marBottom w:val="0"/>
      <w:divBdr>
        <w:top w:val="none" w:sz="0" w:space="0" w:color="auto"/>
        <w:left w:val="none" w:sz="0" w:space="0" w:color="auto"/>
        <w:bottom w:val="none" w:sz="0" w:space="0" w:color="auto"/>
        <w:right w:val="none" w:sz="0" w:space="0" w:color="auto"/>
      </w:divBdr>
    </w:div>
    <w:div w:id="2009869540">
      <w:bodyDiv w:val="1"/>
      <w:marLeft w:val="0"/>
      <w:marRight w:val="0"/>
      <w:marTop w:val="0"/>
      <w:marBottom w:val="0"/>
      <w:divBdr>
        <w:top w:val="none" w:sz="0" w:space="0" w:color="auto"/>
        <w:left w:val="none" w:sz="0" w:space="0" w:color="auto"/>
        <w:bottom w:val="none" w:sz="0" w:space="0" w:color="auto"/>
        <w:right w:val="none" w:sz="0" w:space="0" w:color="auto"/>
      </w:divBdr>
    </w:div>
    <w:div w:id="2093745075">
      <w:bodyDiv w:val="1"/>
      <w:marLeft w:val="0"/>
      <w:marRight w:val="0"/>
      <w:marTop w:val="0"/>
      <w:marBottom w:val="0"/>
      <w:divBdr>
        <w:top w:val="none" w:sz="0" w:space="0" w:color="auto"/>
        <w:left w:val="none" w:sz="0" w:space="0" w:color="auto"/>
        <w:bottom w:val="none" w:sz="0" w:space="0" w:color="auto"/>
        <w:right w:val="none" w:sz="0" w:space="0" w:color="auto"/>
      </w:divBdr>
    </w:div>
    <w:div w:id="21352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2707</Words>
  <Characters>1543</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Grava</dc:creator>
  <cp:lastModifiedBy>Intars Eglītis</cp:lastModifiedBy>
  <cp:revision>2</cp:revision>
  <cp:lastPrinted>2018-11-29T07:09:00Z</cp:lastPrinted>
  <dcterms:created xsi:type="dcterms:W3CDTF">2021-10-27T16:37:00Z</dcterms:created>
  <dcterms:modified xsi:type="dcterms:W3CDTF">2021-10-27T16:37:00Z</dcterms:modified>
</cp:coreProperties>
</file>