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18. jūnija noteikumos Nr. 391 "Ārstniecības personu sertifikācijas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(01.05.2026.)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10.06.2026. 10:57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ziņojumu (anotāciju), skaidrojot informācijas aprites mehānismu starp Veselības inspekciju un Iekšlietu ministrijas Informācijas centru, tostarp norādot, ka ziņas par personām, kurām atbilstoši anotācijā uzskaitītajām Krimināllikuma normām ir piemērots kriminālsods un nolēmums ir stājies spēkā, Veselības inspekcija pieprasa Sodu reģistra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IeM priekšlikumam ir 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10.04.2026. 10:11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Iekšlietu ministrijas informācijas centrs sniedz informāciju sertificējošajai institūcijai, ja ārstniecības personai piemērots kriminālsods par pārkāpumiem profesionālās darbības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2024.gada 18.jūnija noteikumos Nr.391 "Ārstniecības personu sertifikācijas kārtība" ārstniecības personām izvirzīto ierobežojumu konsekventu un nepārprotamu piemērošanu, izteikt projekta 2.punktā piedāvāto 49.</w:t>
            </w:r>
            <w:r w:rsidR="00000000" w:rsidRPr="00000000" w:rsidDel="00000000">
              <w:rPr>
                <w:vertAlign w:val="superscript"/>
                <w:rtl w:val="0"/>
              </w:rPr>
              <w:t xml:space="preserve">2 </w:t>
            </w:r>
            <w:r w:rsidR="00000000" w:rsidRPr="00000000" w:rsidDel="00000000">
              <w:rPr>
                <w:rtl w:val="0"/>
              </w:rPr>
              <w:t xml:space="preserve">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Iekšlietu ministrijas Informācijas centrs sniedz sertificējošajai institūcijai ziņas par to, vai ārstniecības personai saskaņā ar tiesas nolēmumu vai prokurora priekšrakstu par sodu ir noteikta tiesību ierobežošana, atņemot tiesības nodarboties ar ārstniecību.".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r w:rsidR="00000000" w:rsidRPr="00000000" w:rsidDel="00000000">
              <w:rPr>
                <w:vertAlign w:val="superscript"/>
                <w:rtl w:val="0"/>
              </w:rPr>
              <w:t xml:space="preserve">2</w:t>
            </w:r>
            <w:r w:rsidR="00000000" w:rsidRPr="00000000" w:rsidDel="00000000">
              <w:rPr>
                <w:rtl w:val="0"/>
              </w:rPr>
              <w:t xml:space="preserve"> Iekšlietu ministrijas informācijas centrs sniedz informāciju Veselības inspekcijai par spēkā esošiem nolēmumiem, ar kuriem ārstniecības personai kā speciālajam subjektam ir piemērots kriminālsods. Veselības inspekcija saņemto informāciju pārsūta kompetentajai sertifikācijas institūcijai izvērtēšanai resertifikācijas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(RSU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vienkāršošana un administratīvā sloga būtiska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universitātes, kuras īsteno akreditēta studiju virziena "Veselības aprūpe" studiju programmas, ir ar atbilstošu augstas kvalitātes satura izstrādes un kvalificētu mācībspēku kapacitāti veselības aprūpes jomā. Šo universitāšu profesionālās pilnveides un tālākizglītības pasākumu saturs tiek veidots, balstoties uz īstenoto studiju programmu zināšanu bāzi un pētniecības procesos radītajām zināšanām, kā arī mācībspēku akadēmisko un profesionālo kompetenci, kas ietver gan pieredzi veselības aprūpes praksē, gan pedagoģisko kompetenci, gan zinātnisko darbību. Tādējādi šīm programmām kvalitātes uzraudzība jau tiek nodrošināta studiju virziena akreditācijas ietvaros, zinātnisko rezultātu novērtēšanas procesos, kā arī saskaņā ar institūcijas iekšējiem kvalitātes nodrošināšanas procesiem. Papildu saskaņošana sertifikācijas institūcijā ir lieks administratīvais slogs, ņemot vērā, ka saskaņošanas process dublē kvalitātes procedūras, kā arī kavē operatīvu reaģēšanu uz nozares aktualitātēm. Turklāt, gadījumos, ja tiek īstenots multidisciplinārs pasākums, saskaņošana ir vēl administratīvi sarežģītāka, ņemot vērā nepieciešamību mācību programmu saskaņot vairākās sertifikācijas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deleģēta funkcija zināšanu pārnesei, tostarp mūžizglītības procesu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likumu[1] zinātnes universitātēm jau šobrīd ir deleģēta funkcija mūžizglītības procesu īstenošanai. Savukārt Izglītības attīstības pamatnostādnes 2021.–2027. gadam[2] īpaši uzsver augstskolu lomu mūžizglītības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Augstskolu likums. https://likumi.lv/ta/id/37967, 31 panta 2. punkta 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22. jūnija rīkojums Nr. 436 "Par Izglītības attīstības pamatnostādnēm 2021.–2027. gadam". https://likumi.lv/ta/id/324332, 2.1.3.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to institūciju loku, kuras līdz 8 tālākizglītības punktiem var realizēt tālākizglītības vai profesionālās pilnveides pasākumus bez iepriekšēja sertifikācijas institūcijas apstiprinājuma, ietverot arī zinātnes universitātes, kuras īsteno akreditēta studiju virziena “Veselības aprūpe” studiju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institūcijas apstiprinājumam ir jābūt, jo attiecībā uz  tālākizglītības punktiem (TIP) resertifikācijai apstiprināšanas mērķis nav vienīgi kvalitātes kontrole, bet arī sertifikācijas komisiju iesaiste ar profesionālo asociāciju starpniecību, lai precizētu, vai plānotā pasākuma saturs ir attiecināms uz konkrēto vai vairākām specialitātēm, kam tālākā resertifikācijas procesā ir būtiska nozīme. Ja pasākuma saturs tiek apstiprināts kā attiecināms uz konkrētu specialitāti (vai vairākām specialtiātēm), tad šīs specialitātes pārstāvji attiecīgos TIP var ieskaitīt pie 60% TIP, kam jābūt iegūtiem tieši specialitātē. Papildus ir arī svarīgi, lai pasākuma organizētāji izpildītu kritērijus, kas attiecas uz lektoriem, un šo kritēriju izpilde tiek pārbaudīta tieši apstiprināšanas procesā sertificējošajās institūcijās, t.sk. Latvijas Ārstu biedrība (LĀB).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 TIP piešķiršanu starpdisciplīnu konferencēm ne tikai sertificējošām institūcijām, bet arī zinātnes universitātēm, šāda pieeja būtu pamatota, ņemot vērā zinātnes universitātes statusu. Iepriekš ar šādu lūgumu bija vērsies arī Rīgas Austrumu klīniskās universitātes (RAKUS) Mācību centrs. LĀB ieskatā būtu lietderīgi atkārtoti izvērtēt arī RAKUS Mācību centra priekšlikumu un paredzēt 12 TIP piešķiršanas iespēju arī universitāšu slimnīcām un to mācību centriem, ņemot vērā to, ka universitātes slimnīcas ir augsta līmeņa terciārās aprūpes ārstniecības iestādes. Attiecīgi ir papildināts Noteikumu 4.pielikums: Dalība zinātnes universitātes, kura īsteno akreditēta studiju virziena “Veselības aprūpe” studiju programmas, vai universitātes slimnīcas vai tās mācību centra organizētās starpdisciplīnu konferencēs; 12 TIP par katru; apstiprinājums ir nepieciešams; publikācija ir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(RSU - 20.04.2026.)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Universitātes, kas īsteno veselības aprūpes studiju programmas, ir būtiski akadēmiskie un zinātniskie centri, kuros tiek attīstīta uz pierādījumiem balstīta medicīna. Tās regulāri organizē augsta līmeņa starpdisciplināras konferences, kurās piedalās gan akadēmiskais personāls, gan praktizējoši speciālisti un organizēto konferenču saturs, kvalitāte un mērķauditorija ir līdzvērtīga ārstniecības personu sertifikācijas institūciju un klīnisko universitātes slimnīcu izglītības iestāžu organizētajām. Papildus jāuzsver, ka ārstniecības personu sertifikācijas institūciju organizētajos tālākizglītības pasākumos būtiska loma ir tieši zinātnes universitāšu docētājiem un pētniekiem, kuri tiek regulāri piesaistīti kā lektori, eksperti un satura veidotāji. Tas apliecina, ka akadēmiskās institūcijas jau šobrīd nodrošina šo pasākumu zinātnisko kvalitāti un saturisko pienesumu. Ņemot vērā minēto, neredzam pamatojumu šajā aspektā iekļaut tikai ārstniecības personu sertifikācijas institūcijas un klīnisko universitātes slimnīcu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4. pielikuma 4.punktu un to institūciju loku, kuras var organizēt starpdisciplīnu konferences un par šiem pasākumiem piešķirt līdz 12 tālākizglītības punktiem, ietverot arī zinātnes universitātes, kuras īsteno akreditēta studiju virziena “Veselības aprūpe” studiju programmas.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Sertifikācijas institūcijas apstiprinājumam ir jābūt, jo attiecībā uz  tālākizglītības punktiem (TIP) resertifikācijai apstiprināšanas mērķis nav vienīgi kvalitātes kontrole, bet arī sertifikācijas komisiju iesaiste ar profesionālo asociāciju starpniecību, lai precizētu, vai plānotā pasākuma saturs ir attiecināms uz konkrēto vai vairākām specialitātēm, kam tālākā resertifikācijas procesā ir būtiska nozīme. Ja pasākuma saturs tiek apstiprināts kā attiecināms uz konkrētu specialitāti (vai vairākām specialtiātēm), tad šīs specialitātes pārstāvji attiecīgos TIP var ieskaitīt pie 60% TIP, kam jābūt iegūtiem tieši specialitātē. Papildus ir arī svarīgi, lai pasākuma organizētāji izpildītu kritērijus, kas attiecas uz lektoriem, un šo kritēriju izpilde tiek pārbaudīta tieši apstiprināšanas procesā sertificējošajās institūcijās, t.sk. Latvijas Ārstu biedrība (LĀB).</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 TIP piešķiršanu starpdisciplīnu konferencēm ne tikai sertificējošām institūcijām, bet arī zinātnes universitātēm, šāda pieeja būtu pamatota, ņemot vērā zinātnes universitātes statusu. Iepriekš ar šādu lūgumu bija vērsies arī Rīgas Austrumu klīniskās universitātes (RAKUS) Mācību centrs. LĀB ieskatā būtu lietderīgi atkārtoti izvērtēt arī RAKUS Mācību centra priekšlikumu un paredzēt 12 TIP piešķiršanas iespēju arī universitāšu slimnīcām un to mācību centriem, ņemot vērā to, ka universitātes slimnīcas ir augsta līmeņa terciārās aprūpes ārstniecības iestādes. Attiecīgi ir papildināts Noteikumu 4.pielikums: Dalība zinātnes universitātes, kura īsteno akreditēta studiju virziena “Veselības aprūpe” studiju programmas, vai universitātes slimnīcas vai tās mācību centra organizētās starpdisciplīnu konferencēs; 12 TIP par katru; apstiprinājums ir nepieciešams; publikācija ir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26-TA-46</w:t>
    </w:r>
    <w:r>
      <w:br/>
    </w:r>
    <w:r w:rsidR="00000000" w:rsidRPr="00000000" w:rsidDel="00000000">
      <w:rPr>
        <w:rtl w:val="0"/>
      </w:rPr>
      <w:t xml:space="preserve">31.07.2026. 14.06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26-TA-46</w:t>
    </w:r>
    <w:r>
      <w:br/>
    </w:r>
    <w:r w:rsidR="00000000" w:rsidRPr="00000000" w:rsidDel="00000000">
      <w:rPr>
        <w:rtl w:val="0"/>
      </w:rPr>
      <w:t xml:space="preserve">31.07.2026. 14.06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Izziņa_26-TA-46.docx</dc:title>
</cp:coreProperties>
</file>

<file path=docProps/custom.xml><?xml version="1.0" encoding="utf-8"?>
<Properties xmlns="http://schemas.openxmlformats.org/officeDocument/2006/custom-properties" xmlns:vt="http://schemas.openxmlformats.org/officeDocument/2006/docPropsVTypes"/>
</file>