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21-TA-1443: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XXVII Vispārējo latviešu dziesmu un XVII Deju svētku norises laiku</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7.2. Administratīvo izmaksu monetārs novērtējums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- 01.12.2021.)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aizpildīt anotācijas 7.2. apakšpunktu, jo tas nav aizpildīts.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Aizpildīts Rīkojuma projekta sākotnējās ietekmes (ex-ante) novērtējuma ziņojuma (anotācijas) 7.2.apakšpunkts „Administratīvo izmaksu monetārs novērtējums”, norādot „Nē”.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7.2. Administratīvo izmaksu monetārs novērtējums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 Atbilstības izmaksu monetārs novērtējums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- 01.12.2021.)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aizpildīt anotācijas 7.3. apakšpunktu, jo tas nav aizpildīts.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Aizpildīts Rīkojuma projekta sākotnējās ietekmes (ex-ante) novērtējuma ziņojuma (anotācijas) 7.3.apakšpunkts „Atbilstības izmaksu monetārs novērtējums”, norādot „Nē”.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 Atbilstības izmaksu monetārs novērtējums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6.4. Cita informācija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- 01.12.2021.)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sniegt informāciju, vai Rīgas pašvaldība atbalsta rīkojuma projektu, ņemot vērā, ka svētkus plānots rīkot Rīgā.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un papildināta Rīkojuma projekta sākotnējās ietekmes (ex-ante) novērtējuma ziņojuma (anotācijas) 6.sadaļas „Projekta izstrādē iesaistītās institūcijas un sabiedrības līdzdalības process” 6.4.punktā „Cita informācija” šāda norādītā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Dziesmu un deju svētku likuma 8.panta trešās daļas 5.punktu Dziesmu un deju svētku padomē ir Rīgas domes priekšsēdētājs. Dziesmu un deju svētku padomes 2021.gada 14.oktobra sēdē tika pieņemts vienbalsīgs lēmums konceptuāli atbalstīt Projekta sagatavošanu un virzību apstiprināšanai Ministru kabinetā, nosakot, ka Svētki tiek rīkoti no 2023.gada 30.jūnija līdz 9.jūlijam Rīgā. Tādējādi arī Rīgas pašvaldība ir atbalstījusi Projekta virzību izskatīšanai Ministru kabinetā.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6.4. Cita informācija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Tiesību akta projekta ietekmējamās sabiedrības grupas, ietekme uz tautsaimniecības attīstību un administratīvo slogu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- 01.12.2021.)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vadlīnijām tiesību akta projekta sākotnējās ietekmes novērtējuma ziņojuma sagatavošanai vienotajā tiesību aktu izstrādes un saskaņošanas portālā anotācijas 2. sadaļā sniedz informāciju </w:t>
            </w:r>
            <w:r w:rsidR="00000000" w:rsidRPr="00000000" w:rsidDel="00000000">
              <w:rPr>
                <w:u w:val="single"/>
                <w:rtl w:val="0"/>
              </w:rPr>
              <w:t xml:space="preserve">par visām</w:t>
            </w:r>
            <w:r w:rsidR="00000000" w:rsidRPr="00000000" w:rsidDel="00000000">
              <w:rPr>
                <w:rtl w:val="0"/>
              </w:rPr>
              <w:t xml:space="preserve"> sabiedrības mērķgrupām, kuras </w:t>
            </w:r>
            <w:r w:rsidR="00000000" w:rsidRPr="00000000" w:rsidDel="00000000">
              <w:rPr>
                <w:u w:val="single"/>
                <w:rtl w:val="0"/>
              </w:rPr>
              <w:t xml:space="preserve">tieši vai netieši</w:t>
            </w:r>
            <w:r w:rsidR="00000000" w:rsidRPr="00000000" w:rsidDel="00000000">
              <w:rPr>
                <w:rtl w:val="0"/>
              </w:rPr>
              <w:t xml:space="preserve"> ietekmēs rīkojuma projekts. Vēršam uzmanību, ka rīkojuma projektā paredzētais ietekmēs ne tikai Latvijas Nacionālo kultūras centru, bet arī pašvaldības (norādāmas 7. sadaļā), gan arī svētku dalībniekus un citas iesaistītās puses.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2. un 7. sadaļā sniegto informāciju, norādot, kā rīkojuma projekts ietekmēs katru no mērķgrupām  – tieši vai netieši, kāds ir mērķgrupas lielums (ja to ir iespējams novērtēt), kā arī jebkādu citu skaidrojošu informāciju par mērķgrupu (sk. vadlīniju tiesību akta projekta sākotnējās ietekmes novērtējuma ziņojuma sagatavošanai vienotajā tiesību aktu izstrādes un saskaņošanas portālā kopsavilkumu).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Rīkojuma projekta sākotnējās ietekmes (ex-ante) novērtējuma ziņojuma (anotācijas) 2.sadaļas „Tiesību akta projekta ietekmējamās sabiedrības grupas, ietekme uz tautsaimniecības attīstību un administratīvo slogu” 2.1.punktā „Sabiedrības grupas, kuras tiesiskais regulējums ietekmē vai varētu ietekmēt” norādītā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Rīkojuma projekta sākotnējās ietekmes (ex-ante) novērtējuma ziņojuma (anotācijas) 7.sadaļas „Tiesību akta projekta izpildes nodrošināšana un tās ietekme uz institūcijām” 7.1.punktā „Projekta izpildē iesaistītās institūcijas” šāda norādītā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Nacionālais kultūras centrs (saskaņā ar Dziesmu un deju svētku likuma 7.panta sesto daļu Latvijas Nacionālais kultūras centrs ir Vispārējo latviešu dziesmu un deju svētku rīkotājs).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Iekšlietu ministrija (saskaņā ar Dziesmu un deju svētku likuma 7.panta ceturto daļu Iekšlietu ministrija Dziesmu un deju svētku laikā nodrošina sabiedrisko kārtību un drošību).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Veselības ministrija (saskaņā ar Dziesmu un deju svētku likuma 7.panta piekto daļu Veselības ministrija Dziesmu un deju svētku laikā veic pārraudzību veselības jomā un nodrošina neatliekamo medicīnisko palīdzību svētku dalībniekiem un skatītājiem).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Sabiedriskie elektroniskie plašsaziņas līdzekļi (saskaņā ar Dziesmu un deju svētku likuma 7.panta devīto daļu sabiedriskie elektroniskie plašsaziņas līdzekļi nodrošina Dziesmu un deju svētku atspoguļošanu un popularizēšanu nodrošina).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Attiecīgā kolektīva dibinātājs (saskaņā ar Dziesmu un deju svētku likuma 9.panta trešo un ceturto daļu attiecīgā kolektīva dibinātājs (43 pašvaldības) nodrošina kolektīva darbībai nepieciešamās mēģinājumu telpas, mēģinājumiem nepieciešamo tehnisko aprīkojumu, tērpu, nošu materiālu, deju aprakstu iegādi, kolektīva vadītāja, diriģenta, koncertmeistara darba samaksu, transporta pakalpojumus Dziesmu un deju svētku norises laikā, kā arī izvirza un nodrošina Dziesmu un deju svētku koordinatoru darbību).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Tiesību akta projekta ietekmējamās sabiedrības grupas, ietekme uz tautsaimniecības attīstību un administratīvo slogu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Saskaņā ar Dziesmu un deju svētku likuma 7. panta pirmās daļas 1. punktu noteikt, ka XXVII Vispārējie latviešu dziesmu un XVII Deju svētki tiek rīkoti no 2023. gada 30. jūnija līdz 9. jūlijam Rīgā.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(VM - 01.12.2021.)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Veselības ministrija neiebilst Dziesmu un deju svētku laika noteikšanai, lai nodrošinātu iespēju savlaicīgi organizēt svētkus. Vienlaikus aicinām sekot līdzi aktuālajai epidemioloģiskajai situācijai valstī, ņemot vērā, ka šāda mēroga pasākumu norise var tikt pakļauta sabiedrības veselības apdraudējuma riskiem.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projekta sākotnējās ietekmes (ex-ante) novērtējuma ziņojuma (anotācijas) 1.sadaļas „Tiesību akta projekta izstrādes nepieciešamība” 1.3.punktā „Pašreizējā situācija, problēmas un risinājumi” ir norādīta šāda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Izstrādājot Projektu, Kultūras ministrija ņēma vērā, ka Dziesmu un deju svētku likuma 7.panta pirmās daļas 1.punkts pilnvaro Ministru kabinetu noteikt Vispārējo latviešu dziesmu un deju svētku norises laiku un vietu, bet, apzinot šā brīža Svētku sagatavošanas komplicēto raksturu un objektīvos apstākļus (epidemioloģisko situāciju), 2021.gada IV ceturksnī ir iespējams noteikt tikai Svētku norises laiku, kas, iespējams, būs jāpārskata 2022.gada II ceturksnī, ņemot vērā vairākus aspektus – valstī esošo epidemioloģisko situāciju, pulcēšanās iespēju un māksliniecisko kolektīvu iespēju kvalitatīvi sagatavot Svētku repertuāru.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Saskaņā ar Dziesmu un deju svētku likuma 7. panta pirmās daļas 1. punktu noteikt, ka XXVII Vispārējie latviešu dziesmu un XVII Deju svētki tiek rīkoti no 2023. gada 30. jūnija līdz 9. jūlijam Rīgā.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- 01.12.2021.)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 apakšpunktā ir sniegta informācija, ka Kultūras ministrija iesniegs izskatīšanai Ministru kabinetā rīkojuma projektu „Par XXVII Vispārējo latviešu dziesmu un XVII Deju svētku norises vietām”. Ierosinām attiecīgo informāciju norādīt arī anotācijas 4.2. apakšpunktā, minot arī informāciju, kad tieši attiecīgais projekts tiks iesniegts Ministru kabinetā.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Rīkojuma projekta sākotnējās ietekmes (ex-ante) novērtējuma ziņojuma (anotācijas) 4.sadaļas „Tiesību akta projekta ietekme uz spēkā esošo tiesību normu sistēmu” 4.2.punktā „Cita informācija” šāda norādītā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Izvērtējot objektīvos apstākļus (epidemioloģisko situāciju), pieņemot lēmumu par Svētku norises laiku 2022.gada II ceturksnī, tiks pieņemts lēmums par Svētku norises vietām. Ministru kabineta rīkojuma projektu „Par XXVII Vispārējo latviešu dziesmu un XVII Deju svētku norises vietām” plānots iesniegt Ministru kabinetā 2022.gada III ceturksnī.</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21-TA-1443</w:t>
    </w:r>
    <w:r>
      <w:br/>
    </w:r>
    <w:r w:rsidR="00000000" w:rsidRPr="00000000" w:rsidDel="00000000">
      <w:rPr>
        <w:rtl w:val="0"/>
      </w:rPr>
      <w:t xml:space="preserve">28.01.2022. 08.25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21-TA-1443</w:t>
    </w:r>
    <w:r>
      <w:br/>
    </w:r>
    <w:r w:rsidR="00000000" w:rsidRPr="00000000" w:rsidDel="00000000">
      <w:rPr>
        <w:rtl w:val="0"/>
      </w:rPr>
      <w:t xml:space="preserve">28.01.2022. 08.25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Izziņa_21-TA-1443.docx</dc:title>
</cp:coreProperties>
</file>

<file path=docProps/custom.xml><?xml version="1.0" encoding="utf-8"?>
<Properties xmlns="http://schemas.openxmlformats.org/officeDocument/2006/custom-properties" xmlns:vt="http://schemas.openxmlformats.org/officeDocument/2006/docPropsVTypes"/>
</file>