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2.xml" ContentType="application/vnd.openxmlformats-officedocument.drawingml.chartshapes+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4.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5.xml" ContentType="application/vnd.openxmlformats-officedocument.themeOverride+xml"/>
  <Override PartName="/word/charts/chart12.xml" ContentType="application/vnd.openxmlformats-officedocument.drawingml.chart+xml"/>
  <Override PartName="/word/theme/themeOverride6.xml" ContentType="application/vnd.openxmlformats-officedocument.themeOverrid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8.xml" ContentType="application/vnd.openxmlformats-officedocument.themeOverrid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2.xml" ContentType="application/vnd.openxmlformats-officedocument.themeOverride+xml"/>
  <Override PartName="/word/charts/chart19.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3.xml" ContentType="application/vnd.openxmlformats-officedocument.themeOverride+xml"/>
  <Override PartName="/word/charts/chart20.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4.xml" ContentType="application/vnd.openxmlformats-officedocument.themeOverride+xml"/>
  <Override PartName="/word/charts/chart21.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5.xml" ContentType="application/vnd.openxmlformats-officedocument.themeOverride+xml"/>
  <Override PartName="/word/charts/chart22.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3.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4.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6.xml" ContentType="application/vnd.openxmlformats-officedocument.themeOverride+xml"/>
  <Override PartName="/word/charts/chart25.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7.xml" ContentType="application/vnd.openxmlformats-officedocument.themeOverride+xml"/>
  <Override PartName="/word/charts/chart26.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8.xml" ContentType="application/vnd.openxmlformats-officedocument.themeOverride+xml"/>
  <Override PartName="/word/charts/chart27.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9.xml" ContentType="application/vnd.openxmlformats-officedocument.themeOverride+xml"/>
  <Override PartName="/word/charts/chart28.xml" ContentType="application/vnd.openxmlformats-officedocument.drawingml.chart+xml"/>
  <Override PartName="/word/theme/themeOverride20.xml" ContentType="application/vnd.openxmlformats-officedocument.themeOverride+xml"/>
  <Override PartName="/word/charts/chart29.xml" ContentType="application/vnd.openxmlformats-officedocument.drawingml.chart+xml"/>
  <Override PartName="/word/theme/themeOverride21.xml" ContentType="application/vnd.openxmlformats-officedocument.themeOverride+xml"/>
  <Override PartName="/word/charts/chart30.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2.xml" ContentType="application/vnd.openxmlformats-officedocument.themeOverride+xml"/>
  <Override PartName="/word/charts/chart31.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2.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3.xml" ContentType="application/vnd.openxmlformats-officedocument.themeOverride+xml"/>
  <Override PartName="/word/charts/chart33.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4.xml" ContentType="application/vnd.openxmlformats-officedocument.themeOverride+xml"/>
  <Override PartName="/word/charts/chart34.xml" ContentType="application/vnd.openxmlformats-officedocument.drawingml.chart+xml"/>
  <Override PartName="/word/theme/themeOverride25.xml" ContentType="application/vnd.openxmlformats-officedocument.themeOverride+xml"/>
  <Override PartName="/word/drawings/drawing3.xml" ContentType="application/vnd.openxmlformats-officedocument.drawingml.chartshapes+xml"/>
  <Override PartName="/word/charts/chart35.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6.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7.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8.xml" ContentType="application/vnd.openxmlformats-officedocument.drawingml.chart+xml"/>
  <Override PartName="/word/charts/chart39.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40.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4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45.xml" ContentType="application/vnd.openxmlformats-officedocument.drawingml.chart+xml"/>
  <Override PartName="/word/drawings/drawing4.xml" ContentType="application/vnd.openxmlformats-officedocument.drawingml.chartshapes+xml"/>
  <Override PartName="/word/charts/chart46.xml" ContentType="application/vnd.openxmlformats-officedocument.drawingml.chart+xml"/>
  <Override PartName="/word/theme/themeOverride26.xml" ContentType="application/vnd.openxmlformats-officedocument.themeOverride+xml"/>
  <Override PartName="/word/charts/chart47.xml" ContentType="application/vnd.openxmlformats-officedocument.drawingml.chart+xml"/>
  <Override PartName="/word/theme/themeOverride2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E586E" w14:textId="77777777" w:rsidR="003F3FCD" w:rsidRDefault="003F3FCD" w:rsidP="00401A5B">
      <w:pPr>
        <w:widowControl w:val="0"/>
      </w:pPr>
    </w:p>
    <w:p w14:paraId="3B9355BE" w14:textId="77777777" w:rsidR="00A5237F" w:rsidRDefault="00A5237F" w:rsidP="00401A5B">
      <w:pPr>
        <w:widowControl w:val="0"/>
      </w:pPr>
    </w:p>
    <w:p w14:paraId="1E4D3570" w14:textId="77777777" w:rsidR="00A5237F" w:rsidRDefault="00A5237F" w:rsidP="00401A5B">
      <w:pPr>
        <w:widowControl w:val="0"/>
      </w:pPr>
    </w:p>
    <w:p w14:paraId="1307D43F" w14:textId="77777777" w:rsidR="00A5237F" w:rsidRDefault="00A5237F" w:rsidP="00401A5B">
      <w:pPr>
        <w:widowControl w:val="0"/>
      </w:pPr>
    </w:p>
    <w:p w14:paraId="2E661E19" w14:textId="77777777" w:rsidR="00A5237F" w:rsidRDefault="00A5237F" w:rsidP="00401A5B">
      <w:pPr>
        <w:widowControl w:val="0"/>
      </w:pPr>
    </w:p>
    <w:p w14:paraId="1E9D7B2D" w14:textId="77777777" w:rsidR="00A5237F" w:rsidRDefault="00A5237F" w:rsidP="00401A5B">
      <w:pPr>
        <w:widowControl w:val="0"/>
        <w:rPr>
          <w:rFonts w:ascii="Calibri" w:eastAsia="Calibri" w:hAnsi="Calibri" w:cs="Calibri"/>
        </w:rPr>
      </w:pPr>
    </w:p>
    <w:p w14:paraId="1A8B3BE0" w14:textId="77777777" w:rsidR="003F3FCD" w:rsidRDefault="003F3FCD" w:rsidP="00401A5B">
      <w:pPr>
        <w:widowControl w:val="0"/>
        <w:rPr>
          <w:rFonts w:ascii="Calibri" w:eastAsia="Calibri" w:hAnsi="Calibri" w:cs="Calibri"/>
        </w:rPr>
      </w:pPr>
    </w:p>
    <w:p w14:paraId="6A84C1A3" w14:textId="77777777" w:rsidR="003F3FCD" w:rsidRDefault="003F3FCD" w:rsidP="00401A5B">
      <w:pPr>
        <w:widowControl w:val="0"/>
        <w:rPr>
          <w:rFonts w:ascii="Calibri" w:eastAsia="Calibri" w:hAnsi="Calibri" w:cs="Calibri"/>
        </w:rPr>
      </w:pPr>
    </w:p>
    <w:p w14:paraId="02056C13" w14:textId="77777777" w:rsidR="003F3FCD" w:rsidRDefault="003F3FCD" w:rsidP="00401A5B">
      <w:pPr>
        <w:widowControl w:val="0"/>
        <w:rPr>
          <w:rFonts w:ascii="Calibri" w:eastAsia="Calibri" w:hAnsi="Calibri" w:cs="Calibri"/>
        </w:rPr>
      </w:pPr>
    </w:p>
    <w:p w14:paraId="250FD0EC" w14:textId="77777777" w:rsidR="003F3FCD" w:rsidRDefault="003F3FCD" w:rsidP="00401A5B">
      <w:pPr>
        <w:widowControl w:val="0"/>
        <w:rPr>
          <w:rFonts w:ascii="Calibri" w:eastAsia="Calibri" w:hAnsi="Calibri" w:cs="Calibri"/>
        </w:rPr>
      </w:pPr>
    </w:p>
    <w:p w14:paraId="6ACEB42B" w14:textId="77777777" w:rsidR="003F3FCD" w:rsidRDefault="003F3FCD" w:rsidP="00401A5B">
      <w:pPr>
        <w:widowControl w:val="0"/>
        <w:rPr>
          <w:rFonts w:ascii="Calibri" w:eastAsia="Calibri" w:hAnsi="Calibri" w:cs="Calibri"/>
        </w:rPr>
      </w:pPr>
    </w:p>
    <w:p w14:paraId="16E2BC93" w14:textId="77777777" w:rsidR="003F3FCD" w:rsidRDefault="003F3FCD" w:rsidP="00401A5B">
      <w:pPr>
        <w:widowControl w:val="0"/>
        <w:rPr>
          <w:rFonts w:ascii="Calibri" w:eastAsia="Calibri" w:hAnsi="Calibri" w:cs="Calibri"/>
        </w:rPr>
      </w:pPr>
    </w:p>
    <w:p w14:paraId="13691D0F" w14:textId="3A0D36C2" w:rsidR="003F3FCD" w:rsidRDefault="0099640B" w:rsidP="00401A5B">
      <w:pPr>
        <w:widowControl w:val="0"/>
        <w:jc w:val="center"/>
        <w:rPr>
          <w:rFonts w:eastAsia="Times New Roman" w:cs="Times New Roman"/>
          <w:b/>
          <w:sz w:val="36"/>
        </w:rPr>
      </w:pPr>
      <w:r>
        <w:rPr>
          <w:rFonts w:eastAsia="Times New Roman" w:cs="Times New Roman"/>
          <w:b/>
          <w:sz w:val="36"/>
        </w:rPr>
        <w:t>Likumprojekta</w:t>
      </w:r>
      <w:r w:rsidR="00BC779F">
        <w:rPr>
          <w:rFonts w:eastAsia="Times New Roman" w:cs="Times New Roman"/>
          <w:b/>
          <w:sz w:val="36"/>
        </w:rPr>
        <w:t xml:space="preserve"> </w:t>
      </w:r>
      <w:r w:rsidR="000548A5">
        <w:rPr>
          <w:rFonts w:eastAsia="Times New Roman" w:cs="Times New Roman"/>
          <w:b/>
          <w:sz w:val="36"/>
        </w:rPr>
        <w:t>“Par vid</w:t>
      </w:r>
      <w:r w:rsidR="007400C8">
        <w:rPr>
          <w:rFonts w:eastAsia="Times New Roman" w:cs="Times New Roman"/>
          <w:b/>
          <w:sz w:val="36"/>
        </w:rPr>
        <w:t>ēja termiņa budžeta ietvaru 2022., 2023. un 2024</w:t>
      </w:r>
      <w:r w:rsidR="002D0756">
        <w:rPr>
          <w:rFonts w:eastAsia="Times New Roman" w:cs="Times New Roman"/>
          <w:b/>
          <w:sz w:val="36"/>
        </w:rPr>
        <w:t>.</w:t>
      </w:r>
      <w:r w:rsidR="007400C8">
        <w:rPr>
          <w:rFonts w:eastAsia="Times New Roman" w:cs="Times New Roman"/>
          <w:b/>
          <w:sz w:val="36"/>
        </w:rPr>
        <w:t xml:space="preserve"> </w:t>
      </w:r>
      <w:r w:rsidR="000548A5">
        <w:rPr>
          <w:rFonts w:eastAsia="Times New Roman" w:cs="Times New Roman"/>
          <w:b/>
          <w:sz w:val="36"/>
        </w:rPr>
        <w:t>gadam”</w:t>
      </w:r>
    </w:p>
    <w:p w14:paraId="428C9121" w14:textId="77777777" w:rsidR="003F3FCD" w:rsidRDefault="003F3FCD" w:rsidP="00401A5B">
      <w:pPr>
        <w:widowControl w:val="0"/>
        <w:jc w:val="center"/>
        <w:rPr>
          <w:rFonts w:eastAsia="Times New Roman" w:cs="Times New Roman"/>
          <w:b/>
          <w:sz w:val="36"/>
        </w:rPr>
      </w:pPr>
    </w:p>
    <w:p w14:paraId="25A8802C" w14:textId="77777777" w:rsidR="004D28CD" w:rsidRDefault="004D28CD" w:rsidP="00401A5B">
      <w:pPr>
        <w:widowControl w:val="0"/>
        <w:jc w:val="center"/>
        <w:rPr>
          <w:rFonts w:eastAsia="Times New Roman" w:cs="Times New Roman"/>
          <w:b/>
          <w:sz w:val="36"/>
        </w:rPr>
      </w:pPr>
    </w:p>
    <w:p w14:paraId="4C49E203" w14:textId="77777777" w:rsidR="003F3FCD" w:rsidRDefault="000548A5" w:rsidP="00DB5C3D">
      <w:pPr>
        <w:widowControl w:val="0"/>
        <w:ind w:firstLine="0"/>
        <w:jc w:val="center"/>
        <w:rPr>
          <w:rFonts w:eastAsia="Times New Roman" w:cs="Times New Roman"/>
          <w:b/>
          <w:sz w:val="36"/>
        </w:rPr>
      </w:pPr>
      <w:r>
        <w:rPr>
          <w:rFonts w:eastAsia="Times New Roman" w:cs="Times New Roman"/>
          <w:b/>
          <w:sz w:val="36"/>
        </w:rPr>
        <w:t>PASKAIDROJUMI</w:t>
      </w:r>
    </w:p>
    <w:p w14:paraId="4970789D" w14:textId="77777777" w:rsidR="003F3FCD" w:rsidRDefault="003F3FCD" w:rsidP="00401A5B">
      <w:pPr>
        <w:widowControl w:val="0"/>
        <w:rPr>
          <w:rFonts w:ascii="Calibri" w:eastAsia="Calibri" w:hAnsi="Calibri" w:cs="Calibri"/>
        </w:rPr>
      </w:pPr>
    </w:p>
    <w:p w14:paraId="7ACFEB9C" w14:textId="77777777" w:rsidR="003F3FCD" w:rsidRDefault="003F3FCD" w:rsidP="00401A5B">
      <w:pPr>
        <w:widowControl w:val="0"/>
        <w:rPr>
          <w:rFonts w:ascii="Calibri" w:eastAsia="Calibri" w:hAnsi="Calibri" w:cs="Calibri"/>
        </w:rPr>
      </w:pPr>
    </w:p>
    <w:p w14:paraId="158EB1F1" w14:textId="77777777" w:rsidR="004D28CD" w:rsidRDefault="004D28CD" w:rsidP="00401A5B">
      <w:pPr>
        <w:widowControl w:val="0"/>
        <w:rPr>
          <w:rFonts w:ascii="Calibri" w:eastAsia="Calibri" w:hAnsi="Calibri" w:cs="Calibri"/>
        </w:rPr>
      </w:pPr>
    </w:p>
    <w:p w14:paraId="1E4D1E2E" w14:textId="77777777" w:rsidR="004D28CD" w:rsidRDefault="004D28CD" w:rsidP="00401A5B">
      <w:pPr>
        <w:widowControl w:val="0"/>
        <w:rPr>
          <w:rFonts w:ascii="Calibri" w:eastAsia="Calibri" w:hAnsi="Calibri" w:cs="Calibri"/>
        </w:rPr>
      </w:pPr>
    </w:p>
    <w:p w14:paraId="0F8B83F6" w14:textId="77777777" w:rsidR="004D28CD" w:rsidRDefault="004D28CD" w:rsidP="00401A5B">
      <w:pPr>
        <w:widowControl w:val="0"/>
        <w:rPr>
          <w:rFonts w:ascii="Calibri" w:eastAsia="Calibri" w:hAnsi="Calibri" w:cs="Calibri"/>
        </w:rPr>
      </w:pPr>
    </w:p>
    <w:p w14:paraId="76521F26" w14:textId="77777777" w:rsidR="004D28CD" w:rsidRDefault="004D28CD" w:rsidP="00401A5B">
      <w:pPr>
        <w:widowControl w:val="0"/>
        <w:rPr>
          <w:rFonts w:ascii="Calibri" w:eastAsia="Calibri" w:hAnsi="Calibri" w:cs="Calibri"/>
        </w:rPr>
      </w:pPr>
    </w:p>
    <w:p w14:paraId="4781EA24" w14:textId="77777777" w:rsidR="004D28CD" w:rsidRDefault="004D28CD" w:rsidP="00401A5B">
      <w:pPr>
        <w:widowControl w:val="0"/>
        <w:rPr>
          <w:rFonts w:ascii="Calibri" w:eastAsia="Calibri" w:hAnsi="Calibri" w:cs="Calibri"/>
        </w:rPr>
      </w:pPr>
    </w:p>
    <w:p w14:paraId="5E00524D" w14:textId="77777777" w:rsidR="004D28CD" w:rsidRDefault="004D28CD" w:rsidP="00401A5B">
      <w:pPr>
        <w:widowControl w:val="0"/>
        <w:rPr>
          <w:rFonts w:ascii="Calibri" w:eastAsia="Calibri" w:hAnsi="Calibri" w:cs="Calibri"/>
        </w:rPr>
      </w:pPr>
    </w:p>
    <w:p w14:paraId="4D622B0A" w14:textId="77777777" w:rsidR="004D28CD" w:rsidRDefault="004D28CD" w:rsidP="00401A5B">
      <w:pPr>
        <w:widowControl w:val="0"/>
        <w:rPr>
          <w:rFonts w:ascii="Calibri" w:eastAsia="Calibri" w:hAnsi="Calibri" w:cs="Calibri"/>
        </w:rPr>
      </w:pPr>
    </w:p>
    <w:p w14:paraId="4A19FB05" w14:textId="77777777" w:rsidR="004D28CD" w:rsidRDefault="004D28CD" w:rsidP="00401A5B">
      <w:pPr>
        <w:widowControl w:val="0"/>
        <w:rPr>
          <w:rFonts w:ascii="Calibri" w:eastAsia="Calibri" w:hAnsi="Calibri" w:cs="Calibri"/>
        </w:rPr>
      </w:pPr>
    </w:p>
    <w:p w14:paraId="61BFC73B" w14:textId="77777777" w:rsidR="004D28CD" w:rsidRDefault="004D28CD" w:rsidP="00401A5B">
      <w:pPr>
        <w:widowControl w:val="0"/>
        <w:rPr>
          <w:rFonts w:ascii="Calibri" w:eastAsia="Calibri" w:hAnsi="Calibri" w:cs="Calibri"/>
        </w:rPr>
      </w:pPr>
    </w:p>
    <w:p w14:paraId="154B092A" w14:textId="77777777" w:rsidR="004D28CD" w:rsidRDefault="004D28CD" w:rsidP="00401A5B">
      <w:pPr>
        <w:widowControl w:val="0"/>
        <w:rPr>
          <w:rFonts w:ascii="Calibri" w:eastAsia="Calibri" w:hAnsi="Calibri" w:cs="Calibri"/>
        </w:rPr>
      </w:pPr>
    </w:p>
    <w:p w14:paraId="7AAB44DB" w14:textId="77777777" w:rsidR="004D28CD" w:rsidRDefault="004D28CD" w:rsidP="00401A5B">
      <w:pPr>
        <w:widowControl w:val="0"/>
        <w:rPr>
          <w:rFonts w:ascii="Calibri" w:eastAsia="Calibri" w:hAnsi="Calibri" w:cs="Calibri"/>
        </w:rPr>
      </w:pPr>
    </w:p>
    <w:p w14:paraId="177D7308" w14:textId="77777777" w:rsidR="004D28CD" w:rsidRDefault="004D28CD" w:rsidP="00401A5B">
      <w:pPr>
        <w:widowControl w:val="0"/>
        <w:rPr>
          <w:rFonts w:ascii="Calibri" w:eastAsia="Calibri" w:hAnsi="Calibri" w:cs="Calibri"/>
        </w:rPr>
      </w:pPr>
    </w:p>
    <w:p w14:paraId="2579156B" w14:textId="55B46318" w:rsidR="008E246B" w:rsidRDefault="008E246B" w:rsidP="00B13890">
      <w:pPr>
        <w:ind w:firstLine="0"/>
      </w:pPr>
    </w:p>
    <w:p w14:paraId="044A649E" w14:textId="5F997291" w:rsidR="0010115D" w:rsidRDefault="0010115D" w:rsidP="00B13890">
      <w:pPr>
        <w:ind w:firstLine="0"/>
      </w:pPr>
    </w:p>
    <w:p w14:paraId="1CCCFD05" w14:textId="5A0DB4F8" w:rsidR="0010115D" w:rsidRDefault="0010115D" w:rsidP="00B13890">
      <w:pPr>
        <w:ind w:firstLine="0"/>
      </w:pPr>
    </w:p>
    <w:sdt>
      <w:sdtPr>
        <w:rPr>
          <w:rFonts w:eastAsiaTheme="minorEastAsia" w:cstheme="minorBidi"/>
          <w:b w:val="0"/>
          <w:bCs w:val="0"/>
          <w:smallCaps w:val="0"/>
          <w:color w:val="auto"/>
          <w:sz w:val="24"/>
          <w:szCs w:val="22"/>
        </w:rPr>
        <w:id w:val="1380744061"/>
        <w:docPartObj>
          <w:docPartGallery w:val="Table of Contents"/>
          <w:docPartUnique/>
        </w:docPartObj>
      </w:sdtPr>
      <w:sdtEndPr>
        <w:rPr>
          <w:noProof/>
        </w:rPr>
      </w:sdtEndPr>
      <w:sdtContent>
        <w:p w14:paraId="7A02A322" w14:textId="5F7DBDE0" w:rsidR="004565B8" w:rsidRDefault="004565B8" w:rsidP="004565B8">
          <w:pPr>
            <w:pStyle w:val="TOCHeading"/>
            <w:jc w:val="center"/>
          </w:pPr>
          <w:r>
            <w:t>Saturs</w:t>
          </w:r>
        </w:p>
        <w:p w14:paraId="428369F8" w14:textId="5758D555" w:rsidR="004565B8" w:rsidRPr="004565B8" w:rsidRDefault="004565B8" w:rsidP="004565B8">
          <w:pPr>
            <w:pStyle w:val="TOC1"/>
            <w:rPr>
              <w:rFonts w:asciiTheme="minorHAnsi" w:hAnsiTheme="minorHAnsi"/>
              <w:noProof/>
              <w:szCs w:val="24"/>
            </w:rPr>
          </w:pPr>
          <w:r w:rsidRPr="004565B8">
            <w:fldChar w:fldCharType="begin"/>
          </w:r>
          <w:r w:rsidRPr="004565B8">
            <w:instrText xml:space="preserve"> TOC \o "1-3" \h \z \u </w:instrText>
          </w:r>
          <w:r w:rsidRPr="004565B8">
            <w:fldChar w:fldCharType="separate"/>
          </w:r>
          <w:hyperlink w:anchor="_Toc84756383" w:history="1">
            <w:r w:rsidRPr="004565B8">
              <w:rPr>
                <w:rStyle w:val="Hyperlink"/>
                <w:rFonts w:eastAsia="Times New Roman" w:cs="Times New Roman"/>
                <w:noProof/>
                <w:szCs w:val="24"/>
              </w:rPr>
              <w:t>1.</w:t>
            </w:r>
            <w:r w:rsidRPr="004565B8">
              <w:rPr>
                <w:rFonts w:asciiTheme="minorHAnsi" w:hAnsiTheme="minorHAnsi"/>
                <w:noProof/>
                <w:szCs w:val="24"/>
              </w:rPr>
              <w:tab/>
            </w:r>
            <w:r w:rsidRPr="004565B8">
              <w:rPr>
                <w:rStyle w:val="Hyperlink"/>
                <w:rFonts w:eastAsia="Times New Roman" w:cs="Times New Roman"/>
                <w:noProof/>
                <w:szCs w:val="24"/>
              </w:rPr>
              <w:t>Makroekonomiskās attīstības apraksts</w:t>
            </w:r>
            <w:r w:rsidRPr="004565B8">
              <w:rPr>
                <w:noProof/>
                <w:webHidden/>
                <w:szCs w:val="24"/>
              </w:rPr>
              <w:tab/>
            </w:r>
            <w:r w:rsidRPr="004565B8">
              <w:rPr>
                <w:noProof/>
                <w:webHidden/>
                <w:szCs w:val="24"/>
              </w:rPr>
              <w:fldChar w:fldCharType="begin"/>
            </w:r>
            <w:r w:rsidRPr="004565B8">
              <w:rPr>
                <w:noProof/>
                <w:webHidden/>
                <w:szCs w:val="24"/>
              </w:rPr>
              <w:instrText xml:space="preserve"> PAGEREF _Toc84756383 \h </w:instrText>
            </w:r>
            <w:r w:rsidRPr="004565B8">
              <w:rPr>
                <w:noProof/>
                <w:webHidden/>
                <w:szCs w:val="24"/>
              </w:rPr>
            </w:r>
            <w:r w:rsidRPr="004565B8">
              <w:rPr>
                <w:noProof/>
                <w:webHidden/>
                <w:szCs w:val="24"/>
              </w:rPr>
              <w:fldChar w:fldCharType="separate"/>
            </w:r>
            <w:r w:rsidRPr="004565B8">
              <w:rPr>
                <w:noProof/>
                <w:webHidden/>
                <w:szCs w:val="24"/>
              </w:rPr>
              <w:t>2</w:t>
            </w:r>
            <w:r w:rsidRPr="004565B8">
              <w:rPr>
                <w:noProof/>
                <w:webHidden/>
                <w:szCs w:val="24"/>
              </w:rPr>
              <w:fldChar w:fldCharType="end"/>
            </w:r>
          </w:hyperlink>
        </w:p>
        <w:p w14:paraId="4685178D" w14:textId="15C047E1" w:rsidR="004565B8" w:rsidRPr="004565B8" w:rsidRDefault="00635652" w:rsidP="004565B8">
          <w:pPr>
            <w:pStyle w:val="TOC2"/>
            <w:rPr>
              <w:rFonts w:asciiTheme="minorHAnsi" w:hAnsiTheme="minorHAnsi"/>
              <w:noProof/>
              <w:szCs w:val="24"/>
            </w:rPr>
          </w:pPr>
          <w:hyperlink w:anchor="_Toc84756384" w:history="1">
            <w:r w:rsidR="004565B8" w:rsidRPr="004565B8">
              <w:rPr>
                <w:rStyle w:val="Hyperlink"/>
                <w:noProof/>
                <w:szCs w:val="24"/>
              </w:rPr>
              <w:t>1.1.</w:t>
            </w:r>
            <w:r w:rsidR="004565B8" w:rsidRPr="004565B8">
              <w:rPr>
                <w:rFonts w:asciiTheme="minorHAnsi" w:hAnsiTheme="minorHAnsi"/>
                <w:noProof/>
                <w:szCs w:val="24"/>
              </w:rPr>
              <w:tab/>
            </w:r>
            <w:r w:rsidR="004565B8" w:rsidRPr="004565B8">
              <w:rPr>
                <w:rStyle w:val="Hyperlink"/>
                <w:noProof/>
                <w:szCs w:val="24"/>
              </w:rPr>
              <w:t>Ārējā ekonomiskā vide</w:t>
            </w:r>
            <w:r w:rsidR="004565B8" w:rsidRPr="004565B8">
              <w:rPr>
                <w:noProof/>
                <w:webHidden/>
                <w:szCs w:val="24"/>
              </w:rPr>
              <w:tab/>
            </w:r>
            <w:r w:rsidR="004565B8" w:rsidRPr="004565B8">
              <w:rPr>
                <w:noProof/>
                <w:webHidden/>
                <w:szCs w:val="24"/>
              </w:rPr>
              <w:fldChar w:fldCharType="begin"/>
            </w:r>
            <w:r w:rsidR="004565B8" w:rsidRPr="004565B8">
              <w:rPr>
                <w:noProof/>
                <w:webHidden/>
                <w:szCs w:val="24"/>
              </w:rPr>
              <w:instrText xml:space="preserve"> PAGEREF _Toc84756384 \h </w:instrText>
            </w:r>
            <w:r w:rsidR="004565B8" w:rsidRPr="004565B8">
              <w:rPr>
                <w:noProof/>
                <w:webHidden/>
                <w:szCs w:val="24"/>
              </w:rPr>
            </w:r>
            <w:r w:rsidR="004565B8" w:rsidRPr="004565B8">
              <w:rPr>
                <w:noProof/>
                <w:webHidden/>
                <w:szCs w:val="24"/>
              </w:rPr>
              <w:fldChar w:fldCharType="separate"/>
            </w:r>
            <w:r w:rsidR="004565B8" w:rsidRPr="004565B8">
              <w:rPr>
                <w:noProof/>
                <w:webHidden/>
                <w:szCs w:val="24"/>
              </w:rPr>
              <w:t>2</w:t>
            </w:r>
            <w:r w:rsidR="004565B8" w:rsidRPr="004565B8">
              <w:rPr>
                <w:noProof/>
                <w:webHidden/>
                <w:szCs w:val="24"/>
              </w:rPr>
              <w:fldChar w:fldCharType="end"/>
            </w:r>
          </w:hyperlink>
        </w:p>
        <w:p w14:paraId="7AE5487F" w14:textId="727C8F30" w:rsidR="004565B8" w:rsidRPr="004565B8" w:rsidRDefault="00635652" w:rsidP="004565B8">
          <w:pPr>
            <w:pStyle w:val="TOC2"/>
            <w:rPr>
              <w:rFonts w:asciiTheme="minorHAnsi" w:hAnsiTheme="minorHAnsi"/>
              <w:noProof/>
              <w:szCs w:val="24"/>
            </w:rPr>
          </w:pPr>
          <w:hyperlink w:anchor="_Toc84756385" w:history="1">
            <w:r w:rsidR="004565B8" w:rsidRPr="004565B8">
              <w:rPr>
                <w:rStyle w:val="Hyperlink"/>
                <w:noProof/>
                <w:szCs w:val="24"/>
              </w:rPr>
              <w:t>1.2.</w:t>
            </w:r>
            <w:r w:rsidR="004565B8" w:rsidRPr="004565B8">
              <w:rPr>
                <w:rFonts w:asciiTheme="minorHAnsi" w:hAnsiTheme="minorHAnsi"/>
                <w:noProof/>
                <w:szCs w:val="24"/>
              </w:rPr>
              <w:tab/>
            </w:r>
            <w:r w:rsidR="004565B8" w:rsidRPr="004565B8">
              <w:rPr>
                <w:rStyle w:val="Hyperlink"/>
                <w:noProof/>
                <w:szCs w:val="24"/>
              </w:rPr>
              <w:t>Latvijas tautsaimniecības attīstība</w:t>
            </w:r>
            <w:r w:rsidR="004565B8" w:rsidRPr="004565B8">
              <w:rPr>
                <w:noProof/>
                <w:webHidden/>
                <w:szCs w:val="24"/>
              </w:rPr>
              <w:tab/>
            </w:r>
            <w:r w:rsidR="004565B8" w:rsidRPr="004565B8">
              <w:rPr>
                <w:noProof/>
                <w:webHidden/>
                <w:szCs w:val="24"/>
              </w:rPr>
              <w:fldChar w:fldCharType="begin"/>
            </w:r>
            <w:r w:rsidR="004565B8" w:rsidRPr="004565B8">
              <w:rPr>
                <w:noProof/>
                <w:webHidden/>
                <w:szCs w:val="24"/>
              </w:rPr>
              <w:instrText xml:space="preserve"> PAGEREF _Toc84756385 \h </w:instrText>
            </w:r>
            <w:r w:rsidR="004565B8" w:rsidRPr="004565B8">
              <w:rPr>
                <w:noProof/>
                <w:webHidden/>
                <w:szCs w:val="24"/>
              </w:rPr>
            </w:r>
            <w:r w:rsidR="004565B8" w:rsidRPr="004565B8">
              <w:rPr>
                <w:noProof/>
                <w:webHidden/>
                <w:szCs w:val="24"/>
              </w:rPr>
              <w:fldChar w:fldCharType="separate"/>
            </w:r>
            <w:r w:rsidR="004565B8" w:rsidRPr="004565B8">
              <w:rPr>
                <w:noProof/>
                <w:webHidden/>
                <w:szCs w:val="24"/>
              </w:rPr>
              <w:t>4</w:t>
            </w:r>
            <w:r w:rsidR="004565B8" w:rsidRPr="004565B8">
              <w:rPr>
                <w:noProof/>
                <w:webHidden/>
                <w:szCs w:val="24"/>
              </w:rPr>
              <w:fldChar w:fldCharType="end"/>
            </w:r>
          </w:hyperlink>
        </w:p>
        <w:p w14:paraId="491B2CE4" w14:textId="7BA2BEAC" w:rsidR="004565B8" w:rsidRPr="004565B8" w:rsidRDefault="00635652" w:rsidP="004565B8">
          <w:pPr>
            <w:pStyle w:val="TOC3"/>
            <w:ind w:hanging="992"/>
            <w:rPr>
              <w:rFonts w:asciiTheme="minorHAnsi" w:hAnsiTheme="minorHAnsi" w:cstheme="minorBidi"/>
              <w:sz w:val="24"/>
              <w:szCs w:val="24"/>
            </w:rPr>
          </w:pPr>
          <w:hyperlink w:anchor="_Toc84756386" w:history="1">
            <w:r w:rsidR="004565B8" w:rsidRPr="004565B8">
              <w:rPr>
                <w:rStyle w:val="Hyperlink"/>
                <w:sz w:val="24"/>
                <w:szCs w:val="24"/>
              </w:rPr>
              <w:t>1.2.1. Iekšzemes kopprodukts</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_Toc84756386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4</w:t>
            </w:r>
            <w:r w:rsidR="004565B8" w:rsidRPr="004565B8">
              <w:rPr>
                <w:webHidden/>
                <w:sz w:val="24"/>
                <w:szCs w:val="24"/>
              </w:rPr>
              <w:fldChar w:fldCharType="end"/>
            </w:r>
          </w:hyperlink>
        </w:p>
        <w:p w14:paraId="3296114D" w14:textId="504BC26F" w:rsidR="004565B8" w:rsidRPr="004565B8" w:rsidRDefault="00635652" w:rsidP="004565B8">
          <w:pPr>
            <w:pStyle w:val="TOC3"/>
            <w:rPr>
              <w:rFonts w:asciiTheme="minorHAnsi" w:hAnsiTheme="minorHAnsi" w:cstheme="minorBidi"/>
              <w:sz w:val="24"/>
              <w:szCs w:val="24"/>
            </w:rPr>
          </w:pPr>
          <w:hyperlink w:anchor="_Toc84756387" w:history="1">
            <w:r w:rsidR="004565B8" w:rsidRPr="004565B8">
              <w:rPr>
                <w:rStyle w:val="Hyperlink"/>
                <w:sz w:val="24"/>
                <w:szCs w:val="24"/>
              </w:rPr>
              <w:t>1.2.2. Tautsaimniecības nozaru attīstība</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_Toc84756387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8</w:t>
            </w:r>
            <w:r w:rsidR="004565B8" w:rsidRPr="004565B8">
              <w:rPr>
                <w:webHidden/>
                <w:sz w:val="24"/>
                <w:szCs w:val="24"/>
              </w:rPr>
              <w:fldChar w:fldCharType="end"/>
            </w:r>
          </w:hyperlink>
        </w:p>
        <w:p w14:paraId="42229515" w14:textId="09AA35F5" w:rsidR="004565B8" w:rsidRPr="004565B8" w:rsidRDefault="00635652" w:rsidP="004565B8">
          <w:pPr>
            <w:pStyle w:val="TOC3"/>
            <w:rPr>
              <w:rFonts w:asciiTheme="minorHAnsi" w:hAnsiTheme="minorHAnsi" w:cstheme="minorBidi"/>
              <w:sz w:val="24"/>
              <w:szCs w:val="24"/>
            </w:rPr>
          </w:pPr>
          <w:hyperlink w:anchor="_Toc84756388" w:history="1">
            <w:r w:rsidR="004565B8" w:rsidRPr="004565B8">
              <w:rPr>
                <w:rStyle w:val="Hyperlink"/>
                <w:sz w:val="24"/>
                <w:szCs w:val="24"/>
              </w:rPr>
              <w:t>1.2.3. Inflācija</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_Toc84756388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26</w:t>
            </w:r>
            <w:r w:rsidR="004565B8" w:rsidRPr="004565B8">
              <w:rPr>
                <w:webHidden/>
                <w:sz w:val="24"/>
                <w:szCs w:val="24"/>
              </w:rPr>
              <w:fldChar w:fldCharType="end"/>
            </w:r>
          </w:hyperlink>
        </w:p>
        <w:p w14:paraId="43BE25DD" w14:textId="3E8064EC" w:rsidR="004565B8" w:rsidRPr="004565B8" w:rsidRDefault="00635652" w:rsidP="004565B8">
          <w:pPr>
            <w:pStyle w:val="TOC3"/>
            <w:rPr>
              <w:rFonts w:asciiTheme="minorHAnsi" w:hAnsiTheme="minorHAnsi" w:cstheme="minorBidi"/>
              <w:sz w:val="24"/>
              <w:szCs w:val="24"/>
            </w:rPr>
          </w:pPr>
          <w:hyperlink w:anchor="_Toc84756389" w:history="1">
            <w:r w:rsidR="004565B8" w:rsidRPr="004565B8">
              <w:rPr>
                <w:rStyle w:val="Hyperlink"/>
                <w:sz w:val="24"/>
                <w:szCs w:val="24"/>
              </w:rPr>
              <w:t>1.2.4. Nodarbinātība un bezdarbs</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_Toc84756389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29</w:t>
            </w:r>
            <w:r w:rsidR="004565B8" w:rsidRPr="004565B8">
              <w:rPr>
                <w:webHidden/>
                <w:sz w:val="24"/>
                <w:szCs w:val="24"/>
              </w:rPr>
              <w:fldChar w:fldCharType="end"/>
            </w:r>
          </w:hyperlink>
        </w:p>
        <w:p w14:paraId="70BF63F4" w14:textId="60A73924" w:rsidR="004565B8" w:rsidRPr="004565B8" w:rsidRDefault="00635652" w:rsidP="004565B8">
          <w:pPr>
            <w:pStyle w:val="TOC3"/>
            <w:rPr>
              <w:rFonts w:asciiTheme="minorHAnsi" w:hAnsiTheme="minorHAnsi" w:cstheme="minorBidi"/>
              <w:sz w:val="24"/>
              <w:szCs w:val="24"/>
            </w:rPr>
          </w:pPr>
          <w:hyperlink w:anchor="_Toc84756390" w:history="1">
            <w:r w:rsidR="004565B8" w:rsidRPr="004565B8">
              <w:rPr>
                <w:rStyle w:val="Hyperlink"/>
                <w:sz w:val="24"/>
                <w:szCs w:val="24"/>
              </w:rPr>
              <w:t>1.2.5. Iedzīvotāju ienākumi</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_Toc84756390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32</w:t>
            </w:r>
            <w:r w:rsidR="004565B8" w:rsidRPr="004565B8">
              <w:rPr>
                <w:webHidden/>
                <w:sz w:val="24"/>
                <w:szCs w:val="24"/>
              </w:rPr>
              <w:fldChar w:fldCharType="end"/>
            </w:r>
          </w:hyperlink>
        </w:p>
        <w:p w14:paraId="796A6B38" w14:textId="43A5A2CE" w:rsidR="004565B8" w:rsidRPr="004565B8" w:rsidRDefault="00635652" w:rsidP="004565B8">
          <w:pPr>
            <w:pStyle w:val="TOC3"/>
            <w:rPr>
              <w:rFonts w:asciiTheme="minorHAnsi" w:hAnsiTheme="minorHAnsi" w:cstheme="minorBidi"/>
              <w:sz w:val="24"/>
              <w:szCs w:val="24"/>
            </w:rPr>
          </w:pPr>
          <w:hyperlink w:anchor="_Toc84756391" w:history="1">
            <w:r w:rsidR="004565B8" w:rsidRPr="004565B8">
              <w:rPr>
                <w:rStyle w:val="Hyperlink"/>
                <w:sz w:val="24"/>
                <w:szCs w:val="24"/>
              </w:rPr>
              <w:t>1.2.6. Ārējā tirdzniecība un maksājumu bilance</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_Toc84756391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37</w:t>
            </w:r>
            <w:r w:rsidR="004565B8" w:rsidRPr="004565B8">
              <w:rPr>
                <w:webHidden/>
                <w:sz w:val="24"/>
                <w:szCs w:val="24"/>
              </w:rPr>
              <w:fldChar w:fldCharType="end"/>
            </w:r>
          </w:hyperlink>
        </w:p>
        <w:p w14:paraId="02A02C9F" w14:textId="60A1022D" w:rsidR="004565B8" w:rsidRPr="004565B8" w:rsidRDefault="00635652" w:rsidP="004565B8">
          <w:pPr>
            <w:pStyle w:val="TOC3"/>
            <w:rPr>
              <w:rFonts w:asciiTheme="minorHAnsi" w:hAnsiTheme="minorHAnsi" w:cstheme="minorBidi"/>
              <w:sz w:val="24"/>
              <w:szCs w:val="24"/>
            </w:rPr>
          </w:pPr>
          <w:hyperlink w:anchor="_Toc84756392" w:history="1">
            <w:r w:rsidR="004565B8" w:rsidRPr="004565B8">
              <w:rPr>
                <w:rStyle w:val="Hyperlink"/>
                <w:rFonts w:eastAsia="Times New Roman"/>
                <w:bCs/>
                <w:sz w:val="24"/>
                <w:szCs w:val="24"/>
              </w:rPr>
              <w:t>1.2.7. Investīcijas</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_Toc84756392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44</w:t>
            </w:r>
            <w:r w:rsidR="004565B8" w:rsidRPr="004565B8">
              <w:rPr>
                <w:webHidden/>
                <w:sz w:val="24"/>
                <w:szCs w:val="24"/>
              </w:rPr>
              <w:fldChar w:fldCharType="end"/>
            </w:r>
          </w:hyperlink>
        </w:p>
        <w:p w14:paraId="55DC8B2E" w14:textId="724B8F80" w:rsidR="004565B8" w:rsidRPr="004565B8" w:rsidRDefault="00635652" w:rsidP="004565B8">
          <w:pPr>
            <w:pStyle w:val="TOC2"/>
            <w:rPr>
              <w:rFonts w:asciiTheme="minorHAnsi" w:hAnsiTheme="minorHAnsi"/>
              <w:noProof/>
              <w:szCs w:val="24"/>
            </w:rPr>
          </w:pPr>
          <w:hyperlink w:anchor="_Toc84756393" w:history="1">
            <w:r w:rsidR="004565B8" w:rsidRPr="004565B8">
              <w:rPr>
                <w:rStyle w:val="Hyperlink"/>
                <w:noProof/>
                <w:szCs w:val="24"/>
              </w:rPr>
              <w:t>1.3.</w:t>
            </w:r>
            <w:r w:rsidR="004565B8" w:rsidRPr="004565B8">
              <w:rPr>
                <w:rFonts w:asciiTheme="minorHAnsi" w:hAnsiTheme="minorHAnsi"/>
                <w:noProof/>
                <w:szCs w:val="24"/>
              </w:rPr>
              <w:tab/>
            </w:r>
            <w:r w:rsidR="004565B8" w:rsidRPr="004565B8">
              <w:rPr>
                <w:rStyle w:val="Hyperlink"/>
                <w:noProof/>
                <w:szCs w:val="24"/>
              </w:rPr>
              <w:t>Makroekonomisko nelīdzsvarotību uzraudzība Eiropas Savienībā</w:t>
            </w:r>
            <w:r w:rsidR="004565B8" w:rsidRPr="004565B8">
              <w:rPr>
                <w:noProof/>
                <w:webHidden/>
                <w:szCs w:val="24"/>
              </w:rPr>
              <w:tab/>
            </w:r>
            <w:r w:rsidR="004565B8" w:rsidRPr="004565B8">
              <w:rPr>
                <w:noProof/>
                <w:webHidden/>
                <w:szCs w:val="24"/>
              </w:rPr>
              <w:fldChar w:fldCharType="begin"/>
            </w:r>
            <w:r w:rsidR="004565B8" w:rsidRPr="004565B8">
              <w:rPr>
                <w:noProof/>
                <w:webHidden/>
                <w:szCs w:val="24"/>
              </w:rPr>
              <w:instrText xml:space="preserve"> PAGEREF _Toc84756393 \h </w:instrText>
            </w:r>
            <w:r w:rsidR="004565B8" w:rsidRPr="004565B8">
              <w:rPr>
                <w:noProof/>
                <w:webHidden/>
                <w:szCs w:val="24"/>
              </w:rPr>
            </w:r>
            <w:r w:rsidR="004565B8" w:rsidRPr="004565B8">
              <w:rPr>
                <w:noProof/>
                <w:webHidden/>
                <w:szCs w:val="24"/>
              </w:rPr>
              <w:fldChar w:fldCharType="separate"/>
            </w:r>
            <w:r w:rsidR="004565B8" w:rsidRPr="004565B8">
              <w:rPr>
                <w:noProof/>
                <w:webHidden/>
                <w:szCs w:val="24"/>
              </w:rPr>
              <w:t>47</w:t>
            </w:r>
            <w:r w:rsidR="004565B8" w:rsidRPr="004565B8">
              <w:rPr>
                <w:noProof/>
                <w:webHidden/>
                <w:szCs w:val="24"/>
              </w:rPr>
              <w:fldChar w:fldCharType="end"/>
            </w:r>
          </w:hyperlink>
        </w:p>
        <w:p w14:paraId="08D43F21" w14:textId="0B9D74C4" w:rsidR="004565B8" w:rsidRPr="004565B8" w:rsidRDefault="00635652" w:rsidP="004565B8">
          <w:pPr>
            <w:pStyle w:val="TOC3"/>
            <w:rPr>
              <w:rFonts w:asciiTheme="minorHAnsi" w:hAnsiTheme="minorHAnsi" w:cstheme="minorBidi"/>
              <w:sz w:val="24"/>
              <w:szCs w:val="24"/>
            </w:rPr>
          </w:pPr>
          <w:hyperlink w:anchor="_Toc84756395" w:history="1">
            <w:r w:rsidR="004565B8" w:rsidRPr="004565B8">
              <w:rPr>
                <w:rStyle w:val="Hyperlink"/>
                <w:sz w:val="24"/>
                <w:szCs w:val="24"/>
              </w:rPr>
              <w:t>1.3.1. Makroekonomikas nesabalansētību identificēšanas un pārvaldes posmi</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_Toc84756395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47</w:t>
            </w:r>
            <w:r w:rsidR="004565B8" w:rsidRPr="004565B8">
              <w:rPr>
                <w:webHidden/>
                <w:sz w:val="24"/>
                <w:szCs w:val="24"/>
              </w:rPr>
              <w:fldChar w:fldCharType="end"/>
            </w:r>
          </w:hyperlink>
        </w:p>
        <w:p w14:paraId="5186902E" w14:textId="47A01926" w:rsidR="004565B8" w:rsidRPr="004565B8" w:rsidRDefault="00635652" w:rsidP="004565B8">
          <w:pPr>
            <w:pStyle w:val="TOC3"/>
            <w:rPr>
              <w:rFonts w:asciiTheme="minorHAnsi" w:hAnsiTheme="minorHAnsi" w:cstheme="minorBidi"/>
              <w:sz w:val="24"/>
              <w:szCs w:val="24"/>
            </w:rPr>
          </w:pPr>
          <w:hyperlink w:anchor="_Toc84756396" w:history="1">
            <w:r w:rsidR="004565B8" w:rsidRPr="004565B8">
              <w:rPr>
                <w:rStyle w:val="Hyperlink"/>
                <w:sz w:val="24"/>
                <w:szCs w:val="24"/>
              </w:rPr>
              <w:t>1.3.2. Pārmērīga makroekonomiskā nesabalansētība un Padziļināto izpētes ziņojumu izstrāde</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_Toc84756396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48</w:t>
            </w:r>
            <w:r w:rsidR="004565B8" w:rsidRPr="004565B8">
              <w:rPr>
                <w:webHidden/>
                <w:sz w:val="24"/>
                <w:szCs w:val="24"/>
              </w:rPr>
              <w:fldChar w:fldCharType="end"/>
            </w:r>
          </w:hyperlink>
        </w:p>
        <w:p w14:paraId="32562195" w14:textId="45C8663E" w:rsidR="004565B8" w:rsidRPr="004565B8" w:rsidRDefault="00635652" w:rsidP="004565B8">
          <w:pPr>
            <w:pStyle w:val="TOC3"/>
            <w:rPr>
              <w:rFonts w:asciiTheme="minorHAnsi" w:hAnsiTheme="minorHAnsi" w:cstheme="minorBidi"/>
              <w:sz w:val="24"/>
              <w:szCs w:val="24"/>
            </w:rPr>
          </w:pPr>
          <w:hyperlink w:anchor="_Toc84756397" w:history="1">
            <w:r w:rsidR="004565B8" w:rsidRPr="004565B8">
              <w:rPr>
                <w:rStyle w:val="Hyperlink"/>
                <w:sz w:val="24"/>
                <w:szCs w:val="24"/>
              </w:rPr>
              <w:t>1.3.3. Latvijas ekonomiskās situācijas novērtējums 2021. gada Agrās brīdināšanas mehānisma ziņojumā un iespējamās tendences 2022. gada ziņojumā</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_Toc84756397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50</w:t>
            </w:r>
            <w:r w:rsidR="004565B8" w:rsidRPr="004565B8">
              <w:rPr>
                <w:webHidden/>
                <w:sz w:val="24"/>
                <w:szCs w:val="24"/>
              </w:rPr>
              <w:fldChar w:fldCharType="end"/>
            </w:r>
          </w:hyperlink>
        </w:p>
        <w:p w14:paraId="2D53280C" w14:textId="5ECF4E05" w:rsidR="004565B8" w:rsidRPr="004565B8" w:rsidRDefault="00635652" w:rsidP="004565B8">
          <w:pPr>
            <w:pStyle w:val="TOC2"/>
            <w:rPr>
              <w:rFonts w:asciiTheme="minorHAnsi" w:hAnsiTheme="minorHAnsi"/>
              <w:noProof/>
              <w:szCs w:val="24"/>
            </w:rPr>
          </w:pPr>
          <w:hyperlink w:anchor="_Toc84756398" w:history="1">
            <w:r w:rsidR="004565B8" w:rsidRPr="004565B8">
              <w:rPr>
                <w:rStyle w:val="Hyperlink"/>
                <w:rFonts w:eastAsia="Times New Roman" w:cs="Times New Roman"/>
                <w:noProof/>
                <w:szCs w:val="24"/>
              </w:rPr>
              <w:t>1.4. Makroekonomiskās attīstības scenārijs</w:t>
            </w:r>
            <w:r w:rsidR="004565B8" w:rsidRPr="004565B8">
              <w:rPr>
                <w:noProof/>
                <w:webHidden/>
                <w:szCs w:val="24"/>
              </w:rPr>
              <w:tab/>
            </w:r>
            <w:r w:rsidR="004565B8" w:rsidRPr="004565B8">
              <w:rPr>
                <w:noProof/>
                <w:webHidden/>
                <w:szCs w:val="24"/>
              </w:rPr>
              <w:fldChar w:fldCharType="begin"/>
            </w:r>
            <w:r w:rsidR="004565B8" w:rsidRPr="004565B8">
              <w:rPr>
                <w:noProof/>
                <w:webHidden/>
                <w:szCs w:val="24"/>
              </w:rPr>
              <w:instrText xml:space="preserve"> PAGEREF _Toc84756398 \h </w:instrText>
            </w:r>
            <w:r w:rsidR="004565B8" w:rsidRPr="004565B8">
              <w:rPr>
                <w:noProof/>
                <w:webHidden/>
                <w:szCs w:val="24"/>
              </w:rPr>
            </w:r>
            <w:r w:rsidR="004565B8" w:rsidRPr="004565B8">
              <w:rPr>
                <w:noProof/>
                <w:webHidden/>
                <w:szCs w:val="24"/>
              </w:rPr>
              <w:fldChar w:fldCharType="separate"/>
            </w:r>
            <w:r w:rsidR="004565B8" w:rsidRPr="004565B8">
              <w:rPr>
                <w:noProof/>
                <w:webHidden/>
                <w:szCs w:val="24"/>
              </w:rPr>
              <w:t>52</w:t>
            </w:r>
            <w:r w:rsidR="004565B8" w:rsidRPr="004565B8">
              <w:rPr>
                <w:noProof/>
                <w:webHidden/>
                <w:szCs w:val="24"/>
              </w:rPr>
              <w:fldChar w:fldCharType="end"/>
            </w:r>
          </w:hyperlink>
        </w:p>
        <w:p w14:paraId="6A3422CF" w14:textId="64338F98" w:rsidR="004565B8" w:rsidRPr="004565B8" w:rsidRDefault="00635652" w:rsidP="004565B8">
          <w:pPr>
            <w:pStyle w:val="TOC2"/>
            <w:rPr>
              <w:rFonts w:asciiTheme="minorHAnsi" w:hAnsiTheme="minorHAnsi"/>
              <w:noProof/>
              <w:szCs w:val="24"/>
            </w:rPr>
          </w:pPr>
          <w:hyperlink w:anchor="_Toc84756400" w:history="1">
            <w:r w:rsidR="004565B8" w:rsidRPr="004565B8">
              <w:rPr>
                <w:rStyle w:val="Hyperlink"/>
                <w:rFonts w:eastAsia="Times New Roman" w:cs="Times New Roman"/>
                <w:noProof/>
                <w:szCs w:val="24"/>
              </w:rPr>
              <w:t>1.5. Jūtīguma analīze</w:t>
            </w:r>
            <w:r w:rsidR="004565B8" w:rsidRPr="004565B8">
              <w:rPr>
                <w:noProof/>
                <w:webHidden/>
                <w:szCs w:val="24"/>
              </w:rPr>
              <w:tab/>
            </w:r>
            <w:r w:rsidR="004565B8" w:rsidRPr="004565B8">
              <w:rPr>
                <w:noProof/>
                <w:webHidden/>
                <w:szCs w:val="24"/>
              </w:rPr>
              <w:fldChar w:fldCharType="begin"/>
            </w:r>
            <w:r w:rsidR="004565B8" w:rsidRPr="004565B8">
              <w:rPr>
                <w:noProof/>
                <w:webHidden/>
                <w:szCs w:val="24"/>
              </w:rPr>
              <w:instrText xml:space="preserve"> PAGEREF _Toc84756400 \h </w:instrText>
            </w:r>
            <w:r w:rsidR="004565B8" w:rsidRPr="004565B8">
              <w:rPr>
                <w:noProof/>
                <w:webHidden/>
                <w:szCs w:val="24"/>
              </w:rPr>
            </w:r>
            <w:r w:rsidR="004565B8" w:rsidRPr="004565B8">
              <w:rPr>
                <w:noProof/>
                <w:webHidden/>
                <w:szCs w:val="24"/>
              </w:rPr>
              <w:fldChar w:fldCharType="separate"/>
            </w:r>
            <w:r w:rsidR="004565B8" w:rsidRPr="004565B8">
              <w:rPr>
                <w:noProof/>
                <w:webHidden/>
                <w:szCs w:val="24"/>
              </w:rPr>
              <w:t>54</w:t>
            </w:r>
            <w:r w:rsidR="004565B8" w:rsidRPr="004565B8">
              <w:rPr>
                <w:noProof/>
                <w:webHidden/>
                <w:szCs w:val="24"/>
              </w:rPr>
              <w:fldChar w:fldCharType="end"/>
            </w:r>
          </w:hyperlink>
        </w:p>
        <w:p w14:paraId="6D283FDB" w14:textId="1F113DD0" w:rsidR="004565B8" w:rsidRPr="004565B8" w:rsidRDefault="00635652" w:rsidP="004565B8">
          <w:pPr>
            <w:pStyle w:val="TOC3"/>
            <w:rPr>
              <w:rFonts w:asciiTheme="minorHAnsi" w:hAnsiTheme="minorHAnsi" w:cstheme="minorBidi"/>
              <w:sz w:val="24"/>
              <w:szCs w:val="24"/>
            </w:rPr>
          </w:pPr>
          <w:hyperlink w:anchor="_Toc84756401" w:history="1">
            <w:r w:rsidR="004565B8" w:rsidRPr="004565B8">
              <w:rPr>
                <w:rStyle w:val="Hyperlink"/>
                <w:sz w:val="24"/>
                <w:szCs w:val="24"/>
              </w:rPr>
              <w:t>1.5.1. Optimistiskais scenārijs</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_Toc84756401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54</w:t>
            </w:r>
            <w:r w:rsidR="004565B8" w:rsidRPr="004565B8">
              <w:rPr>
                <w:webHidden/>
                <w:sz w:val="24"/>
                <w:szCs w:val="24"/>
              </w:rPr>
              <w:fldChar w:fldCharType="end"/>
            </w:r>
          </w:hyperlink>
        </w:p>
        <w:p w14:paraId="3C269A89" w14:textId="44473A5C" w:rsidR="004565B8" w:rsidRPr="004565B8" w:rsidRDefault="00635652" w:rsidP="004565B8">
          <w:pPr>
            <w:pStyle w:val="TOC3"/>
            <w:rPr>
              <w:rFonts w:asciiTheme="minorHAnsi" w:hAnsiTheme="minorHAnsi" w:cstheme="minorBidi"/>
              <w:sz w:val="24"/>
              <w:szCs w:val="24"/>
            </w:rPr>
          </w:pPr>
          <w:hyperlink w:anchor="_Toc84756402" w:history="1">
            <w:r w:rsidR="004565B8" w:rsidRPr="004565B8">
              <w:rPr>
                <w:rStyle w:val="Hyperlink"/>
                <w:sz w:val="24"/>
                <w:szCs w:val="24"/>
              </w:rPr>
              <w:t>1.5.2. Pesimistiskais scenārijs</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_Toc84756402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56</w:t>
            </w:r>
            <w:r w:rsidR="004565B8" w:rsidRPr="004565B8">
              <w:rPr>
                <w:webHidden/>
                <w:sz w:val="24"/>
                <w:szCs w:val="24"/>
              </w:rPr>
              <w:fldChar w:fldCharType="end"/>
            </w:r>
          </w:hyperlink>
        </w:p>
        <w:p w14:paraId="30035BDA" w14:textId="3935276B" w:rsidR="004565B8" w:rsidRPr="004565B8" w:rsidRDefault="00635652" w:rsidP="004565B8">
          <w:pPr>
            <w:pStyle w:val="TOC2"/>
            <w:rPr>
              <w:rFonts w:asciiTheme="minorHAnsi" w:hAnsiTheme="minorHAnsi"/>
              <w:noProof/>
              <w:szCs w:val="24"/>
            </w:rPr>
          </w:pPr>
          <w:hyperlink w:anchor="_Toc84756403" w:history="1">
            <w:r w:rsidR="004565B8" w:rsidRPr="004565B8">
              <w:rPr>
                <w:rStyle w:val="Hyperlink"/>
                <w:rFonts w:eastAsia="Times New Roman" w:cs="Times New Roman"/>
                <w:noProof/>
                <w:szCs w:val="24"/>
              </w:rPr>
              <w:t xml:space="preserve">1.6. </w:t>
            </w:r>
            <w:r w:rsidR="004565B8" w:rsidRPr="004565B8">
              <w:rPr>
                <w:rStyle w:val="Hyperlink"/>
                <w:noProof/>
                <w:szCs w:val="24"/>
              </w:rPr>
              <w:t>Iepriekšējo makroekonomisko prognožu izvērtējums</w:t>
            </w:r>
            <w:r w:rsidR="004565B8" w:rsidRPr="004565B8">
              <w:rPr>
                <w:noProof/>
                <w:webHidden/>
                <w:szCs w:val="24"/>
              </w:rPr>
              <w:tab/>
            </w:r>
            <w:r w:rsidR="004565B8" w:rsidRPr="004565B8">
              <w:rPr>
                <w:noProof/>
                <w:webHidden/>
                <w:szCs w:val="24"/>
              </w:rPr>
              <w:fldChar w:fldCharType="begin"/>
            </w:r>
            <w:r w:rsidR="004565B8" w:rsidRPr="004565B8">
              <w:rPr>
                <w:noProof/>
                <w:webHidden/>
                <w:szCs w:val="24"/>
              </w:rPr>
              <w:instrText xml:space="preserve"> PAGEREF _Toc84756403 \h </w:instrText>
            </w:r>
            <w:r w:rsidR="004565B8" w:rsidRPr="004565B8">
              <w:rPr>
                <w:noProof/>
                <w:webHidden/>
                <w:szCs w:val="24"/>
              </w:rPr>
            </w:r>
            <w:r w:rsidR="004565B8" w:rsidRPr="004565B8">
              <w:rPr>
                <w:noProof/>
                <w:webHidden/>
                <w:szCs w:val="24"/>
              </w:rPr>
              <w:fldChar w:fldCharType="separate"/>
            </w:r>
            <w:r w:rsidR="004565B8" w:rsidRPr="004565B8">
              <w:rPr>
                <w:noProof/>
                <w:webHidden/>
                <w:szCs w:val="24"/>
              </w:rPr>
              <w:t>59</w:t>
            </w:r>
            <w:r w:rsidR="004565B8" w:rsidRPr="004565B8">
              <w:rPr>
                <w:noProof/>
                <w:webHidden/>
                <w:szCs w:val="24"/>
              </w:rPr>
              <w:fldChar w:fldCharType="end"/>
            </w:r>
          </w:hyperlink>
        </w:p>
        <w:p w14:paraId="0BE78B1F" w14:textId="32BECA8C" w:rsidR="004565B8" w:rsidRPr="004565B8" w:rsidRDefault="00635652" w:rsidP="004565B8">
          <w:pPr>
            <w:pStyle w:val="TOC1"/>
            <w:rPr>
              <w:rFonts w:asciiTheme="minorHAnsi" w:hAnsiTheme="minorHAnsi"/>
              <w:noProof/>
              <w:szCs w:val="24"/>
            </w:rPr>
          </w:pPr>
          <w:hyperlink w:anchor="_Toc84756404" w:history="1">
            <w:r w:rsidR="004565B8" w:rsidRPr="004565B8">
              <w:rPr>
                <w:rStyle w:val="Hyperlink"/>
                <w:rFonts w:eastAsia="Times New Roman" w:cs="Times New Roman"/>
                <w:noProof/>
                <w:szCs w:val="24"/>
              </w:rPr>
              <w:t xml:space="preserve">2. </w:t>
            </w:r>
            <w:r w:rsidR="004565B8" w:rsidRPr="004565B8">
              <w:rPr>
                <w:rStyle w:val="Hyperlink"/>
                <w:noProof/>
                <w:szCs w:val="24"/>
              </w:rPr>
              <w:t>Fiskālā politika</w:t>
            </w:r>
            <w:r w:rsidR="004565B8" w:rsidRPr="004565B8">
              <w:rPr>
                <w:noProof/>
                <w:webHidden/>
                <w:szCs w:val="24"/>
              </w:rPr>
              <w:tab/>
            </w:r>
            <w:r w:rsidR="004565B8" w:rsidRPr="004565B8">
              <w:rPr>
                <w:noProof/>
                <w:webHidden/>
                <w:szCs w:val="24"/>
              </w:rPr>
              <w:fldChar w:fldCharType="begin"/>
            </w:r>
            <w:r w:rsidR="004565B8" w:rsidRPr="004565B8">
              <w:rPr>
                <w:noProof/>
                <w:webHidden/>
                <w:szCs w:val="24"/>
              </w:rPr>
              <w:instrText xml:space="preserve"> PAGEREF _Toc84756404 \h </w:instrText>
            </w:r>
            <w:r w:rsidR="004565B8" w:rsidRPr="004565B8">
              <w:rPr>
                <w:noProof/>
                <w:webHidden/>
                <w:szCs w:val="24"/>
              </w:rPr>
            </w:r>
            <w:r w:rsidR="004565B8" w:rsidRPr="004565B8">
              <w:rPr>
                <w:noProof/>
                <w:webHidden/>
                <w:szCs w:val="24"/>
              </w:rPr>
              <w:fldChar w:fldCharType="separate"/>
            </w:r>
            <w:r w:rsidR="004565B8" w:rsidRPr="004565B8">
              <w:rPr>
                <w:noProof/>
                <w:webHidden/>
                <w:szCs w:val="24"/>
              </w:rPr>
              <w:t>62</w:t>
            </w:r>
            <w:r w:rsidR="004565B8" w:rsidRPr="004565B8">
              <w:rPr>
                <w:noProof/>
                <w:webHidden/>
                <w:szCs w:val="24"/>
              </w:rPr>
              <w:fldChar w:fldCharType="end"/>
            </w:r>
          </w:hyperlink>
        </w:p>
        <w:p w14:paraId="4CD0DE55" w14:textId="26250833" w:rsidR="004565B8" w:rsidRPr="004565B8" w:rsidRDefault="00635652" w:rsidP="004565B8">
          <w:pPr>
            <w:pStyle w:val="TOC2"/>
            <w:rPr>
              <w:rFonts w:asciiTheme="minorHAnsi" w:hAnsiTheme="minorHAnsi"/>
              <w:noProof/>
              <w:szCs w:val="24"/>
            </w:rPr>
          </w:pPr>
          <w:hyperlink w:anchor="_Toc84756405" w:history="1">
            <w:r w:rsidR="004565B8" w:rsidRPr="004565B8">
              <w:rPr>
                <w:rStyle w:val="Hyperlink"/>
                <w:rFonts w:eastAsia="Times New Roman" w:cs="Times New Roman"/>
                <w:noProof/>
                <w:szCs w:val="24"/>
              </w:rPr>
              <w:t>2.1. </w:t>
            </w:r>
            <w:r w:rsidR="004565B8" w:rsidRPr="004565B8">
              <w:rPr>
                <w:rStyle w:val="Hyperlink"/>
                <w:noProof/>
                <w:szCs w:val="24"/>
              </w:rPr>
              <w:t>Vidēja termiņa strukturālās bilances mērķu noteikšana</w:t>
            </w:r>
            <w:r w:rsidR="004565B8" w:rsidRPr="004565B8">
              <w:rPr>
                <w:noProof/>
                <w:webHidden/>
                <w:szCs w:val="24"/>
              </w:rPr>
              <w:tab/>
            </w:r>
            <w:r w:rsidR="004565B8" w:rsidRPr="004565B8">
              <w:rPr>
                <w:noProof/>
                <w:webHidden/>
                <w:szCs w:val="24"/>
              </w:rPr>
              <w:fldChar w:fldCharType="begin"/>
            </w:r>
            <w:r w:rsidR="004565B8" w:rsidRPr="004565B8">
              <w:rPr>
                <w:noProof/>
                <w:webHidden/>
                <w:szCs w:val="24"/>
              </w:rPr>
              <w:instrText xml:space="preserve"> PAGEREF _Toc84756405 \h </w:instrText>
            </w:r>
            <w:r w:rsidR="004565B8" w:rsidRPr="004565B8">
              <w:rPr>
                <w:noProof/>
                <w:webHidden/>
                <w:szCs w:val="24"/>
              </w:rPr>
            </w:r>
            <w:r w:rsidR="004565B8" w:rsidRPr="004565B8">
              <w:rPr>
                <w:noProof/>
                <w:webHidden/>
                <w:szCs w:val="24"/>
              </w:rPr>
              <w:fldChar w:fldCharType="separate"/>
            </w:r>
            <w:r w:rsidR="004565B8" w:rsidRPr="004565B8">
              <w:rPr>
                <w:noProof/>
                <w:webHidden/>
                <w:szCs w:val="24"/>
              </w:rPr>
              <w:t>64</w:t>
            </w:r>
            <w:r w:rsidR="004565B8" w:rsidRPr="004565B8">
              <w:rPr>
                <w:noProof/>
                <w:webHidden/>
                <w:szCs w:val="24"/>
              </w:rPr>
              <w:fldChar w:fldCharType="end"/>
            </w:r>
          </w:hyperlink>
        </w:p>
        <w:p w14:paraId="03EE33F5" w14:textId="39170CA3" w:rsidR="004565B8" w:rsidRPr="004565B8" w:rsidRDefault="00635652" w:rsidP="004565B8">
          <w:pPr>
            <w:pStyle w:val="TOC3"/>
            <w:rPr>
              <w:rFonts w:asciiTheme="minorHAnsi" w:hAnsiTheme="minorHAnsi" w:cstheme="minorBidi"/>
              <w:sz w:val="24"/>
              <w:szCs w:val="24"/>
            </w:rPr>
          </w:pPr>
          <w:hyperlink w:anchor="_Toc84756406" w:history="1">
            <w:r w:rsidR="004565B8" w:rsidRPr="004565B8">
              <w:rPr>
                <w:rStyle w:val="Hyperlink"/>
                <w:sz w:val="24"/>
                <w:szCs w:val="24"/>
              </w:rPr>
              <w:t>2.1.1. 2022., 2023. un 2024.gada strukturālās bilances mērķi</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_Toc84756406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65</w:t>
            </w:r>
            <w:r w:rsidR="004565B8" w:rsidRPr="004565B8">
              <w:rPr>
                <w:webHidden/>
                <w:sz w:val="24"/>
                <w:szCs w:val="24"/>
              </w:rPr>
              <w:fldChar w:fldCharType="end"/>
            </w:r>
          </w:hyperlink>
        </w:p>
        <w:p w14:paraId="644BDFA5" w14:textId="37848BC7" w:rsidR="004565B8" w:rsidRPr="004565B8" w:rsidRDefault="00635652" w:rsidP="004565B8">
          <w:pPr>
            <w:pStyle w:val="TOC3"/>
            <w:rPr>
              <w:rFonts w:asciiTheme="minorHAnsi" w:hAnsiTheme="minorHAnsi" w:cstheme="minorBidi"/>
              <w:sz w:val="24"/>
              <w:szCs w:val="24"/>
            </w:rPr>
          </w:pPr>
          <w:hyperlink w:anchor="_Toc84756407" w:history="1">
            <w:r w:rsidR="004565B8" w:rsidRPr="004565B8">
              <w:rPr>
                <w:rStyle w:val="Hyperlink"/>
                <w:sz w:val="24"/>
                <w:szCs w:val="24"/>
              </w:rPr>
              <w:t>2.1.2. Koriģēto maksimāli pieļaujamo valsts budžeta izdevumu noteikšana</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_Toc84756407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68</w:t>
            </w:r>
            <w:r w:rsidR="004565B8" w:rsidRPr="004565B8">
              <w:rPr>
                <w:webHidden/>
                <w:sz w:val="24"/>
                <w:szCs w:val="24"/>
              </w:rPr>
              <w:fldChar w:fldCharType="end"/>
            </w:r>
          </w:hyperlink>
        </w:p>
        <w:p w14:paraId="4DCFAC22" w14:textId="3E1EF62B" w:rsidR="004565B8" w:rsidRPr="004565B8" w:rsidRDefault="00635652" w:rsidP="004565B8">
          <w:pPr>
            <w:pStyle w:val="TOC3"/>
            <w:rPr>
              <w:rFonts w:asciiTheme="minorHAnsi" w:hAnsiTheme="minorHAnsi" w:cstheme="minorBidi"/>
              <w:sz w:val="24"/>
              <w:szCs w:val="24"/>
            </w:rPr>
          </w:pPr>
          <w:hyperlink w:anchor="_Toc84756408" w:history="1">
            <w:r w:rsidR="004565B8" w:rsidRPr="004565B8">
              <w:rPr>
                <w:rStyle w:val="Hyperlink"/>
                <w:sz w:val="24"/>
                <w:szCs w:val="24"/>
              </w:rPr>
              <w:t>2.1.3. Uzkrāto bilanču starpības</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_Toc84756408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72</w:t>
            </w:r>
            <w:r w:rsidR="004565B8" w:rsidRPr="004565B8">
              <w:rPr>
                <w:webHidden/>
                <w:sz w:val="24"/>
                <w:szCs w:val="24"/>
              </w:rPr>
              <w:fldChar w:fldCharType="end"/>
            </w:r>
          </w:hyperlink>
        </w:p>
        <w:p w14:paraId="330B8379" w14:textId="7340D5DA" w:rsidR="004565B8" w:rsidRPr="004565B8" w:rsidRDefault="00635652" w:rsidP="004565B8">
          <w:pPr>
            <w:pStyle w:val="TOC3"/>
            <w:rPr>
              <w:rFonts w:asciiTheme="minorHAnsi" w:hAnsiTheme="minorHAnsi" w:cstheme="minorBidi"/>
              <w:sz w:val="24"/>
              <w:szCs w:val="24"/>
            </w:rPr>
          </w:pPr>
          <w:hyperlink w:anchor="_Toc84756409" w:history="1">
            <w:r w:rsidR="004565B8" w:rsidRPr="004565B8">
              <w:rPr>
                <w:rStyle w:val="Hyperlink"/>
                <w:sz w:val="24"/>
                <w:szCs w:val="24"/>
              </w:rPr>
              <w:t>2.1.4. Vidēja termiņa strukturālās budžeta bilances mērķu salīdzinājums</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_Toc84756409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74</w:t>
            </w:r>
            <w:r w:rsidR="004565B8" w:rsidRPr="004565B8">
              <w:rPr>
                <w:webHidden/>
                <w:sz w:val="24"/>
                <w:szCs w:val="24"/>
              </w:rPr>
              <w:fldChar w:fldCharType="end"/>
            </w:r>
          </w:hyperlink>
        </w:p>
        <w:p w14:paraId="5BBF7ABE" w14:textId="26E1EB56" w:rsidR="004565B8" w:rsidRPr="004565B8" w:rsidRDefault="00635652" w:rsidP="004565B8">
          <w:pPr>
            <w:pStyle w:val="TOC3"/>
            <w:rPr>
              <w:rFonts w:asciiTheme="minorHAnsi" w:hAnsiTheme="minorHAnsi" w:cstheme="minorBidi"/>
              <w:sz w:val="24"/>
              <w:szCs w:val="24"/>
            </w:rPr>
          </w:pPr>
          <w:hyperlink w:anchor="_Toc84756410" w:history="1">
            <w:r w:rsidR="004565B8" w:rsidRPr="004565B8">
              <w:rPr>
                <w:rStyle w:val="Hyperlink"/>
                <w:sz w:val="24"/>
                <w:szCs w:val="24"/>
              </w:rPr>
              <w:t>2.1.5. Vispārējās valdības sektorā klasificēto kapitālsabiedrību faktiskā ietekme uz vispārējās valdības budžeta bilanci un parādu</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_Toc84756410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75</w:t>
            </w:r>
            <w:r w:rsidR="004565B8" w:rsidRPr="004565B8">
              <w:rPr>
                <w:webHidden/>
                <w:sz w:val="24"/>
                <w:szCs w:val="24"/>
              </w:rPr>
              <w:fldChar w:fldCharType="end"/>
            </w:r>
          </w:hyperlink>
        </w:p>
        <w:p w14:paraId="5BD4B74B" w14:textId="24202D01" w:rsidR="004565B8" w:rsidRPr="004565B8" w:rsidRDefault="00635652" w:rsidP="004565B8">
          <w:pPr>
            <w:pStyle w:val="TOC2"/>
            <w:rPr>
              <w:rFonts w:asciiTheme="minorHAnsi" w:hAnsiTheme="minorHAnsi"/>
              <w:noProof/>
              <w:szCs w:val="24"/>
            </w:rPr>
          </w:pPr>
          <w:hyperlink w:anchor="_Toc84756411" w:history="1">
            <w:r w:rsidR="004565B8" w:rsidRPr="004565B8">
              <w:rPr>
                <w:rStyle w:val="Hyperlink"/>
                <w:rFonts w:eastAsia="Times New Roman" w:cs="Times New Roman"/>
                <w:noProof/>
                <w:szCs w:val="24"/>
              </w:rPr>
              <w:t xml:space="preserve">2.2. </w:t>
            </w:r>
            <w:r w:rsidR="004565B8" w:rsidRPr="004565B8">
              <w:rPr>
                <w:rStyle w:val="Hyperlink"/>
                <w:noProof/>
                <w:szCs w:val="24"/>
              </w:rPr>
              <w:t>Vispārējās valdības budžeta bilance</w:t>
            </w:r>
            <w:r w:rsidR="004565B8" w:rsidRPr="004565B8">
              <w:rPr>
                <w:noProof/>
                <w:webHidden/>
                <w:szCs w:val="24"/>
              </w:rPr>
              <w:tab/>
            </w:r>
            <w:r w:rsidR="004565B8" w:rsidRPr="004565B8">
              <w:rPr>
                <w:noProof/>
                <w:webHidden/>
                <w:szCs w:val="24"/>
              </w:rPr>
              <w:fldChar w:fldCharType="begin"/>
            </w:r>
            <w:r w:rsidR="004565B8" w:rsidRPr="004565B8">
              <w:rPr>
                <w:noProof/>
                <w:webHidden/>
                <w:szCs w:val="24"/>
              </w:rPr>
              <w:instrText xml:space="preserve"> PAGEREF _Toc84756411 \h </w:instrText>
            </w:r>
            <w:r w:rsidR="004565B8" w:rsidRPr="004565B8">
              <w:rPr>
                <w:noProof/>
                <w:webHidden/>
                <w:szCs w:val="24"/>
              </w:rPr>
            </w:r>
            <w:r w:rsidR="004565B8" w:rsidRPr="004565B8">
              <w:rPr>
                <w:noProof/>
                <w:webHidden/>
                <w:szCs w:val="24"/>
              </w:rPr>
              <w:fldChar w:fldCharType="separate"/>
            </w:r>
            <w:r w:rsidR="004565B8" w:rsidRPr="004565B8">
              <w:rPr>
                <w:noProof/>
                <w:webHidden/>
                <w:szCs w:val="24"/>
              </w:rPr>
              <w:t>75</w:t>
            </w:r>
            <w:r w:rsidR="004565B8" w:rsidRPr="004565B8">
              <w:rPr>
                <w:noProof/>
                <w:webHidden/>
                <w:szCs w:val="24"/>
              </w:rPr>
              <w:fldChar w:fldCharType="end"/>
            </w:r>
          </w:hyperlink>
        </w:p>
        <w:p w14:paraId="0A88A425" w14:textId="7EED2869" w:rsidR="004565B8" w:rsidRPr="004565B8" w:rsidRDefault="00635652" w:rsidP="004565B8">
          <w:pPr>
            <w:pStyle w:val="TOC3"/>
            <w:rPr>
              <w:rFonts w:asciiTheme="minorHAnsi" w:hAnsiTheme="minorHAnsi" w:cstheme="minorBidi"/>
              <w:sz w:val="24"/>
              <w:szCs w:val="24"/>
            </w:rPr>
          </w:pPr>
          <w:hyperlink w:anchor="_Toc84756412" w:history="1">
            <w:r w:rsidR="004565B8" w:rsidRPr="004565B8">
              <w:rPr>
                <w:rStyle w:val="Hyperlink"/>
                <w:sz w:val="24"/>
                <w:szCs w:val="24"/>
              </w:rPr>
              <w:t>2.2.1. Vispārējās valdības budžeta struktūra</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_Toc84756412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75</w:t>
            </w:r>
            <w:r w:rsidR="004565B8" w:rsidRPr="004565B8">
              <w:rPr>
                <w:webHidden/>
                <w:sz w:val="24"/>
                <w:szCs w:val="24"/>
              </w:rPr>
              <w:fldChar w:fldCharType="end"/>
            </w:r>
          </w:hyperlink>
        </w:p>
        <w:p w14:paraId="370DE87F" w14:textId="1B60656D" w:rsidR="004565B8" w:rsidRPr="004565B8" w:rsidRDefault="00635652" w:rsidP="004565B8">
          <w:pPr>
            <w:pStyle w:val="TOC3"/>
            <w:rPr>
              <w:rFonts w:asciiTheme="minorHAnsi" w:hAnsiTheme="minorHAnsi" w:cstheme="minorBidi"/>
              <w:sz w:val="24"/>
              <w:szCs w:val="24"/>
            </w:rPr>
          </w:pPr>
          <w:hyperlink w:anchor="_Toc84756413" w:history="1">
            <w:r w:rsidR="004565B8" w:rsidRPr="004565B8">
              <w:rPr>
                <w:rStyle w:val="Hyperlink"/>
                <w:sz w:val="24"/>
                <w:szCs w:val="24"/>
              </w:rPr>
              <w:t>2.2.2. Vispārējās valdības budžeta bilance</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_Toc84756413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77</w:t>
            </w:r>
            <w:r w:rsidR="004565B8" w:rsidRPr="004565B8">
              <w:rPr>
                <w:webHidden/>
                <w:sz w:val="24"/>
                <w:szCs w:val="24"/>
              </w:rPr>
              <w:fldChar w:fldCharType="end"/>
            </w:r>
          </w:hyperlink>
        </w:p>
        <w:p w14:paraId="2B9D2DCC" w14:textId="00E55BD6" w:rsidR="004565B8" w:rsidRPr="004565B8" w:rsidRDefault="00635652" w:rsidP="004565B8">
          <w:pPr>
            <w:pStyle w:val="TOC3"/>
            <w:rPr>
              <w:rFonts w:asciiTheme="minorHAnsi" w:hAnsiTheme="minorHAnsi" w:cstheme="minorBidi"/>
              <w:sz w:val="24"/>
              <w:szCs w:val="24"/>
            </w:rPr>
          </w:pPr>
          <w:hyperlink w:anchor="_Toc84756414" w:history="1">
            <w:r w:rsidR="004565B8" w:rsidRPr="004565B8">
              <w:rPr>
                <w:rStyle w:val="Hyperlink"/>
                <w:sz w:val="24"/>
                <w:szCs w:val="24"/>
              </w:rPr>
              <w:t>2.2.3. Valdības apstiprinātie atbalsta pasākumi Covid-19 infekcijas izraisītās krīzes seku mazināšanai tautsaimniecībā un to fiskālā ietekme</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_Toc84756414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83</w:t>
            </w:r>
            <w:r w:rsidR="004565B8" w:rsidRPr="004565B8">
              <w:rPr>
                <w:webHidden/>
                <w:sz w:val="24"/>
                <w:szCs w:val="24"/>
              </w:rPr>
              <w:fldChar w:fldCharType="end"/>
            </w:r>
          </w:hyperlink>
        </w:p>
        <w:p w14:paraId="47F2C6E5" w14:textId="02E68E83" w:rsidR="004565B8" w:rsidRPr="004565B8" w:rsidRDefault="00635652" w:rsidP="004565B8">
          <w:pPr>
            <w:pStyle w:val="TOC3"/>
            <w:rPr>
              <w:rFonts w:asciiTheme="minorHAnsi" w:hAnsiTheme="minorHAnsi" w:cstheme="minorBidi"/>
              <w:sz w:val="24"/>
              <w:szCs w:val="24"/>
            </w:rPr>
          </w:pPr>
          <w:hyperlink w:anchor="_Toc84756415" w:history="1">
            <w:r w:rsidR="004565B8" w:rsidRPr="004565B8">
              <w:rPr>
                <w:rStyle w:val="Hyperlink"/>
                <w:sz w:val="24"/>
                <w:szCs w:val="24"/>
              </w:rPr>
              <w:t>2.2.4. Budžeta prognožu salīdzinājums ar aktuālajām Eiropas Komisijas prognozēm</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_Toc84756415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85</w:t>
            </w:r>
            <w:r w:rsidR="004565B8" w:rsidRPr="004565B8">
              <w:rPr>
                <w:webHidden/>
                <w:sz w:val="24"/>
                <w:szCs w:val="24"/>
              </w:rPr>
              <w:fldChar w:fldCharType="end"/>
            </w:r>
          </w:hyperlink>
        </w:p>
        <w:p w14:paraId="47C52C96" w14:textId="310C4080" w:rsidR="004565B8" w:rsidRPr="004565B8" w:rsidRDefault="00635652" w:rsidP="004565B8">
          <w:pPr>
            <w:pStyle w:val="TOC2"/>
            <w:rPr>
              <w:rFonts w:asciiTheme="minorHAnsi" w:hAnsiTheme="minorHAnsi"/>
              <w:noProof/>
              <w:szCs w:val="24"/>
            </w:rPr>
          </w:pPr>
          <w:hyperlink w:anchor="_Toc84756416" w:history="1">
            <w:r w:rsidR="004565B8" w:rsidRPr="004565B8">
              <w:rPr>
                <w:rStyle w:val="Hyperlink"/>
                <w:rFonts w:eastAsia="Times New Roman" w:cs="Times New Roman"/>
                <w:noProof/>
                <w:szCs w:val="24"/>
              </w:rPr>
              <w:t>2.3. Vidēja termiņa budžeta prioritārie attīstības virzieni</w:t>
            </w:r>
            <w:r w:rsidR="004565B8" w:rsidRPr="004565B8">
              <w:rPr>
                <w:noProof/>
                <w:webHidden/>
                <w:szCs w:val="24"/>
              </w:rPr>
              <w:tab/>
            </w:r>
            <w:r w:rsidR="004565B8" w:rsidRPr="004565B8">
              <w:rPr>
                <w:noProof/>
                <w:webHidden/>
                <w:szCs w:val="24"/>
              </w:rPr>
              <w:fldChar w:fldCharType="begin"/>
            </w:r>
            <w:r w:rsidR="004565B8" w:rsidRPr="004565B8">
              <w:rPr>
                <w:noProof/>
                <w:webHidden/>
                <w:szCs w:val="24"/>
              </w:rPr>
              <w:instrText xml:space="preserve"> PAGEREF _Toc84756416 \h </w:instrText>
            </w:r>
            <w:r w:rsidR="004565B8" w:rsidRPr="004565B8">
              <w:rPr>
                <w:noProof/>
                <w:webHidden/>
                <w:szCs w:val="24"/>
              </w:rPr>
            </w:r>
            <w:r w:rsidR="004565B8" w:rsidRPr="004565B8">
              <w:rPr>
                <w:noProof/>
                <w:webHidden/>
                <w:szCs w:val="24"/>
              </w:rPr>
              <w:fldChar w:fldCharType="separate"/>
            </w:r>
            <w:r w:rsidR="004565B8" w:rsidRPr="004565B8">
              <w:rPr>
                <w:noProof/>
                <w:webHidden/>
                <w:szCs w:val="24"/>
              </w:rPr>
              <w:t>86</w:t>
            </w:r>
            <w:r w:rsidR="004565B8" w:rsidRPr="004565B8">
              <w:rPr>
                <w:noProof/>
                <w:webHidden/>
                <w:szCs w:val="24"/>
              </w:rPr>
              <w:fldChar w:fldCharType="end"/>
            </w:r>
          </w:hyperlink>
        </w:p>
        <w:p w14:paraId="724C57D2" w14:textId="2451D277" w:rsidR="004565B8" w:rsidRPr="004565B8" w:rsidRDefault="00635652" w:rsidP="004565B8">
          <w:pPr>
            <w:pStyle w:val="TOC3"/>
            <w:rPr>
              <w:rFonts w:asciiTheme="minorHAnsi" w:hAnsiTheme="minorHAnsi" w:cstheme="minorBidi"/>
              <w:sz w:val="24"/>
              <w:szCs w:val="24"/>
            </w:rPr>
          </w:pPr>
          <w:hyperlink w:anchor="_Toc84756417" w:history="1">
            <w:r w:rsidR="004565B8" w:rsidRPr="004565B8">
              <w:rPr>
                <w:rStyle w:val="Hyperlink"/>
                <w:sz w:val="24"/>
                <w:szCs w:val="24"/>
              </w:rPr>
              <w:t>2.3.1. Politikas pasākumi vidēja termiņa budžeta prioritāro attīstības virzienu īstenošanā</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_Toc84756417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86</w:t>
            </w:r>
            <w:r w:rsidR="004565B8" w:rsidRPr="004565B8">
              <w:rPr>
                <w:webHidden/>
                <w:sz w:val="24"/>
                <w:szCs w:val="24"/>
              </w:rPr>
              <w:fldChar w:fldCharType="end"/>
            </w:r>
          </w:hyperlink>
        </w:p>
        <w:p w14:paraId="75D2119D" w14:textId="1BE59EDB" w:rsidR="004565B8" w:rsidRPr="004565B8" w:rsidRDefault="00635652" w:rsidP="004565B8">
          <w:pPr>
            <w:pStyle w:val="TOC3"/>
            <w:rPr>
              <w:rFonts w:asciiTheme="minorHAnsi" w:hAnsiTheme="minorHAnsi" w:cstheme="minorBidi"/>
            </w:rPr>
          </w:pPr>
          <w:hyperlink w:anchor="_Toc84756418" w:history="1">
            <w:r w:rsidR="004565B8" w:rsidRPr="004565B8">
              <w:rPr>
                <w:rStyle w:val="Hyperlink"/>
                <w:sz w:val="24"/>
                <w:szCs w:val="24"/>
              </w:rPr>
              <w:t>2.3.2. Finanšu resursi vidēja termiņa budžeta prioritāro attīstības virzienu īstenošanā</w:t>
            </w:r>
            <w:r w:rsidR="004565B8" w:rsidRPr="004565B8">
              <w:rPr>
                <w:webHidden/>
                <w:sz w:val="24"/>
                <w:szCs w:val="24"/>
              </w:rPr>
              <w:tab/>
            </w:r>
            <w:r w:rsidR="004565B8" w:rsidRPr="004565B8">
              <w:rPr>
                <w:webHidden/>
                <w:sz w:val="24"/>
                <w:szCs w:val="24"/>
              </w:rPr>
              <w:fldChar w:fldCharType="begin"/>
            </w:r>
            <w:r w:rsidR="004565B8" w:rsidRPr="004565B8">
              <w:rPr>
                <w:webHidden/>
                <w:sz w:val="24"/>
                <w:szCs w:val="24"/>
              </w:rPr>
              <w:instrText xml:space="preserve"> PAGEREF _Toc84756418 \h </w:instrText>
            </w:r>
            <w:r w:rsidR="004565B8" w:rsidRPr="004565B8">
              <w:rPr>
                <w:webHidden/>
                <w:sz w:val="24"/>
                <w:szCs w:val="24"/>
              </w:rPr>
            </w:r>
            <w:r w:rsidR="004565B8" w:rsidRPr="004565B8">
              <w:rPr>
                <w:webHidden/>
                <w:sz w:val="24"/>
                <w:szCs w:val="24"/>
              </w:rPr>
              <w:fldChar w:fldCharType="separate"/>
            </w:r>
            <w:r w:rsidR="004565B8" w:rsidRPr="004565B8">
              <w:rPr>
                <w:webHidden/>
                <w:sz w:val="24"/>
                <w:szCs w:val="24"/>
              </w:rPr>
              <w:t>93</w:t>
            </w:r>
            <w:r w:rsidR="004565B8" w:rsidRPr="004565B8">
              <w:rPr>
                <w:webHidden/>
                <w:sz w:val="24"/>
                <w:szCs w:val="24"/>
              </w:rPr>
              <w:fldChar w:fldCharType="end"/>
            </w:r>
          </w:hyperlink>
        </w:p>
        <w:p w14:paraId="16FABDD5" w14:textId="31E7625E" w:rsidR="004565B8" w:rsidRPr="004565B8" w:rsidRDefault="00635652" w:rsidP="004565B8">
          <w:pPr>
            <w:pStyle w:val="TOC1"/>
            <w:rPr>
              <w:rFonts w:asciiTheme="minorHAnsi" w:hAnsiTheme="minorHAnsi"/>
              <w:noProof/>
              <w:szCs w:val="24"/>
            </w:rPr>
          </w:pPr>
          <w:hyperlink w:anchor="_Toc84756419" w:history="1">
            <w:r w:rsidR="004565B8" w:rsidRPr="004565B8">
              <w:rPr>
                <w:rStyle w:val="Hyperlink"/>
                <w:rFonts w:eastAsia="Times New Roman"/>
                <w:noProof/>
                <w:szCs w:val="24"/>
              </w:rPr>
              <w:t>3. Kopbudžeta nodokļu un nenodokļu ieņēmumu prognozes</w:t>
            </w:r>
            <w:r w:rsidR="004565B8" w:rsidRPr="004565B8">
              <w:rPr>
                <w:noProof/>
                <w:webHidden/>
                <w:szCs w:val="24"/>
              </w:rPr>
              <w:tab/>
            </w:r>
            <w:r w:rsidR="004565B8" w:rsidRPr="004565B8">
              <w:rPr>
                <w:noProof/>
                <w:webHidden/>
                <w:szCs w:val="24"/>
              </w:rPr>
              <w:fldChar w:fldCharType="begin"/>
            </w:r>
            <w:r w:rsidR="004565B8" w:rsidRPr="004565B8">
              <w:rPr>
                <w:noProof/>
                <w:webHidden/>
                <w:szCs w:val="24"/>
              </w:rPr>
              <w:instrText xml:space="preserve"> PAGEREF _Toc84756419 \h </w:instrText>
            </w:r>
            <w:r w:rsidR="004565B8" w:rsidRPr="004565B8">
              <w:rPr>
                <w:noProof/>
                <w:webHidden/>
                <w:szCs w:val="24"/>
              </w:rPr>
            </w:r>
            <w:r w:rsidR="004565B8" w:rsidRPr="004565B8">
              <w:rPr>
                <w:noProof/>
                <w:webHidden/>
                <w:szCs w:val="24"/>
              </w:rPr>
              <w:fldChar w:fldCharType="separate"/>
            </w:r>
            <w:r w:rsidR="004565B8" w:rsidRPr="004565B8">
              <w:rPr>
                <w:noProof/>
                <w:webHidden/>
                <w:szCs w:val="24"/>
              </w:rPr>
              <w:t>98</w:t>
            </w:r>
            <w:r w:rsidR="004565B8" w:rsidRPr="004565B8">
              <w:rPr>
                <w:noProof/>
                <w:webHidden/>
                <w:szCs w:val="24"/>
              </w:rPr>
              <w:fldChar w:fldCharType="end"/>
            </w:r>
          </w:hyperlink>
        </w:p>
        <w:p w14:paraId="2C51495B" w14:textId="725AA059" w:rsidR="004565B8" w:rsidRPr="004565B8" w:rsidRDefault="00635652" w:rsidP="004565B8">
          <w:pPr>
            <w:pStyle w:val="TOC2"/>
            <w:rPr>
              <w:rFonts w:asciiTheme="minorHAnsi" w:hAnsiTheme="minorHAnsi"/>
              <w:noProof/>
              <w:szCs w:val="24"/>
            </w:rPr>
          </w:pPr>
          <w:hyperlink w:anchor="_Toc84756420" w:history="1">
            <w:r w:rsidR="004565B8" w:rsidRPr="004565B8">
              <w:rPr>
                <w:rStyle w:val="Hyperlink"/>
                <w:rFonts w:eastAsia="Times New Roman" w:cs="Times New Roman"/>
                <w:noProof/>
                <w:szCs w:val="24"/>
              </w:rPr>
              <w:t>3.1. Nodokļu politikas aktualitātes</w:t>
            </w:r>
            <w:r w:rsidR="004565B8" w:rsidRPr="004565B8">
              <w:rPr>
                <w:noProof/>
                <w:webHidden/>
                <w:szCs w:val="24"/>
              </w:rPr>
              <w:tab/>
            </w:r>
            <w:r w:rsidR="004565B8" w:rsidRPr="004565B8">
              <w:rPr>
                <w:noProof/>
                <w:webHidden/>
                <w:szCs w:val="24"/>
              </w:rPr>
              <w:fldChar w:fldCharType="begin"/>
            </w:r>
            <w:r w:rsidR="004565B8" w:rsidRPr="004565B8">
              <w:rPr>
                <w:noProof/>
                <w:webHidden/>
                <w:szCs w:val="24"/>
              </w:rPr>
              <w:instrText xml:space="preserve"> PAGEREF _Toc84756420 \h </w:instrText>
            </w:r>
            <w:r w:rsidR="004565B8" w:rsidRPr="004565B8">
              <w:rPr>
                <w:noProof/>
                <w:webHidden/>
                <w:szCs w:val="24"/>
              </w:rPr>
            </w:r>
            <w:r w:rsidR="004565B8" w:rsidRPr="004565B8">
              <w:rPr>
                <w:noProof/>
                <w:webHidden/>
                <w:szCs w:val="24"/>
              </w:rPr>
              <w:fldChar w:fldCharType="separate"/>
            </w:r>
            <w:r w:rsidR="004565B8" w:rsidRPr="004565B8">
              <w:rPr>
                <w:noProof/>
                <w:webHidden/>
                <w:szCs w:val="24"/>
              </w:rPr>
              <w:t>98</w:t>
            </w:r>
            <w:r w:rsidR="004565B8" w:rsidRPr="004565B8">
              <w:rPr>
                <w:noProof/>
                <w:webHidden/>
                <w:szCs w:val="24"/>
              </w:rPr>
              <w:fldChar w:fldCharType="end"/>
            </w:r>
          </w:hyperlink>
        </w:p>
        <w:p w14:paraId="4577EBA5" w14:textId="5A0CAE13" w:rsidR="004565B8" w:rsidRPr="004565B8" w:rsidRDefault="00635652" w:rsidP="004565B8">
          <w:pPr>
            <w:pStyle w:val="TOC2"/>
            <w:rPr>
              <w:rFonts w:asciiTheme="minorHAnsi" w:hAnsiTheme="minorHAnsi"/>
              <w:noProof/>
              <w:szCs w:val="24"/>
            </w:rPr>
          </w:pPr>
          <w:hyperlink w:anchor="_Toc84756421" w:history="1">
            <w:r w:rsidR="004565B8" w:rsidRPr="004565B8">
              <w:rPr>
                <w:rStyle w:val="Hyperlink"/>
                <w:rFonts w:eastAsia="Times New Roman" w:cs="Times New Roman"/>
                <w:noProof/>
                <w:szCs w:val="24"/>
              </w:rPr>
              <w:t>3.2. Kopbudžeta nodokļu ieņēmumi</w:t>
            </w:r>
            <w:r w:rsidR="004565B8" w:rsidRPr="004565B8">
              <w:rPr>
                <w:noProof/>
                <w:webHidden/>
                <w:szCs w:val="24"/>
              </w:rPr>
              <w:tab/>
            </w:r>
            <w:r w:rsidR="004565B8" w:rsidRPr="004565B8">
              <w:rPr>
                <w:noProof/>
                <w:webHidden/>
                <w:szCs w:val="24"/>
              </w:rPr>
              <w:fldChar w:fldCharType="begin"/>
            </w:r>
            <w:r w:rsidR="004565B8" w:rsidRPr="004565B8">
              <w:rPr>
                <w:noProof/>
                <w:webHidden/>
                <w:szCs w:val="24"/>
              </w:rPr>
              <w:instrText xml:space="preserve"> PAGEREF _Toc84756421 \h </w:instrText>
            </w:r>
            <w:r w:rsidR="004565B8" w:rsidRPr="004565B8">
              <w:rPr>
                <w:noProof/>
                <w:webHidden/>
                <w:szCs w:val="24"/>
              </w:rPr>
            </w:r>
            <w:r w:rsidR="004565B8" w:rsidRPr="004565B8">
              <w:rPr>
                <w:noProof/>
                <w:webHidden/>
                <w:szCs w:val="24"/>
              </w:rPr>
              <w:fldChar w:fldCharType="separate"/>
            </w:r>
            <w:r w:rsidR="004565B8" w:rsidRPr="004565B8">
              <w:rPr>
                <w:noProof/>
                <w:webHidden/>
                <w:szCs w:val="24"/>
              </w:rPr>
              <w:t>100</w:t>
            </w:r>
            <w:r w:rsidR="004565B8" w:rsidRPr="004565B8">
              <w:rPr>
                <w:noProof/>
                <w:webHidden/>
                <w:szCs w:val="24"/>
              </w:rPr>
              <w:fldChar w:fldCharType="end"/>
            </w:r>
          </w:hyperlink>
        </w:p>
        <w:p w14:paraId="00376DAF" w14:textId="13848C35" w:rsidR="004565B8" w:rsidRPr="004565B8" w:rsidRDefault="00635652" w:rsidP="004565B8">
          <w:pPr>
            <w:pStyle w:val="TOC2"/>
            <w:rPr>
              <w:rFonts w:asciiTheme="minorHAnsi" w:hAnsiTheme="minorHAnsi"/>
              <w:noProof/>
              <w:szCs w:val="24"/>
            </w:rPr>
          </w:pPr>
          <w:hyperlink w:anchor="_Toc84756431" w:history="1">
            <w:r w:rsidR="004565B8" w:rsidRPr="004565B8">
              <w:rPr>
                <w:rStyle w:val="Hyperlink"/>
                <w:rFonts w:eastAsia="Times New Roman" w:cs="Times New Roman"/>
                <w:noProof/>
                <w:szCs w:val="24"/>
              </w:rPr>
              <w:t>3.3. Valsts pamatbudžeta nenodokļu ieņēmumi</w:t>
            </w:r>
            <w:r w:rsidR="004565B8" w:rsidRPr="004565B8">
              <w:rPr>
                <w:noProof/>
                <w:webHidden/>
                <w:szCs w:val="24"/>
              </w:rPr>
              <w:tab/>
            </w:r>
            <w:r w:rsidR="004565B8" w:rsidRPr="004565B8">
              <w:rPr>
                <w:noProof/>
                <w:webHidden/>
                <w:szCs w:val="24"/>
              </w:rPr>
              <w:fldChar w:fldCharType="begin"/>
            </w:r>
            <w:r w:rsidR="004565B8" w:rsidRPr="004565B8">
              <w:rPr>
                <w:noProof/>
                <w:webHidden/>
                <w:szCs w:val="24"/>
              </w:rPr>
              <w:instrText xml:space="preserve"> PAGEREF _Toc84756431 \h </w:instrText>
            </w:r>
            <w:r w:rsidR="004565B8" w:rsidRPr="004565B8">
              <w:rPr>
                <w:noProof/>
                <w:webHidden/>
                <w:szCs w:val="24"/>
              </w:rPr>
            </w:r>
            <w:r w:rsidR="004565B8" w:rsidRPr="004565B8">
              <w:rPr>
                <w:noProof/>
                <w:webHidden/>
                <w:szCs w:val="24"/>
              </w:rPr>
              <w:fldChar w:fldCharType="separate"/>
            </w:r>
            <w:r w:rsidR="004565B8" w:rsidRPr="004565B8">
              <w:rPr>
                <w:noProof/>
                <w:webHidden/>
                <w:szCs w:val="24"/>
              </w:rPr>
              <w:t>112</w:t>
            </w:r>
            <w:r w:rsidR="004565B8" w:rsidRPr="004565B8">
              <w:rPr>
                <w:noProof/>
                <w:webHidden/>
                <w:szCs w:val="24"/>
              </w:rPr>
              <w:fldChar w:fldCharType="end"/>
            </w:r>
          </w:hyperlink>
        </w:p>
        <w:p w14:paraId="69779076" w14:textId="1B906573" w:rsidR="004565B8" w:rsidRPr="004565B8" w:rsidRDefault="00635652" w:rsidP="004565B8">
          <w:pPr>
            <w:pStyle w:val="TOC1"/>
            <w:rPr>
              <w:rFonts w:asciiTheme="minorHAnsi" w:hAnsiTheme="minorHAnsi"/>
              <w:noProof/>
              <w:szCs w:val="24"/>
            </w:rPr>
          </w:pPr>
          <w:hyperlink w:anchor="_Toc84756432" w:history="1">
            <w:r w:rsidR="004565B8" w:rsidRPr="004565B8">
              <w:rPr>
                <w:rStyle w:val="Hyperlink"/>
                <w:rFonts w:eastAsia="Times New Roman" w:cs="Times New Roman"/>
                <w:noProof/>
                <w:szCs w:val="24"/>
              </w:rPr>
              <w:t>4. Valdības parāda vidējā termiņa attīstības tendences</w:t>
            </w:r>
            <w:r w:rsidR="004565B8" w:rsidRPr="004565B8">
              <w:rPr>
                <w:noProof/>
                <w:webHidden/>
                <w:szCs w:val="24"/>
              </w:rPr>
              <w:tab/>
            </w:r>
            <w:r w:rsidR="004565B8" w:rsidRPr="004565B8">
              <w:rPr>
                <w:noProof/>
                <w:webHidden/>
                <w:szCs w:val="24"/>
              </w:rPr>
              <w:fldChar w:fldCharType="begin"/>
            </w:r>
            <w:r w:rsidR="004565B8" w:rsidRPr="004565B8">
              <w:rPr>
                <w:noProof/>
                <w:webHidden/>
                <w:szCs w:val="24"/>
              </w:rPr>
              <w:instrText xml:space="preserve"> PAGEREF _Toc84756432 \h </w:instrText>
            </w:r>
            <w:r w:rsidR="004565B8" w:rsidRPr="004565B8">
              <w:rPr>
                <w:noProof/>
                <w:webHidden/>
                <w:szCs w:val="24"/>
              </w:rPr>
            </w:r>
            <w:r w:rsidR="004565B8" w:rsidRPr="004565B8">
              <w:rPr>
                <w:noProof/>
                <w:webHidden/>
                <w:szCs w:val="24"/>
              </w:rPr>
              <w:fldChar w:fldCharType="separate"/>
            </w:r>
            <w:r w:rsidR="004565B8" w:rsidRPr="004565B8">
              <w:rPr>
                <w:noProof/>
                <w:webHidden/>
                <w:szCs w:val="24"/>
              </w:rPr>
              <w:t>114</w:t>
            </w:r>
            <w:r w:rsidR="004565B8" w:rsidRPr="004565B8">
              <w:rPr>
                <w:noProof/>
                <w:webHidden/>
                <w:szCs w:val="24"/>
              </w:rPr>
              <w:fldChar w:fldCharType="end"/>
            </w:r>
          </w:hyperlink>
        </w:p>
        <w:p w14:paraId="2AEE006C" w14:textId="604CD21A" w:rsidR="004565B8" w:rsidRPr="004565B8" w:rsidRDefault="00635652" w:rsidP="004565B8">
          <w:pPr>
            <w:pStyle w:val="TOC1"/>
            <w:rPr>
              <w:rFonts w:asciiTheme="minorHAnsi" w:hAnsiTheme="minorHAnsi"/>
              <w:noProof/>
            </w:rPr>
          </w:pPr>
          <w:hyperlink w:anchor="_Toc84756433" w:history="1">
            <w:r w:rsidR="004565B8" w:rsidRPr="004565B8">
              <w:rPr>
                <w:rStyle w:val="Hyperlink"/>
                <w:noProof/>
                <w:szCs w:val="24"/>
              </w:rPr>
              <w:t>Pielikumi</w:t>
            </w:r>
            <w:r w:rsidR="004565B8" w:rsidRPr="004565B8">
              <w:rPr>
                <w:noProof/>
                <w:webHidden/>
                <w:szCs w:val="24"/>
              </w:rPr>
              <w:tab/>
            </w:r>
            <w:r w:rsidR="004565B8" w:rsidRPr="004565B8">
              <w:rPr>
                <w:noProof/>
                <w:webHidden/>
                <w:szCs w:val="24"/>
              </w:rPr>
              <w:fldChar w:fldCharType="begin"/>
            </w:r>
            <w:r w:rsidR="004565B8" w:rsidRPr="004565B8">
              <w:rPr>
                <w:noProof/>
                <w:webHidden/>
                <w:szCs w:val="24"/>
              </w:rPr>
              <w:instrText xml:space="preserve"> PAGEREF _Toc84756433 \h </w:instrText>
            </w:r>
            <w:r w:rsidR="004565B8" w:rsidRPr="004565B8">
              <w:rPr>
                <w:noProof/>
                <w:webHidden/>
                <w:szCs w:val="24"/>
              </w:rPr>
            </w:r>
            <w:r w:rsidR="004565B8" w:rsidRPr="004565B8">
              <w:rPr>
                <w:noProof/>
                <w:webHidden/>
                <w:szCs w:val="24"/>
              </w:rPr>
              <w:fldChar w:fldCharType="separate"/>
            </w:r>
            <w:r w:rsidR="004565B8" w:rsidRPr="004565B8">
              <w:rPr>
                <w:noProof/>
                <w:webHidden/>
                <w:szCs w:val="24"/>
              </w:rPr>
              <w:t>117</w:t>
            </w:r>
            <w:r w:rsidR="004565B8" w:rsidRPr="004565B8">
              <w:rPr>
                <w:noProof/>
                <w:webHidden/>
                <w:szCs w:val="24"/>
              </w:rPr>
              <w:fldChar w:fldCharType="end"/>
            </w:r>
          </w:hyperlink>
        </w:p>
        <w:p w14:paraId="5239455D" w14:textId="7E25296D" w:rsidR="004565B8" w:rsidRDefault="004565B8">
          <w:r w:rsidRPr="004565B8">
            <w:rPr>
              <w:bCs/>
              <w:noProof/>
              <w:szCs w:val="24"/>
            </w:rPr>
            <w:fldChar w:fldCharType="end"/>
          </w:r>
        </w:p>
      </w:sdtContent>
    </w:sdt>
    <w:p w14:paraId="5AE47040" w14:textId="3D802F6D" w:rsidR="0010115D" w:rsidRDefault="0010115D" w:rsidP="00B13890">
      <w:pPr>
        <w:ind w:firstLine="0"/>
      </w:pPr>
    </w:p>
    <w:p w14:paraId="79A84F8C" w14:textId="6180E969" w:rsidR="0099640B" w:rsidRDefault="0099640B" w:rsidP="00B13890">
      <w:pPr>
        <w:ind w:firstLine="0"/>
      </w:pPr>
    </w:p>
    <w:p w14:paraId="29874C72" w14:textId="4EFED39A" w:rsidR="0099640B" w:rsidRDefault="0099640B" w:rsidP="00B13890">
      <w:pPr>
        <w:ind w:firstLine="0"/>
      </w:pPr>
    </w:p>
    <w:p w14:paraId="21089E3A" w14:textId="24DEE140" w:rsidR="0099640B" w:rsidRDefault="0099640B" w:rsidP="00B13890">
      <w:pPr>
        <w:ind w:firstLine="0"/>
      </w:pPr>
    </w:p>
    <w:p w14:paraId="15740EFF" w14:textId="2411A74F" w:rsidR="0099640B" w:rsidRDefault="0099640B" w:rsidP="00B13890">
      <w:pPr>
        <w:ind w:firstLine="0"/>
      </w:pPr>
    </w:p>
    <w:p w14:paraId="544C3CF7" w14:textId="057ABAD8" w:rsidR="0099640B" w:rsidRDefault="0099640B" w:rsidP="00B13890">
      <w:pPr>
        <w:ind w:firstLine="0"/>
      </w:pPr>
    </w:p>
    <w:p w14:paraId="505E9F73" w14:textId="7BAC5B81" w:rsidR="0099640B" w:rsidRDefault="0099640B" w:rsidP="00B13890">
      <w:pPr>
        <w:ind w:firstLine="0"/>
      </w:pPr>
    </w:p>
    <w:p w14:paraId="1E3F5562" w14:textId="34FB661A" w:rsidR="0099640B" w:rsidRDefault="0099640B" w:rsidP="00B13890">
      <w:pPr>
        <w:ind w:firstLine="0"/>
      </w:pPr>
    </w:p>
    <w:p w14:paraId="2B88CCD6" w14:textId="7FFC0C25" w:rsidR="0099640B" w:rsidRDefault="0099640B" w:rsidP="00B13890">
      <w:pPr>
        <w:ind w:firstLine="0"/>
      </w:pPr>
    </w:p>
    <w:p w14:paraId="036AE374" w14:textId="10D9C95F" w:rsidR="0099640B" w:rsidRDefault="0099640B" w:rsidP="00B13890">
      <w:pPr>
        <w:ind w:firstLine="0"/>
      </w:pPr>
    </w:p>
    <w:p w14:paraId="0E0EF19E" w14:textId="641ACC96" w:rsidR="0099640B" w:rsidRDefault="0099640B" w:rsidP="00B13890">
      <w:pPr>
        <w:ind w:firstLine="0"/>
      </w:pPr>
    </w:p>
    <w:p w14:paraId="73277DBE" w14:textId="00F07828" w:rsidR="0099640B" w:rsidRDefault="0099640B" w:rsidP="00B13890">
      <w:pPr>
        <w:ind w:firstLine="0"/>
      </w:pPr>
    </w:p>
    <w:p w14:paraId="243E4391" w14:textId="60A4FDF6" w:rsidR="0099640B" w:rsidRDefault="0099640B" w:rsidP="00B13890">
      <w:pPr>
        <w:ind w:firstLine="0"/>
      </w:pPr>
    </w:p>
    <w:p w14:paraId="34AFAD3F" w14:textId="2C21ABCB" w:rsidR="0099640B" w:rsidRDefault="0099640B" w:rsidP="00B13890">
      <w:pPr>
        <w:ind w:firstLine="0"/>
      </w:pPr>
    </w:p>
    <w:p w14:paraId="22C8584D" w14:textId="3B79A8FA" w:rsidR="0099640B" w:rsidRDefault="0099640B" w:rsidP="00B13890">
      <w:pPr>
        <w:ind w:firstLine="0"/>
      </w:pPr>
    </w:p>
    <w:p w14:paraId="45545BA8" w14:textId="77777777" w:rsidR="0099640B" w:rsidRPr="008E246B" w:rsidRDefault="0099640B" w:rsidP="00B13890">
      <w:pPr>
        <w:ind w:firstLine="0"/>
      </w:pPr>
    </w:p>
    <w:p w14:paraId="11A721C6" w14:textId="4754C445" w:rsidR="008E246B" w:rsidRPr="00B13890" w:rsidRDefault="000548A5" w:rsidP="00F70213">
      <w:pPr>
        <w:pStyle w:val="Heading1"/>
        <w:numPr>
          <w:ilvl w:val="0"/>
          <w:numId w:val="2"/>
        </w:numPr>
        <w:spacing w:before="0"/>
        <w:ind w:left="0" w:firstLine="318"/>
        <w:jc w:val="center"/>
        <w:rPr>
          <w:rFonts w:eastAsia="Times New Roman" w:cs="Times New Roman"/>
        </w:rPr>
      </w:pPr>
      <w:bookmarkStart w:id="0" w:name="_Toc84756383"/>
      <w:r w:rsidRPr="004D28CD">
        <w:rPr>
          <w:rFonts w:eastAsia="Times New Roman" w:cs="Times New Roman"/>
        </w:rPr>
        <w:lastRenderedPageBreak/>
        <w:t>Makroekonomiskās attīstības apraksts</w:t>
      </w:r>
      <w:r w:rsidR="00383CEF" w:rsidRPr="00FC2755">
        <w:rPr>
          <w:rFonts w:eastAsia="Times New Roman" w:cs="Times New Roman"/>
          <w:szCs w:val="44"/>
          <w:vertAlign w:val="superscript"/>
        </w:rPr>
        <w:footnoteReference w:id="1"/>
      </w:r>
      <w:bookmarkEnd w:id="0"/>
    </w:p>
    <w:p w14:paraId="1FC65966" w14:textId="2B2A54DA" w:rsidR="003F3FCD" w:rsidRPr="00092745" w:rsidRDefault="000548A5" w:rsidP="00F70213">
      <w:pPr>
        <w:pStyle w:val="Heading2"/>
        <w:numPr>
          <w:ilvl w:val="1"/>
          <w:numId w:val="9"/>
        </w:numPr>
        <w:ind w:left="0" w:firstLine="0"/>
        <w:jc w:val="center"/>
      </w:pPr>
      <w:bookmarkStart w:id="1" w:name="_Toc84756384"/>
      <w:r w:rsidRPr="00092745">
        <w:t>Ārējā ekonomiskā vide</w:t>
      </w:r>
      <w:bookmarkEnd w:id="1"/>
    </w:p>
    <w:p w14:paraId="38794DC5" w14:textId="77777777" w:rsidR="00646171" w:rsidRPr="00646171" w:rsidRDefault="00646171" w:rsidP="00646171">
      <w:pPr>
        <w:rPr>
          <w:rFonts w:eastAsia="Calibri" w:cs="Times New Roman"/>
          <w:szCs w:val="24"/>
        </w:rPr>
      </w:pPr>
      <w:r w:rsidRPr="00646171">
        <w:rPr>
          <w:rFonts w:eastAsia="Calibri" w:cs="Times New Roman"/>
          <w:szCs w:val="24"/>
        </w:rPr>
        <w:t>Pasaules ekonomikas attīstību, kas jau 2019. gadā bija sākusi nedaudz bremzēties, jau kopš 2020. gada sākuma gandrīz pilnībā noteikusi Covid</w:t>
      </w:r>
      <w:r w:rsidRPr="00646171">
        <w:rPr>
          <w:rFonts w:eastAsia="Calibri" w:cs="Times New Roman"/>
          <w:szCs w:val="24"/>
        </w:rPr>
        <w:noBreakHyphen/>
        <w:t>19 pandēmija – gan slimības izplatības samazināšanai noteiktie ierobežojumi, gan vakcīnu izstrādāšana un vakcinācijas uzsākšana, gan valstu sniegtie atbalsta pasākumi uzņēmējiem un iedzīvotājiem. 2020. gadā pasaules ekonomika piedzīvoja 3,2% kritumu, kas bija smagāks nekā finanšu krīzes laikā 2009. gadā, kad pasaules ekonomika saruka par 0,1%. Tomēr kritums izrādījās mazāks nekā sākotnēji sagaidīts, un arī izaugsmes atjaunošanās šogad notiek straujāk.</w:t>
      </w:r>
    </w:p>
    <w:p w14:paraId="20A959FB" w14:textId="3A126D92" w:rsidR="00646171" w:rsidRPr="00646171" w:rsidRDefault="00646171" w:rsidP="00646171">
      <w:pPr>
        <w:rPr>
          <w:rFonts w:eastAsia="Calibri" w:cs="Times New Roman"/>
          <w:szCs w:val="24"/>
        </w:rPr>
      </w:pPr>
      <w:r w:rsidRPr="00646171">
        <w:rPr>
          <w:rFonts w:eastAsia="Calibri" w:cs="Times New Roman"/>
          <w:szCs w:val="24"/>
        </w:rPr>
        <w:t xml:space="preserve">Jau visu pagājušā gada otro pusi pasaules ekonomiskās attīstības prognozes tika pakāpeniski paaugstinātas un arī šogad Starptautiskais Valūtas fonds vairākas reizes paaugstināja globālās izaugsmes prognozi 2021. gadam. Atbilstoši jaunākajām, jūlijā publiskotajām </w:t>
      </w:r>
      <w:r w:rsidR="000110A6">
        <w:rPr>
          <w:rFonts w:eastAsia="Calibri" w:cs="Times New Roman"/>
          <w:szCs w:val="24"/>
        </w:rPr>
        <w:t>Starptautiskā Valūtas fonda</w:t>
      </w:r>
      <w:r w:rsidRPr="00646171">
        <w:rPr>
          <w:rFonts w:eastAsia="Calibri" w:cs="Times New Roman"/>
          <w:szCs w:val="24"/>
        </w:rPr>
        <w:t xml:space="preserve"> prognozēm, pasaules ekonomika šogad pieaugs par 6,0%, bet 2022. gadā izaugsme kļūs nedaudz lēnāka, veidojot 4,9%. Salīdzinājumā ar iepriekšējām, aprīļa prognozēm, kopējā pasaules ekonomikas izaugsmes prognoze šim gadam nav mainījusies. Taču att</w:t>
      </w:r>
      <w:r w:rsidR="000110A6">
        <w:rPr>
          <w:rFonts w:eastAsia="Calibri" w:cs="Times New Roman"/>
          <w:szCs w:val="24"/>
        </w:rPr>
        <w:t xml:space="preserve">īstīto valstu, pirmām kārtām Amerikas Savienoto Valstu un </w:t>
      </w:r>
      <w:r w:rsidR="000110A6" w:rsidRPr="000110A6">
        <w:rPr>
          <w:rFonts w:eastAsia="Calibri" w:cs="Times New Roman"/>
          <w:i/>
          <w:szCs w:val="24"/>
        </w:rPr>
        <w:t>Euro</w:t>
      </w:r>
      <w:r w:rsidR="004565B8">
        <w:rPr>
          <w:rFonts w:eastAsia="Calibri" w:cs="Times New Roman"/>
          <w:szCs w:val="24"/>
        </w:rPr>
        <w:t> </w:t>
      </w:r>
      <w:r w:rsidRPr="00646171">
        <w:rPr>
          <w:rFonts w:eastAsia="Calibri" w:cs="Times New Roman"/>
          <w:szCs w:val="24"/>
        </w:rPr>
        <w:t>zonas prognozes ir uzlabojušās, kamēr attīstības valstīm izaugsme tiek prognozēta nedaudz zemāka, īpaši pazeminoties Indijas ekonomikas pieaugumam, bet riski tiek saskatīti arī Ķīnā. Šādu atšķirīgu virzību pašlaik lielā mērā nosaka atšķirīgā vakcīnu pieejamība, vakcinācijas tempi un pandēmijas izplatības gaita attīstītajās un attīstības valstīs. Būtiska loma šeit ir arī atšķirīgajiem dažādu valstu fiskālā un monetārā atbalsta apjomiem.</w:t>
      </w:r>
    </w:p>
    <w:p w14:paraId="1BEDBCBD" w14:textId="76691CF5" w:rsidR="00646171" w:rsidRPr="00646171" w:rsidRDefault="00646171" w:rsidP="00646171">
      <w:pPr>
        <w:rPr>
          <w:rFonts w:eastAsia="Calibri" w:cs="Times New Roman"/>
          <w:szCs w:val="24"/>
        </w:rPr>
      </w:pPr>
      <w:r w:rsidRPr="00646171">
        <w:rPr>
          <w:rFonts w:eastAsia="Calibri" w:cs="Times New Roman"/>
          <w:szCs w:val="24"/>
        </w:rPr>
        <w:t>Latvijas ekonomikas attīstību visbūtiskāk ietekmē situācija eirozonā un atsevišķās tās galvenajās ārējās tirdzniecības partnervalstīs, un straujāka ierobežojumu atcelšana un partnervalstu spēcīgāka ekonomikas izaugsme dod pamatu sagaidīt straujākus attīstības tempus arī Latvijā. Līdzīgi kā pasaulei kopumā, arī eirozonai ekonomikas izaugsmes prognozes jau kopš pagājušā gada vidus tiek arvien paaugstināta</w:t>
      </w:r>
      <w:r w:rsidR="000110A6">
        <w:rPr>
          <w:rFonts w:eastAsia="Calibri" w:cs="Times New Roman"/>
          <w:szCs w:val="24"/>
        </w:rPr>
        <w:t>s, un pēc Eiropas Komisijas</w:t>
      </w:r>
      <w:r w:rsidRPr="00646171">
        <w:rPr>
          <w:rFonts w:eastAsia="Calibri" w:cs="Times New Roman"/>
          <w:szCs w:val="24"/>
        </w:rPr>
        <w:t xml:space="preserve"> pēdējām, 2021. gada vasaras prognozēm, eirozonas ekonomika šogad pieaugs par 4,8% un nākamgad – par 4,5%, kas ir attiecīgi par 0,6 procentpunktiem un 1,5</w:t>
      </w:r>
      <w:r w:rsidR="000110A6">
        <w:rPr>
          <w:rFonts w:eastAsia="Calibri" w:cs="Times New Roman"/>
          <w:szCs w:val="24"/>
        </w:rPr>
        <w:t xml:space="preserve"> procentpunktiem vairāk, nekā Eiropas Komisija</w:t>
      </w:r>
      <w:r w:rsidRPr="00646171">
        <w:rPr>
          <w:rFonts w:eastAsia="Calibri" w:cs="Times New Roman"/>
          <w:szCs w:val="24"/>
        </w:rPr>
        <w:t xml:space="preserve"> bija prognozējusi šā gada februārī. Desmit Latvijas lielāko eksporta partnervalstu – Lietuvas, Igaunijas, Krievijas, Vācijas, Zviedrijas, Apvienotās Karalistes, Dānijas, Polijas, Nīderlandes un Somijas – kopējā vidēji svērtā ekonomikas izaugsmes prognoze 2021. gadam bija par 1,5 procentpunktiem augstāka nekā februārī un 2022. gadam – par 0,3 procentpunktiem augstāka.</w:t>
      </w:r>
    </w:p>
    <w:p w14:paraId="0A6E6E3D" w14:textId="1C691AA1" w:rsidR="00646171" w:rsidRPr="00646171" w:rsidRDefault="00646171" w:rsidP="00646171">
      <w:pPr>
        <w:keepNext/>
        <w:jc w:val="right"/>
        <w:rPr>
          <w:rFonts w:eastAsia="Calibri" w:cs="Times New Roman"/>
          <w:szCs w:val="24"/>
        </w:rPr>
      </w:pPr>
      <w:r w:rsidRPr="00646171">
        <w:rPr>
          <w:rFonts w:eastAsia="Times New Roman" w:cs="Times New Roman"/>
          <w:b/>
          <w:i/>
          <w:szCs w:val="24"/>
        </w:rPr>
        <w:lastRenderedPageBreak/>
        <w:t>1.1. tabula</w:t>
      </w:r>
      <w:r w:rsidR="000110A6">
        <w:rPr>
          <w:rFonts w:eastAsia="Times New Roman" w:cs="Times New Roman"/>
          <w:b/>
          <w:i/>
          <w:szCs w:val="24"/>
        </w:rPr>
        <w:t>.</w:t>
      </w:r>
      <w:r w:rsidRPr="00646171">
        <w:rPr>
          <w:rFonts w:eastAsia="Times New Roman" w:cs="Times New Roman"/>
          <w:b/>
          <w:i/>
          <w:szCs w:val="24"/>
        </w:rPr>
        <w:t xml:space="preserve"> </w:t>
      </w:r>
      <w:r w:rsidR="00C5231F">
        <w:rPr>
          <w:rFonts w:eastAsia="Times New Roman" w:cs="Times New Roman"/>
          <w:b/>
          <w:i/>
          <w:szCs w:val="24"/>
        </w:rPr>
        <w:t>Iekšzemes kopprodukta</w:t>
      </w:r>
      <w:r w:rsidRPr="000110A6">
        <w:rPr>
          <w:rFonts w:eastAsia="Times New Roman" w:cs="Times New Roman"/>
          <w:b/>
          <w:i/>
          <w:szCs w:val="24"/>
        </w:rPr>
        <w:t xml:space="preserve"> pieauguma prognozes 2021. un 2022. gadam</w:t>
      </w:r>
    </w:p>
    <w:tbl>
      <w:tblPr>
        <w:tblW w:w="8779" w:type="dxa"/>
        <w:jc w:val="center"/>
        <w:tblLook w:val="04A0" w:firstRow="1" w:lastRow="0" w:firstColumn="1" w:lastColumn="0" w:noHBand="0" w:noVBand="1"/>
      </w:tblPr>
      <w:tblGrid>
        <w:gridCol w:w="1833"/>
        <w:gridCol w:w="1276"/>
        <w:gridCol w:w="1559"/>
        <w:gridCol w:w="1418"/>
        <w:gridCol w:w="1386"/>
        <w:gridCol w:w="1307"/>
      </w:tblGrid>
      <w:tr w:rsidR="00646171" w:rsidRPr="00B113AA" w14:paraId="1D30617A" w14:textId="77777777" w:rsidTr="00B113AA">
        <w:trPr>
          <w:cantSplit/>
          <w:trHeight w:val="839"/>
          <w:tblHeader/>
          <w:jc w:val="center"/>
        </w:trPr>
        <w:tc>
          <w:tcPr>
            <w:tcW w:w="1833" w:type="dxa"/>
            <w:vMerge w:val="restart"/>
            <w:tcBorders>
              <w:top w:val="single" w:sz="8" w:space="0" w:color="auto"/>
              <w:left w:val="single" w:sz="8" w:space="0" w:color="auto"/>
              <w:bottom w:val="single" w:sz="8" w:space="0" w:color="000000"/>
              <w:right w:val="single" w:sz="8" w:space="0" w:color="auto"/>
            </w:tcBorders>
            <w:shd w:val="clear" w:color="auto" w:fill="9CC2E5" w:themeFill="accent1" w:themeFillTint="99"/>
            <w:vAlign w:val="center"/>
            <w:hideMark/>
          </w:tcPr>
          <w:p w14:paraId="4987C9E4" w14:textId="77777777" w:rsidR="00646171" w:rsidRPr="00B113AA" w:rsidRDefault="00646171" w:rsidP="00B113AA">
            <w:pPr>
              <w:ind w:firstLine="22"/>
              <w:jc w:val="center"/>
              <w:rPr>
                <w:rFonts w:eastAsia="Calibri" w:cs="Times New Roman"/>
                <w:b/>
                <w:sz w:val="18"/>
                <w:szCs w:val="18"/>
              </w:rPr>
            </w:pPr>
            <w:r w:rsidRPr="00B113AA">
              <w:rPr>
                <w:rFonts w:eastAsia="Calibri" w:cs="Times New Roman"/>
                <w:b/>
                <w:sz w:val="18"/>
                <w:szCs w:val="18"/>
              </w:rPr>
              <w:t>Valsts</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9CC2E5" w:themeFill="accent1" w:themeFillTint="99"/>
            <w:vAlign w:val="center"/>
            <w:hideMark/>
          </w:tcPr>
          <w:p w14:paraId="7958FE5A" w14:textId="77777777" w:rsidR="00646171" w:rsidRPr="00B113AA" w:rsidRDefault="00646171" w:rsidP="00B113AA">
            <w:pPr>
              <w:ind w:firstLine="22"/>
              <w:jc w:val="center"/>
              <w:rPr>
                <w:rFonts w:eastAsia="Calibri" w:cs="Times New Roman"/>
                <w:b/>
                <w:sz w:val="18"/>
                <w:szCs w:val="18"/>
              </w:rPr>
            </w:pPr>
            <w:r w:rsidRPr="00B113AA">
              <w:rPr>
                <w:rFonts w:eastAsia="Calibri" w:cs="Times New Roman"/>
                <w:b/>
                <w:sz w:val="18"/>
                <w:szCs w:val="18"/>
              </w:rPr>
              <w:t>Īpatsvars kopējā Latvijas eksportā 2020. gadā (%)</w:t>
            </w:r>
          </w:p>
        </w:tc>
        <w:tc>
          <w:tcPr>
            <w:tcW w:w="2977" w:type="dxa"/>
            <w:gridSpan w:val="2"/>
            <w:tcBorders>
              <w:top w:val="single" w:sz="8" w:space="0" w:color="auto"/>
              <w:left w:val="nil"/>
              <w:bottom w:val="single" w:sz="8" w:space="0" w:color="auto"/>
              <w:right w:val="single" w:sz="8" w:space="0" w:color="000000"/>
            </w:tcBorders>
            <w:shd w:val="clear" w:color="auto" w:fill="9CC2E5" w:themeFill="accent1" w:themeFillTint="99"/>
            <w:vAlign w:val="center"/>
            <w:hideMark/>
          </w:tcPr>
          <w:p w14:paraId="6622AA52" w14:textId="77777777" w:rsidR="00646171" w:rsidRPr="00B113AA" w:rsidRDefault="00646171" w:rsidP="00B113AA">
            <w:pPr>
              <w:ind w:firstLine="22"/>
              <w:jc w:val="center"/>
              <w:rPr>
                <w:rFonts w:eastAsia="Calibri" w:cs="Times New Roman"/>
                <w:b/>
                <w:sz w:val="18"/>
                <w:szCs w:val="18"/>
              </w:rPr>
            </w:pPr>
            <w:r w:rsidRPr="00B113AA">
              <w:rPr>
                <w:rFonts w:eastAsia="Calibri" w:cs="Times New Roman"/>
                <w:b/>
                <w:sz w:val="18"/>
                <w:szCs w:val="18"/>
              </w:rPr>
              <w:t>IKP pieauguma prognoze salīdzināmās cenās (g/g, %)</w:t>
            </w:r>
          </w:p>
          <w:p w14:paraId="5AECEDB8" w14:textId="77777777" w:rsidR="00646171" w:rsidRPr="00B113AA" w:rsidRDefault="00646171" w:rsidP="00B113AA">
            <w:pPr>
              <w:ind w:firstLine="22"/>
              <w:jc w:val="center"/>
              <w:rPr>
                <w:rFonts w:eastAsia="Calibri" w:cs="Times New Roman"/>
                <w:b/>
                <w:sz w:val="18"/>
                <w:szCs w:val="18"/>
              </w:rPr>
            </w:pPr>
            <w:r w:rsidRPr="00B113AA">
              <w:rPr>
                <w:rFonts w:eastAsia="Calibri" w:cs="Times New Roman"/>
                <w:b/>
                <w:sz w:val="18"/>
                <w:szCs w:val="18"/>
              </w:rPr>
              <w:t>EK, 2021. gada jūlijs</w:t>
            </w:r>
          </w:p>
        </w:tc>
        <w:tc>
          <w:tcPr>
            <w:tcW w:w="2693" w:type="dxa"/>
            <w:gridSpan w:val="2"/>
            <w:tcBorders>
              <w:top w:val="single" w:sz="8" w:space="0" w:color="auto"/>
              <w:left w:val="single" w:sz="8" w:space="0" w:color="auto"/>
              <w:bottom w:val="single" w:sz="8" w:space="0" w:color="000000"/>
              <w:right w:val="single" w:sz="8" w:space="0" w:color="auto"/>
            </w:tcBorders>
            <w:shd w:val="clear" w:color="auto" w:fill="9CC2E5" w:themeFill="accent1" w:themeFillTint="99"/>
            <w:vAlign w:val="center"/>
            <w:hideMark/>
          </w:tcPr>
          <w:p w14:paraId="4E689531" w14:textId="77777777" w:rsidR="00646171" w:rsidRPr="00B113AA" w:rsidRDefault="00646171" w:rsidP="00B113AA">
            <w:pPr>
              <w:ind w:firstLine="22"/>
              <w:jc w:val="center"/>
              <w:rPr>
                <w:rFonts w:eastAsia="Calibri" w:cs="Times New Roman"/>
                <w:b/>
                <w:sz w:val="18"/>
                <w:szCs w:val="18"/>
              </w:rPr>
            </w:pPr>
            <w:r w:rsidRPr="00B113AA">
              <w:rPr>
                <w:rFonts w:eastAsia="Calibri" w:cs="Times New Roman"/>
                <w:b/>
                <w:sz w:val="18"/>
                <w:szCs w:val="18"/>
              </w:rPr>
              <w:t>Izmaiņas pret EK 2021. gada februāra prognozēm (procentpunkti)</w:t>
            </w:r>
          </w:p>
        </w:tc>
      </w:tr>
      <w:tr w:rsidR="00646171" w:rsidRPr="00B113AA" w14:paraId="4FF96BF5" w14:textId="77777777" w:rsidTr="00B113AA">
        <w:trPr>
          <w:cantSplit/>
          <w:trHeight w:val="268"/>
          <w:tblHeader/>
          <w:jc w:val="center"/>
        </w:trPr>
        <w:tc>
          <w:tcPr>
            <w:tcW w:w="1833"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641855A4" w14:textId="77777777" w:rsidR="00646171" w:rsidRPr="00B113AA" w:rsidRDefault="00646171" w:rsidP="00646171">
            <w:pPr>
              <w:jc w:val="center"/>
              <w:rPr>
                <w:rFonts w:eastAsia="Calibri" w:cs="Times New Roman"/>
                <w:b/>
                <w:sz w:val="18"/>
                <w:szCs w:val="18"/>
              </w:rPr>
            </w:pPr>
          </w:p>
        </w:tc>
        <w:tc>
          <w:tcPr>
            <w:tcW w:w="1276"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149A69FE" w14:textId="77777777" w:rsidR="00646171" w:rsidRPr="00B113AA" w:rsidRDefault="00646171" w:rsidP="00646171">
            <w:pPr>
              <w:jc w:val="center"/>
              <w:rPr>
                <w:rFonts w:eastAsia="Calibri" w:cs="Times New Roman"/>
                <w:b/>
                <w:sz w:val="18"/>
                <w:szCs w:val="18"/>
              </w:rPr>
            </w:pPr>
          </w:p>
        </w:tc>
        <w:tc>
          <w:tcPr>
            <w:tcW w:w="1559" w:type="dxa"/>
            <w:tcBorders>
              <w:top w:val="nil"/>
              <w:left w:val="nil"/>
              <w:bottom w:val="single" w:sz="8" w:space="0" w:color="auto"/>
              <w:right w:val="single" w:sz="8" w:space="0" w:color="auto"/>
            </w:tcBorders>
            <w:shd w:val="clear" w:color="auto" w:fill="FFFFFF" w:themeFill="background1"/>
            <w:vAlign w:val="center"/>
            <w:hideMark/>
          </w:tcPr>
          <w:p w14:paraId="02E100F4" w14:textId="77777777" w:rsidR="00646171" w:rsidRPr="00B113AA" w:rsidRDefault="00646171" w:rsidP="00646171">
            <w:pPr>
              <w:jc w:val="center"/>
              <w:rPr>
                <w:rFonts w:eastAsia="Calibri" w:cs="Times New Roman"/>
                <w:b/>
                <w:sz w:val="18"/>
                <w:szCs w:val="18"/>
              </w:rPr>
            </w:pPr>
            <w:r w:rsidRPr="00B113AA">
              <w:rPr>
                <w:rFonts w:eastAsia="Calibri" w:cs="Times New Roman"/>
                <w:b/>
                <w:sz w:val="18"/>
                <w:szCs w:val="18"/>
              </w:rPr>
              <w:t>2021</w:t>
            </w:r>
          </w:p>
        </w:tc>
        <w:tc>
          <w:tcPr>
            <w:tcW w:w="1418" w:type="dxa"/>
            <w:tcBorders>
              <w:top w:val="nil"/>
              <w:left w:val="nil"/>
              <w:bottom w:val="single" w:sz="8" w:space="0" w:color="auto"/>
              <w:right w:val="single" w:sz="8" w:space="0" w:color="auto"/>
            </w:tcBorders>
            <w:shd w:val="clear" w:color="auto" w:fill="FFFFFF" w:themeFill="background1"/>
            <w:vAlign w:val="center"/>
            <w:hideMark/>
          </w:tcPr>
          <w:p w14:paraId="0CEE55A7" w14:textId="77777777" w:rsidR="00646171" w:rsidRPr="00B113AA" w:rsidRDefault="00646171" w:rsidP="00646171">
            <w:pPr>
              <w:jc w:val="center"/>
              <w:rPr>
                <w:rFonts w:eastAsia="Calibri" w:cs="Times New Roman"/>
                <w:b/>
                <w:sz w:val="18"/>
                <w:szCs w:val="18"/>
              </w:rPr>
            </w:pPr>
            <w:r w:rsidRPr="00B113AA">
              <w:rPr>
                <w:rFonts w:eastAsia="Calibri" w:cs="Times New Roman"/>
                <w:b/>
                <w:sz w:val="18"/>
                <w:szCs w:val="18"/>
              </w:rPr>
              <w:t>2022</w:t>
            </w:r>
          </w:p>
        </w:tc>
        <w:tc>
          <w:tcPr>
            <w:tcW w:w="1386" w:type="dxa"/>
            <w:tcBorders>
              <w:top w:val="single" w:sz="8" w:space="0" w:color="auto"/>
              <w:left w:val="single" w:sz="8" w:space="0" w:color="auto"/>
              <w:bottom w:val="single" w:sz="8" w:space="0" w:color="000000"/>
              <w:right w:val="single" w:sz="8" w:space="0" w:color="auto"/>
            </w:tcBorders>
            <w:shd w:val="clear" w:color="auto" w:fill="FFFFFF" w:themeFill="background1"/>
            <w:vAlign w:val="center"/>
          </w:tcPr>
          <w:p w14:paraId="2E58A650" w14:textId="77777777" w:rsidR="00646171" w:rsidRPr="00B113AA" w:rsidRDefault="00646171" w:rsidP="00646171">
            <w:pPr>
              <w:jc w:val="center"/>
              <w:rPr>
                <w:rFonts w:eastAsia="Calibri" w:cs="Times New Roman"/>
                <w:b/>
                <w:sz w:val="18"/>
                <w:szCs w:val="18"/>
              </w:rPr>
            </w:pPr>
            <w:r w:rsidRPr="00B113AA">
              <w:rPr>
                <w:rFonts w:eastAsia="Calibri" w:cs="Times New Roman"/>
                <w:b/>
                <w:sz w:val="18"/>
                <w:szCs w:val="18"/>
              </w:rPr>
              <w:t>2021</w:t>
            </w:r>
          </w:p>
        </w:tc>
        <w:tc>
          <w:tcPr>
            <w:tcW w:w="1307" w:type="dxa"/>
            <w:tcBorders>
              <w:top w:val="single" w:sz="8" w:space="0" w:color="auto"/>
              <w:left w:val="single" w:sz="8" w:space="0" w:color="auto"/>
              <w:bottom w:val="single" w:sz="8" w:space="0" w:color="000000"/>
              <w:right w:val="single" w:sz="8" w:space="0" w:color="auto"/>
            </w:tcBorders>
            <w:shd w:val="clear" w:color="auto" w:fill="FFFFFF" w:themeFill="background1"/>
            <w:vAlign w:val="center"/>
          </w:tcPr>
          <w:p w14:paraId="19F10FD7" w14:textId="77777777" w:rsidR="00646171" w:rsidRPr="00B113AA" w:rsidRDefault="00646171" w:rsidP="00646171">
            <w:pPr>
              <w:jc w:val="center"/>
              <w:rPr>
                <w:rFonts w:eastAsia="Calibri" w:cs="Times New Roman"/>
                <w:b/>
                <w:sz w:val="18"/>
                <w:szCs w:val="18"/>
              </w:rPr>
            </w:pPr>
            <w:r w:rsidRPr="00B113AA">
              <w:rPr>
                <w:rFonts w:eastAsia="Calibri" w:cs="Times New Roman"/>
                <w:b/>
                <w:sz w:val="18"/>
                <w:szCs w:val="18"/>
              </w:rPr>
              <w:t>2022</w:t>
            </w:r>
          </w:p>
        </w:tc>
      </w:tr>
      <w:tr w:rsidR="00646171" w:rsidRPr="00B113AA" w14:paraId="3FB61EDB" w14:textId="77777777" w:rsidTr="00B113AA">
        <w:trPr>
          <w:cantSplit/>
          <w:trHeight w:val="312"/>
          <w:tblHeader/>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2EAF64B8" w14:textId="77777777" w:rsidR="00646171" w:rsidRPr="00B113AA" w:rsidRDefault="00646171" w:rsidP="00B113AA">
            <w:pPr>
              <w:ind w:firstLine="22"/>
              <w:rPr>
                <w:rFonts w:eastAsia="Calibri" w:cs="Times New Roman"/>
                <w:sz w:val="18"/>
                <w:szCs w:val="18"/>
              </w:rPr>
            </w:pPr>
            <w:r w:rsidRPr="00B113AA">
              <w:rPr>
                <w:rFonts w:eastAsia="Calibri" w:cs="Times New Roman"/>
                <w:sz w:val="18"/>
                <w:szCs w:val="18"/>
              </w:rPr>
              <w:t>Lietuva</w:t>
            </w:r>
          </w:p>
        </w:tc>
        <w:tc>
          <w:tcPr>
            <w:tcW w:w="1276" w:type="dxa"/>
            <w:tcBorders>
              <w:top w:val="nil"/>
              <w:left w:val="nil"/>
              <w:bottom w:val="single" w:sz="8" w:space="0" w:color="auto"/>
              <w:right w:val="single" w:sz="8" w:space="0" w:color="auto"/>
            </w:tcBorders>
            <w:shd w:val="clear" w:color="auto" w:fill="auto"/>
            <w:vAlign w:val="center"/>
            <w:hideMark/>
          </w:tcPr>
          <w:p w14:paraId="19B7A663"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16,4</w:t>
            </w:r>
          </w:p>
        </w:tc>
        <w:tc>
          <w:tcPr>
            <w:tcW w:w="1559" w:type="dxa"/>
            <w:tcBorders>
              <w:top w:val="nil"/>
              <w:left w:val="nil"/>
              <w:bottom w:val="single" w:sz="8" w:space="0" w:color="auto"/>
              <w:right w:val="single" w:sz="8" w:space="0" w:color="auto"/>
            </w:tcBorders>
            <w:shd w:val="clear" w:color="auto" w:fill="auto"/>
            <w:noWrap/>
            <w:vAlign w:val="center"/>
            <w:hideMark/>
          </w:tcPr>
          <w:p w14:paraId="3576D8A4"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-7,1</w:t>
            </w:r>
          </w:p>
        </w:tc>
        <w:tc>
          <w:tcPr>
            <w:tcW w:w="1418" w:type="dxa"/>
            <w:tcBorders>
              <w:top w:val="nil"/>
              <w:left w:val="nil"/>
              <w:bottom w:val="single" w:sz="8" w:space="0" w:color="auto"/>
              <w:right w:val="single" w:sz="8" w:space="0" w:color="auto"/>
            </w:tcBorders>
            <w:shd w:val="clear" w:color="auto" w:fill="auto"/>
            <w:noWrap/>
            <w:vAlign w:val="center"/>
            <w:hideMark/>
          </w:tcPr>
          <w:p w14:paraId="2B61D9A8"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6,7</w:t>
            </w:r>
          </w:p>
        </w:tc>
        <w:tc>
          <w:tcPr>
            <w:tcW w:w="1386" w:type="dxa"/>
            <w:tcBorders>
              <w:top w:val="single" w:sz="8" w:space="0" w:color="000000"/>
              <w:left w:val="nil"/>
              <w:bottom w:val="single" w:sz="8" w:space="0" w:color="auto"/>
              <w:right w:val="single" w:sz="8" w:space="0" w:color="auto"/>
            </w:tcBorders>
            <w:shd w:val="clear" w:color="auto" w:fill="FFFFFF" w:themeFill="background1"/>
            <w:noWrap/>
            <w:vAlign w:val="center"/>
          </w:tcPr>
          <w:p w14:paraId="63E7BFD8"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1,6</w:t>
            </w:r>
          </w:p>
        </w:tc>
        <w:tc>
          <w:tcPr>
            <w:tcW w:w="1307" w:type="dxa"/>
            <w:tcBorders>
              <w:top w:val="single" w:sz="8" w:space="0" w:color="000000"/>
              <w:left w:val="nil"/>
              <w:bottom w:val="single" w:sz="8" w:space="0" w:color="auto"/>
              <w:right w:val="single" w:sz="8" w:space="0" w:color="auto"/>
            </w:tcBorders>
            <w:shd w:val="clear" w:color="auto" w:fill="FFFFFF" w:themeFill="background1"/>
            <w:vAlign w:val="center"/>
          </w:tcPr>
          <w:p w14:paraId="4CB7BC0D"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0,8</w:t>
            </w:r>
          </w:p>
        </w:tc>
      </w:tr>
      <w:tr w:rsidR="00646171" w:rsidRPr="00B113AA" w14:paraId="2CE2A886" w14:textId="77777777" w:rsidTr="00B113AA">
        <w:trPr>
          <w:cantSplit/>
          <w:trHeight w:val="312"/>
          <w:tblHeader/>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48CA931F" w14:textId="77777777" w:rsidR="00646171" w:rsidRPr="00B113AA" w:rsidRDefault="00646171" w:rsidP="00B113AA">
            <w:pPr>
              <w:ind w:firstLine="22"/>
              <w:rPr>
                <w:rFonts w:eastAsia="Calibri" w:cs="Times New Roman"/>
                <w:sz w:val="18"/>
                <w:szCs w:val="18"/>
              </w:rPr>
            </w:pPr>
            <w:r w:rsidRPr="00B113AA">
              <w:rPr>
                <w:rFonts w:eastAsia="Calibri" w:cs="Times New Roman"/>
                <w:sz w:val="18"/>
                <w:szCs w:val="18"/>
              </w:rPr>
              <w:t>Igaunija</w:t>
            </w:r>
          </w:p>
        </w:tc>
        <w:tc>
          <w:tcPr>
            <w:tcW w:w="1276" w:type="dxa"/>
            <w:tcBorders>
              <w:top w:val="nil"/>
              <w:left w:val="nil"/>
              <w:bottom w:val="single" w:sz="8" w:space="0" w:color="auto"/>
              <w:right w:val="single" w:sz="8" w:space="0" w:color="auto"/>
            </w:tcBorders>
            <w:shd w:val="clear" w:color="auto" w:fill="auto"/>
            <w:vAlign w:val="center"/>
            <w:hideMark/>
          </w:tcPr>
          <w:p w14:paraId="1E7AE4C1"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11,7</w:t>
            </w:r>
          </w:p>
        </w:tc>
        <w:tc>
          <w:tcPr>
            <w:tcW w:w="1559" w:type="dxa"/>
            <w:tcBorders>
              <w:top w:val="nil"/>
              <w:left w:val="nil"/>
              <w:bottom w:val="single" w:sz="8" w:space="0" w:color="auto"/>
              <w:right w:val="single" w:sz="8" w:space="0" w:color="auto"/>
            </w:tcBorders>
            <w:shd w:val="clear" w:color="auto" w:fill="auto"/>
            <w:noWrap/>
            <w:vAlign w:val="center"/>
            <w:hideMark/>
          </w:tcPr>
          <w:p w14:paraId="6BA68771"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-7,7</w:t>
            </w:r>
          </w:p>
        </w:tc>
        <w:tc>
          <w:tcPr>
            <w:tcW w:w="1418" w:type="dxa"/>
            <w:tcBorders>
              <w:top w:val="nil"/>
              <w:left w:val="nil"/>
              <w:bottom w:val="single" w:sz="8" w:space="0" w:color="auto"/>
              <w:right w:val="single" w:sz="8" w:space="0" w:color="auto"/>
            </w:tcBorders>
            <w:shd w:val="clear" w:color="auto" w:fill="auto"/>
            <w:noWrap/>
            <w:vAlign w:val="center"/>
            <w:hideMark/>
          </w:tcPr>
          <w:p w14:paraId="6EA6F741"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6,2</w:t>
            </w:r>
          </w:p>
        </w:tc>
        <w:tc>
          <w:tcPr>
            <w:tcW w:w="1386" w:type="dxa"/>
            <w:tcBorders>
              <w:top w:val="single" w:sz="8" w:space="0" w:color="auto"/>
              <w:left w:val="nil"/>
              <w:bottom w:val="single" w:sz="8" w:space="0" w:color="auto"/>
              <w:right w:val="single" w:sz="8" w:space="0" w:color="auto"/>
            </w:tcBorders>
            <w:shd w:val="clear" w:color="auto" w:fill="FFFFFF" w:themeFill="background1"/>
            <w:noWrap/>
            <w:vAlign w:val="center"/>
          </w:tcPr>
          <w:p w14:paraId="16686689"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2,3</w:t>
            </w:r>
          </w:p>
        </w:tc>
        <w:tc>
          <w:tcPr>
            <w:tcW w:w="1307" w:type="dxa"/>
            <w:tcBorders>
              <w:top w:val="single" w:sz="8" w:space="0" w:color="auto"/>
              <w:left w:val="nil"/>
              <w:bottom w:val="single" w:sz="8" w:space="0" w:color="auto"/>
              <w:right w:val="single" w:sz="8" w:space="0" w:color="auto"/>
            </w:tcBorders>
            <w:shd w:val="clear" w:color="auto" w:fill="FFFFFF" w:themeFill="background1"/>
            <w:vAlign w:val="center"/>
          </w:tcPr>
          <w:p w14:paraId="3E325B3A"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0,0</w:t>
            </w:r>
          </w:p>
        </w:tc>
      </w:tr>
      <w:tr w:rsidR="00646171" w:rsidRPr="00B113AA" w14:paraId="68766C86" w14:textId="77777777" w:rsidTr="00B113AA">
        <w:trPr>
          <w:cantSplit/>
          <w:trHeight w:val="312"/>
          <w:tblHeader/>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0E67D81A" w14:textId="77777777" w:rsidR="00646171" w:rsidRPr="00B113AA" w:rsidRDefault="00646171" w:rsidP="00B113AA">
            <w:pPr>
              <w:ind w:firstLine="22"/>
              <w:rPr>
                <w:rFonts w:eastAsia="Calibri" w:cs="Times New Roman"/>
                <w:sz w:val="18"/>
                <w:szCs w:val="18"/>
              </w:rPr>
            </w:pPr>
            <w:r w:rsidRPr="00B113AA">
              <w:rPr>
                <w:rFonts w:eastAsia="Calibri" w:cs="Times New Roman"/>
                <w:sz w:val="18"/>
                <w:szCs w:val="18"/>
              </w:rPr>
              <w:t>Krievija</w:t>
            </w:r>
          </w:p>
        </w:tc>
        <w:tc>
          <w:tcPr>
            <w:tcW w:w="1276" w:type="dxa"/>
            <w:tcBorders>
              <w:top w:val="nil"/>
              <w:left w:val="nil"/>
              <w:bottom w:val="single" w:sz="8" w:space="0" w:color="auto"/>
              <w:right w:val="single" w:sz="8" w:space="0" w:color="auto"/>
            </w:tcBorders>
            <w:shd w:val="clear" w:color="auto" w:fill="auto"/>
            <w:vAlign w:val="center"/>
            <w:hideMark/>
          </w:tcPr>
          <w:p w14:paraId="40DA127F"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8,5</w:t>
            </w:r>
          </w:p>
        </w:tc>
        <w:tc>
          <w:tcPr>
            <w:tcW w:w="1559" w:type="dxa"/>
            <w:tcBorders>
              <w:top w:val="nil"/>
              <w:left w:val="nil"/>
              <w:bottom w:val="single" w:sz="8" w:space="0" w:color="auto"/>
              <w:right w:val="single" w:sz="8" w:space="0" w:color="auto"/>
            </w:tcBorders>
            <w:shd w:val="clear" w:color="auto" w:fill="auto"/>
            <w:noWrap/>
            <w:vAlign w:val="center"/>
            <w:hideMark/>
          </w:tcPr>
          <w:p w14:paraId="09045CB2"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-6,6</w:t>
            </w:r>
          </w:p>
        </w:tc>
        <w:tc>
          <w:tcPr>
            <w:tcW w:w="1418" w:type="dxa"/>
            <w:tcBorders>
              <w:top w:val="nil"/>
              <w:left w:val="nil"/>
              <w:bottom w:val="single" w:sz="8" w:space="0" w:color="auto"/>
              <w:right w:val="single" w:sz="8" w:space="0" w:color="auto"/>
            </w:tcBorders>
            <w:shd w:val="clear" w:color="auto" w:fill="auto"/>
            <w:noWrap/>
            <w:vAlign w:val="center"/>
            <w:hideMark/>
          </w:tcPr>
          <w:p w14:paraId="0764C1E1"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1,6</w:t>
            </w:r>
          </w:p>
        </w:tc>
        <w:tc>
          <w:tcPr>
            <w:tcW w:w="1386" w:type="dxa"/>
            <w:tcBorders>
              <w:top w:val="single" w:sz="8" w:space="0" w:color="auto"/>
              <w:left w:val="nil"/>
              <w:bottom w:val="single" w:sz="8" w:space="0" w:color="auto"/>
              <w:right w:val="single" w:sz="8" w:space="0" w:color="auto"/>
            </w:tcBorders>
            <w:shd w:val="clear" w:color="auto" w:fill="FFFFFF" w:themeFill="background1"/>
            <w:noWrap/>
            <w:vAlign w:val="center"/>
          </w:tcPr>
          <w:p w14:paraId="3F6E8478"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1,4</w:t>
            </w:r>
          </w:p>
        </w:tc>
        <w:tc>
          <w:tcPr>
            <w:tcW w:w="1307" w:type="dxa"/>
            <w:tcBorders>
              <w:top w:val="single" w:sz="8" w:space="0" w:color="auto"/>
              <w:left w:val="nil"/>
              <w:bottom w:val="single" w:sz="8" w:space="0" w:color="auto"/>
              <w:right w:val="single" w:sz="8" w:space="0" w:color="auto"/>
            </w:tcBorders>
            <w:shd w:val="clear" w:color="auto" w:fill="FFFFFF" w:themeFill="background1"/>
            <w:vAlign w:val="center"/>
          </w:tcPr>
          <w:p w14:paraId="0DDCBE1F"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-0,8</w:t>
            </w:r>
          </w:p>
        </w:tc>
      </w:tr>
      <w:tr w:rsidR="00646171" w:rsidRPr="00B113AA" w14:paraId="09A68FD7" w14:textId="77777777" w:rsidTr="00B113AA">
        <w:trPr>
          <w:cantSplit/>
          <w:trHeight w:val="312"/>
          <w:tblHeader/>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222E328A" w14:textId="77777777" w:rsidR="00646171" w:rsidRPr="00B113AA" w:rsidRDefault="00646171" w:rsidP="00B113AA">
            <w:pPr>
              <w:ind w:firstLine="22"/>
              <w:rPr>
                <w:rFonts w:eastAsia="Calibri" w:cs="Times New Roman"/>
                <w:sz w:val="18"/>
                <w:szCs w:val="18"/>
              </w:rPr>
            </w:pPr>
            <w:r w:rsidRPr="00B113AA">
              <w:rPr>
                <w:rFonts w:eastAsia="Calibri" w:cs="Times New Roman"/>
                <w:sz w:val="18"/>
                <w:szCs w:val="18"/>
              </w:rPr>
              <w:t>Vācija</w:t>
            </w:r>
          </w:p>
        </w:tc>
        <w:tc>
          <w:tcPr>
            <w:tcW w:w="1276" w:type="dxa"/>
            <w:tcBorders>
              <w:top w:val="nil"/>
              <w:left w:val="nil"/>
              <w:bottom w:val="single" w:sz="8" w:space="0" w:color="auto"/>
              <w:right w:val="single" w:sz="8" w:space="0" w:color="auto"/>
            </w:tcBorders>
            <w:shd w:val="clear" w:color="auto" w:fill="auto"/>
            <w:vAlign w:val="center"/>
            <w:hideMark/>
          </w:tcPr>
          <w:p w14:paraId="61559426"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7,3</w:t>
            </w:r>
          </w:p>
        </w:tc>
        <w:tc>
          <w:tcPr>
            <w:tcW w:w="1559" w:type="dxa"/>
            <w:tcBorders>
              <w:top w:val="nil"/>
              <w:left w:val="nil"/>
              <w:bottom w:val="single" w:sz="8" w:space="0" w:color="auto"/>
              <w:right w:val="single" w:sz="8" w:space="0" w:color="auto"/>
            </w:tcBorders>
            <w:shd w:val="clear" w:color="auto" w:fill="auto"/>
            <w:noWrap/>
            <w:vAlign w:val="center"/>
            <w:hideMark/>
          </w:tcPr>
          <w:p w14:paraId="2B21629A"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-6,3</w:t>
            </w:r>
          </w:p>
        </w:tc>
        <w:tc>
          <w:tcPr>
            <w:tcW w:w="1418" w:type="dxa"/>
            <w:tcBorders>
              <w:top w:val="nil"/>
              <w:left w:val="nil"/>
              <w:bottom w:val="single" w:sz="8" w:space="0" w:color="auto"/>
              <w:right w:val="single" w:sz="8" w:space="0" w:color="auto"/>
            </w:tcBorders>
            <w:shd w:val="clear" w:color="auto" w:fill="auto"/>
            <w:noWrap/>
            <w:vAlign w:val="center"/>
            <w:hideMark/>
          </w:tcPr>
          <w:p w14:paraId="3AD07DE5"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5,3</w:t>
            </w:r>
          </w:p>
        </w:tc>
        <w:tc>
          <w:tcPr>
            <w:tcW w:w="1386" w:type="dxa"/>
            <w:tcBorders>
              <w:top w:val="single" w:sz="8" w:space="0" w:color="auto"/>
              <w:left w:val="nil"/>
              <w:bottom w:val="single" w:sz="8" w:space="0" w:color="auto"/>
              <w:right w:val="single" w:sz="8" w:space="0" w:color="auto"/>
            </w:tcBorders>
            <w:shd w:val="clear" w:color="auto" w:fill="FFFFFF" w:themeFill="background1"/>
            <w:noWrap/>
            <w:vAlign w:val="center"/>
          </w:tcPr>
          <w:p w14:paraId="6B7A8CC3"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0,4</w:t>
            </w:r>
          </w:p>
        </w:tc>
        <w:tc>
          <w:tcPr>
            <w:tcW w:w="1307" w:type="dxa"/>
            <w:tcBorders>
              <w:top w:val="single" w:sz="8" w:space="0" w:color="auto"/>
              <w:left w:val="nil"/>
              <w:bottom w:val="single" w:sz="8" w:space="0" w:color="auto"/>
              <w:right w:val="single" w:sz="8" w:space="0" w:color="auto"/>
            </w:tcBorders>
            <w:shd w:val="clear" w:color="auto" w:fill="FFFFFF" w:themeFill="background1"/>
            <w:vAlign w:val="center"/>
          </w:tcPr>
          <w:p w14:paraId="5776F51F"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1,5</w:t>
            </w:r>
          </w:p>
        </w:tc>
      </w:tr>
      <w:tr w:rsidR="00646171" w:rsidRPr="00B113AA" w14:paraId="4FFC8F64" w14:textId="77777777" w:rsidTr="00B113AA">
        <w:trPr>
          <w:cantSplit/>
          <w:trHeight w:val="312"/>
          <w:tblHeader/>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55E8DBF5" w14:textId="77777777" w:rsidR="00646171" w:rsidRPr="00B113AA" w:rsidRDefault="00646171" w:rsidP="00B113AA">
            <w:pPr>
              <w:ind w:firstLine="22"/>
              <w:rPr>
                <w:rFonts w:eastAsia="Calibri" w:cs="Times New Roman"/>
                <w:sz w:val="18"/>
                <w:szCs w:val="18"/>
              </w:rPr>
            </w:pPr>
            <w:r w:rsidRPr="00B113AA">
              <w:rPr>
                <w:rFonts w:eastAsia="Calibri" w:cs="Times New Roman"/>
                <w:sz w:val="18"/>
                <w:szCs w:val="18"/>
              </w:rPr>
              <w:t>Zviedrija</w:t>
            </w:r>
          </w:p>
        </w:tc>
        <w:tc>
          <w:tcPr>
            <w:tcW w:w="1276" w:type="dxa"/>
            <w:tcBorders>
              <w:top w:val="nil"/>
              <w:left w:val="nil"/>
              <w:bottom w:val="single" w:sz="8" w:space="0" w:color="auto"/>
              <w:right w:val="single" w:sz="8" w:space="0" w:color="auto"/>
            </w:tcBorders>
            <w:shd w:val="clear" w:color="auto" w:fill="auto"/>
            <w:vAlign w:val="center"/>
            <w:hideMark/>
          </w:tcPr>
          <w:p w14:paraId="614B3053"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5,7</w:t>
            </w:r>
          </w:p>
        </w:tc>
        <w:tc>
          <w:tcPr>
            <w:tcW w:w="1559" w:type="dxa"/>
            <w:tcBorders>
              <w:top w:val="nil"/>
              <w:left w:val="nil"/>
              <w:bottom w:val="single" w:sz="8" w:space="0" w:color="auto"/>
              <w:right w:val="single" w:sz="8" w:space="0" w:color="auto"/>
            </w:tcBorders>
            <w:shd w:val="clear" w:color="auto" w:fill="auto"/>
            <w:noWrap/>
            <w:vAlign w:val="center"/>
            <w:hideMark/>
          </w:tcPr>
          <w:p w14:paraId="1C89D6B1"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-5,3</w:t>
            </w:r>
          </w:p>
        </w:tc>
        <w:tc>
          <w:tcPr>
            <w:tcW w:w="1418" w:type="dxa"/>
            <w:tcBorders>
              <w:top w:val="nil"/>
              <w:left w:val="nil"/>
              <w:bottom w:val="single" w:sz="8" w:space="0" w:color="auto"/>
              <w:right w:val="single" w:sz="8" w:space="0" w:color="auto"/>
            </w:tcBorders>
            <w:shd w:val="clear" w:color="auto" w:fill="auto"/>
            <w:noWrap/>
            <w:vAlign w:val="center"/>
            <w:hideMark/>
          </w:tcPr>
          <w:p w14:paraId="6EFE0569"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3,1</w:t>
            </w:r>
          </w:p>
        </w:tc>
        <w:tc>
          <w:tcPr>
            <w:tcW w:w="1386" w:type="dxa"/>
            <w:tcBorders>
              <w:top w:val="single" w:sz="8" w:space="0" w:color="auto"/>
              <w:left w:val="nil"/>
              <w:bottom w:val="single" w:sz="8" w:space="0" w:color="auto"/>
              <w:right w:val="single" w:sz="8" w:space="0" w:color="auto"/>
            </w:tcBorders>
            <w:shd w:val="clear" w:color="auto" w:fill="FFFFFF" w:themeFill="background1"/>
            <w:noWrap/>
            <w:vAlign w:val="center"/>
          </w:tcPr>
          <w:p w14:paraId="2222876E"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1,9</w:t>
            </w:r>
          </w:p>
        </w:tc>
        <w:tc>
          <w:tcPr>
            <w:tcW w:w="1307" w:type="dxa"/>
            <w:tcBorders>
              <w:top w:val="single" w:sz="8" w:space="0" w:color="auto"/>
              <w:left w:val="nil"/>
              <w:bottom w:val="single" w:sz="8" w:space="0" w:color="auto"/>
              <w:right w:val="single" w:sz="8" w:space="0" w:color="auto"/>
            </w:tcBorders>
            <w:shd w:val="clear" w:color="auto" w:fill="FFFFFF" w:themeFill="background1"/>
            <w:vAlign w:val="center"/>
          </w:tcPr>
          <w:p w14:paraId="21B24B39"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-0,4</w:t>
            </w:r>
          </w:p>
        </w:tc>
      </w:tr>
      <w:tr w:rsidR="00646171" w:rsidRPr="00B113AA" w14:paraId="32ABF772" w14:textId="77777777" w:rsidTr="00B113AA">
        <w:trPr>
          <w:cantSplit/>
          <w:trHeight w:val="312"/>
          <w:tblHeader/>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2715C652" w14:textId="77777777" w:rsidR="00646171" w:rsidRPr="00B113AA" w:rsidRDefault="00646171" w:rsidP="00B113AA">
            <w:pPr>
              <w:ind w:firstLine="22"/>
              <w:rPr>
                <w:rFonts w:eastAsia="Calibri" w:cs="Times New Roman"/>
                <w:sz w:val="18"/>
                <w:szCs w:val="18"/>
              </w:rPr>
            </w:pPr>
            <w:r w:rsidRPr="00B113AA">
              <w:rPr>
                <w:rFonts w:eastAsia="Calibri" w:cs="Times New Roman"/>
                <w:sz w:val="18"/>
                <w:szCs w:val="18"/>
              </w:rPr>
              <w:t>Lielbritānija</w:t>
            </w:r>
          </w:p>
        </w:tc>
        <w:tc>
          <w:tcPr>
            <w:tcW w:w="1276" w:type="dxa"/>
            <w:tcBorders>
              <w:top w:val="nil"/>
              <w:left w:val="nil"/>
              <w:bottom w:val="single" w:sz="8" w:space="0" w:color="auto"/>
              <w:right w:val="single" w:sz="8" w:space="0" w:color="auto"/>
            </w:tcBorders>
            <w:shd w:val="clear" w:color="auto" w:fill="auto"/>
            <w:vAlign w:val="center"/>
            <w:hideMark/>
          </w:tcPr>
          <w:p w14:paraId="09660D36"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5,7</w:t>
            </w:r>
          </w:p>
        </w:tc>
        <w:tc>
          <w:tcPr>
            <w:tcW w:w="1559" w:type="dxa"/>
            <w:tcBorders>
              <w:top w:val="nil"/>
              <w:left w:val="nil"/>
              <w:bottom w:val="single" w:sz="8" w:space="0" w:color="auto"/>
              <w:right w:val="single" w:sz="8" w:space="0" w:color="auto"/>
            </w:tcBorders>
            <w:shd w:val="clear" w:color="auto" w:fill="auto"/>
            <w:noWrap/>
            <w:vAlign w:val="center"/>
            <w:hideMark/>
          </w:tcPr>
          <w:p w14:paraId="2B1586CB"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-9,7</w:t>
            </w:r>
          </w:p>
        </w:tc>
        <w:tc>
          <w:tcPr>
            <w:tcW w:w="1418" w:type="dxa"/>
            <w:tcBorders>
              <w:top w:val="nil"/>
              <w:left w:val="nil"/>
              <w:bottom w:val="single" w:sz="8" w:space="0" w:color="auto"/>
              <w:right w:val="single" w:sz="8" w:space="0" w:color="auto"/>
            </w:tcBorders>
            <w:shd w:val="clear" w:color="auto" w:fill="auto"/>
            <w:noWrap/>
            <w:vAlign w:val="center"/>
            <w:hideMark/>
          </w:tcPr>
          <w:p w14:paraId="73E0D9BB"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6,0</w:t>
            </w:r>
          </w:p>
        </w:tc>
        <w:tc>
          <w:tcPr>
            <w:tcW w:w="1386" w:type="dxa"/>
            <w:tcBorders>
              <w:top w:val="single" w:sz="8" w:space="0" w:color="auto"/>
              <w:left w:val="nil"/>
              <w:bottom w:val="single" w:sz="8" w:space="0" w:color="auto"/>
              <w:right w:val="single" w:sz="8" w:space="0" w:color="auto"/>
            </w:tcBorders>
            <w:shd w:val="clear" w:color="auto" w:fill="FFFFFF" w:themeFill="background1"/>
            <w:noWrap/>
            <w:vAlign w:val="center"/>
          </w:tcPr>
          <w:p w14:paraId="140DDFC9"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2,5</w:t>
            </w:r>
          </w:p>
        </w:tc>
        <w:tc>
          <w:tcPr>
            <w:tcW w:w="1307" w:type="dxa"/>
            <w:tcBorders>
              <w:top w:val="single" w:sz="8" w:space="0" w:color="auto"/>
              <w:left w:val="nil"/>
              <w:bottom w:val="single" w:sz="8" w:space="0" w:color="auto"/>
              <w:right w:val="single" w:sz="8" w:space="0" w:color="auto"/>
            </w:tcBorders>
            <w:shd w:val="clear" w:color="auto" w:fill="FFFFFF" w:themeFill="background1"/>
            <w:vAlign w:val="center"/>
          </w:tcPr>
          <w:p w14:paraId="734ED771"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-0,2</w:t>
            </w:r>
          </w:p>
        </w:tc>
      </w:tr>
      <w:tr w:rsidR="00646171" w:rsidRPr="00B113AA" w14:paraId="7BEB4221" w14:textId="77777777" w:rsidTr="00B113AA">
        <w:trPr>
          <w:cantSplit/>
          <w:trHeight w:val="312"/>
          <w:tblHeader/>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0A40B1C0" w14:textId="77777777" w:rsidR="00646171" w:rsidRPr="00B113AA" w:rsidRDefault="00646171" w:rsidP="00B113AA">
            <w:pPr>
              <w:ind w:firstLine="22"/>
              <w:rPr>
                <w:rFonts w:eastAsia="Calibri" w:cs="Times New Roman"/>
                <w:sz w:val="18"/>
                <w:szCs w:val="18"/>
              </w:rPr>
            </w:pPr>
            <w:r w:rsidRPr="00B113AA">
              <w:rPr>
                <w:rFonts w:eastAsia="Calibri" w:cs="Times New Roman"/>
                <w:sz w:val="18"/>
                <w:szCs w:val="18"/>
              </w:rPr>
              <w:t>Dānija</w:t>
            </w:r>
          </w:p>
        </w:tc>
        <w:tc>
          <w:tcPr>
            <w:tcW w:w="1276" w:type="dxa"/>
            <w:tcBorders>
              <w:top w:val="nil"/>
              <w:left w:val="nil"/>
              <w:bottom w:val="single" w:sz="8" w:space="0" w:color="auto"/>
              <w:right w:val="single" w:sz="8" w:space="0" w:color="auto"/>
            </w:tcBorders>
            <w:shd w:val="clear" w:color="auto" w:fill="auto"/>
            <w:vAlign w:val="center"/>
            <w:hideMark/>
          </w:tcPr>
          <w:p w14:paraId="6EEFC45A"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4,6</w:t>
            </w:r>
          </w:p>
        </w:tc>
        <w:tc>
          <w:tcPr>
            <w:tcW w:w="1559" w:type="dxa"/>
            <w:tcBorders>
              <w:top w:val="nil"/>
              <w:left w:val="nil"/>
              <w:bottom w:val="single" w:sz="8" w:space="0" w:color="auto"/>
              <w:right w:val="single" w:sz="8" w:space="0" w:color="auto"/>
            </w:tcBorders>
            <w:shd w:val="clear" w:color="auto" w:fill="auto"/>
            <w:noWrap/>
            <w:vAlign w:val="center"/>
            <w:hideMark/>
          </w:tcPr>
          <w:p w14:paraId="7F4C93F9"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-5,2</w:t>
            </w:r>
          </w:p>
        </w:tc>
        <w:tc>
          <w:tcPr>
            <w:tcW w:w="1418" w:type="dxa"/>
            <w:tcBorders>
              <w:top w:val="nil"/>
              <w:left w:val="nil"/>
              <w:bottom w:val="single" w:sz="8" w:space="0" w:color="auto"/>
              <w:right w:val="single" w:sz="8" w:space="0" w:color="auto"/>
            </w:tcBorders>
            <w:shd w:val="clear" w:color="auto" w:fill="auto"/>
            <w:noWrap/>
            <w:vAlign w:val="center"/>
            <w:hideMark/>
          </w:tcPr>
          <w:p w14:paraId="37D5AB39"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4,3</w:t>
            </w:r>
          </w:p>
        </w:tc>
        <w:tc>
          <w:tcPr>
            <w:tcW w:w="1386" w:type="dxa"/>
            <w:tcBorders>
              <w:top w:val="single" w:sz="8" w:space="0" w:color="auto"/>
              <w:left w:val="nil"/>
              <w:bottom w:val="single" w:sz="8" w:space="0" w:color="auto"/>
              <w:right w:val="single" w:sz="8" w:space="0" w:color="auto"/>
            </w:tcBorders>
            <w:shd w:val="clear" w:color="auto" w:fill="FFFFFF" w:themeFill="background1"/>
            <w:noWrap/>
            <w:vAlign w:val="center"/>
          </w:tcPr>
          <w:p w14:paraId="1B16759D"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0,1</w:t>
            </w:r>
          </w:p>
        </w:tc>
        <w:tc>
          <w:tcPr>
            <w:tcW w:w="1307" w:type="dxa"/>
            <w:tcBorders>
              <w:top w:val="single" w:sz="8" w:space="0" w:color="auto"/>
              <w:left w:val="nil"/>
              <w:bottom w:val="single" w:sz="8" w:space="0" w:color="auto"/>
              <w:right w:val="single" w:sz="8" w:space="0" w:color="auto"/>
            </w:tcBorders>
            <w:shd w:val="clear" w:color="auto" w:fill="FFFFFF" w:themeFill="background1"/>
            <w:vAlign w:val="center"/>
          </w:tcPr>
          <w:p w14:paraId="47AABB96"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-0,2</w:t>
            </w:r>
          </w:p>
        </w:tc>
      </w:tr>
      <w:tr w:rsidR="00646171" w:rsidRPr="00B113AA" w14:paraId="4555A56C" w14:textId="77777777" w:rsidTr="00B113AA">
        <w:trPr>
          <w:cantSplit/>
          <w:trHeight w:val="312"/>
          <w:tblHeader/>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0B54E7A0" w14:textId="77777777" w:rsidR="00646171" w:rsidRPr="00B113AA" w:rsidRDefault="00646171" w:rsidP="00B113AA">
            <w:pPr>
              <w:ind w:firstLine="22"/>
              <w:rPr>
                <w:rFonts w:eastAsia="Calibri" w:cs="Times New Roman"/>
                <w:sz w:val="18"/>
                <w:szCs w:val="18"/>
              </w:rPr>
            </w:pPr>
            <w:r w:rsidRPr="00B113AA">
              <w:rPr>
                <w:rFonts w:eastAsia="Calibri" w:cs="Times New Roman"/>
                <w:sz w:val="18"/>
                <w:szCs w:val="18"/>
              </w:rPr>
              <w:t>Polija</w:t>
            </w:r>
          </w:p>
        </w:tc>
        <w:tc>
          <w:tcPr>
            <w:tcW w:w="1276" w:type="dxa"/>
            <w:tcBorders>
              <w:top w:val="nil"/>
              <w:left w:val="nil"/>
              <w:bottom w:val="single" w:sz="8" w:space="0" w:color="auto"/>
              <w:right w:val="single" w:sz="8" w:space="0" w:color="auto"/>
            </w:tcBorders>
            <w:shd w:val="clear" w:color="auto" w:fill="auto"/>
            <w:vAlign w:val="center"/>
            <w:hideMark/>
          </w:tcPr>
          <w:p w14:paraId="53468D83"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3,7</w:t>
            </w:r>
          </w:p>
        </w:tc>
        <w:tc>
          <w:tcPr>
            <w:tcW w:w="1559" w:type="dxa"/>
            <w:tcBorders>
              <w:top w:val="nil"/>
              <w:left w:val="nil"/>
              <w:bottom w:val="single" w:sz="8" w:space="0" w:color="auto"/>
              <w:right w:val="single" w:sz="8" w:space="0" w:color="auto"/>
            </w:tcBorders>
            <w:shd w:val="clear" w:color="auto" w:fill="auto"/>
            <w:noWrap/>
            <w:vAlign w:val="center"/>
            <w:hideMark/>
          </w:tcPr>
          <w:p w14:paraId="54AFB0C2"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-4,6</w:t>
            </w:r>
          </w:p>
        </w:tc>
        <w:tc>
          <w:tcPr>
            <w:tcW w:w="1418" w:type="dxa"/>
            <w:tcBorders>
              <w:top w:val="nil"/>
              <w:left w:val="nil"/>
              <w:bottom w:val="single" w:sz="8" w:space="0" w:color="auto"/>
              <w:right w:val="single" w:sz="8" w:space="0" w:color="auto"/>
            </w:tcBorders>
            <w:shd w:val="clear" w:color="auto" w:fill="auto"/>
            <w:noWrap/>
            <w:vAlign w:val="center"/>
            <w:hideMark/>
          </w:tcPr>
          <w:p w14:paraId="731CD7F8"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4,3</w:t>
            </w:r>
          </w:p>
        </w:tc>
        <w:tc>
          <w:tcPr>
            <w:tcW w:w="1386" w:type="dxa"/>
            <w:tcBorders>
              <w:top w:val="single" w:sz="8" w:space="0" w:color="auto"/>
              <w:left w:val="nil"/>
              <w:bottom w:val="single" w:sz="8" w:space="0" w:color="auto"/>
              <w:right w:val="single" w:sz="8" w:space="0" w:color="auto"/>
            </w:tcBorders>
            <w:shd w:val="clear" w:color="auto" w:fill="FFFFFF" w:themeFill="background1"/>
            <w:noWrap/>
            <w:vAlign w:val="center"/>
          </w:tcPr>
          <w:p w14:paraId="34962899"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1,7</w:t>
            </w:r>
          </w:p>
        </w:tc>
        <w:tc>
          <w:tcPr>
            <w:tcW w:w="1307" w:type="dxa"/>
            <w:tcBorders>
              <w:top w:val="single" w:sz="8" w:space="0" w:color="auto"/>
              <w:left w:val="nil"/>
              <w:bottom w:val="single" w:sz="8" w:space="0" w:color="auto"/>
              <w:right w:val="single" w:sz="8" w:space="0" w:color="auto"/>
            </w:tcBorders>
            <w:shd w:val="clear" w:color="auto" w:fill="FFFFFF" w:themeFill="background1"/>
            <w:vAlign w:val="center"/>
          </w:tcPr>
          <w:p w14:paraId="7FA057CF"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0,1</w:t>
            </w:r>
          </w:p>
        </w:tc>
      </w:tr>
      <w:tr w:rsidR="00646171" w:rsidRPr="00B113AA" w14:paraId="3EFA1D87" w14:textId="77777777" w:rsidTr="00B113AA">
        <w:trPr>
          <w:cantSplit/>
          <w:trHeight w:val="312"/>
          <w:tblHeader/>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01B7F894" w14:textId="77777777" w:rsidR="00646171" w:rsidRPr="00B113AA" w:rsidRDefault="00646171" w:rsidP="00B113AA">
            <w:pPr>
              <w:ind w:firstLine="22"/>
              <w:rPr>
                <w:rFonts w:eastAsia="Calibri" w:cs="Times New Roman"/>
                <w:sz w:val="18"/>
                <w:szCs w:val="18"/>
              </w:rPr>
            </w:pPr>
            <w:r w:rsidRPr="00B113AA">
              <w:rPr>
                <w:rFonts w:eastAsia="Calibri" w:cs="Times New Roman"/>
                <w:sz w:val="18"/>
                <w:szCs w:val="18"/>
              </w:rPr>
              <w:t>Nīderlande</w:t>
            </w:r>
          </w:p>
        </w:tc>
        <w:tc>
          <w:tcPr>
            <w:tcW w:w="1276" w:type="dxa"/>
            <w:tcBorders>
              <w:top w:val="nil"/>
              <w:left w:val="nil"/>
              <w:bottom w:val="single" w:sz="8" w:space="0" w:color="auto"/>
              <w:right w:val="single" w:sz="8" w:space="0" w:color="auto"/>
            </w:tcBorders>
            <w:shd w:val="clear" w:color="auto" w:fill="auto"/>
            <w:vAlign w:val="center"/>
            <w:hideMark/>
          </w:tcPr>
          <w:p w14:paraId="09C7FF2A"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3,1</w:t>
            </w:r>
          </w:p>
        </w:tc>
        <w:tc>
          <w:tcPr>
            <w:tcW w:w="1559" w:type="dxa"/>
            <w:tcBorders>
              <w:top w:val="nil"/>
              <w:left w:val="nil"/>
              <w:bottom w:val="single" w:sz="8" w:space="0" w:color="auto"/>
              <w:right w:val="single" w:sz="8" w:space="0" w:color="auto"/>
            </w:tcBorders>
            <w:shd w:val="clear" w:color="auto" w:fill="auto"/>
            <w:noWrap/>
            <w:vAlign w:val="center"/>
            <w:hideMark/>
          </w:tcPr>
          <w:p w14:paraId="5894A6FB"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-6,8</w:t>
            </w:r>
          </w:p>
        </w:tc>
        <w:tc>
          <w:tcPr>
            <w:tcW w:w="1418" w:type="dxa"/>
            <w:tcBorders>
              <w:top w:val="nil"/>
              <w:left w:val="nil"/>
              <w:bottom w:val="single" w:sz="8" w:space="0" w:color="auto"/>
              <w:right w:val="single" w:sz="8" w:space="0" w:color="auto"/>
            </w:tcBorders>
            <w:shd w:val="clear" w:color="auto" w:fill="auto"/>
            <w:noWrap/>
            <w:vAlign w:val="center"/>
            <w:hideMark/>
          </w:tcPr>
          <w:p w14:paraId="59D6C8E9"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4,6</w:t>
            </w:r>
          </w:p>
        </w:tc>
        <w:tc>
          <w:tcPr>
            <w:tcW w:w="1386" w:type="dxa"/>
            <w:tcBorders>
              <w:top w:val="single" w:sz="8" w:space="0" w:color="auto"/>
              <w:left w:val="nil"/>
              <w:bottom w:val="single" w:sz="8" w:space="0" w:color="auto"/>
              <w:right w:val="single" w:sz="8" w:space="0" w:color="auto"/>
            </w:tcBorders>
            <w:shd w:val="clear" w:color="auto" w:fill="FFFFFF" w:themeFill="background1"/>
            <w:noWrap/>
            <w:vAlign w:val="center"/>
          </w:tcPr>
          <w:p w14:paraId="1FE6661E"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1,5</w:t>
            </w:r>
          </w:p>
        </w:tc>
        <w:tc>
          <w:tcPr>
            <w:tcW w:w="1307" w:type="dxa"/>
            <w:tcBorders>
              <w:top w:val="single" w:sz="8" w:space="0" w:color="auto"/>
              <w:left w:val="nil"/>
              <w:bottom w:val="single" w:sz="8" w:space="0" w:color="auto"/>
              <w:right w:val="single" w:sz="8" w:space="0" w:color="auto"/>
            </w:tcBorders>
            <w:shd w:val="clear" w:color="auto" w:fill="FFFFFF" w:themeFill="background1"/>
            <w:vAlign w:val="center"/>
          </w:tcPr>
          <w:p w14:paraId="64E84DB6"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0,3</w:t>
            </w:r>
          </w:p>
        </w:tc>
      </w:tr>
      <w:tr w:rsidR="00646171" w:rsidRPr="00B113AA" w14:paraId="4C6408D0" w14:textId="77777777" w:rsidTr="00B113AA">
        <w:trPr>
          <w:cantSplit/>
          <w:trHeight w:val="312"/>
          <w:tblHeader/>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1C4B98CA" w14:textId="77777777" w:rsidR="00646171" w:rsidRPr="00B113AA" w:rsidRDefault="00646171" w:rsidP="00B113AA">
            <w:pPr>
              <w:ind w:firstLine="22"/>
              <w:rPr>
                <w:rFonts w:eastAsia="Calibri" w:cs="Times New Roman"/>
                <w:sz w:val="18"/>
                <w:szCs w:val="18"/>
              </w:rPr>
            </w:pPr>
            <w:r w:rsidRPr="00B113AA">
              <w:rPr>
                <w:rFonts w:eastAsia="Calibri" w:cs="Times New Roman"/>
                <w:sz w:val="18"/>
                <w:szCs w:val="18"/>
              </w:rPr>
              <w:t>Somija</w:t>
            </w:r>
          </w:p>
        </w:tc>
        <w:tc>
          <w:tcPr>
            <w:tcW w:w="1276" w:type="dxa"/>
            <w:tcBorders>
              <w:top w:val="nil"/>
              <w:left w:val="nil"/>
              <w:bottom w:val="single" w:sz="8" w:space="0" w:color="auto"/>
              <w:right w:val="single" w:sz="8" w:space="0" w:color="auto"/>
            </w:tcBorders>
            <w:shd w:val="clear" w:color="auto" w:fill="auto"/>
            <w:vAlign w:val="center"/>
            <w:hideMark/>
          </w:tcPr>
          <w:p w14:paraId="1B314192"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2,7</w:t>
            </w:r>
          </w:p>
        </w:tc>
        <w:tc>
          <w:tcPr>
            <w:tcW w:w="1559" w:type="dxa"/>
            <w:tcBorders>
              <w:top w:val="nil"/>
              <w:left w:val="nil"/>
              <w:bottom w:val="single" w:sz="8" w:space="0" w:color="auto"/>
              <w:right w:val="single" w:sz="8" w:space="0" w:color="auto"/>
            </w:tcBorders>
            <w:shd w:val="clear" w:color="auto" w:fill="auto"/>
            <w:noWrap/>
            <w:vAlign w:val="center"/>
            <w:hideMark/>
          </w:tcPr>
          <w:p w14:paraId="4BAD3CC1"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-5,5</w:t>
            </w:r>
          </w:p>
        </w:tc>
        <w:tc>
          <w:tcPr>
            <w:tcW w:w="1418" w:type="dxa"/>
            <w:tcBorders>
              <w:top w:val="nil"/>
              <w:left w:val="nil"/>
              <w:bottom w:val="single" w:sz="8" w:space="0" w:color="auto"/>
              <w:right w:val="single" w:sz="8" w:space="0" w:color="auto"/>
            </w:tcBorders>
            <w:shd w:val="clear" w:color="auto" w:fill="auto"/>
            <w:noWrap/>
            <w:vAlign w:val="center"/>
            <w:hideMark/>
          </w:tcPr>
          <w:p w14:paraId="5000933A"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3,0</w:t>
            </w:r>
          </w:p>
        </w:tc>
        <w:tc>
          <w:tcPr>
            <w:tcW w:w="1386" w:type="dxa"/>
            <w:tcBorders>
              <w:top w:val="single" w:sz="8" w:space="0" w:color="auto"/>
              <w:left w:val="nil"/>
              <w:bottom w:val="single" w:sz="8" w:space="0" w:color="auto"/>
              <w:right w:val="single" w:sz="8" w:space="0" w:color="auto"/>
            </w:tcBorders>
            <w:shd w:val="clear" w:color="auto" w:fill="auto"/>
            <w:noWrap/>
            <w:vAlign w:val="center"/>
          </w:tcPr>
          <w:p w14:paraId="411CED1D"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-0,1</w:t>
            </w:r>
          </w:p>
        </w:tc>
        <w:tc>
          <w:tcPr>
            <w:tcW w:w="1307" w:type="dxa"/>
            <w:tcBorders>
              <w:top w:val="nil"/>
              <w:left w:val="nil"/>
              <w:bottom w:val="single" w:sz="8" w:space="0" w:color="auto"/>
              <w:right w:val="single" w:sz="8" w:space="0" w:color="auto"/>
            </w:tcBorders>
            <w:vAlign w:val="center"/>
          </w:tcPr>
          <w:p w14:paraId="0DC15199" w14:textId="77777777" w:rsidR="00646171" w:rsidRPr="00B113AA" w:rsidRDefault="00646171" w:rsidP="00646171">
            <w:pPr>
              <w:jc w:val="center"/>
              <w:rPr>
                <w:rFonts w:eastAsia="Calibri" w:cs="Times New Roman"/>
                <w:sz w:val="18"/>
                <w:szCs w:val="18"/>
              </w:rPr>
            </w:pPr>
            <w:r w:rsidRPr="00B113AA">
              <w:rPr>
                <w:rFonts w:eastAsia="Calibri" w:cs="Times New Roman"/>
                <w:sz w:val="18"/>
                <w:szCs w:val="18"/>
              </w:rPr>
              <w:t>0,9</w:t>
            </w:r>
          </w:p>
        </w:tc>
      </w:tr>
      <w:tr w:rsidR="00646171" w:rsidRPr="00B113AA" w14:paraId="66B2AD04" w14:textId="77777777" w:rsidTr="00B113AA">
        <w:trPr>
          <w:cantSplit/>
          <w:trHeight w:val="315"/>
          <w:tblHeader/>
          <w:jc w:val="center"/>
        </w:trPr>
        <w:tc>
          <w:tcPr>
            <w:tcW w:w="1833" w:type="dxa"/>
            <w:tcBorders>
              <w:top w:val="nil"/>
              <w:left w:val="single" w:sz="8" w:space="0" w:color="auto"/>
              <w:bottom w:val="single" w:sz="8" w:space="0" w:color="auto"/>
              <w:right w:val="single" w:sz="8" w:space="0" w:color="auto"/>
            </w:tcBorders>
            <w:shd w:val="clear" w:color="auto" w:fill="auto"/>
            <w:vAlign w:val="center"/>
          </w:tcPr>
          <w:p w14:paraId="34B2F02D" w14:textId="77777777" w:rsidR="00646171" w:rsidRPr="00B113AA" w:rsidRDefault="00646171" w:rsidP="00B113AA">
            <w:pPr>
              <w:ind w:firstLine="22"/>
              <w:jc w:val="left"/>
              <w:rPr>
                <w:rFonts w:eastAsia="Calibri" w:cs="Times New Roman"/>
                <w:sz w:val="18"/>
                <w:szCs w:val="18"/>
              </w:rPr>
            </w:pPr>
            <w:r w:rsidRPr="00B113AA">
              <w:rPr>
                <w:rFonts w:eastAsia="Calibri" w:cs="Times New Roman"/>
                <w:b/>
                <w:sz w:val="18"/>
                <w:szCs w:val="18"/>
              </w:rPr>
              <w:t>Kopā vidēji svērtais 10 valstīm</w:t>
            </w:r>
          </w:p>
        </w:tc>
        <w:tc>
          <w:tcPr>
            <w:tcW w:w="1276" w:type="dxa"/>
            <w:tcBorders>
              <w:top w:val="nil"/>
              <w:left w:val="nil"/>
              <w:bottom w:val="single" w:sz="8" w:space="0" w:color="auto"/>
              <w:right w:val="single" w:sz="8" w:space="0" w:color="auto"/>
            </w:tcBorders>
            <w:shd w:val="clear" w:color="auto" w:fill="auto"/>
            <w:vAlign w:val="center"/>
          </w:tcPr>
          <w:p w14:paraId="4FB4B54E" w14:textId="77777777" w:rsidR="00646171" w:rsidRPr="00B113AA" w:rsidRDefault="00646171" w:rsidP="00646171">
            <w:pPr>
              <w:jc w:val="center"/>
              <w:rPr>
                <w:rFonts w:eastAsia="Calibri" w:cs="Times New Roman"/>
                <w:b/>
                <w:sz w:val="18"/>
                <w:szCs w:val="18"/>
              </w:rPr>
            </w:pPr>
            <w:r w:rsidRPr="00B113AA">
              <w:rPr>
                <w:rFonts w:eastAsia="Calibri" w:cs="Times New Roman"/>
                <w:b/>
                <w:sz w:val="18"/>
                <w:szCs w:val="18"/>
              </w:rPr>
              <w:t>69,3</w:t>
            </w:r>
          </w:p>
        </w:tc>
        <w:tc>
          <w:tcPr>
            <w:tcW w:w="1559" w:type="dxa"/>
            <w:tcBorders>
              <w:top w:val="nil"/>
              <w:left w:val="nil"/>
              <w:bottom w:val="single" w:sz="8" w:space="0" w:color="auto"/>
              <w:right w:val="single" w:sz="8" w:space="0" w:color="auto"/>
            </w:tcBorders>
            <w:shd w:val="clear" w:color="auto" w:fill="auto"/>
            <w:noWrap/>
            <w:vAlign w:val="center"/>
          </w:tcPr>
          <w:p w14:paraId="629C4BB3" w14:textId="77777777" w:rsidR="00646171" w:rsidRPr="00B113AA" w:rsidRDefault="00646171" w:rsidP="00646171">
            <w:pPr>
              <w:jc w:val="center"/>
              <w:rPr>
                <w:rFonts w:eastAsia="Calibri" w:cs="Times New Roman"/>
                <w:b/>
                <w:sz w:val="18"/>
                <w:szCs w:val="18"/>
              </w:rPr>
            </w:pPr>
            <w:r w:rsidRPr="00B113AA">
              <w:rPr>
                <w:rFonts w:eastAsia="Calibri" w:cs="Times New Roman"/>
                <w:b/>
                <w:sz w:val="18"/>
                <w:szCs w:val="18"/>
              </w:rPr>
              <w:t>-6,5</w:t>
            </w:r>
          </w:p>
        </w:tc>
        <w:tc>
          <w:tcPr>
            <w:tcW w:w="1418" w:type="dxa"/>
            <w:tcBorders>
              <w:top w:val="nil"/>
              <w:left w:val="nil"/>
              <w:bottom w:val="single" w:sz="8" w:space="0" w:color="auto"/>
              <w:right w:val="single" w:sz="8" w:space="0" w:color="auto"/>
            </w:tcBorders>
            <w:shd w:val="clear" w:color="auto" w:fill="auto"/>
            <w:noWrap/>
            <w:vAlign w:val="center"/>
          </w:tcPr>
          <w:p w14:paraId="2110EE1E" w14:textId="77777777" w:rsidR="00646171" w:rsidRPr="00B113AA" w:rsidRDefault="00646171" w:rsidP="00646171">
            <w:pPr>
              <w:jc w:val="center"/>
              <w:rPr>
                <w:rFonts w:eastAsia="Calibri" w:cs="Times New Roman"/>
                <w:b/>
                <w:sz w:val="18"/>
                <w:szCs w:val="18"/>
              </w:rPr>
            </w:pPr>
            <w:r w:rsidRPr="00B113AA">
              <w:rPr>
                <w:rFonts w:eastAsia="Calibri" w:cs="Times New Roman"/>
                <w:b/>
                <w:sz w:val="18"/>
                <w:szCs w:val="18"/>
              </w:rPr>
              <w:t>4,8</w:t>
            </w:r>
          </w:p>
        </w:tc>
        <w:tc>
          <w:tcPr>
            <w:tcW w:w="1386" w:type="dxa"/>
            <w:tcBorders>
              <w:top w:val="single" w:sz="8" w:space="0" w:color="auto"/>
              <w:left w:val="nil"/>
              <w:bottom w:val="single" w:sz="8" w:space="0" w:color="auto"/>
              <w:right w:val="single" w:sz="8" w:space="0" w:color="auto"/>
            </w:tcBorders>
            <w:shd w:val="clear" w:color="auto" w:fill="auto"/>
            <w:noWrap/>
            <w:vAlign w:val="center"/>
          </w:tcPr>
          <w:p w14:paraId="218BB171" w14:textId="77777777" w:rsidR="00646171" w:rsidRPr="00B113AA" w:rsidRDefault="00646171" w:rsidP="00646171">
            <w:pPr>
              <w:jc w:val="center"/>
              <w:rPr>
                <w:rFonts w:eastAsia="Calibri" w:cs="Times New Roman"/>
                <w:b/>
                <w:sz w:val="18"/>
                <w:szCs w:val="18"/>
              </w:rPr>
            </w:pPr>
            <w:r w:rsidRPr="00B113AA">
              <w:rPr>
                <w:rFonts w:eastAsia="Calibri" w:cs="Times New Roman"/>
                <w:b/>
                <w:sz w:val="18"/>
                <w:szCs w:val="18"/>
              </w:rPr>
              <w:t>1,5</w:t>
            </w:r>
          </w:p>
        </w:tc>
        <w:tc>
          <w:tcPr>
            <w:tcW w:w="1307" w:type="dxa"/>
            <w:tcBorders>
              <w:top w:val="nil"/>
              <w:left w:val="nil"/>
              <w:bottom w:val="single" w:sz="8" w:space="0" w:color="auto"/>
              <w:right w:val="single" w:sz="8" w:space="0" w:color="auto"/>
            </w:tcBorders>
            <w:vAlign w:val="center"/>
          </w:tcPr>
          <w:p w14:paraId="07230CE7" w14:textId="77777777" w:rsidR="00646171" w:rsidRPr="00B113AA" w:rsidRDefault="00646171" w:rsidP="00646171">
            <w:pPr>
              <w:jc w:val="center"/>
              <w:rPr>
                <w:rFonts w:eastAsia="Calibri" w:cs="Times New Roman"/>
                <w:b/>
                <w:sz w:val="18"/>
                <w:szCs w:val="18"/>
              </w:rPr>
            </w:pPr>
            <w:r w:rsidRPr="00B113AA">
              <w:rPr>
                <w:rFonts w:eastAsia="Calibri" w:cs="Times New Roman"/>
                <w:b/>
                <w:sz w:val="18"/>
                <w:szCs w:val="18"/>
              </w:rPr>
              <w:t>0,3</w:t>
            </w:r>
          </w:p>
        </w:tc>
      </w:tr>
      <w:tr w:rsidR="00646171" w:rsidRPr="00B113AA" w14:paraId="524C3113" w14:textId="77777777" w:rsidTr="00B113AA">
        <w:trPr>
          <w:cantSplit/>
          <w:trHeight w:val="315"/>
          <w:tblHeader/>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6FA46E02" w14:textId="4269FADD" w:rsidR="00646171" w:rsidRPr="00B113AA" w:rsidRDefault="00B113AA" w:rsidP="00B113AA">
            <w:pPr>
              <w:ind w:firstLine="22"/>
              <w:rPr>
                <w:rFonts w:eastAsia="Calibri" w:cs="Times New Roman"/>
                <w:b/>
                <w:sz w:val="18"/>
                <w:szCs w:val="18"/>
              </w:rPr>
            </w:pPr>
            <w:r w:rsidRPr="00B113AA">
              <w:rPr>
                <w:rFonts w:eastAsia="Calibri" w:cs="Times New Roman"/>
                <w:b/>
                <w:i/>
                <w:sz w:val="18"/>
                <w:szCs w:val="18"/>
              </w:rPr>
              <w:t xml:space="preserve">Euro </w:t>
            </w:r>
            <w:r w:rsidR="00646171" w:rsidRPr="00B113AA">
              <w:rPr>
                <w:rFonts w:eastAsia="Calibri" w:cs="Times New Roman"/>
                <w:b/>
                <w:sz w:val="18"/>
                <w:szCs w:val="18"/>
              </w:rPr>
              <w:t>zona</w:t>
            </w:r>
          </w:p>
        </w:tc>
        <w:tc>
          <w:tcPr>
            <w:tcW w:w="1276" w:type="dxa"/>
            <w:tcBorders>
              <w:top w:val="nil"/>
              <w:left w:val="nil"/>
              <w:bottom w:val="single" w:sz="8" w:space="0" w:color="auto"/>
              <w:right w:val="single" w:sz="8" w:space="0" w:color="auto"/>
            </w:tcBorders>
            <w:shd w:val="clear" w:color="auto" w:fill="auto"/>
            <w:vAlign w:val="center"/>
            <w:hideMark/>
          </w:tcPr>
          <w:p w14:paraId="121D30B9" w14:textId="77777777" w:rsidR="00646171" w:rsidRPr="00B113AA" w:rsidRDefault="00646171" w:rsidP="00646171">
            <w:pPr>
              <w:jc w:val="center"/>
              <w:rPr>
                <w:rFonts w:eastAsia="Calibri" w:cs="Times New Roman"/>
                <w:b/>
                <w:sz w:val="18"/>
                <w:szCs w:val="18"/>
              </w:rPr>
            </w:pPr>
            <w:r w:rsidRPr="00B113AA">
              <w:rPr>
                <w:rFonts w:eastAsia="Calibri" w:cs="Times New Roman"/>
                <w:b/>
                <w:sz w:val="18"/>
                <w:szCs w:val="18"/>
              </w:rPr>
              <w:t>49,6</w:t>
            </w:r>
          </w:p>
        </w:tc>
        <w:tc>
          <w:tcPr>
            <w:tcW w:w="1559" w:type="dxa"/>
            <w:tcBorders>
              <w:top w:val="nil"/>
              <w:left w:val="nil"/>
              <w:bottom w:val="single" w:sz="8" w:space="0" w:color="auto"/>
              <w:right w:val="single" w:sz="8" w:space="0" w:color="auto"/>
            </w:tcBorders>
            <w:shd w:val="clear" w:color="auto" w:fill="auto"/>
            <w:noWrap/>
            <w:vAlign w:val="center"/>
            <w:hideMark/>
          </w:tcPr>
          <w:p w14:paraId="04E2F590" w14:textId="77777777" w:rsidR="00646171" w:rsidRPr="00B113AA" w:rsidRDefault="00646171" w:rsidP="00646171">
            <w:pPr>
              <w:jc w:val="center"/>
              <w:rPr>
                <w:rFonts w:eastAsia="Calibri" w:cs="Times New Roman"/>
                <w:b/>
                <w:sz w:val="18"/>
                <w:szCs w:val="18"/>
              </w:rPr>
            </w:pPr>
            <w:r w:rsidRPr="00B113AA">
              <w:rPr>
                <w:rFonts w:eastAsia="Calibri" w:cs="Times New Roman"/>
                <w:b/>
                <w:sz w:val="18"/>
                <w:szCs w:val="18"/>
              </w:rPr>
              <w:t>-8,7</w:t>
            </w:r>
          </w:p>
        </w:tc>
        <w:tc>
          <w:tcPr>
            <w:tcW w:w="1418" w:type="dxa"/>
            <w:tcBorders>
              <w:top w:val="nil"/>
              <w:left w:val="nil"/>
              <w:bottom w:val="single" w:sz="8" w:space="0" w:color="auto"/>
              <w:right w:val="single" w:sz="8" w:space="0" w:color="auto"/>
            </w:tcBorders>
            <w:shd w:val="clear" w:color="auto" w:fill="auto"/>
            <w:noWrap/>
            <w:vAlign w:val="center"/>
            <w:hideMark/>
          </w:tcPr>
          <w:p w14:paraId="11F34C50" w14:textId="77777777" w:rsidR="00646171" w:rsidRPr="00B113AA" w:rsidRDefault="00646171" w:rsidP="00646171">
            <w:pPr>
              <w:jc w:val="center"/>
              <w:rPr>
                <w:rFonts w:eastAsia="Calibri" w:cs="Times New Roman"/>
                <w:b/>
                <w:sz w:val="18"/>
                <w:szCs w:val="18"/>
              </w:rPr>
            </w:pPr>
            <w:r w:rsidRPr="00B113AA">
              <w:rPr>
                <w:rFonts w:eastAsia="Calibri" w:cs="Times New Roman"/>
                <w:b/>
                <w:sz w:val="18"/>
                <w:szCs w:val="18"/>
              </w:rPr>
              <w:t>6,1</w:t>
            </w:r>
          </w:p>
        </w:tc>
        <w:tc>
          <w:tcPr>
            <w:tcW w:w="1386" w:type="dxa"/>
            <w:tcBorders>
              <w:top w:val="nil"/>
              <w:left w:val="nil"/>
              <w:bottom w:val="single" w:sz="8" w:space="0" w:color="auto"/>
              <w:right w:val="single" w:sz="8" w:space="0" w:color="auto"/>
            </w:tcBorders>
            <w:shd w:val="clear" w:color="auto" w:fill="auto"/>
            <w:noWrap/>
            <w:vAlign w:val="center"/>
          </w:tcPr>
          <w:p w14:paraId="3DC358FA" w14:textId="77777777" w:rsidR="00646171" w:rsidRPr="00B113AA" w:rsidRDefault="00646171" w:rsidP="00646171">
            <w:pPr>
              <w:jc w:val="center"/>
              <w:rPr>
                <w:rFonts w:eastAsia="Calibri" w:cs="Times New Roman"/>
                <w:b/>
                <w:sz w:val="18"/>
                <w:szCs w:val="18"/>
              </w:rPr>
            </w:pPr>
            <w:r w:rsidRPr="00B113AA">
              <w:rPr>
                <w:rFonts w:eastAsia="Calibri" w:cs="Times New Roman"/>
                <w:b/>
                <w:sz w:val="18"/>
                <w:szCs w:val="18"/>
              </w:rPr>
              <w:t>0,6</w:t>
            </w:r>
          </w:p>
        </w:tc>
        <w:tc>
          <w:tcPr>
            <w:tcW w:w="1307" w:type="dxa"/>
            <w:tcBorders>
              <w:top w:val="nil"/>
              <w:left w:val="nil"/>
              <w:bottom w:val="single" w:sz="8" w:space="0" w:color="auto"/>
              <w:right w:val="single" w:sz="8" w:space="0" w:color="auto"/>
            </w:tcBorders>
            <w:vAlign w:val="center"/>
          </w:tcPr>
          <w:p w14:paraId="0A394657" w14:textId="77777777" w:rsidR="00646171" w:rsidRPr="00B113AA" w:rsidRDefault="00646171" w:rsidP="00646171">
            <w:pPr>
              <w:jc w:val="center"/>
              <w:rPr>
                <w:rFonts w:eastAsia="Calibri" w:cs="Times New Roman"/>
                <w:b/>
                <w:sz w:val="18"/>
                <w:szCs w:val="18"/>
              </w:rPr>
            </w:pPr>
            <w:r w:rsidRPr="00B113AA">
              <w:rPr>
                <w:rFonts w:eastAsia="Calibri" w:cs="Times New Roman"/>
                <w:b/>
                <w:sz w:val="18"/>
                <w:szCs w:val="18"/>
              </w:rPr>
              <w:t>1,5</w:t>
            </w:r>
          </w:p>
        </w:tc>
      </w:tr>
    </w:tbl>
    <w:p w14:paraId="50038BF4" w14:textId="77777777" w:rsidR="00646171" w:rsidRPr="00646171" w:rsidRDefault="00646171" w:rsidP="00646171">
      <w:pPr>
        <w:rPr>
          <w:rFonts w:eastAsia="Calibri" w:cs="Times New Roman"/>
          <w:szCs w:val="24"/>
        </w:rPr>
      </w:pPr>
    </w:p>
    <w:p w14:paraId="331CF89E" w14:textId="7A642C89" w:rsidR="00646171" w:rsidRPr="00646171" w:rsidRDefault="00646171" w:rsidP="00646171">
      <w:pPr>
        <w:rPr>
          <w:rFonts w:eastAsia="Calibri" w:cs="Times New Roman"/>
          <w:szCs w:val="24"/>
        </w:rPr>
      </w:pPr>
      <w:r w:rsidRPr="00646171">
        <w:rPr>
          <w:rFonts w:eastAsia="Calibri" w:cs="Times New Roman"/>
          <w:szCs w:val="24"/>
        </w:rPr>
        <w:t>Jaunākie, šā gada otrā ceturkšņa, iekšzemes kopprodukta dati rāda, ka Eiropas ekonomiskās izaugsmes atjaunošanās šogad</w:t>
      </w:r>
      <w:r w:rsidR="00B113AA">
        <w:rPr>
          <w:rFonts w:eastAsia="Calibri" w:cs="Times New Roman"/>
          <w:szCs w:val="24"/>
        </w:rPr>
        <w:t xml:space="preserve"> varētu būt arī straujāka par Eiropas Komisijas</w:t>
      </w:r>
      <w:r w:rsidRPr="00646171">
        <w:rPr>
          <w:rFonts w:eastAsia="Calibri" w:cs="Times New Roman"/>
          <w:szCs w:val="24"/>
        </w:rPr>
        <w:t xml:space="preserve"> p</w:t>
      </w:r>
      <w:r w:rsidR="00B113AA">
        <w:rPr>
          <w:rFonts w:eastAsia="Calibri" w:cs="Times New Roman"/>
          <w:szCs w:val="24"/>
        </w:rPr>
        <w:t xml:space="preserve">ēdējās prognozēs paredzēto. </w:t>
      </w:r>
      <w:r w:rsidR="00B113AA" w:rsidRPr="00B113AA">
        <w:rPr>
          <w:rFonts w:eastAsia="Calibri" w:cs="Times New Roman"/>
          <w:i/>
          <w:szCs w:val="24"/>
        </w:rPr>
        <w:t>Euro</w:t>
      </w:r>
      <w:r w:rsidR="00B113AA">
        <w:rPr>
          <w:rFonts w:eastAsia="Calibri" w:cs="Times New Roman"/>
          <w:szCs w:val="24"/>
        </w:rPr>
        <w:t xml:space="preserve"> </w:t>
      </w:r>
      <w:r w:rsidRPr="00646171">
        <w:rPr>
          <w:rFonts w:eastAsia="Calibri" w:cs="Times New Roman"/>
          <w:szCs w:val="24"/>
        </w:rPr>
        <w:t>zonas ekonomika šā gada otrajā ceturksnī, salīdzinot ar iepriekšējo ceturks</w:t>
      </w:r>
      <w:r w:rsidR="00B113AA">
        <w:rPr>
          <w:rFonts w:eastAsia="Calibri" w:cs="Times New Roman"/>
          <w:szCs w:val="24"/>
        </w:rPr>
        <w:t>ni, pieaugusi par 2,2%, kamēr Eiropas Komisija</w:t>
      </w:r>
      <w:r w:rsidRPr="00646171">
        <w:rPr>
          <w:rFonts w:eastAsia="Calibri" w:cs="Times New Roman"/>
          <w:szCs w:val="24"/>
        </w:rPr>
        <w:t xml:space="preserve"> savās jūlija prognozēs otrajam ceturksnim bija paredzējusi 1,3% kāpumu. Šā gada pirmajā pusē kopā, salīdzinot ar 2020. gada pirmo pusi, </w:t>
      </w:r>
      <w:r w:rsidR="00B113AA" w:rsidRPr="00B113AA">
        <w:rPr>
          <w:rFonts w:eastAsia="Calibri" w:cs="Times New Roman"/>
          <w:i/>
          <w:szCs w:val="24"/>
        </w:rPr>
        <w:t>Euro</w:t>
      </w:r>
      <w:r w:rsidR="00B113AA">
        <w:rPr>
          <w:rFonts w:eastAsia="Calibri" w:cs="Times New Roman"/>
          <w:szCs w:val="24"/>
        </w:rPr>
        <w:t xml:space="preserve"> </w:t>
      </w:r>
      <w:r w:rsidR="00B113AA" w:rsidRPr="00646171">
        <w:rPr>
          <w:rFonts w:eastAsia="Calibri" w:cs="Times New Roman"/>
          <w:szCs w:val="24"/>
        </w:rPr>
        <w:t>zonas</w:t>
      </w:r>
      <w:r w:rsidR="00B113AA">
        <w:rPr>
          <w:rFonts w:eastAsia="Calibri" w:cs="Times New Roman"/>
          <w:szCs w:val="24"/>
        </w:rPr>
        <w:t xml:space="preserve"> iekšzemes kopprodukts</w:t>
      </w:r>
      <w:r w:rsidRPr="00646171">
        <w:rPr>
          <w:rFonts w:eastAsia="Calibri" w:cs="Times New Roman"/>
          <w:szCs w:val="24"/>
        </w:rPr>
        <w:t xml:space="preserve"> ir palielinājies par 6,3%.</w:t>
      </w:r>
    </w:p>
    <w:p w14:paraId="797A8B3A" w14:textId="4B06B449" w:rsidR="00646171" w:rsidRPr="00646171" w:rsidRDefault="00646171" w:rsidP="00646171">
      <w:pPr>
        <w:rPr>
          <w:rFonts w:eastAsia="Calibri" w:cs="Times New Roman"/>
          <w:szCs w:val="24"/>
        </w:rPr>
      </w:pPr>
      <w:r w:rsidRPr="00646171">
        <w:rPr>
          <w:rFonts w:eastAsia="Calibri" w:cs="Times New Roman"/>
          <w:szCs w:val="24"/>
        </w:rPr>
        <w:t>Covid</w:t>
      </w:r>
      <w:r w:rsidRPr="00646171">
        <w:rPr>
          <w:rFonts w:eastAsia="Calibri" w:cs="Times New Roman"/>
          <w:szCs w:val="24"/>
        </w:rPr>
        <w:noBreakHyphen/>
        <w:t>19 pandēmija pēdējā pusotra gada laikā izraisījusi arī būtiskas cenu svārstības. Ja pagājušajā gadā izejvielu cenas pasaules tirgos piedzīvoja kritumu un patēriņa cenu pieaugumu ierobežoja arī ekonomikas kritums, šogad situācija jau ir pretēja un inflācijas līmenis p</w:t>
      </w:r>
      <w:r w:rsidR="00B113AA">
        <w:rPr>
          <w:rFonts w:eastAsia="Calibri" w:cs="Times New Roman"/>
          <w:szCs w:val="24"/>
        </w:rPr>
        <w:t xml:space="preserve">asaulē strauji paaugstinās. </w:t>
      </w:r>
      <w:r w:rsidR="00B113AA" w:rsidRPr="00B113AA">
        <w:rPr>
          <w:rFonts w:eastAsia="Calibri" w:cs="Times New Roman"/>
          <w:i/>
          <w:szCs w:val="24"/>
        </w:rPr>
        <w:t>Euro</w:t>
      </w:r>
      <w:r w:rsidR="00B113AA">
        <w:rPr>
          <w:rFonts w:eastAsia="Calibri" w:cs="Times New Roman"/>
          <w:szCs w:val="24"/>
        </w:rPr>
        <w:t xml:space="preserve"> </w:t>
      </w:r>
      <w:r w:rsidRPr="00646171">
        <w:rPr>
          <w:rFonts w:eastAsia="Calibri" w:cs="Times New Roman"/>
          <w:szCs w:val="24"/>
        </w:rPr>
        <w:t>zonā inflācija pagājušajā gadā bija noslīdējusi līdz 0,3%, bet šogad, augot naftas un pārtikas izejvielu cenām pasaules tirgū,</w:t>
      </w:r>
      <w:r w:rsidR="00B113AA">
        <w:rPr>
          <w:rFonts w:eastAsia="Calibri" w:cs="Times New Roman"/>
          <w:szCs w:val="24"/>
        </w:rPr>
        <w:t xml:space="preserve"> patēriņa cenu pieaugums, pēc Eiropas Komisijas</w:t>
      </w:r>
      <w:r w:rsidRPr="00646171">
        <w:rPr>
          <w:rFonts w:eastAsia="Calibri" w:cs="Times New Roman"/>
          <w:szCs w:val="24"/>
        </w:rPr>
        <w:t xml:space="preserve"> pēdējām prognozēm, varētu sasniegt 1,9%. Straujāku cenu pieaugumu veicina arī ekonomikas stimulēšanas pasākumi, gan centrālajām bankām pazeminot procentu likmes, gan iegādājoties vērtspapīrus, gan valdībām Covid</w:t>
      </w:r>
      <w:r w:rsidRPr="00646171">
        <w:rPr>
          <w:rFonts w:eastAsia="Calibri" w:cs="Times New Roman"/>
          <w:szCs w:val="24"/>
        </w:rPr>
        <w:noBreakHyphen/>
        <w:t>19 krīzes laikā sniedzot finansiālu atbalstu iedzīvotājiem un uzņēmumiem. Pēdējo mēnešu laikā būtiski augušas arī kravu pārvadājumu izmaksas, kuģu frakts likmes un konteineru pārvadājumu cenas, un inflācijas kāpumu veicina arī problēmas globālajās piegāžu ķēdēs. Pēc pēdējiem pieejama</w:t>
      </w:r>
      <w:r w:rsidR="00B113AA">
        <w:rPr>
          <w:rFonts w:eastAsia="Calibri" w:cs="Times New Roman"/>
          <w:szCs w:val="24"/>
        </w:rPr>
        <w:t xml:space="preserve">jiem datiem, gada inflācija </w:t>
      </w:r>
      <w:r w:rsidR="00B113AA" w:rsidRPr="00B113AA">
        <w:rPr>
          <w:rFonts w:eastAsia="Calibri" w:cs="Times New Roman"/>
          <w:i/>
          <w:szCs w:val="24"/>
        </w:rPr>
        <w:t>Euro</w:t>
      </w:r>
      <w:r w:rsidR="00B113AA">
        <w:rPr>
          <w:rFonts w:eastAsia="Calibri" w:cs="Times New Roman"/>
          <w:szCs w:val="24"/>
        </w:rPr>
        <w:t xml:space="preserve"> </w:t>
      </w:r>
      <w:r w:rsidRPr="00646171">
        <w:rPr>
          <w:rFonts w:eastAsia="Calibri" w:cs="Times New Roman"/>
          <w:szCs w:val="24"/>
        </w:rPr>
        <w:t>zonā augustā ir sasniegusi 3,0%, kas ir augstākais rādītājs kopš 2011. gada.</w:t>
      </w:r>
    </w:p>
    <w:p w14:paraId="020FE82D" w14:textId="75541C17" w:rsidR="00646171" w:rsidRPr="00646171" w:rsidRDefault="00646171" w:rsidP="00B113AA">
      <w:pPr>
        <w:rPr>
          <w:rFonts w:eastAsia="Calibri" w:cs="Times New Roman"/>
          <w:szCs w:val="24"/>
        </w:rPr>
      </w:pPr>
      <w:r w:rsidRPr="00646171">
        <w:rPr>
          <w:rFonts w:eastAsia="Calibri" w:cs="Times New Roman"/>
          <w:szCs w:val="24"/>
        </w:rPr>
        <w:t xml:space="preserve">Neskatoties uz straujo ekonomiskās izaugsmes atjaunošanos pasaulē, arī pašlaik, tāpat kā visu pēdējo pusotru gadu, saglabājas ļoti augsta nenoteiktība par pandēmijas turpmāko attīstību, vakcinācijas tempiem un vakcīnu iedarbīgumu, kā arī par iespējamām jaunām vīrusa </w:t>
      </w:r>
      <w:r w:rsidRPr="00646171">
        <w:rPr>
          <w:rFonts w:eastAsia="Calibri" w:cs="Times New Roman"/>
          <w:szCs w:val="24"/>
        </w:rPr>
        <w:lastRenderedPageBreak/>
        <w:t>mutācijām. Riskus rada arī jau minētais straujais ražotāju un patēriņa cenu pieaugums, kas var izraisīt monetārās politikas izmaiņas un procentu likmju pieaugumu, dodot divkāršu sitienu attīstības valstīm ar zemiem vakcinācijas un augstiem parādu līmeņiem. Dažu pēdējo mēnešu laikā augusi arī politiskā spriedze atsevišķos pasaules reģionos, un ir vērojama arī zināma ekonomiskās izaugsmes vājināšanās vairākās pasaules nozīmīgajās ekonomikās, tostarp Ķīnā un Vācijā. Privātā sektora ražošanas un pakalpojumu aktivitāti raksturojošais PMI indekss pasaules ekonomikai kopā augustā uzrādījis lēnāko izaugsmi pēdējo septiņu mēnešu laikā, attīstībai palēninoties gan ražošanas, gan pakalpojumu sektoros. Līdz ar to ir jārēķinās, ka gan pasaules, gan Latvijas galveno eksporta partnervalstu ekonomiskās attīstības prognozes vēl arvien var piedzīvot visai krasas korekcijas, līdzīgi kā tas bijis visā pandēmijas laikā jau kopš 2020. gada sākuma.</w:t>
      </w:r>
    </w:p>
    <w:p w14:paraId="3E37F2F2" w14:textId="1820E454" w:rsidR="001B743F" w:rsidRPr="00092745" w:rsidRDefault="000548A5" w:rsidP="00F70213">
      <w:pPr>
        <w:pStyle w:val="Heading2"/>
        <w:numPr>
          <w:ilvl w:val="1"/>
          <w:numId w:val="9"/>
        </w:numPr>
        <w:ind w:left="0" w:firstLine="0"/>
        <w:jc w:val="center"/>
      </w:pPr>
      <w:bookmarkStart w:id="2" w:name="_Toc84756385"/>
      <w:r w:rsidRPr="00092745">
        <w:t>Latvijas tautsaimniecības attīstība</w:t>
      </w:r>
      <w:bookmarkEnd w:id="2"/>
    </w:p>
    <w:p w14:paraId="0B88E43D" w14:textId="3CB2BB14" w:rsidR="00D576BB" w:rsidRPr="000368AE" w:rsidRDefault="005774F8" w:rsidP="005774F8">
      <w:pPr>
        <w:pStyle w:val="Heading3"/>
        <w:numPr>
          <w:ilvl w:val="0"/>
          <w:numId w:val="0"/>
        </w:numPr>
        <w:ind w:left="720"/>
      </w:pPr>
      <w:bookmarkStart w:id="3" w:name="_Toc84756386"/>
      <w:r>
        <w:t xml:space="preserve">1.2.1. </w:t>
      </w:r>
      <w:r w:rsidR="000C237C" w:rsidRPr="000368AE">
        <w:t>I</w:t>
      </w:r>
      <w:r w:rsidR="00B95C60" w:rsidRPr="000368AE">
        <w:t>ekšzemes kopprodukts</w:t>
      </w:r>
      <w:bookmarkEnd w:id="3"/>
    </w:p>
    <w:p w14:paraId="6D1375B7" w14:textId="0F405CF0" w:rsidR="00D576BB" w:rsidRPr="00D576BB" w:rsidRDefault="00D576BB" w:rsidP="00D576BB">
      <w:pPr>
        <w:rPr>
          <w:rFonts w:eastAsia="Calibri" w:cs="Times New Roman"/>
        </w:rPr>
      </w:pPr>
      <w:r w:rsidRPr="00D576BB">
        <w:rPr>
          <w:rFonts w:eastAsia="Calibri" w:cs="Times New Roman"/>
        </w:rPr>
        <w:t>Latvijas ekonomikas izaugsme, kas 2017.-2018. gadā bija sasniegusi labu tuvu pie 4% pieauguma tempu, 2019. gadā jau sāka palēnām bremzēties. 2020. un 2021. gadā situāciju jau pilnībā noteica Covid</w:t>
      </w:r>
      <w:r w:rsidRPr="00D576BB">
        <w:rPr>
          <w:rFonts w:eastAsia="Calibri" w:cs="Times New Roman"/>
        </w:rPr>
        <w:noBreakHyphen/>
        <w:t>19 izplatība Latvijā un pasaulē, izra</w:t>
      </w:r>
      <w:r w:rsidR="00B113AA">
        <w:rPr>
          <w:rFonts w:eastAsia="Calibri" w:cs="Times New Roman"/>
        </w:rPr>
        <w:t>isot iekšzemes kopprodukta</w:t>
      </w:r>
      <w:r w:rsidRPr="00D576BB">
        <w:rPr>
          <w:rFonts w:eastAsia="Calibri" w:cs="Times New Roman"/>
        </w:rPr>
        <w:t xml:space="preserve"> kritumu. Pagājušajā gadā Latvijas </w:t>
      </w:r>
      <w:r w:rsidR="00B113AA">
        <w:rPr>
          <w:rFonts w:eastAsia="Calibri" w:cs="Times New Roman"/>
          <w:szCs w:val="24"/>
        </w:rPr>
        <w:t>iekšzemes kopprodukts</w:t>
      </w:r>
      <w:r w:rsidR="00B113AA" w:rsidRPr="00646171">
        <w:rPr>
          <w:rFonts w:eastAsia="Calibri" w:cs="Times New Roman"/>
          <w:szCs w:val="24"/>
        </w:rPr>
        <w:t xml:space="preserve"> </w:t>
      </w:r>
      <w:r w:rsidRPr="00D576BB">
        <w:rPr>
          <w:rFonts w:eastAsia="Calibri" w:cs="Times New Roman"/>
        </w:rPr>
        <w:t>salīdzināmās cenās samazinājās par 3,6%. Tomēr ekonomikas kritums 2020. gadā izrādījās būtiski mazāks, nekā tika prognozēts Covid</w:t>
      </w:r>
      <w:r w:rsidRPr="00D576BB">
        <w:rPr>
          <w:rFonts w:eastAsia="Calibri" w:cs="Times New Roman"/>
        </w:rPr>
        <w:noBreakHyphen/>
        <w:t xml:space="preserve">19 krīzes sākumā, un to noteica gan visai veiksmīgā slimības pirmā uzliesmojuma pārvarēšana 2020. gada pavasarī, gan ekonomikas atbalsta pasākumi un labvēlīgā ekonomikas struktūra, kad ražojošās nozares praktiski nepiedzīvoja izlaides apjomu kritumu. </w:t>
      </w:r>
    </w:p>
    <w:p w14:paraId="1E97E3A5" w14:textId="77777777" w:rsidR="00D576BB" w:rsidRPr="00D576BB" w:rsidRDefault="00D576BB" w:rsidP="00D576BB">
      <w:pPr>
        <w:rPr>
          <w:rFonts w:eastAsia="Calibri" w:cs="Times New Roman"/>
        </w:rPr>
      </w:pPr>
      <w:r w:rsidRPr="00D576BB">
        <w:rPr>
          <w:rFonts w:eastAsia="Calibri" w:cs="Times New Roman"/>
        </w:rPr>
        <w:t xml:space="preserve">Lielākā negatīvā ietekme uz ekonomikas kopējiem rādītājiem pagājušajā gadā bija krīzes tieši skartajām pakalpojumu nozarēm, kur transporta un uzglabāšanas nozare samazinājās par 14,9%, izmitināšanas un ēdināšanas nozare – par 38,1%, bet māksla, izklaide un atpūta – par 26,6%. Visas pakalpojumu nozares kopā pērn samazinājās par 4,8%, kamēr ražojošās nozares uzrādīja 0,4% pieaugumu. </w:t>
      </w:r>
    </w:p>
    <w:p w14:paraId="4404F5A7" w14:textId="77777777" w:rsidR="00D576BB" w:rsidRPr="00D576BB" w:rsidRDefault="00D576BB" w:rsidP="00D576BB">
      <w:pPr>
        <w:rPr>
          <w:rFonts w:eastAsia="Calibri" w:cs="Times New Roman"/>
        </w:rPr>
      </w:pPr>
      <w:r w:rsidRPr="00D576BB">
        <w:rPr>
          <w:rFonts w:eastAsia="Calibri" w:cs="Times New Roman"/>
        </w:rPr>
        <w:t>Būvniecības nozare pagājušajā gadā palielinājās par 2,6%, bet lauksaimniecībā un mežsaimniecībā sasniegts 1,8% pieaugums, galvenokārt pateicoties labības rekordražai, kā arī augot apjomiem mežsaimniecībā un mežizstrādē. Salīdzinoši veiksmīgi krīzi pārvarēja arī apstrādes rūpniecība, kur apjomi pagājušajā gadā samazinājās tikai par 0,9%, galvenokārt pateicoties pieaugumam kokapstrādes nozarē, kā arī elektrisko iekārtu ražošanā.</w:t>
      </w:r>
    </w:p>
    <w:p w14:paraId="0D50D0CD" w14:textId="77777777" w:rsidR="00D576BB" w:rsidRPr="00D576BB" w:rsidRDefault="00D576BB" w:rsidP="00D576BB">
      <w:pPr>
        <w:rPr>
          <w:rFonts w:eastAsia="Calibri" w:cs="Times New Roman"/>
        </w:rPr>
      </w:pPr>
      <w:r w:rsidRPr="00D576BB">
        <w:rPr>
          <w:rFonts w:eastAsia="Calibri" w:cs="Times New Roman"/>
        </w:rPr>
        <w:t>No izlietojuma puses Covid</w:t>
      </w:r>
      <w:r w:rsidRPr="00D576BB">
        <w:rPr>
          <w:rFonts w:eastAsia="Calibri" w:cs="Times New Roman"/>
        </w:rPr>
        <w:noBreakHyphen/>
        <w:t>19 krīze pērn vistiešāk atspoguļojās privātā patēriņa kritumā – par 10,0%, kamēr preču un pakalpojumu eksports samazinājās par 2,7%. Tajā pašā laikā importam samazinoties vēl straujāk, ārējās tirdzniecības izmaiņu ietekme uz kopējo ekonomikas izaugsmi bija pozitīva, kamēr sabiedriskais patēriņš pērn palielinājās par 2,6% un arī investīcijās saglabājās 0,2% pieaugums.</w:t>
      </w:r>
    </w:p>
    <w:p w14:paraId="706706BC" w14:textId="5727071D" w:rsidR="00D576BB" w:rsidRPr="00D576BB" w:rsidRDefault="00D576BB" w:rsidP="00D576BB">
      <w:pPr>
        <w:rPr>
          <w:rFonts w:eastAsia="Calibri" w:cs="Times New Roman"/>
        </w:rPr>
      </w:pPr>
      <w:r w:rsidRPr="00D576BB">
        <w:rPr>
          <w:rFonts w:eastAsia="Calibri" w:cs="Times New Roman"/>
        </w:rPr>
        <w:t>2021. gada pirmajā pusē Latvijas ekonomikas attīstību joprojām būtiski ietekmēja Covid</w:t>
      </w:r>
      <w:r w:rsidRPr="00D576BB">
        <w:rPr>
          <w:rFonts w:eastAsia="Calibri" w:cs="Times New Roman"/>
        </w:rPr>
        <w:noBreakHyphen/>
        <w:t xml:space="preserve">19 situācija, slimības ierobežošanai ieviestie pasākumi un to pakāpeniska mīkstināšana. Pirmajā ceturksnī Latvijas </w:t>
      </w:r>
      <w:r w:rsidR="00B113AA">
        <w:rPr>
          <w:rFonts w:eastAsia="Calibri" w:cs="Times New Roman"/>
          <w:szCs w:val="24"/>
        </w:rPr>
        <w:t>iekšzemes kopprodukts</w:t>
      </w:r>
      <w:r w:rsidRPr="00D576BB">
        <w:rPr>
          <w:rFonts w:eastAsia="Calibri" w:cs="Times New Roman"/>
        </w:rPr>
        <w:t xml:space="preserve"> samazinājās par 1,3%, salīdzinājumā ar pagājušā gada attiecīgo ceturksni, bet otrajā ceturksnī jau bija fiksēta ļoti strauja 11,1% izaugsme, ko noteica pagājušā gada zemā bāze un Covid</w:t>
      </w:r>
      <w:r w:rsidRPr="00D576BB">
        <w:rPr>
          <w:rFonts w:eastAsia="Calibri" w:cs="Times New Roman"/>
        </w:rPr>
        <w:noBreakHyphen/>
        <w:t xml:space="preserve">19 ierobežojumu pakāpeniska </w:t>
      </w:r>
      <w:r w:rsidRPr="00D576BB">
        <w:rPr>
          <w:rFonts w:eastAsia="Calibri" w:cs="Times New Roman"/>
        </w:rPr>
        <w:lastRenderedPageBreak/>
        <w:t xml:space="preserve">atcelšana (1.1. attēls). Līdz ar straujo pieaugumu otrajā ceturksnī </w:t>
      </w:r>
      <w:r w:rsidR="00B113AA">
        <w:rPr>
          <w:rFonts w:eastAsia="Calibri" w:cs="Times New Roman"/>
          <w:szCs w:val="24"/>
        </w:rPr>
        <w:t>iekšzemes kopprodukts</w:t>
      </w:r>
      <w:r w:rsidRPr="00D576BB">
        <w:rPr>
          <w:rFonts w:eastAsia="Calibri" w:cs="Times New Roman"/>
        </w:rPr>
        <w:t xml:space="preserve"> jau ir par 0,9% pārsniedzis pirmskrīzes, 2019. gada ceturtā ceturkšņa līmeni.</w:t>
      </w:r>
    </w:p>
    <w:p w14:paraId="5F9B5612" w14:textId="77777777" w:rsidR="00D576BB" w:rsidRPr="00D576BB" w:rsidRDefault="00D576BB" w:rsidP="00CA56AB">
      <w:pPr>
        <w:spacing w:before="60" w:after="60"/>
        <w:ind w:firstLine="0"/>
        <w:jc w:val="center"/>
        <w:rPr>
          <w:rFonts w:cs="Times New Roman"/>
          <w:sz w:val="32"/>
          <w:szCs w:val="20"/>
        </w:rPr>
      </w:pPr>
      <w:r w:rsidRPr="00D576BB">
        <w:rPr>
          <w:rFonts w:cs="Times New Roman"/>
          <w:noProof/>
        </w:rPr>
        <w:drawing>
          <wp:inline distT="0" distB="0" distL="0" distR="0" wp14:anchorId="70DCCB52" wp14:editId="617109D0">
            <wp:extent cx="5274310" cy="3023235"/>
            <wp:effectExtent l="0" t="0" r="2540" b="571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1A45E17" w14:textId="78C048A7" w:rsidR="00B113AA" w:rsidRPr="009D6584" w:rsidRDefault="00B113AA" w:rsidP="00B113AA">
      <w:pPr>
        <w:keepNext/>
        <w:spacing w:before="120" w:after="0"/>
        <w:jc w:val="center"/>
        <w:rPr>
          <w:rFonts w:cs="Times New Roman"/>
        </w:rPr>
      </w:pPr>
      <w:r w:rsidRPr="009D6584">
        <w:rPr>
          <w:rFonts w:eastAsia="Times New Roman" w:cs="Times New Roman"/>
          <w:b/>
        </w:rPr>
        <w:t>1.1. attēls</w:t>
      </w:r>
      <w:r w:rsidR="009D6584">
        <w:rPr>
          <w:rFonts w:eastAsia="Times New Roman" w:cs="Times New Roman"/>
          <w:b/>
        </w:rPr>
        <w:t>.</w:t>
      </w:r>
      <w:r w:rsidRPr="009D6584">
        <w:rPr>
          <w:rFonts w:eastAsia="Times New Roman" w:cs="Times New Roman"/>
          <w:b/>
        </w:rPr>
        <w:t xml:space="preserve"> Reālā iekšzemes kopprodukta pieaugums pa ceturkšņiem (%)</w:t>
      </w:r>
    </w:p>
    <w:p w14:paraId="1894E7CA" w14:textId="77777777" w:rsidR="00B113AA" w:rsidRPr="00B113AA" w:rsidRDefault="00B113AA" w:rsidP="00B113AA">
      <w:pPr>
        <w:keepNext/>
        <w:spacing w:before="120" w:after="0"/>
        <w:jc w:val="center"/>
        <w:rPr>
          <w:rFonts w:cs="Times New Roman"/>
        </w:rPr>
      </w:pPr>
    </w:p>
    <w:p w14:paraId="6541DC49" w14:textId="7D8FA65F" w:rsidR="00D576BB" w:rsidRPr="00D576BB" w:rsidRDefault="00D576BB" w:rsidP="00D576BB">
      <w:pPr>
        <w:rPr>
          <w:rFonts w:eastAsia="Calibri" w:cs="Times New Roman"/>
        </w:rPr>
      </w:pPr>
      <w:r w:rsidRPr="00D576BB">
        <w:rPr>
          <w:rFonts w:eastAsia="Calibri" w:cs="Times New Roman"/>
        </w:rPr>
        <w:t>Skatoties pa atsevišķām ekonomikas nozarēm, veselība un sociālā aprūpe šā gada otrajā ceturksnī pirmskrīzes līmeni pārsniegusi par 28,7%, finanšu pakalpojumu nozare – par 11,9%, apstrādes rūpniecība – par 5,3%, valsts pārvalde – par 5,0% un pārējā rūpniecība – par 3,2%. Savukārt krīzē smagāk cietušās nozares – izmitināšana un ēdināšana, māksla izklaide un atpūta, kā arī transports joprojām būtiski atpaliek no pirmskrīzes līmeņa – attiecīgi par 47,3%, 37,7% un 9,6%.</w:t>
      </w:r>
    </w:p>
    <w:p w14:paraId="2AACBE01" w14:textId="77777777" w:rsidR="00D576BB" w:rsidRPr="00D576BB" w:rsidRDefault="00D576BB" w:rsidP="00D576BB">
      <w:pPr>
        <w:rPr>
          <w:rFonts w:eastAsia="Calibri" w:cs="Times New Roman"/>
        </w:rPr>
      </w:pPr>
      <w:r w:rsidRPr="00D576BB">
        <w:rPr>
          <w:rFonts w:eastAsia="Calibri" w:cs="Times New Roman"/>
        </w:rPr>
        <w:t>Līdz ar straujo kāpumu otrajā ceturksnī, iekšzemes kopprodukts 2021. gada pirmajā pusē kopā, salīdzinot ar 2020. gada pirmo pusi, ir palielinājies par 5,1% (1.2. attēls). No nozaru puses vislielākais devums Latvijas ekonomikas izaugsmē šā gada pirmajā pusē bija pieaugumam tirdzniecības nozarē par 8,9%, veselības un sociālās aprūpes nozarē par 29,6% un apstrādes rūpniecībā par 8,6%. Savukārt kritumi gada pirmajā pusē bijuši lauksaimniecības nozarē – par 2,1% un būvniecības nozarē par 4,6%, ko lielā mērā noteikuši laika apstākļi. Izmitināšanas un ēdināšanas nozare, ko vissmagāk skāra Covid</w:t>
      </w:r>
      <w:r w:rsidRPr="00D576BB">
        <w:rPr>
          <w:rFonts w:eastAsia="Calibri" w:cs="Times New Roman"/>
        </w:rPr>
        <w:noBreakHyphen/>
        <w:t>19 mazināšanai noteiktie ierobežojumi, gada pirmajā pusē piedzīvojusi kritumu par 19,8%.</w:t>
      </w:r>
    </w:p>
    <w:p w14:paraId="4001EBE7" w14:textId="77777777" w:rsidR="00D576BB" w:rsidRPr="00D576BB" w:rsidRDefault="00D576BB" w:rsidP="00D576BB">
      <w:pPr>
        <w:rPr>
          <w:rFonts w:eastAsia="Calibri" w:cs="Times New Roman"/>
        </w:rPr>
      </w:pPr>
      <w:r w:rsidRPr="00D576BB">
        <w:rPr>
          <w:rFonts w:eastAsia="Calibri" w:cs="Times New Roman"/>
        </w:rPr>
        <w:t>No izlietojuma puses būtiskākā loma ekonomikas izaugsmē 2021. gada pirmajā pusē bija privātā patēriņa pieaugumam, ko nodrošināja pakāpeniskā Covid</w:t>
      </w:r>
      <w:r w:rsidRPr="00D576BB">
        <w:rPr>
          <w:rFonts w:eastAsia="Calibri" w:cs="Times New Roman"/>
        </w:rPr>
        <w:noBreakHyphen/>
        <w:t>19 ierobežojumu mazināšana un atcelšana, kā arī valsts atbalsts krīzes skartajiem uzņēmumiem un iedzīvotājiem. Spēcīgs kāpums bijis sabiedriskajam patēriņam, gada pirmajā pusē palielinoties par 5,2%, investīcijas augušas par 4,0% un eksports palielinājies par 7,0%, pārsvarā augot preču eksportam, ko veicināja pasaules ekonomikas atgūšanās no krīzes un spēcīgais pieprasījums Latvijas galvenajās ārējās tirdzniecības partnervalstīs.</w:t>
      </w:r>
    </w:p>
    <w:p w14:paraId="24C3D7F5" w14:textId="22FA5DD0" w:rsidR="00D576BB" w:rsidRPr="00D576BB" w:rsidRDefault="00D576BB" w:rsidP="00D576BB">
      <w:pPr>
        <w:keepNext/>
        <w:spacing w:before="120"/>
        <w:jc w:val="center"/>
        <w:rPr>
          <w:rFonts w:eastAsia="Calibri"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804"/>
        <w:gridCol w:w="5267"/>
      </w:tblGrid>
      <w:tr w:rsidR="00D576BB" w:rsidRPr="00D576BB" w14:paraId="5C7300A2" w14:textId="77777777" w:rsidTr="00B113AA">
        <w:tc>
          <w:tcPr>
            <w:tcW w:w="3804" w:type="dxa"/>
          </w:tcPr>
          <w:p w14:paraId="0840A015" w14:textId="77777777" w:rsidR="00D576BB" w:rsidRPr="00D576BB" w:rsidRDefault="00D576BB" w:rsidP="00B13890">
            <w:pPr>
              <w:spacing w:before="120"/>
              <w:ind w:firstLine="0"/>
              <w:rPr>
                <w:rFonts w:cs="Times New Roman"/>
                <w:noProof/>
              </w:rPr>
            </w:pPr>
            <w:r w:rsidRPr="00D576BB">
              <w:rPr>
                <w:rFonts w:cs="Times New Roman"/>
                <w:noProof/>
              </w:rPr>
              <w:drawing>
                <wp:inline distT="0" distB="0" distL="0" distR="0" wp14:anchorId="489268AC" wp14:editId="33C66ED8">
                  <wp:extent cx="2476500" cy="3134360"/>
                  <wp:effectExtent l="0" t="0" r="0" b="889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5267" w:type="dxa"/>
          </w:tcPr>
          <w:p w14:paraId="324A0372" w14:textId="77777777" w:rsidR="00D576BB" w:rsidRPr="00D576BB" w:rsidRDefault="00D576BB" w:rsidP="00B13890">
            <w:pPr>
              <w:spacing w:before="120"/>
              <w:rPr>
                <w:rFonts w:cs="Times New Roman"/>
                <w:noProof/>
              </w:rPr>
            </w:pPr>
            <w:r w:rsidRPr="00D576BB">
              <w:rPr>
                <w:rFonts w:cs="Times New Roman"/>
                <w:noProof/>
              </w:rPr>
              <w:drawing>
                <wp:inline distT="0" distB="0" distL="0" distR="0" wp14:anchorId="5E971E92" wp14:editId="667CB987">
                  <wp:extent cx="3019425" cy="3134360"/>
                  <wp:effectExtent l="0" t="0" r="9525" b="889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65A0D871" w14:textId="4BDF8898" w:rsidR="00B113AA" w:rsidRPr="009D6584" w:rsidRDefault="00B113AA" w:rsidP="00B113AA">
      <w:pPr>
        <w:jc w:val="center"/>
        <w:rPr>
          <w:rFonts w:eastAsia="Calibri" w:cs="Times New Roman"/>
        </w:rPr>
      </w:pPr>
      <w:r w:rsidRPr="009D6584">
        <w:rPr>
          <w:rFonts w:eastAsia="Times New Roman" w:cs="Times New Roman"/>
          <w:b/>
        </w:rPr>
        <w:t>1.2. attēls</w:t>
      </w:r>
      <w:r w:rsidR="009D6584">
        <w:rPr>
          <w:rFonts w:eastAsia="Times New Roman" w:cs="Times New Roman"/>
          <w:b/>
        </w:rPr>
        <w:t>.</w:t>
      </w:r>
      <w:r w:rsidRPr="009D6584">
        <w:rPr>
          <w:rFonts w:eastAsia="Times New Roman" w:cs="Times New Roman"/>
          <w:b/>
        </w:rPr>
        <w:t xml:space="preserve"> Iekšzemes kopprodukta izmaiņas no izlietojuma puses un iekšzemes kopprodukta pievienotās vērtības izmaiņas tautsaimniecības nozarēs, salīdzinot ar iepriekšējā gada attiecīgo laika periodu (%)</w:t>
      </w:r>
    </w:p>
    <w:p w14:paraId="42EC26FC" w14:textId="0122576F" w:rsidR="00D576BB" w:rsidRDefault="00D576BB" w:rsidP="00D576BB">
      <w:pPr>
        <w:rPr>
          <w:rFonts w:eastAsia="Calibri" w:cs="Times New Roman"/>
        </w:rPr>
      </w:pPr>
      <w:r w:rsidRPr="00D576BB">
        <w:rPr>
          <w:rFonts w:eastAsia="Calibri" w:cs="Times New Roman"/>
        </w:rPr>
        <w:t>Līdzīgi kā pārējās Baltijas valstis, Latvijas ekonomika Covid</w:t>
      </w:r>
      <w:r w:rsidRPr="00D576BB">
        <w:rPr>
          <w:rFonts w:eastAsia="Calibri" w:cs="Times New Roman"/>
        </w:rPr>
        <w:noBreakHyphen/>
        <w:t>19 krīzi līdz šim ir pārvarējusi salīdzinoši veiksmīgāk nekā Eiropas Savienība kopumā, ko nodrošinājis gan mazāks krīzes tieši skarto nozaru, tajā skaitā tūrisma īpatsvars ekonomikā, gan valsts atbalsta pasākumi, gan ne tik spēcīgi Covid</w:t>
      </w:r>
      <w:r w:rsidRPr="00D576BB">
        <w:rPr>
          <w:rFonts w:eastAsia="Calibri" w:cs="Times New Roman"/>
        </w:rPr>
        <w:noBreakHyphen/>
        <w:t>19 uzliesmojumi kā atsevišķās Eiropas dienvidu valstīs, tostarp Spānijā un Itālijā. Ja Baltijas valstu ekonomikas jau ir atgriezušās pirmskrīzes, 2019. gada ceturtā ceturkšņa līmenī, Spānija no tā vēl atpaliek par 6,8%, Malta par 6,7% un Če</w:t>
      </w:r>
      <w:r w:rsidR="00B113AA">
        <w:rPr>
          <w:rFonts w:eastAsia="Calibri" w:cs="Times New Roman"/>
        </w:rPr>
        <w:t xml:space="preserve">hija par 4,8% (1.3. attēls). Eiropas Savienības </w:t>
      </w:r>
      <w:r w:rsidRPr="00D576BB">
        <w:rPr>
          <w:rFonts w:eastAsia="Calibri" w:cs="Times New Roman"/>
        </w:rPr>
        <w:t>ekonomika kopā šā gada otrajā ceturksnī no pirmskrīzes līmeņa atpalika par 2,2%.</w:t>
      </w:r>
    </w:p>
    <w:p w14:paraId="1D80EFFA" w14:textId="77777777" w:rsidR="00B113AA" w:rsidRPr="00D576BB" w:rsidRDefault="00B113AA" w:rsidP="00D576BB">
      <w:pPr>
        <w:rPr>
          <w:rFonts w:eastAsia="Calibri" w:cs="Times New Roman"/>
        </w:rPr>
      </w:pPr>
    </w:p>
    <w:p w14:paraId="3D86A3AA" w14:textId="77777777" w:rsidR="00D576BB" w:rsidRPr="00D576BB" w:rsidRDefault="00D576BB" w:rsidP="009D6584">
      <w:pPr>
        <w:spacing w:after="240"/>
        <w:ind w:firstLine="0"/>
        <w:rPr>
          <w:rFonts w:cs="Times New Roman"/>
          <w:sz w:val="32"/>
          <w:szCs w:val="20"/>
        </w:rPr>
      </w:pPr>
      <w:r w:rsidRPr="00D576BB">
        <w:rPr>
          <w:rFonts w:cs="Times New Roman"/>
          <w:noProof/>
        </w:rPr>
        <w:lastRenderedPageBreak/>
        <w:drawing>
          <wp:inline distT="0" distB="0" distL="0" distR="0" wp14:anchorId="59E65EDC" wp14:editId="75D2108F">
            <wp:extent cx="5274310" cy="2549525"/>
            <wp:effectExtent l="0" t="0" r="2540" b="317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16284C" w14:textId="28FE9AF7" w:rsidR="00B113AA" w:rsidRPr="009D6584" w:rsidRDefault="00B113AA" w:rsidP="00475381">
      <w:pPr>
        <w:keepNext/>
        <w:spacing w:before="120"/>
        <w:ind w:firstLine="0"/>
        <w:jc w:val="center"/>
        <w:rPr>
          <w:rFonts w:eastAsia="Times New Roman" w:cs="Times New Roman"/>
          <w:b/>
        </w:rPr>
      </w:pPr>
      <w:r w:rsidRPr="009D6584">
        <w:rPr>
          <w:rFonts w:eastAsia="Times New Roman" w:cs="Times New Roman"/>
          <w:b/>
        </w:rPr>
        <w:t>1.3. attēls</w:t>
      </w:r>
      <w:r w:rsidR="009D6584">
        <w:rPr>
          <w:rFonts w:eastAsia="Times New Roman" w:cs="Times New Roman"/>
          <w:b/>
        </w:rPr>
        <w:t>.</w:t>
      </w:r>
      <w:r w:rsidRPr="009D6584">
        <w:rPr>
          <w:rFonts w:eastAsia="Times New Roman" w:cs="Times New Roman"/>
          <w:b/>
        </w:rPr>
        <w:t xml:space="preserve"> Iekšzemes kopprodukta izmaiņas 2021. gada 2. ceturksnī, salīdzinot ar 2019. gada 4. ceturksni (%, sezonāli un kalendāri izlīdzināti dati)</w:t>
      </w:r>
    </w:p>
    <w:p w14:paraId="42632099" w14:textId="77777777" w:rsidR="00B113AA" w:rsidRPr="009D6584" w:rsidRDefault="00B113AA" w:rsidP="00D576BB">
      <w:pPr>
        <w:rPr>
          <w:rFonts w:eastAsia="Calibri" w:cs="Times New Roman"/>
        </w:rPr>
      </w:pPr>
    </w:p>
    <w:p w14:paraId="131A92E7" w14:textId="637DB4FF" w:rsidR="00D576BB" w:rsidRPr="00475381" w:rsidRDefault="00D576BB" w:rsidP="00475381">
      <w:pPr>
        <w:rPr>
          <w:rFonts w:eastAsia="Calibri" w:cs="Times New Roman"/>
        </w:rPr>
      </w:pPr>
      <w:r w:rsidRPr="00D576BB">
        <w:rPr>
          <w:rFonts w:eastAsia="Calibri" w:cs="Times New Roman"/>
        </w:rPr>
        <w:t>Covid</w:t>
      </w:r>
      <w:r w:rsidRPr="00D576BB">
        <w:rPr>
          <w:rFonts w:eastAsia="Calibri" w:cs="Times New Roman"/>
        </w:rPr>
        <w:noBreakHyphen/>
        <w:t>19 krīzei daudz smagāk skarot pakalpojumu nozares, 2020. gadā Latvijas tautsaimniecības nozaru struktūrā notikušas zināmas izmaiņas, kas varētu saglabāties arī vidējā termiņā. Lai gan lielākās nozares tāpat kā iepriekš bijušas tirdzniecība, rūpniecība, nekustamā īpašuma operācijas un transports, pakalpojumu nozaru kopējais īpatsvars pievienotajā vērtībā 2020. gadā ir samazinājies par 0,8 procentpunktiem līdz 73,5%, kamēr ražojošo nozaru īpatsvars audzis līdz 26,5%. No atsevišķām nozarēm transporta īpatsvars pievienotajā vērtībā sarucis par 1,1 procentpunktu līdz 8,2%, tirdzniecības un izmitināšanas īpatsvars krities par 0,5 procentpunktiem līdz 17,0%, bet visu ražojošo nozaru īpatsvars ir audzis, tajā skaitā lauksaimniecībai un rūpniecībai par 0,2 procentpunktiem, bet būvniecīb</w:t>
      </w:r>
      <w:r w:rsidR="00475381">
        <w:rPr>
          <w:rFonts w:eastAsia="Calibri" w:cs="Times New Roman"/>
        </w:rPr>
        <w:t>ai par 0,4 procentpunktiem (1.4</w:t>
      </w:r>
      <w:r w:rsidRPr="00D576BB">
        <w:rPr>
          <w:rFonts w:eastAsia="Calibri" w:cs="Times New Roman"/>
        </w:rPr>
        <w:t>.</w:t>
      </w:r>
      <w:r w:rsidR="00475381">
        <w:rPr>
          <w:rFonts w:eastAsia="Calibri" w:cs="Times New Roman"/>
        </w:rPr>
        <w:t xml:space="preserve"> </w:t>
      </w:r>
      <w:r w:rsidRPr="00D576BB">
        <w:rPr>
          <w:rFonts w:eastAsia="Calibri" w:cs="Times New Roman"/>
        </w:rPr>
        <w:t>attēls).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D576BB" w:rsidRPr="00D576BB" w14:paraId="41D1BFB5" w14:textId="77777777" w:rsidTr="00B13890">
        <w:tc>
          <w:tcPr>
            <w:tcW w:w="4220" w:type="dxa"/>
          </w:tcPr>
          <w:p w14:paraId="7D8266C8" w14:textId="77777777" w:rsidR="00D576BB" w:rsidRPr="00D576BB" w:rsidRDefault="00D576BB" w:rsidP="00B13890">
            <w:pPr>
              <w:keepNext/>
              <w:spacing w:after="240"/>
              <w:rPr>
                <w:rFonts w:cs="Times New Roman"/>
                <w:sz w:val="32"/>
                <w:szCs w:val="20"/>
              </w:rPr>
            </w:pPr>
            <w:r w:rsidRPr="00D576BB">
              <w:rPr>
                <w:rFonts w:cs="Times New Roman"/>
                <w:noProof/>
              </w:rPr>
              <w:drawing>
                <wp:inline distT="0" distB="0" distL="0" distR="0" wp14:anchorId="16D23AB5" wp14:editId="1A22F5DE">
                  <wp:extent cx="2457450" cy="22098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086" w:type="dxa"/>
          </w:tcPr>
          <w:p w14:paraId="0EADEFB6" w14:textId="77777777" w:rsidR="00D576BB" w:rsidRPr="00D576BB" w:rsidRDefault="00D576BB" w:rsidP="00B13890">
            <w:pPr>
              <w:keepNext/>
              <w:spacing w:after="240"/>
              <w:rPr>
                <w:rFonts w:cs="Times New Roman"/>
                <w:sz w:val="32"/>
                <w:szCs w:val="20"/>
              </w:rPr>
            </w:pPr>
            <w:r w:rsidRPr="00D576BB">
              <w:rPr>
                <w:rFonts w:cs="Times New Roman"/>
                <w:noProof/>
              </w:rPr>
              <w:drawing>
                <wp:inline distT="0" distB="0" distL="0" distR="0" wp14:anchorId="4A3EFD65" wp14:editId="6D8BEAEC">
                  <wp:extent cx="2457450" cy="22098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14A72A1A" w14:textId="77777777" w:rsidR="00475381" w:rsidRDefault="00475381" w:rsidP="00D576BB">
      <w:pPr>
        <w:rPr>
          <w:rFonts w:eastAsia="Calibri" w:cs="Times New Roman"/>
        </w:rPr>
      </w:pPr>
    </w:p>
    <w:p w14:paraId="3336EA3C" w14:textId="34985091" w:rsidR="00475381" w:rsidRPr="009D6584" w:rsidRDefault="00475381" w:rsidP="009D6584">
      <w:pPr>
        <w:keepNext/>
        <w:spacing w:before="120" w:after="0"/>
        <w:ind w:firstLine="0"/>
        <w:jc w:val="center"/>
        <w:rPr>
          <w:rFonts w:eastAsia="Times New Roman" w:cs="Times New Roman"/>
          <w:b/>
        </w:rPr>
      </w:pPr>
      <w:r w:rsidRPr="009D6584">
        <w:rPr>
          <w:rFonts w:eastAsia="Times New Roman" w:cs="Times New Roman"/>
          <w:b/>
        </w:rPr>
        <w:t>1.4. attēls</w:t>
      </w:r>
      <w:r w:rsidR="009D6584">
        <w:rPr>
          <w:rFonts w:eastAsia="Times New Roman" w:cs="Times New Roman"/>
          <w:b/>
        </w:rPr>
        <w:t>.</w:t>
      </w:r>
      <w:r w:rsidRPr="009D6584">
        <w:rPr>
          <w:rFonts w:eastAsia="Times New Roman" w:cs="Times New Roman"/>
          <w:b/>
        </w:rPr>
        <w:t xml:space="preserve"> Pievienotās vērtības struktūras salīdzinājums pa nozaru grupām</w:t>
      </w:r>
    </w:p>
    <w:p w14:paraId="4F79D446" w14:textId="1F0E4C97" w:rsidR="00475381" w:rsidRPr="009D6584" w:rsidRDefault="00475381" w:rsidP="00475381">
      <w:pPr>
        <w:ind w:firstLine="0"/>
        <w:jc w:val="center"/>
        <w:rPr>
          <w:rFonts w:eastAsia="Times New Roman" w:cs="Times New Roman"/>
          <w:b/>
        </w:rPr>
      </w:pPr>
      <w:r w:rsidRPr="009D6584">
        <w:rPr>
          <w:rFonts w:eastAsia="Times New Roman" w:cs="Times New Roman"/>
          <w:b/>
        </w:rPr>
        <w:t>2019. un 2020. gadā (2015.</w:t>
      </w:r>
      <w:r w:rsidR="009D6584">
        <w:rPr>
          <w:rFonts w:eastAsia="Times New Roman" w:cs="Times New Roman"/>
          <w:b/>
        </w:rPr>
        <w:t xml:space="preserve"> </w:t>
      </w:r>
      <w:r w:rsidRPr="009D6584">
        <w:rPr>
          <w:rFonts w:eastAsia="Times New Roman" w:cs="Times New Roman"/>
          <w:b/>
        </w:rPr>
        <w:t>g. salīdzināmajās cenās, %)</w:t>
      </w:r>
    </w:p>
    <w:p w14:paraId="26B44B23" w14:textId="4D7620D6" w:rsidR="00D576BB" w:rsidRPr="00D576BB" w:rsidRDefault="00D576BB" w:rsidP="00475381">
      <w:pPr>
        <w:rPr>
          <w:rFonts w:eastAsia="Calibri" w:cs="Times New Roman"/>
        </w:rPr>
      </w:pPr>
      <w:r w:rsidRPr="00D576BB">
        <w:rPr>
          <w:rFonts w:eastAsia="Calibri" w:cs="Times New Roman"/>
        </w:rPr>
        <w:lastRenderedPageBreak/>
        <w:t>Par spēcīgu ekonomiskās aktivitātes atjaunošanos pēc Covid</w:t>
      </w:r>
      <w:r w:rsidRPr="00D576BB">
        <w:rPr>
          <w:rFonts w:eastAsia="Calibri" w:cs="Times New Roman"/>
        </w:rPr>
        <w:noBreakHyphen/>
        <w:t>19 ierobežojumiem gan Latvijā, gan ārējās tirdzniecības partnervalstīs jau visa šā gada laikā ir signalizējuši apsteidzošie ek</w:t>
      </w:r>
      <w:r w:rsidR="00475381">
        <w:rPr>
          <w:rFonts w:eastAsia="Calibri" w:cs="Times New Roman"/>
        </w:rPr>
        <w:t>onomikas sentimenta rādītāji. Eiropas Komisijas</w:t>
      </w:r>
      <w:r w:rsidRPr="00D576BB">
        <w:rPr>
          <w:rFonts w:eastAsia="Calibri" w:cs="Times New Roman"/>
        </w:rPr>
        <w:t xml:space="preserve"> veidotais ESI indekss Eiropas Savienības valstīm kopā 2021. gada jūlijā sasniedza visu laiku augstāko atzīmi un tuvu šim līmenim saglabājās arī augustā, liecinot par augstu biznesa aktivitāti arī turpmākajos mēnešos. Latvijas uzņēmēju un patērētāju noskaņojums, kas jūnijā bija sasniedzis augstāko rādītāju kopš 2018. gada sākuma, ir nedaudz mazāk optimistisks nekā Eiropas Savienībā kopumā un pārējās Baltijas valstīs. Pēdējos divos mēnešos Latvijas ESI indekss ir nedaudz pazeminājies, ko visdrīzāk izraisījusi nedrošība par jaunu Covid</w:t>
      </w:r>
      <w:r w:rsidRPr="00D576BB">
        <w:rPr>
          <w:rFonts w:eastAsia="Calibri" w:cs="Times New Roman"/>
        </w:rPr>
        <w:noBreakHyphen/>
        <w:t>19 uzliesmojumu šā gada rudenī.</w:t>
      </w:r>
    </w:p>
    <w:p w14:paraId="671FFCE1" w14:textId="77777777" w:rsidR="009D6584" w:rsidRDefault="00D576BB" w:rsidP="009D6584">
      <w:pPr>
        <w:keepNext/>
        <w:spacing w:after="240"/>
        <w:ind w:firstLine="0"/>
        <w:jc w:val="center"/>
        <w:rPr>
          <w:rFonts w:eastAsia="Times New Roman" w:cs="Times New Roman"/>
          <w:b/>
          <w:i/>
        </w:rPr>
      </w:pPr>
      <w:r w:rsidRPr="00D576BB">
        <w:rPr>
          <w:rFonts w:cs="Times New Roman"/>
          <w:noProof/>
        </w:rPr>
        <w:drawing>
          <wp:inline distT="0" distB="0" distL="0" distR="0" wp14:anchorId="2BC05AC5" wp14:editId="0D66F4F0">
            <wp:extent cx="5274310" cy="2817628"/>
            <wp:effectExtent l="0" t="0" r="2540" b="190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BFBAB0" w14:textId="0786B0CC" w:rsidR="00475381" w:rsidRPr="009D6584" w:rsidRDefault="00475381" w:rsidP="009D6584">
      <w:pPr>
        <w:keepNext/>
        <w:spacing w:after="240"/>
        <w:ind w:firstLine="0"/>
        <w:jc w:val="center"/>
        <w:rPr>
          <w:rFonts w:eastAsia="Times New Roman" w:cs="Times New Roman"/>
          <w:b/>
        </w:rPr>
      </w:pPr>
      <w:r w:rsidRPr="009D6584">
        <w:rPr>
          <w:rFonts w:eastAsia="Times New Roman" w:cs="Times New Roman"/>
          <w:b/>
        </w:rPr>
        <w:t>1.5. attēls</w:t>
      </w:r>
      <w:r w:rsidR="009D6584">
        <w:rPr>
          <w:rFonts w:eastAsia="Times New Roman" w:cs="Times New Roman"/>
          <w:b/>
        </w:rPr>
        <w:t>.</w:t>
      </w:r>
      <w:r w:rsidRPr="009D6584">
        <w:rPr>
          <w:rFonts w:eastAsia="Times New Roman" w:cs="Times New Roman"/>
          <w:b/>
        </w:rPr>
        <w:t xml:space="preserve"> Eiropas Savienības, Latvijas, Lietuvas un Igaunijas ekonomiskā sentimenta indekss (ESI)</w:t>
      </w:r>
    </w:p>
    <w:p w14:paraId="3FBC4D68" w14:textId="4BDA4961" w:rsidR="00D576BB" w:rsidRPr="000368AE" w:rsidRDefault="005774F8" w:rsidP="005774F8">
      <w:pPr>
        <w:pStyle w:val="Heading3"/>
        <w:numPr>
          <w:ilvl w:val="0"/>
          <w:numId w:val="0"/>
        </w:numPr>
        <w:ind w:left="720"/>
      </w:pPr>
      <w:bookmarkStart w:id="4" w:name="_Toc84756387"/>
      <w:r>
        <w:t xml:space="preserve">1.2.2. </w:t>
      </w:r>
      <w:r w:rsidR="000548A5" w:rsidRPr="000368AE">
        <w:t>Tautsaimniecības nozaru attīstība</w:t>
      </w:r>
      <w:bookmarkEnd w:id="4"/>
    </w:p>
    <w:p w14:paraId="6BDA077F" w14:textId="77777777" w:rsidR="00D576BB" w:rsidRPr="002C516C" w:rsidRDefault="00D576BB" w:rsidP="00D576BB">
      <w:pPr>
        <w:spacing w:before="240" w:after="240"/>
        <w:jc w:val="center"/>
        <w:rPr>
          <w:rFonts w:eastAsia="Calibri" w:cs="Times New Roman"/>
          <w:b/>
          <w:szCs w:val="28"/>
        </w:rPr>
      </w:pPr>
      <w:r w:rsidRPr="002C516C">
        <w:rPr>
          <w:rFonts w:eastAsia="Calibri" w:cs="Times New Roman"/>
          <w:b/>
          <w:szCs w:val="28"/>
        </w:rPr>
        <w:t>Rūpniecība</w:t>
      </w:r>
    </w:p>
    <w:p w14:paraId="265E7A9D" w14:textId="77777777" w:rsidR="00D576BB" w:rsidRPr="00D576BB" w:rsidRDefault="00D576BB" w:rsidP="00D576BB">
      <w:pPr>
        <w:rPr>
          <w:rFonts w:eastAsia="Calibri" w:cs="Times New Roman"/>
          <w:szCs w:val="24"/>
        </w:rPr>
      </w:pPr>
      <w:r w:rsidRPr="00D576BB">
        <w:rPr>
          <w:rFonts w:eastAsia="Calibri" w:cs="Times New Roman"/>
          <w:szCs w:val="24"/>
        </w:rPr>
        <w:t xml:space="preserve">Rūpniecības nozare Latvijā turpina atgūties no Covid-19 pandēmijas sekām, galvenajiem rādītājiem jau pārsniedzot 2019. un 2020. gada līmeni. </w:t>
      </w:r>
    </w:p>
    <w:p w14:paraId="1192AD08" w14:textId="77777777" w:rsidR="00D576BB" w:rsidRPr="00D576BB" w:rsidRDefault="00D576BB" w:rsidP="00D576BB">
      <w:pPr>
        <w:rPr>
          <w:rFonts w:eastAsia="Calibri" w:cs="Times New Roman"/>
          <w:szCs w:val="24"/>
        </w:rPr>
      </w:pPr>
      <w:r w:rsidRPr="00D576BB">
        <w:rPr>
          <w:rFonts w:eastAsia="Calibri" w:cs="Times New Roman"/>
          <w:szCs w:val="24"/>
        </w:rPr>
        <w:t>Rūpniecība ir viena no lielākajām Latvijas tautsaimniecības nozarēm, 2020. gada pievienotās vērtības struktūrā veidojot 16,6%, kas ir par 0,2 procentpunktiem vairāk nekā 2019. gadā. Lielāko pievienotās vērtības daļu rūpniecībā veido apstrādes rūpniecība (81,2%), bet atlikušo aizņem elektroenerģijas un gāzes apgāde (15,6%) un ieguves rūpniecība un karjeru izstrāde (3,2%).</w:t>
      </w:r>
    </w:p>
    <w:p w14:paraId="4304D722" w14:textId="77777777" w:rsidR="00D576BB" w:rsidRPr="00D576BB" w:rsidRDefault="00D576BB" w:rsidP="00D576BB">
      <w:pPr>
        <w:rPr>
          <w:rFonts w:eastAsia="Calibri" w:cs="Times New Roman"/>
          <w:szCs w:val="24"/>
        </w:rPr>
      </w:pPr>
      <w:r w:rsidRPr="00D576BB">
        <w:rPr>
          <w:rFonts w:eastAsia="Calibri" w:cs="Times New Roman"/>
          <w:szCs w:val="24"/>
        </w:rPr>
        <w:t xml:space="preserve">Rūpniecības nozare 2020. gadā nodrošinājusi 134,2 tūkst. darba vietu, no kurām izteikts vairākums jeb 114,5 tūkst. bija apstrādes rūpniecībā. Rūpniecībā pērn bija nodarbināti 15,0% no visiem Latvijas strādājošajiem iedzīvotājiem, un nozarē nodarbināto skaits bijis par 0,2% mazāks nekā 2019. gadā, ko ietekmējusi gan pandēmiskā situācija, gan sistēmu automatizācija. Jāpiemin, ka iepriekšējos trīs gadus nodarbināto skaita samazinājums rūpniecības nozarē bijis </w:t>
      </w:r>
      <w:r w:rsidRPr="00D576BB">
        <w:rPr>
          <w:rFonts w:eastAsia="Calibri" w:cs="Times New Roman"/>
          <w:szCs w:val="24"/>
        </w:rPr>
        <w:lastRenderedPageBreak/>
        <w:t>straujāks – 2,5-4,1% apmērā, kas liecina par nodarbināto pieplūdumu no nozarēm, kuras pandēmija 2020. gadā ietekmēja spēcīgāk.</w:t>
      </w:r>
    </w:p>
    <w:p w14:paraId="2BBE1B47" w14:textId="1563D4DC" w:rsidR="00D576BB" w:rsidRPr="00D576BB" w:rsidRDefault="00D576BB" w:rsidP="00D576BB">
      <w:pPr>
        <w:rPr>
          <w:rFonts w:eastAsia="Calibri" w:cs="Times New Roman"/>
          <w:szCs w:val="24"/>
        </w:rPr>
      </w:pPr>
      <w:r w:rsidRPr="00D576BB">
        <w:rPr>
          <w:rFonts w:eastAsia="Calibri" w:cs="Times New Roman"/>
          <w:szCs w:val="24"/>
        </w:rPr>
        <w:t>Pērn rūpniecībā reģistrēts izlaides apjoma kritums 1,8% apmērā (salīdzināmajās cenās) pret 2019. gadu, kas liecina par nozares samērā veiksm</w:t>
      </w:r>
      <w:r w:rsidR="00475381">
        <w:rPr>
          <w:rFonts w:eastAsia="Calibri" w:cs="Times New Roman"/>
          <w:szCs w:val="24"/>
        </w:rPr>
        <w:t>īgu krīzes pārvarēšanu, citās Eiropas Savienības</w:t>
      </w:r>
      <w:r w:rsidRPr="00D576BB">
        <w:rPr>
          <w:rFonts w:eastAsia="Calibri" w:cs="Times New Roman"/>
          <w:szCs w:val="24"/>
        </w:rPr>
        <w:t xml:space="preserve"> dalībvalstīs nozarei pārsvarā piedzīvojot spēcīgākus kritumus. Samazinājumu Latvijas rūpniecībā noteica apstrādes rūpniecības sarukums par 1,2%, kur ievērojamu pieaugumu uzrādīja kokrūpniecība, taču teju visās pārējās apakšnozarēs fiksēti ražošanas apjomu samazinājumi zemāka pieprasījuma rezultātā. Elektroenerģijas un gāzes apgāde 2020. gadā samazinājās par 7,2%, taču ieguves rūpniecībā un karjeru izstrādē pieaugums par 8,7%.</w:t>
      </w:r>
    </w:p>
    <w:p w14:paraId="37294A29" w14:textId="77777777" w:rsidR="00D576BB" w:rsidRPr="00D576BB" w:rsidRDefault="00D576BB" w:rsidP="00D576BB">
      <w:pPr>
        <w:rPr>
          <w:rFonts w:eastAsia="Calibri" w:cs="Times New Roman"/>
          <w:szCs w:val="24"/>
        </w:rPr>
      </w:pPr>
      <w:r w:rsidRPr="00D576BB">
        <w:rPr>
          <w:rFonts w:eastAsia="Calibri" w:cs="Times New Roman"/>
          <w:szCs w:val="24"/>
        </w:rPr>
        <w:t>Savukārt šā gada pirmajos septiņos mēnešos rūpniecības nozare Latvijā uzrādījusi pieaugumu 8,3% apmērā (1.6 .attēls) pret pērnā gada attiecīgo periodu un 4,8% pieaugumu pret 2019. gada septiņiem mēnešiem, kas liecina ne tikai par veiksmīgu atgūšanos no pandēmijas radītās krīzes, bet arī par ievērojamu rūpniecības tempu palielinājumu salīdzinājumā ar pirmskrīzes rādītājiem. Šajā gadā spēcīga izaugsme fiksēta visās apakšnozarēs. Ieguves rūpniecībā fiksēts pieaugums 6,7% apmērā, elektroenerģijas un gāzes apgādē pieaugums par 6,6%, bet nozīmīgākajā – apstrādes rūpniecībā – sasniegts kāpums par 8,9%, spēcīgu izaugsmi uzrādot kokrūpniecībai.</w:t>
      </w:r>
    </w:p>
    <w:p w14:paraId="429FABAD" w14:textId="77777777" w:rsidR="00D576BB" w:rsidRPr="00D576BB" w:rsidRDefault="00D576BB" w:rsidP="00D576BB">
      <w:pPr>
        <w:keepNext/>
        <w:rPr>
          <w:rFonts w:cs="Times New Roman"/>
          <w:szCs w:val="24"/>
        </w:rPr>
      </w:pPr>
      <w:r w:rsidRPr="00D576BB">
        <w:rPr>
          <w:rFonts w:cs="Times New Roman"/>
          <w:noProof/>
          <w:szCs w:val="24"/>
        </w:rPr>
        <w:drawing>
          <wp:inline distT="0" distB="0" distL="0" distR="0" wp14:anchorId="47E1009C" wp14:editId="1DE13E1C">
            <wp:extent cx="5274310" cy="1998921"/>
            <wp:effectExtent l="0" t="0" r="2540" b="190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EA9372E" w14:textId="34138FEF" w:rsidR="00475381" w:rsidRPr="009D6584" w:rsidRDefault="00475381" w:rsidP="00475381">
      <w:pPr>
        <w:keepNext/>
        <w:spacing w:before="120"/>
        <w:jc w:val="center"/>
        <w:rPr>
          <w:rFonts w:cs="Times New Roman"/>
          <w:b/>
          <w:szCs w:val="24"/>
        </w:rPr>
      </w:pPr>
      <w:r w:rsidRPr="009D6584">
        <w:rPr>
          <w:rFonts w:cs="Times New Roman"/>
          <w:b/>
          <w:szCs w:val="24"/>
        </w:rPr>
        <w:t>1.6. attēls</w:t>
      </w:r>
      <w:r w:rsidR="009D6584">
        <w:rPr>
          <w:rFonts w:cs="Times New Roman"/>
          <w:b/>
          <w:szCs w:val="24"/>
        </w:rPr>
        <w:t>.</w:t>
      </w:r>
      <w:r w:rsidRPr="009D6584">
        <w:rPr>
          <w:rFonts w:cs="Times New Roman"/>
          <w:b/>
          <w:szCs w:val="24"/>
        </w:rPr>
        <w:t xml:space="preserve"> Rūpniecības</w:t>
      </w:r>
      <w:r w:rsidRPr="009D6584">
        <w:rPr>
          <w:rFonts w:eastAsia="Times New Roman" w:cs="Times New Roman"/>
          <w:b/>
          <w:szCs w:val="24"/>
        </w:rPr>
        <w:t xml:space="preserve"> </w:t>
      </w:r>
      <w:r w:rsidRPr="009D6584">
        <w:rPr>
          <w:rFonts w:cs="Times New Roman"/>
          <w:b/>
          <w:szCs w:val="24"/>
        </w:rPr>
        <w:t xml:space="preserve">produkcijas apjoma indekss </w:t>
      </w:r>
      <w:r w:rsidRPr="009D6584">
        <w:rPr>
          <w:rFonts w:cs="Times New Roman"/>
          <w:b/>
          <w:szCs w:val="24"/>
        </w:rPr>
        <w:br/>
        <w:t>(sezonāli izlīdzināti dati, 2015 = 100)</w:t>
      </w:r>
    </w:p>
    <w:p w14:paraId="0289F414" w14:textId="484809B5" w:rsidR="00D576BB" w:rsidRPr="00D576BB" w:rsidRDefault="00D576BB" w:rsidP="00D576BB">
      <w:pPr>
        <w:rPr>
          <w:rFonts w:eastAsia="Calibri" w:cs="Times New Roman"/>
          <w:szCs w:val="24"/>
        </w:rPr>
      </w:pPr>
      <w:r w:rsidRPr="00D576BB">
        <w:rPr>
          <w:rFonts w:eastAsia="Calibri" w:cs="Times New Roman"/>
          <w:szCs w:val="24"/>
        </w:rPr>
        <w:t>Neskatoties uz pandēmijas izraisīto samazinājumu rūpniecības izlaides apjomos 2020. gadā, apstrādes rūpniecības izlaides struktūrā (1.7. attēls) nav ievērojamu pārmaiņu salīdzinājumā ar 2019. gadu. Latvijas apstrādes rūpniecības struktūrā teju pusi aizņem kokapstrāde un pārtikas un dzērienu ražošana, kur izteikti lielāko daļu veido pārtikas ražošana (19,1%).</w:t>
      </w:r>
    </w:p>
    <w:p w14:paraId="25CC3F13" w14:textId="77777777" w:rsidR="00D576BB" w:rsidRPr="00D576BB" w:rsidRDefault="00D576BB" w:rsidP="00D576BB">
      <w:pPr>
        <w:keepNext/>
        <w:rPr>
          <w:rFonts w:cs="Times New Roman"/>
          <w:szCs w:val="24"/>
        </w:rPr>
      </w:pPr>
      <w:r w:rsidRPr="00D576BB">
        <w:rPr>
          <w:rFonts w:cs="Times New Roman"/>
          <w:noProof/>
          <w:szCs w:val="24"/>
        </w:rPr>
        <w:lastRenderedPageBreak/>
        <w:drawing>
          <wp:inline distT="0" distB="0" distL="0" distR="0" wp14:anchorId="65187F0D" wp14:editId="77CF0F7A">
            <wp:extent cx="523875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4045B09" w14:textId="420E0945" w:rsidR="00475381" w:rsidRPr="009D6584" w:rsidRDefault="00475381" w:rsidP="00475381">
      <w:pPr>
        <w:keepNext/>
        <w:spacing w:before="120"/>
        <w:jc w:val="center"/>
        <w:rPr>
          <w:rFonts w:eastAsia="Times New Roman" w:cs="Times New Roman"/>
          <w:b/>
          <w:szCs w:val="24"/>
        </w:rPr>
      </w:pPr>
      <w:r w:rsidRPr="009D6584">
        <w:rPr>
          <w:rFonts w:eastAsia="Times New Roman" w:cs="Times New Roman"/>
          <w:b/>
          <w:szCs w:val="24"/>
        </w:rPr>
        <w:t>1.7. attēls. Apstrādes rūpniecības nozaru izlaides struktūra 2020. gadā (faktiskajās cenās, %)</w:t>
      </w:r>
    </w:p>
    <w:p w14:paraId="279C75F8" w14:textId="15F6B181" w:rsidR="00D576BB" w:rsidRPr="00D576BB" w:rsidRDefault="00D576BB" w:rsidP="00D576BB">
      <w:pPr>
        <w:rPr>
          <w:rFonts w:eastAsia="Calibri" w:cs="Times New Roman"/>
          <w:szCs w:val="24"/>
        </w:rPr>
      </w:pPr>
      <w:r w:rsidRPr="00D576BB">
        <w:rPr>
          <w:rFonts w:eastAsia="Calibri" w:cs="Times New Roman"/>
          <w:szCs w:val="24"/>
        </w:rPr>
        <w:t>Struktūrā par 0,4 un 0,3 procentpunktiem augušas arī Latvijas apstrādes rūpniecībā nozīmīgās metālapstrādes un mašīnbūves apakšnozares. Lielākās izmaiņas pret 2019. gadu apstrādes rūpniecības struktūrā fiksētas ķīmisko vielu un produktu izlaidē, kur fiksēts pieaugums 0,5 procentpunktu apmērā, ko noteica pieprasījuma kāpums pēc dezinfekcijas līdzekļiem. Savukārt vieglās rūpniecības īpatsvars samazinājās par 0,4 procentpunktiem, galvenokārt apģērbu veikalu darbības ierobežošanas iespaidā, kad valstī tika noteikti ierobežojumi Covid-19 pandēmijas mazināšanai.</w:t>
      </w:r>
    </w:p>
    <w:p w14:paraId="38666906" w14:textId="77777777" w:rsidR="00D576BB" w:rsidRPr="00D576BB" w:rsidRDefault="00D576BB" w:rsidP="00D576BB">
      <w:pPr>
        <w:ind w:firstLine="709"/>
        <w:rPr>
          <w:rFonts w:eastAsia="Times New Roman" w:cs="Times New Roman"/>
          <w:szCs w:val="24"/>
        </w:rPr>
      </w:pPr>
      <w:r w:rsidRPr="00D576BB">
        <w:rPr>
          <w:rFonts w:eastAsia="Times New Roman" w:cs="Times New Roman"/>
          <w:szCs w:val="24"/>
        </w:rPr>
        <w:t xml:space="preserve">Pretēji 2020. gada pirmajiem septiņiem mēnešiem, šā gada septiņos mēnešos spēcīgi pieaugumi fiksēti visās rūpniecības nozarēs, kā arī teju visās apstrādes rūpniecības apakšnozarēs (1.8. attēls). Augstos pieauguma tempus ietekmēja zemā bāze pērnā gada aprīlī un maijā, kad pandēmija pirmo reizi skāra Latvijas rūpniecību, kā arī pašlaik augstais pieprasījums pēc Latvijas rūpnieku ražojumiem gan Latvijā, gan citur pasaulē. Šo faktoru ietekmē nozīmīgākie pieaugumi šogad fiksēti kokrūpniecībā, mēbeļu ražošanā, mašīnbūvē, kā arī metālizstrādājumu ražošanā. Neliels samazinājums bijis vienīgi pārtikas un dzērienu rūpniecībā, </w:t>
      </w:r>
      <w:r w:rsidRPr="00D576BB">
        <w:rPr>
          <w:rFonts w:eastAsia="Times New Roman" w:cs="Times New Roman"/>
          <w:color w:val="000000" w:themeColor="text1"/>
          <w:szCs w:val="24"/>
        </w:rPr>
        <w:t>ko ietekmējusi arī pieprasījuma samazināšanās kafejnīcām un restorāniem noteikto ierobežojumu dēļ. Pārtikas ražošanas apjomus ietekmē arī cenu izmaiņas, un iedzīvotāju skaita, kā arī tūristu skaita samazināšanās valstī</w:t>
      </w:r>
      <w:r w:rsidRPr="00D576BB">
        <w:rPr>
          <w:rFonts w:eastAsia="Times New Roman" w:cs="Times New Roman"/>
          <w:szCs w:val="24"/>
        </w:rPr>
        <w:t>.</w:t>
      </w:r>
    </w:p>
    <w:p w14:paraId="32534B38" w14:textId="77777777" w:rsidR="00D576BB" w:rsidRPr="00D576BB" w:rsidRDefault="00D576BB" w:rsidP="00D576BB">
      <w:pPr>
        <w:keepNext/>
        <w:rPr>
          <w:rFonts w:cs="Times New Roman"/>
          <w:szCs w:val="24"/>
        </w:rPr>
      </w:pPr>
      <w:r w:rsidRPr="00D576BB">
        <w:rPr>
          <w:rFonts w:cs="Times New Roman"/>
          <w:noProof/>
          <w:szCs w:val="24"/>
        </w:rPr>
        <w:lastRenderedPageBreak/>
        <w:drawing>
          <wp:inline distT="0" distB="0" distL="0" distR="0" wp14:anchorId="5D91C1E4" wp14:editId="3BC82A5C">
            <wp:extent cx="5274310" cy="2902226"/>
            <wp:effectExtent l="0" t="0" r="2540" b="0"/>
            <wp:docPr id="15" name="Chart 15">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FC34A2A" w14:textId="0CF54724" w:rsidR="00475381" w:rsidRPr="009D6584" w:rsidRDefault="00475381" w:rsidP="00475381">
      <w:pPr>
        <w:keepNext/>
        <w:tabs>
          <w:tab w:val="left" w:pos="3686"/>
        </w:tabs>
        <w:spacing w:before="120"/>
        <w:jc w:val="center"/>
        <w:rPr>
          <w:rFonts w:eastAsia="Times New Roman" w:cs="Times New Roman"/>
          <w:b/>
          <w:szCs w:val="24"/>
        </w:rPr>
      </w:pPr>
      <w:r w:rsidRPr="009D6584">
        <w:rPr>
          <w:rFonts w:eastAsia="Times New Roman" w:cs="Times New Roman"/>
          <w:b/>
          <w:szCs w:val="24"/>
        </w:rPr>
        <w:t>1.8. attēls. Rūpniecības nozaru izlaides apjoma izmaiņas 2020. gadā un 2021. gada septiņos mēnešos, salīdzinot ar iepriekšējā gada attiecīgo laika periodu (kalendāri izlīdzināti dati,%)</w:t>
      </w:r>
    </w:p>
    <w:p w14:paraId="407968CD" w14:textId="1EFD8AD2" w:rsidR="00D576BB" w:rsidRPr="00D576BB" w:rsidRDefault="00D576BB" w:rsidP="00D576BB">
      <w:pPr>
        <w:rPr>
          <w:rFonts w:eastAsia="Calibri" w:cs="Times New Roman"/>
          <w:szCs w:val="24"/>
        </w:rPr>
      </w:pPr>
      <w:r w:rsidRPr="00D576BB">
        <w:rPr>
          <w:rFonts w:eastAsia="Calibri" w:cs="Times New Roman"/>
          <w:szCs w:val="24"/>
        </w:rPr>
        <w:t>Lielāko devumu Latvijas apstrādes rūpniecības pieaugumā nodrošinājusi kokrūpniecība, kas strauji palielinājusi ražošanas tempus kopš pērnā gada jūlija. Pateicoties augstam iekšzemes un ārējam pieprasījumam, 2020. gadā uzrādīts 4,1% pieaugums, bet šā gada septiņos mēnešos pieaugums sasniedza 8,9%. Līdz ar kokapstrādes labo sniegumu Latvijas apstrādes rūpniecība kopumā pandēmijas krīzi pārvarējusi visai veiksmīgi. Augstais pieprasījums pēc kokmateriāliem strauji palielināja to cenas. Vidējais koksnes izstrādājumu cenu indekss šā gada septiņos mēnešos ir par 26,5% augstāks nekā pērn, jūlijā sasniedzot pat 52,5% pieaugumu. Lai arī cenas ir jūtami augušas, pieprasījums pēc koksnes izstrādājumiem saglabājas augsts. Vienlaikus ar kokizstrādājumu apgrozījuma pieaugumu strauji palielinājušies mēbeļu ražošanas apjomi, sasniedzot 27,3% kāpumu septiņos mēnešos, tāpat nodrošinot nozīmīgu devumu Latvijas apstrādes rūpniecībā.</w:t>
      </w:r>
    </w:p>
    <w:p w14:paraId="0CB668ED" w14:textId="77777777" w:rsidR="00D576BB" w:rsidRPr="00D576BB" w:rsidRDefault="00D576BB" w:rsidP="00D576BB">
      <w:pPr>
        <w:rPr>
          <w:rFonts w:eastAsia="Calibri" w:cs="Times New Roman"/>
          <w:szCs w:val="24"/>
        </w:rPr>
      </w:pPr>
      <w:r w:rsidRPr="00D576BB">
        <w:rPr>
          <w:rFonts w:eastAsia="Calibri" w:cs="Times New Roman"/>
          <w:szCs w:val="24"/>
        </w:rPr>
        <w:t>Pandēmija visspēcīgāk iespaidoja gatavo metālizstrādājumu ražošanu, kur izlaide pērn samazinājās par 3,3%, taču šā gada pirmajos septiņos mēnešos reģistrēts augsts pieaugums 9,5% apmērā. Tāpat kā kokrūpniecībā, arī metālizstrādājumu ražošanā rūpnieki cenšas apmierināt</w:t>
      </w:r>
      <w:r w:rsidRPr="00D576BB">
        <w:rPr>
          <w:rFonts w:eastAsia="Calibri" w:cs="Times New Roman"/>
          <w:color w:val="FF0000"/>
          <w:szCs w:val="24"/>
        </w:rPr>
        <w:t xml:space="preserve"> </w:t>
      </w:r>
      <w:r w:rsidRPr="00D576BB">
        <w:rPr>
          <w:rFonts w:eastAsia="Calibri" w:cs="Times New Roman"/>
          <w:szCs w:val="24"/>
        </w:rPr>
        <w:t>augsto tirgus pieprasījumu.</w:t>
      </w:r>
    </w:p>
    <w:p w14:paraId="4CE40784" w14:textId="77777777" w:rsidR="00D576BB" w:rsidRPr="00D576BB" w:rsidRDefault="00D576BB" w:rsidP="00D576BB">
      <w:pPr>
        <w:rPr>
          <w:rFonts w:eastAsia="Calibri" w:cs="Times New Roman"/>
          <w:szCs w:val="24"/>
        </w:rPr>
      </w:pPr>
      <w:r w:rsidRPr="00D576BB">
        <w:rPr>
          <w:rFonts w:eastAsia="Calibri" w:cs="Times New Roman"/>
          <w:szCs w:val="24"/>
        </w:rPr>
        <w:t>Arī elektroenerģijas un gāzes apgāde 2020. gadā uzrādīja sarukumu par 7,2%, galvenokārt krītoties koģenerācijas stacijās saražotajiem apjomiem. Taču šā gada septiņos mēnešos fiksēts pieaugums 6,6% apmērā, palielinoties koģenerācijas staciju izlaidei, bet hidroelektrostaciju saražotajai enerģijai paliekot pērnā gada līmenī.</w:t>
      </w:r>
    </w:p>
    <w:p w14:paraId="63012E5D" w14:textId="77777777" w:rsidR="00D576BB" w:rsidRPr="00D576BB" w:rsidRDefault="00D576BB" w:rsidP="00D576BB">
      <w:pPr>
        <w:rPr>
          <w:rFonts w:eastAsia="Calibri" w:cs="Times New Roman"/>
          <w:szCs w:val="24"/>
        </w:rPr>
      </w:pPr>
      <w:r w:rsidRPr="00D576BB">
        <w:rPr>
          <w:rFonts w:eastAsia="Calibri" w:cs="Times New Roman"/>
          <w:szCs w:val="24"/>
        </w:rPr>
        <w:t xml:space="preserve">Apstrādes rūpniecības produkcijas apgrozījums faktiskajās cenās pērn bija audzis par 1,9% pret 2019. gadu, kas ir par 1,5 procentpunktiem lēnāk nekā 2019. gadā. Pieaugumu ietekmēja produkcijas realizācija eksportā (+3,8%), taču apgrozījums vietējā tirgū samazinājās par 0,7% (1.9. attēls), pandēmijas iespaidā krītoties pieprasījumam pēc precēm. Ja 2019. un 2020. gadā pieaugums svārstījās 2,2-3,2% robežās, tad šā gada pirmajos septiņos mēnešos pieaugums sasniedza 18,4%, apstrādes rūpniecības apgrozījumam eksportā uzrādot 20,4% </w:t>
      </w:r>
      <w:r w:rsidRPr="00D576BB">
        <w:rPr>
          <w:rFonts w:eastAsia="Calibri" w:cs="Times New Roman"/>
          <w:szCs w:val="24"/>
        </w:rPr>
        <w:lastRenderedPageBreak/>
        <w:t>pieaugumu un apgrozījumam vietējā tirgū palielinoties par 14,4%. Līdzīgi kā rūpniecības izlaidi, arī produkcijas apgrozījumu ietekmējusi zemā bāze pērnā gada aprīlī un maijā, kā arī augstais preču pieprasījums vietējā tirgū un vēl augstāks pieprasījums ārpus valsts robežām.</w:t>
      </w:r>
    </w:p>
    <w:p w14:paraId="5E0E46F7" w14:textId="77777777" w:rsidR="00D576BB" w:rsidRPr="00D576BB" w:rsidRDefault="00D576BB" w:rsidP="009D6584">
      <w:pPr>
        <w:keepNext/>
        <w:ind w:firstLine="0"/>
        <w:jc w:val="center"/>
        <w:rPr>
          <w:rFonts w:cs="Times New Roman"/>
          <w:szCs w:val="24"/>
        </w:rPr>
      </w:pPr>
      <w:r w:rsidRPr="00D576BB">
        <w:rPr>
          <w:rFonts w:cs="Times New Roman"/>
          <w:noProof/>
          <w:szCs w:val="24"/>
        </w:rPr>
        <w:drawing>
          <wp:inline distT="0" distB="0" distL="0" distR="0" wp14:anchorId="090DDFCB" wp14:editId="744F3673">
            <wp:extent cx="5274310" cy="2417445"/>
            <wp:effectExtent l="0" t="0" r="2540" b="190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AAE011E" w14:textId="0A5C6DF4" w:rsidR="00475381" w:rsidRPr="009D6584" w:rsidRDefault="00475381" w:rsidP="00475381">
      <w:pPr>
        <w:keepNext/>
        <w:tabs>
          <w:tab w:val="left" w:pos="3686"/>
        </w:tabs>
        <w:spacing w:before="120"/>
        <w:jc w:val="center"/>
        <w:rPr>
          <w:rFonts w:cs="Times New Roman"/>
          <w:szCs w:val="24"/>
        </w:rPr>
      </w:pPr>
      <w:r w:rsidRPr="009D6584">
        <w:rPr>
          <w:rFonts w:cs="Times New Roman"/>
          <w:b/>
          <w:szCs w:val="24"/>
        </w:rPr>
        <w:t>1.9. attēls. Apstrādes rūpniecības apgrozījuma pārmaiņas</w:t>
      </w:r>
      <w:r w:rsidRPr="009D6584">
        <w:rPr>
          <w:rFonts w:eastAsia="Times New Roman" w:cs="Times New Roman"/>
          <w:szCs w:val="24"/>
        </w:rPr>
        <w:t xml:space="preserve"> </w:t>
      </w:r>
      <w:r w:rsidRPr="009D6584">
        <w:rPr>
          <w:rFonts w:cs="Times New Roman"/>
          <w:b/>
          <w:szCs w:val="24"/>
        </w:rPr>
        <w:t>pret iepriekšējā gada attiecīgo mēnesi (kalendāri izlīdzināti dati, %)</w:t>
      </w:r>
    </w:p>
    <w:p w14:paraId="7809F666" w14:textId="77777777" w:rsidR="00475381" w:rsidRDefault="00475381" w:rsidP="00D576BB">
      <w:pPr>
        <w:rPr>
          <w:rFonts w:eastAsia="Calibri" w:cs="Times New Roman"/>
          <w:szCs w:val="24"/>
        </w:rPr>
      </w:pPr>
    </w:p>
    <w:p w14:paraId="64C547D2" w14:textId="2CCE0E5E" w:rsidR="00D576BB" w:rsidRPr="00D576BB" w:rsidRDefault="00D576BB" w:rsidP="00D576BB">
      <w:pPr>
        <w:rPr>
          <w:rFonts w:eastAsia="Calibri" w:cs="Times New Roman"/>
          <w:szCs w:val="24"/>
        </w:rPr>
      </w:pPr>
      <w:r w:rsidRPr="00D576BB">
        <w:rPr>
          <w:rFonts w:eastAsia="Calibri" w:cs="Times New Roman"/>
          <w:szCs w:val="24"/>
        </w:rPr>
        <w:t>Apstrādes rūpniecībā apgrozījums visstraujāk audzis koksnes, koka un korķa izstrādājumiem (+38,8%), mēbelēm (+43,6%), autobūves ražojumiem (+32,7%), kā arī ķīmiskajām vielām un produktiem (+22%). Tikmēr par 24,9% krities ādas un tās izstrādājumu apgrozījums, par 4,2% krities saražoto metālu apgrozījums, pieaugot apgrozījumam vietējā tirgū, bet samazinoties eksporta apgrozījumam. Par 1,8% samazinājies pārstrādāto un konservēto augļu un dārzeņu apgrozījums.</w:t>
      </w:r>
    </w:p>
    <w:p w14:paraId="7F61382C" w14:textId="4570E9A0" w:rsidR="00D576BB" w:rsidRPr="00D576BB" w:rsidRDefault="00475381" w:rsidP="00D576BB">
      <w:pPr>
        <w:rPr>
          <w:rFonts w:eastAsia="Calibri" w:cs="Times New Roman"/>
          <w:szCs w:val="24"/>
        </w:rPr>
      </w:pPr>
      <w:r>
        <w:rPr>
          <w:rFonts w:eastAsia="Calibri" w:cs="Times New Roman"/>
          <w:szCs w:val="24"/>
        </w:rPr>
        <w:t>Eiropas Komisijas</w:t>
      </w:r>
      <w:r w:rsidR="00D576BB" w:rsidRPr="00D576BB">
        <w:rPr>
          <w:rFonts w:eastAsia="Calibri" w:cs="Times New Roman"/>
          <w:szCs w:val="24"/>
        </w:rPr>
        <w:t xml:space="preserve"> apkopotais ekonomiskās konfidences indekss šā gada septiņos mēnešos piedzīvojis svārstības, taču ne tādā apmērā kā 2020. gadā. Šā gada janvārī, februārī un martā Latvijas apstrādes rūpniecības noskaņojums bijis līdzīgs kā vidēji 2020. gadā, rūpniekiem ļoti zemu vērtējot sagaidāmo pasūtījumu apjomu. Taču kopš marta, uzlabojoties pandēmiskajai situācijai un valdībai mīkstinot ierobežojumus, rūpnieku noskaņojums uzlabojās, paredzot augstāku pasūtījumu skaitu, līdz ar to arī iespēju palielināt ražošanas apjomus. Ja aprīlī – jūlijā noskaņojuma indekss bija nedaudz virs ilgtermiņa vidējā rādītāja, augustā tas saruka līdz nulles atzīmei. Valstī atkal pasliktinoties pandēmiskajai situācijai, rūpnieki paredz nedaudz zemāku pasūtījumu apjomu un ražošanas intensitāti.</w:t>
      </w:r>
    </w:p>
    <w:p w14:paraId="4FB4FDF9" w14:textId="0BBD2056" w:rsidR="00D576BB" w:rsidRPr="00D576BB" w:rsidRDefault="00D576BB" w:rsidP="00D576BB">
      <w:pPr>
        <w:rPr>
          <w:rFonts w:eastAsia="Calibri" w:cs="Times New Roman"/>
          <w:szCs w:val="24"/>
        </w:rPr>
      </w:pPr>
      <w:r w:rsidRPr="00D576BB">
        <w:rPr>
          <w:rFonts w:eastAsia="Calibri" w:cs="Times New Roman"/>
          <w:szCs w:val="24"/>
        </w:rPr>
        <w:t>Šis gads Eiropas rūpniecībā ļoti atšķiras no pērnā gada. Pērn visas ES valstis otrajā ceturksnī uzrādīja straujus rūpniecības izlaides samazinājumus, saasinoties Covid-19 pandēmijai, kamēr šā gada otrajā ceturksnī situācija bija pretēja, Eiropas rūpniecība strauji atkopās un pieauguma tempi pārsniedza pērn fiksētos kritumus (1.10. attēls). Latvijas apstrādes rūpniecības izaugsme otrajā ceturksnī bija sal</w:t>
      </w:r>
      <w:r w:rsidR="00475381">
        <w:rPr>
          <w:rFonts w:eastAsia="Calibri" w:cs="Times New Roman"/>
          <w:szCs w:val="24"/>
        </w:rPr>
        <w:t>īdzinoši pieticīga (14,2%) uz Eiropas Savienības</w:t>
      </w:r>
      <w:r w:rsidRPr="00D576BB">
        <w:rPr>
          <w:rFonts w:eastAsia="Calibri" w:cs="Times New Roman"/>
          <w:szCs w:val="24"/>
        </w:rPr>
        <w:t xml:space="preserve"> vidējā rādītāja fona, tomēr arī pērn rūpniecības apjomu samazinājums Latvijā bija viens no zemākajiem Eiropas Savienībā, sarūkot vien par 6,1%.</w:t>
      </w:r>
    </w:p>
    <w:p w14:paraId="66A78E50" w14:textId="77777777" w:rsidR="00D576BB" w:rsidRPr="00D576BB" w:rsidRDefault="00D576BB" w:rsidP="00D576BB">
      <w:pPr>
        <w:keepNext/>
        <w:jc w:val="center"/>
        <w:rPr>
          <w:rFonts w:cs="Times New Roman"/>
          <w:szCs w:val="24"/>
        </w:rPr>
      </w:pPr>
      <w:r w:rsidRPr="00D576BB">
        <w:rPr>
          <w:rFonts w:cs="Times New Roman"/>
          <w:noProof/>
          <w:szCs w:val="24"/>
        </w:rPr>
        <w:lastRenderedPageBreak/>
        <w:drawing>
          <wp:inline distT="0" distB="0" distL="0" distR="0" wp14:anchorId="1DE8D377" wp14:editId="08052F1C">
            <wp:extent cx="5317298" cy="1957705"/>
            <wp:effectExtent l="0" t="0" r="0" b="44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576D287" w14:textId="7F4AC171" w:rsidR="00475381" w:rsidRPr="009D6584" w:rsidRDefault="00475381" w:rsidP="009D6584">
      <w:pPr>
        <w:keepNext/>
        <w:spacing w:before="120"/>
        <w:jc w:val="center"/>
        <w:rPr>
          <w:rFonts w:cs="Times New Roman"/>
          <w:b/>
          <w:szCs w:val="24"/>
        </w:rPr>
      </w:pPr>
      <w:r w:rsidRPr="009D6584">
        <w:rPr>
          <w:rFonts w:cs="Times New Roman"/>
          <w:b/>
          <w:szCs w:val="24"/>
        </w:rPr>
        <w:t>1.10. attēls Apstrādes rūpniecības produkcijas apjoma pārmaiņas Eiropas Savienības dalībvalstīs 2021. gada otrajā ceturksnī, salīdzino</w:t>
      </w:r>
      <w:r w:rsidR="009D6584">
        <w:rPr>
          <w:rFonts w:cs="Times New Roman"/>
          <w:b/>
          <w:szCs w:val="24"/>
        </w:rPr>
        <w:t xml:space="preserve">t ar 2020. gada otro ceturksni, </w:t>
      </w:r>
      <w:r w:rsidRPr="009D6584">
        <w:rPr>
          <w:rFonts w:cs="Times New Roman"/>
          <w:b/>
          <w:szCs w:val="24"/>
        </w:rPr>
        <w:t>(%, kalendāri izlīdzināti dati)</w:t>
      </w:r>
    </w:p>
    <w:p w14:paraId="450B7BE3" w14:textId="51A22BCA" w:rsidR="00D576BB" w:rsidRPr="00D576BB" w:rsidRDefault="00D576BB" w:rsidP="00D576BB">
      <w:pPr>
        <w:rPr>
          <w:rFonts w:eastAsia="Calibri" w:cs="Times New Roman"/>
          <w:szCs w:val="24"/>
        </w:rPr>
      </w:pPr>
      <w:r w:rsidRPr="00D576BB">
        <w:rPr>
          <w:rFonts w:eastAsia="Calibri" w:cs="Times New Roman"/>
          <w:szCs w:val="24"/>
        </w:rPr>
        <w:t>Situāciju Eiropas un Latvijas rūpniecībā šogad noteiks pandēmiskās situācijas attīstība, kā arī rūpnieku spēja pielāgoties augstajam preču pieprasījumam</w:t>
      </w:r>
      <w:r w:rsidRPr="00D576BB">
        <w:rPr>
          <w:rFonts w:eastAsia="Calibri" w:cs="Times New Roman"/>
          <w:color w:val="000000" w:themeColor="text1"/>
          <w:szCs w:val="24"/>
        </w:rPr>
        <w:t>.</w:t>
      </w:r>
      <w:r w:rsidRPr="00D576BB">
        <w:rPr>
          <w:rFonts w:eastAsia="Calibri" w:cs="Times New Roman"/>
          <w:color w:val="FF0000"/>
          <w:szCs w:val="24"/>
        </w:rPr>
        <w:t xml:space="preserve"> </w:t>
      </w:r>
      <w:r w:rsidRPr="00D576BB">
        <w:rPr>
          <w:rFonts w:eastAsia="Calibri" w:cs="Times New Roman"/>
          <w:color w:val="000000" w:themeColor="text1"/>
          <w:szCs w:val="24"/>
        </w:rPr>
        <w:t>Rūpniekiem sasniedzot vai pārsniedzot pieprasījuma līmeni, iespējama būvmateriālu, tajā skaitā kokmateriālu, cenu samazināšanās. Uzņēmēji aptaujās norāda, ka turpmākajos mēnešos paredz lielāku darbaspēka nepieciešamību, vienlaikus norādot uz kvalificētu darbinieku trūkumu.</w:t>
      </w:r>
    </w:p>
    <w:p w14:paraId="649C91B9" w14:textId="77777777" w:rsidR="00D576BB" w:rsidRPr="00D576BB" w:rsidRDefault="00D576BB" w:rsidP="00D576BB">
      <w:pPr>
        <w:spacing w:before="240" w:after="240"/>
        <w:jc w:val="center"/>
        <w:rPr>
          <w:rFonts w:eastAsia="Calibri" w:cs="Times New Roman"/>
          <w:b/>
          <w:szCs w:val="24"/>
        </w:rPr>
      </w:pPr>
      <w:r w:rsidRPr="00D576BB">
        <w:rPr>
          <w:rFonts w:eastAsia="Calibri" w:cs="Times New Roman"/>
          <w:b/>
          <w:szCs w:val="24"/>
        </w:rPr>
        <w:t>Tirdzniecība</w:t>
      </w:r>
    </w:p>
    <w:p w14:paraId="658F5360" w14:textId="5BCE811A" w:rsidR="00D576BB" w:rsidRPr="00D576BB" w:rsidRDefault="00D576BB" w:rsidP="00D576BB">
      <w:pPr>
        <w:rPr>
          <w:rFonts w:eastAsia="Calibri" w:cs="Times New Roman"/>
          <w:szCs w:val="24"/>
        </w:rPr>
      </w:pPr>
      <w:r w:rsidRPr="00D576BB">
        <w:rPr>
          <w:rFonts w:eastAsia="Calibri" w:cs="Times New Roman"/>
          <w:szCs w:val="24"/>
        </w:rPr>
        <w:t>Latvijas tirdzniecības nozare būtisku kritumu piedzīvoja šā gada janvārī un februārī, taču tam sekoja strauja izaugsme, jūnija un jūlija mēnešos uzrādot nebijuši augstus rādītājus. Tirdzniecības nozare ir viena no lielākajām Latvijas tautsaimniecības nozarēm un tā apvieno vairumtirdzniecību, mazumtirdzniecību, kā arī automobiļu un motociklu tirdz</w:t>
      </w:r>
      <w:r w:rsidR="00B86188">
        <w:rPr>
          <w:rFonts w:eastAsia="Calibri" w:cs="Times New Roman"/>
          <w:szCs w:val="24"/>
        </w:rPr>
        <w:t>niecību un remontu. Latvijas iekšzemes kopprodukta</w:t>
      </w:r>
      <w:r w:rsidRPr="00D576BB">
        <w:rPr>
          <w:rFonts w:eastAsia="Calibri" w:cs="Times New Roman"/>
          <w:szCs w:val="24"/>
        </w:rPr>
        <w:t xml:space="preserve"> pievienotās vērtības struktūrā tirdzniecība 2020. gadā veidoja 15,6%.</w:t>
      </w:r>
    </w:p>
    <w:p w14:paraId="467E7CAA" w14:textId="14DB8C97" w:rsidR="00D576BB" w:rsidRPr="00D576BB" w:rsidRDefault="00D576BB" w:rsidP="00D576BB">
      <w:pPr>
        <w:rPr>
          <w:rFonts w:eastAsia="Calibri" w:cs="Times New Roman"/>
          <w:szCs w:val="24"/>
        </w:rPr>
      </w:pPr>
      <w:r w:rsidRPr="00D576BB">
        <w:rPr>
          <w:rFonts w:eastAsia="Calibri" w:cs="Times New Roman"/>
          <w:szCs w:val="24"/>
        </w:rPr>
        <w:t>2020. gadā tirdzniecības nozarē nodarbināto skaits ievērojami ir samazinājies –par 5,1% jeb 7 tūks</w:t>
      </w:r>
      <w:r w:rsidR="00B86188">
        <w:rPr>
          <w:rFonts w:eastAsia="Calibri" w:cs="Times New Roman"/>
          <w:szCs w:val="24"/>
        </w:rPr>
        <w:t>t., aptverot 130,6 tūkst.</w:t>
      </w:r>
      <w:r w:rsidRPr="00D576BB">
        <w:rPr>
          <w:rFonts w:eastAsia="Calibri" w:cs="Times New Roman"/>
          <w:szCs w:val="24"/>
        </w:rPr>
        <w:t xml:space="preserve"> jeb 14,6% no visiem tautsaimniecībā nodarbinātajiem iedzīvotājiem. Nodarbināto skaitam tirdzniecībā krītoties daudz straujāk nekā ekonomikā kopumā, par nodarbinātības līderi pagājušajā gadā atkal ir kļuvusi rūpniecības nozare.</w:t>
      </w:r>
    </w:p>
    <w:p w14:paraId="7D816A15" w14:textId="10F2E07B" w:rsidR="00D576BB" w:rsidRDefault="00D576BB" w:rsidP="00D576BB">
      <w:pPr>
        <w:rPr>
          <w:rFonts w:eastAsia="Calibri" w:cs="Times New Roman"/>
          <w:szCs w:val="24"/>
        </w:rPr>
      </w:pPr>
      <w:r w:rsidRPr="00D576BB">
        <w:rPr>
          <w:rFonts w:eastAsia="Calibri" w:cs="Times New Roman"/>
          <w:szCs w:val="24"/>
        </w:rPr>
        <w:t xml:space="preserve">  Pērnā gada samazinājums tirdzniecības nozarē skaidrojams gan ar veikalu darbības pārtraukšanu pandēmijas ierobežojumu iespaidā, gan ar sistēmu automatizāciju, arvien vairāk cilvēkiem izmantojot pašapkalpošanās kases, kā arī ar iepirkšanos interneta veikalos.</w:t>
      </w:r>
    </w:p>
    <w:p w14:paraId="527BFF13" w14:textId="77777777" w:rsidR="00B86188" w:rsidRPr="00D576BB" w:rsidRDefault="00B86188" w:rsidP="00B86188">
      <w:pPr>
        <w:rPr>
          <w:rFonts w:eastAsia="Calibri" w:cs="Times New Roman"/>
          <w:szCs w:val="24"/>
        </w:rPr>
      </w:pPr>
      <w:r w:rsidRPr="00D576BB">
        <w:rPr>
          <w:rFonts w:eastAsia="Calibri" w:cs="Times New Roman"/>
          <w:szCs w:val="24"/>
        </w:rPr>
        <w:t>Tirdzniecības struktūrā vairumtirdzniecība un mazumtirdzniecība aizņem attiecīgi 46% un 43%, atlikušos 11% aizņemot automobiļu un motociklu tirdzniecībai (1.11. attēls). Lai gan 2020. gadā, griezumā pa ceturkšņiem situācija struktūrā bija svārstīga, gada griezumā tā nav būtiski mainījusies, salīdzinot ar iepriekšējā gada struktūru. Savukārt šā gada pirmajā pusgadā mazumtirdzniecība kopējā tirdzniecības struktūrā pieaugusi par sešiem procentpunktiem, vienlīdzīgi samazinoties vairumtirdzniecībai un automobiļu un motociklu tirdzniecībai un remontam.</w:t>
      </w:r>
    </w:p>
    <w:p w14:paraId="509A90D8" w14:textId="77777777" w:rsidR="00B86188" w:rsidRPr="00D576BB" w:rsidRDefault="00B86188" w:rsidP="00D576BB">
      <w:pPr>
        <w:rPr>
          <w:rFonts w:eastAsia="Calibri" w:cs="Times New Roman"/>
          <w:szCs w:val="24"/>
        </w:rPr>
      </w:pPr>
    </w:p>
    <w:p w14:paraId="02A579D9" w14:textId="77777777" w:rsidR="00D576BB" w:rsidRPr="00D576BB" w:rsidRDefault="00D576BB" w:rsidP="009D6584">
      <w:pPr>
        <w:ind w:firstLine="0"/>
        <w:jc w:val="center"/>
        <w:rPr>
          <w:rFonts w:cs="Times New Roman"/>
          <w:szCs w:val="24"/>
        </w:rPr>
      </w:pPr>
      <w:r w:rsidRPr="00D576BB">
        <w:rPr>
          <w:rFonts w:cs="Times New Roman"/>
          <w:noProof/>
          <w:szCs w:val="24"/>
        </w:rPr>
        <w:lastRenderedPageBreak/>
        <w:drawing>
          <wp:inline distT="0" distB="0" distL="0" distR="0" wp14:anchorId="49ED0576" wp14:editId="3B1BA598">
            <wp:extent cx="4572000" cy="2179675"/>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C68566B" w14:textId="37293CD6" w:rsidR="00B86188" w:rsidRPr="009D6584" w:rsidRDefault="00B86188" w:rsidP="00B86188">
      <w:pPr>
        <w:keepNext/>
        <w:spacing w:before="120"/>
        <w:jc w:val="center"/>
        <w:rPr>
          <w:rFonts w:eastAsia="Times New Roman" w:cs="Times New Roman"/>
          <w:b/>
          <w:szCs w:val="24"/>
        </w:rPr>
      </w:pPr>
      <w:r w:rsidRPr="009D6584">
        <w:rPr>
          <w:rFonts w:eastAsia="Times New Roman" w:cs="Times New Roman"/>
          <w:b/>
          <w:szCs w:val="24"/>
        </w:rPr>
        <w:t>1.11. attēls Tirdzniecības pievienotās vērtības struktūra 2020. gadā (%)</w:t>
      </w:r>
    </w:p>
    <w:p w14:paraId="388C850D" w14:textId="77777777" w:rsidR="00D576BB" w:rsidRPr="00D576BB" w:rsidRDefault="00D576BB" w:rsidP="00D576BB">
      <w:pPr>
        <w:rPr>
          <w:rFonts w:eastAsia="Calibri" w:cs="Times New Roman"/>
          <w:szCs w:val="24"/>
        </w:rPr>
      </w:pPr>
      <w:r w:rsidRPr="00D576BB">
        <w:rPr>
          <w:rFonts w:eastAsia="Calibri" w:cs="Times New Roman"/>
          <w:szCs w:val="24"/>
        </w:rPr>
        <w:t xml:space="preserve">Mazumtirdzniecības nozare pērn pandēmijas ietekmē uzrādīja zemāko pieaugumu (1,4%) kopš 2010. gada. Līdzīgi kā visa Latvijas tautsaimniecība, arī mazumtirdzniecība lielāko sarukumu piedzīvoja aprīlī, tam sekojot pakāpeniskai izaugsmei. Šā gada septiņos mēnešos svārstību apmērs bijis vēl lielāks (1.12. attēls). </w:t>
      </w:r>
    </w:p>
    <w:p w14:paraId="01ABEADA" w14:textId="77777777" w:rsidR="00D576BB" w:rsidRPr="009D6584" w:rsidRDefault="00D576BB" w:rsidP="009D6584">
      <w:pPr>
        <w:jc w:val="center"/>
        <w:rPr>
          <w:rFonts w:cs="Times New Roman"/>
          <w:szCs w:val="24"/>
        </w:rPr>
      </w:pPr>
      <w:r w:rsidRPr="009D6584">
        <w:rPr>
          <w:rFonts w:cs="Times New Roman"/>
          <w:noProof/>
          <w:szCs w:val="24"/>
        </w:rPr>
        <w:drawing>
          <wp:inline distT="0" distB="0" distL="0" distR="0" wp14:anchorId="3F591083" wp14:editId="56DB5984">
            <wp:extent cx="5274310" cy="2480807"/>
            <wp:effectExtent l="0" t="0" r="254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FED6E49" w14:textId="5DF61E78" w:rsidR="00B86188" w:rsidRPr="009D6584" w:rsidRDefault="00B86188" w:rsidP="009D6584">
      <w:pPr>
        <w:keepNext/>
        <w:spacing w:before="120"/>
        <w:ind w:firstLine="0"/>
        <w:jc w:val="center"/>
        <w:rPr>
          <w:rFonts w:cs="Times New Roman"/>
          <w:b/>
          <w:szCs w:val="24"/>
        </w:rPr>
      </w:pPr>
      <w:r w:rsidRPr="009D6584">
        <w:rPr>
          <w:rFonts w:cs="Times New Roman"/>
          <w:b/>
          <w:szCs w:val="24"/>
        </w:rPr>
        <w:t xml:space="preserve">1.12. attēls Mazumtirdzniecības apgrozījuma pārmaiņas </w:t>
      </w:r>
      <w:r w:rsidRPr="009D6584">
        <w:rPr>
          <w:rFonts w:cs="Times New Roman"/>
          <w:b/>
          <w:szCs w:val="24"/>
        </w:rPr>
        <w:br/>
        <w:t>pret iepriekšējā gada attiecīgo mēnesi (%)</w:t>
      </w:r>
    </w:p>
    <w:p w14:paraId="3B5D4F71" w14:textId="39A2A700" w:rsidR="00D576BB" w:rsidRPr="00D576BB" w:rsidRDefault="00D576BB" w:rsidP="00D576BB">
      <w:pPr>
        <w:rPr>
          <w:rFonts w:eastAsia="Calibri" w:cs="Times New Roman"/>
          <w:szCs w:val="24"/>
        </w:rPr>
      </w:pPr>
      <w:r w:rsidRPr="00D576BB">
        <w:rPr>
          <w:rFonts w:eastAsia="Calibri" w:cs="Times New Roman"/>
          <w:szCs w:val="24"/>
        </w:rPr>
        <w:t>Šā gada janvārī un februārī, līdz ar pandēmijas mazināšanai noteiktajiem ierobežojumiem apģērbu, būvmateriālu u.c. veikalu darbībai, mazumtirdzniecības aktivitāte bija ļoti zema. Covid-19 saslimstības rādītājiem uzlabojoties, valdība, sākot ar aprīli, mīkstināja ierobežojumus, kam sekoja straujš mazumtirdzniecības apjomu palielinājums, jūlijā sasniedzot nepieredzēti augstus rādītājus.</w:t>
      </w:r>
    </w:p>
    <w:p w14:paraId="05BD6CE7" w14:textId="77777777" w:rsidR="00D576BB" w:rsidRPr="00D576BB" w:rsidRDefault="00D576BB" w:rsidP="00D576BB">
      <w:pPr>
        <w:rPr>
          <w:rFonts w:eastAsia="Calibri" w:cs="Times New Roman"/>
          <w:szCs w:val="24"/>
        </w:rPr>
      </w:pPr>
      <w:r w:rsidRPr="00D576BB">
        <w:rPr>
          <w:rFonts w:eastAsia="Calibri" w:cs="Times New Roman"/>
          <w:szCs w:val="24"/>
        </w:rPr>
        <w:t xml:space="preserve">2020. gadā kopējo mazumtirdzniecības izaugsmi nodrošināja pārtikas preču patēriņa pieaugums 3,6% apmērā pret 2019. gadu un degvielas tirdzniecības kāpums par 6,4%, tajā skaitā arī degvielas cenu krituma ietekmē, bet nepārtikas preces (atskaitot degvielu) piedzīvoja pārdošanas apjomu kritumu par 2,0%, ko izraisīja tirdzniecības ierobežojumi. Savukārt šā gada septiņos mēnešos kopējo mazumtirdzniecības izaugsmi 2,7% apmērā nodrošināja tieši nepārtikas preču tirdzniecība (+3,8%), kā arī degvielas tirdzniecības apjomu kāpums (+9,3%). </w:t>
      </w:r>
      <w:r w:rsidRPr="00D576BB">
        <w:rPr>
          <w:rFonts w:eastAsia="Calibri" w:cs="Times New Roman"/>
          <w:szCs w:val="24"/>
        </w:rPr>
        <w:lastRenderedPageBreak/>
        <w:t>Pretēji pērnā gada naftas cenu sarukumam, šogad naftas cenas ir kāpušas. Neskatoties uz cenu pieaugumu, situācijai pasaules ekonomikā uzlabojoties, strauji aug arī degvielas pieprasījums un tuvākajā laikā patēriņa samazinājums nav paredzams. Savukārt ilgtermiņā degvielas tirgu arvien vairāk ietekmēs elektroenerģijas izmantošana transporta nozarē.</w:t>
      </w:r>
    </w:p>
    <w:p w14:paraId="4F07975C" w14:textId="77777777" w:rsidR="00D576BB" w:rsidRPr="00D576BB" w:rsidRDefault="00D576BB" w:rsidP="00D576BB">
      <w:pPr>
        <w:rPr>
          <w:rFonts w:eastAsia="Calibri" w:cs="Times New Roman"/>
          <w:szCs w:val="24"/>
        </w:rPr>
      </w:pPr>
      <w:r w:rsidRPr="00D576BB">
        <w:rPr>
          <w:rFonts w:eastAsia="Calibri" w:cs="Times New Roman"/>
          <w:szCs w:val="24"/>
        </w:rPr>
        <w:t>Vairumtirdzniecības nozares pievienotā vērtība pērn samazinājās par 3%, taču šā gada pirmajā pusgadā pieauga par 10%, īpaši augstu pieaugumu sasniedzot otrajā ceturksnī. Šā gada pirmajā pusgadā starp vairumtirdzniecības kategorijām lielākie pieaugumi bija mašīnu, iekārtu un to piederumu, kā arī lauksaimniecības izejvielu un dzīvu lopu pozīcijās, kuras 2020. gada pirmajā pusgadā attiecīgi piedzīvoja lielākos samazinājumus. Pandēmiskajai situācijai uzlabojoties, pieaugusi arī mājsaimniecības preču vairumtirdzniecība. Palielinājusies arī vairumtirdzniecība uz līguma pamata vai par atlīdzību.</w:t>
      </w:r>
    </w:p>
    <w:p w14:paraId="71467C29" w14:textId="77777777" w:rsidR="00D576BB" w:rsidRPr="00D576BB" w:rsidRDefault="00D576BB" w:rsidP="00D576BB">
      <w:pPr>
        <w:rPr>
          <w:rFonts w:eastAsia="Calibri" w:cs="Times New Roman"/>
          <w:szCs w:val="24"/>
        </w:rPr>
      </w:pPr>
      <w:r w:rsidRPr="00D576BB">
        <w:rPr>
          <w:rFonts w:eastAsia="Calibri" w:cs="Times New Roman"/>
          <w:szCs w:val="24"/>
        </w:rPr>
        <w:t xml:space="preserve">Saskaņā ar Latvijas Bankas apkopotajiem datiem, mājsaimniecību finanšu noguldījumi komercbankās jūlija beigās bijuši par 17,7% augstāki kā pērn jūlija beigās, tostarp noguldījumi uz nakti auguši šajā periodā par 23,3%, kas liecina par pozitīvām tendencēm vidējās Latvijas mājsaimniecības finansiālajā situācijā. </w:t>
      </w:r>
    </w:p>
    <w:p w14:paraId="381625A2" w14:textId="77777777" w:rsidR="00D576BB" w:rsidRPr="00D576BB" w:rsidRDefault="00D576BB" w:rsidP="00D576BB">
      <w:pPr>
        <w:rPr>
          <w:rFonts w:eastAsia="Calibri" w:cs="Times New Roman"/>
          <w:szCs w:val="24"/>
        </w:rPr>
      </w:pPr>
      <w:r w:rsidRPr="00D576BB">
        <w:rPr>
          <w:rFonts w:eastAsia="Calibri" w:cs="Times New Roman"/>
          <w:szCs w:val="24"/>
        </w:rPr>
        <w:t xml:space="preserve">Mazumtirgotāju un patērētāju ekonomiskā sentimenta rādītāji, sākot ar šā gada aprīli, sasnieguši pirmspandēmijas līmeni, taču jūlijā līdz ar pandēmiskās situācijas saasināšanos patērētāju noskaņojums atkal pasliktinājies. </w:t>
      </w:r>
      <w:r w:rsidRPr="00D576BB">
        <w:rPr>
          <w:rFonts w:eastAsia="Calibri" w:cs="Times New Roman"/>
          <w:color w:val="000000" w:themeColor="text1"/>
          <w:szCs w:val="24"/>
        </w:rPr>
        <w:t>Nav sagaidāms, ka turpmāko situāciju tirdzniecības nozarē būtiski ietekmēs pandēmiskās situācijas pasliktināšanās, taču bažas raisa straujais izejvielu cenu kāpums, kas rada nelabvēlīgu vidi rūpniekiem.</w:t>
      </w:r>
    </w:p>
    <w:p w14:paraId="44AE91B1" w14:textId="77777777" w:rsidR="00D576BB" w:rsidRPr="00D576BB" w:rsidRDefault="00D576BB" w:rsidP="00D576BB">
      <w:pPr>
        <w:spacing w:before="240" w:after="240"/>
        <w:jc w:val="center"/>
        <w:rPr>
          <w:rFonts w:eastAsia="Calibri" w:cs="Times New Roman"/>
          <w:b/>
          <w:szCs w:val="24"/>
        </w:rPr>
      </w:pPr>
      <w:r w:rsidRPr="00D576BB">
        <w:rPr>
          <w:rFonts w:eastAsia="Calibri" w:cs="Times New Roman"/>
          <w:b/>
          <w:szCs w:val="24"/>
        </w:rPr>
        <w:t>Transports</w:t>
      </w:r>
    </w:p>
    <w:p w14:paraId="781804F8" w14:textId="77777777" w:rsidR="00D576BB" w:rsidRPr="00D576BB" w:rsidRDefault="00D576BB" w:rsidP="00D576BB">
      <w:pPr>
        <w:rPr>
          <w:rFonts w:eastAsia="Calibri" w:cs="Times New Roman"/>
          <w:szCs w:val="24"/>
        </w:rPr>
      </w:pPr>
      <w:r w:rsidRPr="00D576BB">
        <w:rPr>
          <w:rFonts w:eastAsia="Calibri" w:cs="Times New Roman"/>
          <w:szCs w:val="24"/>
        </w:rPr>
        <w:t>Transporta nozare, kurai vēsturiski ir bijusi būtiska loma Latvijas ekonomikā, ņemot vērā tās augsto īpatsvaru kopējā pievienotajā vērtībā, Covid</w:t>
      </w:r>
      <w:r w:rsidRPr="00D576BB">
        <w:rPr>
          <w:rFonts w:eastAsia="Calibri" w:cs="Times New Roman"/>
          <w:szCs w:val="24"/>
        </w:rPr>
        <w:noBreakHyphen/>
        <w:t>19 krīzes laikā līdzās izmitināšanas un ēdināšanas nozarei bija viena no smagāk cietušajām tautsaimniecības nozarēm. 2020. gadā kopējās pievienotās vērtības apjoms transporta nozarē samazinājās par 14,9%, un nozares īpatsvars kopējā pievienotajā vērtībā noslīdēja līdz 8,2%, salīdzinot ar 9,3% iepriekšējā gadā.</w:t>
      </w:r>
    </w:p>
    <w:p w14:paraId="4C839DD9" w14:textId="77777777" w:rsidR="00D576BB" w:rsidRPr="00D576BB" w:rsidRDefault="00D576BB" w:rsidP="00D576BB">
      <w:pPr>
        <w:rPr>
          <w:rFonts w:eastAsia="Calibri" w:cs="Times New Roman"/>
          <w:szCs w:val="24"/>
        </w:rPr>
      </w:pPr>
      <w:r w:rsidRPr="00D576BB">
        <w:rPr>
          <w:rFonts w:eastAsia="Calibri" w:cs="Times New Roman"/>
          <w:szCs w:val="24"/>
        </w:rPr>
        <w:t>Covid</w:t>
      </w:r>
      <w:r w:rsidRPr="00D576BB">
        <w:rPr>
          <w:rFonts w:eastAsia="Calibri" w:cs="Times New Roman"/>
          <w:szCs w:val="24"/>
        </w:rPr>
        <w:noBreakHyphen/>
        <w:t xml:space="preserve">19 izplatības samazināšanai laikā no pagājušā gada marta līdz jūnijam bija apturēti starptautiskie pasažieru pārvadājumi, un arī pēc satiksmes daļējas atjaunošanas pārvadājumu apjomi 2020. gadā saglabājās ļoti zemi. Nozares darbību vēl papildus negatīvi ietekmēja Krievijas kravu tranzīta krasais samazinājums caur Latvijas ostām, kopējam kravu apjomam Latvijas ostās samazinoties par 28,0%, bet kravu pārvadājumu apjomam dzelzceļā krītoties par 42,0%. </w:t>
      </w:r>
    </w:p>
    <w:p w14:paraId="704B5C21" w14:textId="77777777" w:rsidR="00D576BB" w:rsidRPr="00D576BB" w:rsidRDefault="00D576BB" w:rsidP="00D576BB">
      <w:pPr>
        <w:spacing w:after="0"/>
        <w:ind w:firstLine="709"/>
        <w:rPr>
          <w:rFonts w:eastAsia="Calibri" w:cs="Times New Roman"/>
          <w:szCs w:val="24"/>
        </w:rPr>
      </w:pPr>
      <w:r w:rsidRPr="00D576BB">
        <w:rPr>
          <w:rFonts w:eastAsia="Calibri" w:cs="Times New Roman"/>
          <w:szCs w:val="24"/>
        </w:rPr>
        <w:t>Pandēmijas ierobežojumu dēļ pasažieru skaits lidostā Rīga 2020. gadā veidoja tikai ceturto daļu no 2019. gada līmeņa, samazinoties no 7,8 miljoniem līdz 2,0 miljoniem jeb par 74,2%, prāmju pasažieru skaits Latvijas ostās kritās par 56,5%, bet pasažieru skaits sauszemes transportā saruka par 36,4%. Arī kravu apgrozība autopārvadājumos Covid</w:t>
      </w:r>
      <w:r w:rsidRPr="00D576BB">
        <w:rPr>
          <w:rFonts w:eastAsia="Calibri" w:cs="Times New Roman"/>
          <w:szCs w:val="24"/>
        </w:rPr>
        <w:noBreakHyphen/>
        <w:t>19 ietekmē pagājušajā gadā samazinājās par 8,4%.</w:t>
      </w:r>
    </w:p>
    <w:p w14:paraId="161A5713" w14:textId="77777777" w:rsidR="00D576BB" w:rsidRPr="00D576BB" w:rsidRDefault="00D576BB" w:rsidP="00D576BB">
      <w:pPr>
        <w:rPr>
          <w:rFonts w:eastAsia="Calibri" w:cs="Times New Roman"/>
          <w:szCs w:val="24"/>
        </w:rPr>
      </w:pPr>
      <w:r w:rsidRPr="00D576BB">
        <w:rPr>
          <w:rFonts w:eastAsia="Calibri" w:cs="Times New Roman"/>
          <w:szCs w:val="24"/>
        </w:rPr>
        <w:t>2021. gada pirmajā pusē transporta nozari turpināja negatīvi ietekmēt Covid</w:t>
      </w:r>
      <w:r w:rsidRPr="00D576BB">
        <w:rPr>
          <w:rFonts w:eastAsia="Calibri" w:cs="Times New Roman"/>
          <w:szCs w:val="24"/>
        </w:rPr>
        <w:noBreakHyphen/>
        <w:t xml:space="preserve">19 izplatība un saslimstības mazināšanai noteiktie ierobežojumi. Pasažieru pārvadājumu apjomi joprojām saglabājās zemi, tālu atpaliekot no pirmskrīzes līmeņa, tomēr jau sāka pārsniegt 2020. gada rekordzemos rādītājus. Savukārt kravu pārvadājumus turpināja negatīvi ietekmēt Krievijas kravu tranzīta tālāka samazināšanās caur Latvijas ostām, kas gan vairs nebija tik strauja kā 2020. gadā. Nozares kopējā pievienotā vērtība 2021. gada pirmajā pusē, salīdzinot ar </w:t>
      </w:r>
      <w:r w:rsidRPr="00D576BB">
        <w:rPr>
          <w:rFonts w:eastAsia="Calibri" w:cs="Times New Roman"/>
          <w:szCs w:val="24"/>
        </w:rPr>
        <w:lastRenderedPageBreak/>
        <w:t>2020. gada pirmo pusi, pieauga par 3,6%, bet joprojām bija par 12,3% mazāka nekā 2019. gada pirmajā pusē.</w:t>
      </w:r>
    </w:p>
    <w:p w14:paraId="0B8B3BC3" w14:textId="77777777" w:rsidR="00D576BB" w:rsidRPr="00D576BB" w:rsidRDefault="00D576BB" w:rsidP="00D576BB">
      <w:pPr>
        <w:rPr>
          <w:rFonts w:eastAsia="Calibri" w:cs="Times New Roman"/>
          <w:szCs w:val="24"/>
        </w:rPr>
      </w:pPr>
      <w:r w:rsidRPr="00D576BB">
        <w:rPr>
          <w:rFonts w:eastAsia="Calibri" w:cs="Times New Roman"/>
          <w:szCs w:val="24"/>
        </w:rPr>
        <w:t>Krievijai turpinot pārvirzīt naftas un ogļu kravas uz savām Baltijas jūras ostām, kravu apgrozījums Latvijas ostās šā gada pirmajos astoņos mēnešos samazinājās par 10,7% līdz 26,5 milj. tonnu, bet kravu pārvadājumu apjoms dzelzceļā saruka par 14,8% līdz 13,2 milj. tonnu (1.13. attēls). Naftas produktu apjomi Latvijas ostās ir samazinājušies par 24,8%, bet ogļu tranzīts praktiski jau ir pārtraukts. Pa maģistrālo naftas produktu vadu Polocka-Ventspils transportētais dīzeļdegvielas apjoms gada pirmajā pusē bijis par 40,3% mazāks nekā 2020. gada pirmajā pusē un veidojis 0,5 milj. tonnu, tajā skaitā otrajā ceturksnī naftas produktu transportēšana praktiski bijusi pārtraukta, pārsūknējot tikai 800 tonnas.</w:t>
      </w:r>
    </w:p>
    <w:p w14:paraId="778062BB" w14:textId="77777777" w:rsidR="00D576BB" w:rsidRPr="00D576BB" w:rsidRDefault="00D576BB" w:rsidP="00D576BB">
      <w:pPr>
        <w:rPr>
          <w:rFonts w:eastAsia="Calibri" w:cs="Times New Roman"/>
          <w:szCs w:val="24"/>
        </w:rPr>
      </w:pPr>
      <w:r w:rsidRPr="00D576BB">
        <w:rPr>
          <w:rFonts w:eastAsia="Calibri" w:cs="Times New Roman"/>
          <w:szCs w:val="24"/>
        </w:rPr>
        <w:t>Vienlaikus ar naftas produktu un ogļu tranzīta kritumu, pārējo kravu apgrozījums Latvijas ostās kopumā ir pieaudzis, salīdzinājumā ar pagājušā gada pirmajiem astoņiem mēnešiem palielinoties par 6,6%. Turpinoties strukturālām izmaiņām, naftas un ogļu kravas, kuru īpatsvars Latvijas ostās 2015. gadā bija sasniedzis 65,5%, 2021. gada astoņos mēnešos veidoja vairs tikai 22,7% no visām ostās pārkrautajām kravām.</w:t>
      </w:r>
    </w:p>
    <w:p w14:paraId="494F3020" w14:textId="1D5ECC3F" w:rsidR="00D576BB" w:rsidRPr="00D576BB" w:rsidRDefault="00D576BB" w:rsidP="00D576BB">
      <w:pPr>
        <w:spacing w:after="0"/>
        <w:jc w:val="center"/>
        <w:rPr>
          <w:rFonts w:eastAsia="Times New Roman" w:cs="Times New Roman"/>
          <w:szCs w:val="24"/>
        </w:rPr>
      </w:pPr>
      <w:r w:rsidRPr="00D576BB">
        <w:rPr>
          <w:rFonts w:cs="Times New Roman"/>
          <w:noProof/>
          <w:szCs w:val="24"/>
        </w:rPr>
        <w:drawing>
          <wp:inline distT="0" distB="0" distL="0" distR="0" wp14:anchorId="3805F452" wp14:editId="577ABFAF">
            <wp:extent cx="4944110" cy="2411095"/>
            <wp:effectExtent l="0" t="0" r="8890" b="825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D67117D" w14:textId="77777777" w:rsidR="00B86188" w:rsidRPr="009D6584" w:rsidRDefault="00B86188" w:rsidP="00B86188">
      <w:pPr>
        <w:keepNext/>
        <w:spacing w:after="0"/>
        <w:jc w:val="center"/>
        <w:rPr>
          <w:rFonts w:eastAsia="Times New Roman" w:cs="Times New Roman"/>
          <w:b/>
          <w:szCs w:val="24"/>
        </w:rPr>
      </w:pPr>
    </w:p>
    <w:p w14:paraId="0E484195" w14:textId="6D56F82F" w:rsidR="00B86188" w:rsidRPr="009D6584" w:rsidRDefault="00B86188" w:rsidP="00B86188">
      <w:pPr>
        <w:keepNext/>
        <w:spacing w:after="0"/>
        <w:jc w:val="center"/>
        <w:rPr>
          <w:rFonts w:eastAsia="Times New Roman" w:cs="Times New Roman"/>
          <w:b/>
          <w:szCs w:val="24"/>
        </w:rPr>
      </w:pPr>
      <w:r w:rsidRPr="009D6584">
        <w:rPr>
          <w:rFonts w:eastAsia="Times New Roman" w:cs="Times New Roman"/>
          <w:b/>
          <w:szCs w:val="24"/>
        </w:rPr>
        <w:t>1.13. attēls</w:t>
      </w:r>
      <w:r w:rsidR="009D6584">
        <w:rPr>
          <w:rFonts w:eastAsia="Times New Roman" w:cs="Times New Roman"/>
          <w:b/>
          <w:szCs w:val="24"/>
        </w:rPr>
        <w:t>.</w:t>
      </w:r>
      <w:r w:rsidRPr="009D6584">
        <w:rPr>
          <w:rFonts w:eastAsia="Times New Roman" w:cs="Times New Roman"/>
          <w:b/>
          <w:szCs w:val="24"/>
        </w:rPr>
        <w:t xml:space="preserve"> Kravu apgrozījums Latvijas ostās un pārvadājumu apjoms dzelzceļā</w:t>
      </w:r>
    </w:p>
    <w:p w14:paraId="10B4F3DF" w14:textId="475F3C2B" w:rsidR="00B86188" w:rsidRPr="009D6584" w:rsidRDefault="00B86188" w:rsidP="00B86188">
      <w:pPr>
        <w:keepNext/>
        <w:spacing w:after="0"/>
        <w:jc w:val="center"/>
        <w:rPr>
          <w:rFonts w:eastAsia="Times New Roman" w:cs="Times New Roman"/>
          <w:b/>
          <w:szCs w:val="24"/>
        </w:rPr>
      </w:pPr>
      <w:r w:rsidRPr="009D6584">
        <w:rPr>
          <w:rFonts w:eastAsia="Times New Roman" w:cs="Times New Roman"/>
          <w:b/>
          <w:szCs w:val="24"/>
        </w:rPr>
        <w:t xml:space="preserve"> (tūkst. tonnu), 2010.-2021. gada pirmajos astoņos mēnešos</w:t>
      </w:r>
    </w:p>
    <w:p w14:paraId="2B941DC1" w14:textId="77777777" w:rsidR="00B86188" w:rsidRPr="00B86188" w:rsidRDefault="00B86188" w:rsidP="00B86188">
      <w:pPr>
        <w:keepNext/>
        <w:spacing w:after="0"/>
        <w:jc w:val="center"/>
        <w:rPr>
          <w:rFonts w:eastAsia="Times New Roman" w:cs="Times New Roman"/>
          <w:b/>
          <w:i/>
          <w:szCs w:val="24"/>
        </w:rPr>
      </w:pPr>
    </w:p>
    <w:p w14:paraId="7DF6263F" w14:textId="7C52D4A7" w:rsidR="00D576BB" w:rsidRPr="00D576BB" w:rsidRDefault="00D576BB" w:rsidP="00D576BB">
      <w:pPr>
        <w:spacing w:before="120"/>
        <w:rPr>
          <w:rFonts w:eastAsia="Calibri" w:cs="Times New Roman"/>
          <w:szCs w:val="24"/>
        </w:rPr>
      </w:pPr>
      <w:r w:rsidRPr="00D576BB">
        <w:rPr>
          <w:rFonts w:eastAsia="Calibri" w:cs="Times New Roman"/>
          <w:szCs w:val="24"/>
        </w:rPr>
        <w:t>Pretstatā dzelzceļa pārvadājumiem, kravu apgrozība autotransportā,  šā gada pirmajā pusē, atjaunojoties ekonomiskajai aktivitātei, par 17,8% pārsniegusi 2020. gada līmeni un bijusi arī par 3,5% augstāka nekā 2019. gadā. Gan Latvijā, gan starptautiskajā satiksmē kravu autopārvadājumu pieaugums bijis visai līdzīgs, kravu apgrozībai salīdzinājumā ar 2020. gada pirmo pusi palielinoties attiecīgi par 14,7% Latvijā un 18,9% ārvalstīs.</w:t>
      </w:r>
    </w:p>
    <w:p w14:paraId="67262AEE" w14:textId="77777777" w:rsidR="00D576BB" w:rsidRPr="00D576BB" w:rsidRDefault="00D576BB" w:rsidP="00D576BB">
      <w:pPr>
        <w:rPr>
          <w:rFonts w:eastAsia="Calibri" w:cs="Times New Roman"/>
          <w:szCs w:val="24"/>
        </w:rPr>
      </w:pPr>
      <w:r w:rsidRPr="00D576BB">
        <w:rPr>
          <w:rFonts w:eastAsia="Calibri" w:cs="Times New Roman"/>
          <w:szCs w:val="24"/>
        </w:rPr>
        <w:t>Saglabājoties Covid</w:t>
      </w:r>
      <w:r w:rsidRPr="00D576BB">
        <w:rPr>
          <w:rFonts w:eastAsia="Calibri" w:cs="Times New Roman"/>
          <w:szCs w:val="24"/>
        </w:rPr>
        <w:noBreakHyphen/>
        <w:t>19 ierobežojumiem, pasažieru skaits visos galvenajos transporta veidos 2021. gada pirmajā pusē kopā bija mazāks nekā pirms gada, kad janvārī un februārī Latviju vēl nebija skāris slimības uzliesmojums (1.14. attēls). Pasažieru skaits dzelzceļā kritās par 23,9%, autobusos – par 21,9%, tramvajos – par 25,1% un trolejbusos – par 21,3%. Lidostā Rīga apkalpoto pasažieru skaits bija par 69,3% mazāks nekā pirms gada un jūras ostās – par 51,7% mazāks nekā pirms gada.</w:t>
      </w:r>
    </w:p>
    <w:p w14:paraId="7214A2C7" w14:textId="77777777" w:rsidR="00631E41" w:rsidRDefault="00631E41" w:rsidP="00D576BB">
      <w:pPr>
        <w:spacing w:after="0"/>
        <w:rPr>
          <w:rFonts w:eastAsia="Times New Roman" w:cs="Times New Roman"/>
          <w:szCs w:val="24"/>
        </w:rPr>
      </w:pPr>
    </w:p>
    <w:p w14:paraId="34A18C16" w14:textId="1E926AB7" w:rsidR="00D576BB" w:rsidRPr="00D576BB" w:rsidRDefault="00D576BB" w:rsidP="00631E41">
      <w:pPr>
        <w:spacing w:after="0"/>
        <w:ind w:firstLine="0"/>
        <w:jc w:val="center"/>
        <w:rPr>
          <w:rFonts w:eastAsia="Times New Roman" w:cs="Times New Roman"/>
          <w:szCs w:val="24"/>
        </w:rPr>
      </w:pPr>
      <w:r w:rsidRPr="00D576BB">
        <w:rPr>
          <w:rFonts w:cs="Times New Roman"/>
          <w:noProof/>
          <w:szCs w:val="24"/>
        </w:rPr>
        <w:lastRenderedPageBreak/>
        <w:drawing>
          <wp:inline distT="0" distB="0" distL="0" distR="0" wp14:anchorId="1B188ADF" wp14:editId="348813FE">
            <wp:extent cx="4564380" cy="2057400"/>
            <wp:effectExtent l="0" t="0" r="762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2DD4A42" w14:textId="48FDA368" w:rsidR="00631E41" w:rsidRPr="009D6584" w:rsidRDefault="00631E41" w:rsidP="009D6584">
      <w:pPr>
        <w:keepNext/>
        <w:spacing w:before="120" w:after="0"/>
        <w:ind w:firstLine="0"/>
        <w:jc w:val="center"/>
        <w:rPr>
          <w:rFonts w:eastAsia="Times New Roman" w:cs="Times New Roman"/>
          <w:b/>
          <w:szCs w:val="24"/>
        </w:rPr>
      </w:pPr>
      <w:r w:rsidRPr="009D6584">
        <w:rPr>
          <w:rFonts w:eastAsia="Times New Roman" w:cs="Times New Roman"/>
          <w:b/>
          <w:szCs w:val="24"/>
        </w:rPr>
        <w:t>1.14. attēls</w:t>
      </w:r>
      <w:r w:rsidR="009D6584">
        <w:rPr>
          <w:rFonts w:eastAsia="Times New Roman" w:cs="Times New Roman"/>
          <w:b/>
          <w:szCs w:val="24"/>
        </w:rPr>
        <w:t>.</w:t>
      </w:r>
      <w:r w:rsidRPr="009D6584">
        <w:rPr>
          <w:rFonts w:eastAsia="Times New Roman" w:cs="Times New Roman"/>
          <w:b/>
          <w:szCs w:val="24"/>
        </w:rPr>
        <w:t xml:space="preserve"> Pasažieru skaita indekss galvenajos transporta veidos</w:t>
      </w:r>
      <w:r w:rsidRPr="009D6584">
        <w:rPr>
          <w:rFonts w:eastAsia="Times New Roman" w:cs="Times New Roman"/>
          <w:b/>
          <w:szCs w:val="24"/>
        </w:rPr>
        <w:br/>
        <w:t>(2010. gada 1.pusgads=1</w:t>
      </w:r>
      <w:r w:rsidR="009D6584">
        <w:rPr>
          <w:rFonts w:eastAsia="Times New Roman" w:cs="Times New Roman"/>
          <w:b/>
          <w:szCs w:val="24"/>
        </w:rPr>
        <w:t>)</w:t>
      </w:r>
    </w:p>
    <w:p w14:paraId="2F23801E" w14:textId="77777777" w:rsidR="00631E41" w:rsidRPr="00631E41" w:rsidRDefault="00631E41" w:rsidP="00631E41">
      <w:pPr>
        <w:keepNext/>
        <w:spacing w:before="120" w:after="0"/>
        <w:jc w:val="center"/>
        <w:rPr>
          <w:rFonts w:eastAsia="Times New Roman" w:cs="Times New Roman"/>
          <w:b/>
          <w:i/>
          <w:szCs w:val="24"/>
        </w:rPr>
      </w:pPr>
    </w:p>
    <w:p w14:paraId="3487FC4A" w14:textId="1171B945" w:rsidR="00D576BB" w:rsidRPr="00D576BB" w:rsidRDefault="00D576BB" w:rsidP="00D576BB">
      <w:pPr>
        <w:spacing w:before="120"/>
        <w:rPr>
          <w:rFonts w:eastAsia="Calibri" w:cs="Times New Roman"/>
          <w:szCs w:val="24"/>
        </w:rPr>
      </w:pPr>
      <w:r w:rsidRPr="00D576BB">
        <w:rPr>
          <w:rFonts w:eastAsia="Calibri" w:cs="Times New Roman"/>
          <w:szCs w:val="24"/>
        </w:rPr>
        <w:t>Vienlaikus, 2021. gadā pa mēnešiem, Covid</w:t>
      </w:r>
      <w:r w:rsidRPr="00D576BB">
        <w:rPr>
          <w:rFonts w:eastAsia="Calibri" w:cs="Times New Roman"/>
          <w:szCs w:val="24"/>
        </w:rPr>
        <w:noBreakHyphen/>
        <w:t xml:space="preserve">19 ierobežojumiem pakāpeniski mazinoties un atjaunojoties arī starptautiskajai satiksmei, pasažieru skaits arvien palielinājās, no aprīļa jau pārsniedzot 2020. gada līmeni, bet joprojām ievērojami atpaliekot no pirmskrīzes līmeņa. 2021. gada otrajā ceturksnī pasažieru skaits sauszemes transportā bija par 45,5% lielāks nekā attiecīgajā ceturksnī pirms gada, lidostā pagājušā gada līmenis bija pārsniegts par 22,6%, bet jūras ostās – vairāk nekā četras reizes. </w:t>
      </w:r>
    </w:p>
    <w:p w14:paraId="5FE6639F" w14:textId="77777777" w:rsidR="00D576BB" w:rsidRPr="00D576BB" w:rsidRDefault="00D576BB" w:rsidP="00D576BB">
      <w:pPr>
        <w:rPr>
          <w:rFonts w:eastAsia="Calibri" w:cs="Times New Roman"/>
          <w:szCs w:val="24"/>
        </w:rPr>
      </w:pPr>
      <w:r w:rsidRPr="00D576BB">
        <w:rPr>
          <w:rFonts w:eastAsia="Calibri" w:cs="Times New Roman"/>
          <w:szCs w:val="24"/>
        </w:rPr>
        <w:t>Pārvadājumu pakāpenisko atjaunošanos raksturo lidostas Rīga dati, kur reisu skaits 2021. gada laikā mēnesi no mēneša arvien audzis, taču vēl augustā bijis gandrīz uz pusi mazāks nekā pirms krīzes (1.15. attēls).</w:t>
      </w:r>
    </w:p>
    <w:p w14:paraId="28C37DC2" w14:textId="77777777" w:rsidR="00D576BB" w:rsidRPr="00D576BB" w:rsidRDefault="00D576BB" w:rsidP="009D6584">
      <w:pPr>
        <w:spacing w:after="0"/>
        <w:ind w:firstLine="0"/>
        <w:jc w:val="center"/>
        <w:rPr>
          <w:rFonts w:eastAsia="Times New Roman" w:cs="Times New Roman"/>
          <w:szCs w:val="24"/>
        </w:rPr>
      </w:pPr>
      <w:r w:rsidRPr="00D576BB">
        <w:rPr>
          <w:rFonts w:cs="Times New Roman"/>
          <w:noProof/>
          <w:szCs w:val="24"/>
        </w:rPr>
        <w:drawing>
          <wp:inline distT="0" distB="0" distL="0" distR="0" wp14:anchorId="2FA2B441" wp14:editId="1FE793D3">
            <wp:extent cx="4640580" cy="2964180"/>
            <wp:effectExtent l="0" t="0" r="7620" b="762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DFDB97C" w14:textId="6B216F71" w:rsidR="00631E41" w:rsidRPr="009D6584" w:rsidRDefault="00631E41" w:rsidP="00631E41">
      <w:pPr>
        <w:keepNext/>
        <w:spacing w:after="0"/>
        <w:ind w:firstLine="0"/>
        <w:jc w:val="center"/>
        <w:rPr>
          <w:rFonts w:eastAsia="Times New Roman" w:cs="Times New Roman"/>
          <w:b/>
          <w:szCs w:val="24"/>
        </w:rPr>
      </w:pPr>
      <w:r w:rsidRPr="009D6584">
        <w:rPr>
          <w:rFonts w:eastAsia="Times New Roman" w:cs="Times New Roman"/>
          <w:b/>
          <w:szCs w:val="24"/>
        </w:rPr>
        <w:t>1.15. attēls</w:t>
      </w:r>
      <w:r w:rsidR="009D6584">
        <w:rPr>
          <w:rFonts w:eastAsia="Times New Roman" w:cs="Times New Roman"/>
          <w:b/>
          <w:szCs w:val="24"/>
        </w:rPr>
        <w:t>.</w:t>
      </w:r>
      <w:r w:rsidRPr="009D6584">
        <w:rPr>
          <w:rFonts w:eastAsia="Times New Roman" w:cs="Times New Roman"/>
          <w:b/>
          <w:szCs w:val="24"/>
        </w:rPr>
        <w:t xml:space="preserve"> Komerciālo reisu skaits lidostā Rīga 2020. un 2021. gadā pa mēnešiem, Eurostat/Eurocontrol dati</w:t>
      </w:r>
    </w:p>
    <w:p w14:paraId="3B819E09" w14:textId="77777777" w:rsidR="00631E41" w:rsidRDefault="00631E41" w:rsidP="00D576BB">
      <w:pPr>
        <w:rPr>
          <w:rFonts w:eastAsia="Calibri" w:cs="Times New Roman"/>
          <w:szCs w:val="24"/>
        </w:rPr>
      </w:pPr>
    </w:p>
    <w:p w14:paraId="6EBC3F49" w14:textId="7C03DEA7" w:rsidR="00D576BB" w:rsidRPr="00D576BB" w:rsidRDefault="00D576BB" w:rsidP="00D576BB">
      <w:pPr>
        <w:rPr>
          <w:rFonts w:eastAsia="Calibri" w:cs="Times New Roman"/>
          <w:szCs w:val="24"/>
        </w:rPr>
      </w:pPr>
      <w:r w:rsidRPr="00D576BB">
        <w:rPr>
          <w:rFonts w:eastAsia="Calibri" w:cs="Times New Roman"/>
          <w:szCs w:val="24"/>
        </w:rPr>
        <w:lastRenderedPageBreak/>
        <w:t>Arī gada tālākajos mēnešos, atsākoties arvien aktīvākai iedzīvotāju kustībai, pasažieru pārvadājumi turpinās pārsniegt pērnā gada līmeni, un augs arī kravu autopārvadājumu apjomi. Tādējādi arī visā 2021. gadā kopā transporta nozare varētu uzrādīt nelielu pieaugumu salīdzinājumā ar 2020. gadu, tomēr vēl būtiski atpaliekot no 2019. gada līmeņa. Arī 2022. gadā nozares pievienotās vērtības apjomi transporta nozarē visticamāk vēl neatgriezīsies pirmskrīzes līmenī, ko noteiks mazāki pasažieru pārvadājumu apjomi un Krievijas kravu tranzīta daļas zaudēšana ostās un dzelzceļā.</w:t>
      </w:r>
    </w:p>
    <w:p w14:paraId="46D4BC1F" w14:textId="77777777" w:rsidR="00D576BB" w:rsidRPr="00D576BB" w:rsidRDefault="00D576BB" w:rsidP="00D576BB">
      <w:pPr>
        <w:spacing w:before="240" w:after="240"/>
        <w:jc w:val="center"/>
        <w:rPr>
          <w:rFonts w:eastAsia="Calibri" w:cs="Times New Roman"/>
          <w:b/>
          <w:szCs w:val="24"/>
        </w:rPr>
      </w:pPr>
      <w:r w:rsidRPr="00D576BB">
        <w:rPr>
          <w:rFonts w:eastAsia="Calibri" w:cs="Times New Roman"/>
          <w:b/>
          <w:szCs w:val="24"/>
        </w:rPr>
        <w:t>Būvniecība</w:t>
      </w:r>
    </w:p>
    <w:p w14:paraId="6A41BA9D" w14:textId="77777777" w:rsidR="00D576BB" w:rsidRPr="00D576BB" w:rsidRDefault="00D576BB" w:rsidP="00D576BB">
      <w:pPr>
        <w:rPr>
          <w:rFonts w:eastAsia="Calibri" w:cs="Times New Roman"/>
          <w:szCs w:val="24"/>
        </w:rPr>
      </w:pPr>
      <w:r w:rsidRPr="00D576BB">
        <w:rPr>
          <w:rFonts w:eastAsia="Calibri" w:cs="Times New Roman"/>
          <w:szCs w:val="24"/>
        </w:rPr>
        <w:t>Pandēmijas periodā, būvniecībai straujākais kritums bija šā gada pirmajā ceturksnī, otrajā ceturksnī uzrādot līdzvērtīgus būvniecības apjomus kā pērn un 2019. gadā. Pērn, līdzīgi kā 2019. gadā, būvniecības nozare auga tikai par 2,7%, tajā pašā laikā nozarē nodarbināto skaits samazinājās par 5,7%, nodarbinot 76,5 tūkstošus iedzīvotāju jeb 8,6% no visiem tautsaimniecībā strādājošajiem.</w:t>
      </w:r>
    </w:p>
    <w:p w14:paraId="76A11291" w14:textId="77777777" w:rsidR="00D576BB" w:rsidRPr="00D576BB" w:rsidRDefault="00D576BB" w:rsidP="00D576BB">
      <w:pPr>
        <w:rPr>
          <w:rFonts w:eastAsia="Calibri" w:cs="Times New Roman"/>
          <w:szCs w:val="24"/>
        </w:rPr>
      </w:pPr>
      <w:r w:rsidRPr="00D576BB">
        <w:rPr>
          <w:rFonts w:eastAsia="Calibri" w:cs="Times New Roman"/>
          <w:szCs w:val="24"/>
        </w:rPr>
        <w:t xml:space="preserve">2020. gadā būvniecības nozares pieaugumu nodrošināja speciālo būvdarbu kāpums par 8%, ēku būvniecībā saglabājoties nelielam pieaugumam 0,9% apmērā, kamēr inženierbūvniecībā reģistrēts kritums 1,5% apmērā. Savukārt šā gada pirmajā pusgadā piedzīvots būvniecības apjomu samazinājums 4,7% apmērā salīdzināmās cenās, pirmajā ceturksnī apjomiem sarūkot par 12,3%, bet otrajā ceturksnī pieaugot par 1,0%. </w:t>
      </w:r>
    </w:p>
    <w:p w14:paraId="1C523658" w14:textId="77777777" w:rsidR="00D576BB" w:rsidRPr="00D576BB" w:rsidRDefault="00D576BB" w:rsidP="00D576BB">
      <w:pPr>
        <w:rPr>
          <w:rFonts w:eastAsia="Calibri" w:cs="Times New Roman"/>
          <w:szCs w:val="24"/>
        </w:rPr>
      </w:pPr>
      <w:r w:rsidRPr="00D576BB">
        <w:rPr>
          <w:rFonts w:eastAsia="Calibri" w:cs="Times New Roman"/>
          <w:szCs w:val="24"/>
        </w:rPr>
        <w:t>Kraso 2021.gada pirmā ceturkšņa samazinājumu izraisīja gan nelabvēlīgie laikapstākļi būvniecībai, Latvijai piedzīvojot bargāko ziemu pēdējo gadu laikā, gan arī ierobežojumi pandēmijas mazināšanai būvniecības preču veikalos janvārī un februārī. Pirmā ceturkšņa samazinājumu visvairāk ietekmēja ēku būvniecības apjomu sarukums par 16,7%, spēcīgu samazinājumu fiksējot nedzīvojamo ēku būvniecībā, ko ietekmēja pandēmiskās situācijas izraisītā rūpnieku un tirgotāju darbības apjomu sabremzēšanās, tādējādi samazinoties vajadzībai pēc uzņēmumu paplašināšanas un jaunu ēku būvniecības. Savukārt otrajā ceturksnī, mazinoties ierobežojumiem, strauji auga ēku nojaukšanas, būvlaukumu sagatavošanas un būvdarbu pabeigšanas darbi.</w:t>
      </w:r>
    </w:p>
    <w:p w14:paraId="18FB9694" w14:textId="77777777" w:rsidR="00D576BB" w:rsidRPr="00D576BB" w:rsidRDefault="00D576BB" w:rsidP="00D576BB">
      <w:pPr>
        <w:rPr>
          <w:rFonts w:eastAsia="Calibri" w:cs="Times New Roman"/>
          <w:szCs w:val="24"/>
        </w:rPr>
      </w:pPr>
      <w:r w:rsidRPr="00D576BB">
        <w:rPr>
          <w:rFonts w:eastAsia="Calibri" w:cs="Times New Roman"/>
          <w:szCs w:val="24"/>
        </w:rPr>
        <w:t xml:space="preserve"> Būvniecības nozares struktūrā (1.16. attēls) 2020. gadā neliels samazinājums bijis inženierbūvniecībai, tās īpatsvaram kopējā būvniecības produkcijas apjomā pazeminoties līdz 32%. Pēdējo gadu laikā inženierbūvniecības īpatsvars būvniecības nozarē ir pastāvīgi samazinājies, noslīdot no 39% 2015. gadā. Tajā pašā laikā ik gadu pieaug ēku būvniecības daļa kopējā struktūrā, no 29% 2015. gadā palielinoties līdz 36% 2020. gadā, savukārt specializēto būvdarbu īpatsvars pēdējo gadu laikā bijis samērā stabils. Šā gada pirmajā pusē būvniecības nozares struktūrā par diviem procentpunktiem pieauga specializēto būvdarbu īpatsvars, kas skaidrojams gan ar būvdarbu pabeigšanas pieaugumu, otrajā ceturksnī mazinoties ierobežojumiem, gan ar elektroinstalāciju un cauruļvadu ievilkšanas darbu pieaugumu, savukārt inženierbūvniecības darbu īpatsvars turpināja samazināties.</w:t>
      </w:r>
    </w:p>
    <w:p w14:paraId="697CFE8C" w14:textId="77777777" w:rsidR="00D576BB" w:rsidRPr="00D576BB" w:rsidRDefault="00D576BB" w:rsidP="00D576BB">
      <w:pPr>
        <w:rPr>
          <w:rFonts w:cs="Times New Roman"/>
          <w:szCs w:val="24"/>
        </w:rPr>
      </w:pPr>
      <w:r w:rsidRPr="00D576BB">
        <w:rPr>
          <w:rFonts w:cs="Times New Roman"/>
          <w:noProof/>
          <w:szCs w:val="24"/>
        </w:rPr>
        <w:lastRenderedPageBreak/>
        <w:drawing>
          <wp:inline distT="0" distB="0" distL="0" distR="0" wp14:anchorId="1AB74CFA" wp14:editId="0510C69A">
            <wp:extent cx="5274310" cy="2602865"/>
            <wp:effectExtent l="0" t="0" r="2540" b="6985"/>
            <wp:docPr id="19" name="Chart 19">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AB383E0" w14:textId="5FE2CA1E" w:rsidR="00A60D47" w:rsidRPr="009D6584" w:rsidRDefault="00A60D47" w:rsidP="00A60D47">
      <w:pPr>
        <w:keepNext/>
        <w:spacing w:after="0"/>
        <w:jc w:val="center"/>
        <w:rPr>
          <w:rFonts w:eastAsia="Times New Roman" w:cs="Times New Roman"/>
          <w:b/>
          <w:szCs w:val="24"/>
        </w:rPr>
      </w:pPr>
      <w:r w:rsidRPr="009D6584">
        <w:rPr>
          <w:rFonts w:eastAsia="Times New Roman" w:cs="Times New Roman"/>
          <w:b/>
          <w:szCs w:val="24"/>
        </w:rPr>
        <w:t xml:space="preserve">1.16. attēls. Būvniecības nozares izlaides apjoms </w:t>
      </w:r>
      <w:r w:rsidRPr="009D6584">
        <w:rPr>
          <w:rFonts w:eastAsia="Times New Roman" w:cs="Times New Roman"/>
          <w:b/>
          <w:color w:val="000000" w:themeColor="text1"/>
          <w:szCs w:val="24"/>
        </w:rPr>
        <w:t xml:space="preserve">pa celtniecības darbu veidiem </w:t>
      </w:r>
      <w:r w:rsidRPr="009D6584">
        <w:rPr>
          <w:rFonts w:eastAsia="Times New Roman" w:cs="Times New Roman"/>
          <w:b/>
          <w:szCs w:val="24"/>
        </w:rPr>
        <w:t xml:space="preserve">faktiskajās cenās pa ceturkšņiem (milj. </w:t>
      </w:r>
      <w:r w:rsidRPr="009D6584">
        <w:rPr>
          <w:rFonts w:eastAsia="Times New Roman" w:cs="Times New Roman"/>
          <w:b/>
          <w:i/>
          <w:szCs w:val="24"/>
        </w:rPr>
        <w:t>euro</w:t>
      </w:r>
      <w:r w:rsidRPr="009D6584">
        <w:rPr>
          <w:rFonts w:eastAsia="Times New Roman" w:cs="Times New Roman"/>
          <w:b/>
          <w:szCs w:val="24"/>
        </w:rPr>
        <w:t>).</w:t>
      </w:r>
    </w:p>
    <w:p w14:paraId="2777B850" w14:textId="77777777" w:rsidR="00A60D47" w:rsidRDefault="00A60D47" w:rsidP="00D576BB">
      <w:pPr>
        <w:rPr>
          <w:rFonts w:eastAsia="Calibri" w:cs="Times New Roman"/>
          <w:szCs w:val="24"/>
        </w:rPr>
      </w:pPr>
    </w:p>
    <w:p w14:paraId="7B3E2C01" w14:textId="2896423C" w:rsidR="00D576BB" w:rsidRPr="00D576BB" w:rsidRDefault="00D576BB" w:rsidP="00D576BB">
      <w:pPr>
        <w:rPr>
          <w:rFonts w:eastAsia="Calibri" w:cs="Times New Roman"/>
          <w:szCs w:val="24"/>
        </w:rPr>
      </w:pPr>
      <w:r w:rsidRPr="00D576BB">
        <w:rPr>
          <w:rFonts w:eastAsia="Calibri" w:cs="Times New Roman"/>
          <w:szCs w:val="24"/>
        </w:rPr>
        <w:t>Dzīvojamo māju cenas pēc 9% pieauguma 2018. un 2019. gadā, 2020. gadā pieauga vien par 3,5%, par 7,7% palielinoties jaunu mājokļu un par 2,5% lietotu mājokļu cenām (1.17. attēls). Cenu pieauguma tempa samazināšanās bija saistīta gan ar finansiālās situācijas pasliktināšanos krīzes skarto nozaru darbiniekiem, gan vispārējo nenoteiktību un neziņu par situācijas turpmāko attīstību, tādējādi mazinoties pieprasījumam pēc mājokļa iegādes. Šā gada pirmajā ceturksnī cenu pieauguma tempi vēl saglabājās zemi, bet otrajā ceturksnī, epidemioloģiskajai situācijai uzlabojoties, fiksēts jau 12,4% pieaugums, krasi pieaugot lietoto mājokļu cenām. Tādējādi šā gada pirmajā pusgadā mājokļu cenas ir augušas par 7,6%, pateicoties lietotu mājokļu cenu kāpumam par 10,2%, bet jaunu mājokļu cenām saglabājoties pērnā gada līmenī.</w:t>
      </w:r>
    </w:p>
    <w:p w14:paraId="5F64373C" w14:textId="77777777" w:rsidR="00D576BB" w:rsidRPr="00D576BB" w:rsidRDefault="00D576BB" w:rsidP="00D576BB">
      <w:pPr>
        <w:jc w:val="center"/>
        <w:rPr>
          <w:rFonts w:cs="Times New Roman"/>
          <w:szCs w:val="24"/>
        </w:rPr>
      </w:pPr>
      <w:r w:rsidRPr="00D576BB">
        <w:rPr>
          <w:rFonts w:cs="Times New Roman"/>
          <w:noProof/>
          <w:szCs w:val="24"/>
        </w:rPr>
        <w:drawing>
          <wp:inline distT="0" distB="0" distL="0" distR="0" wp14:anchorId="6F9FA2C3" wp14:editId="5A34021B">
            <wp:extent cx="5274310" cy="1843405"/>
            <wp:effectExtent l="0" t="0" r="2540" b="444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A4B633B" w14:textId="77777777" w:rsidR="00A60D47" w:rsidRPr="009D6584" w:rsidRDefault="00A60D47" w:rsidP="009D6584">
      <w:pPr>
        <w:keepNext/>
        <w:spacing w:before="120" w:after="0"/>
        <w:ind w:firstLine="0"/>
        <w:jc w:val="center"/>
        <w:rPr>
          <w:rFonts w:cs="Times New Roman"/>
          <w:b/>
          <w:szCs w:val="24"/>
        </w:rPr>
      </w:pPr>
      <w:r w:rsidRPr="009D6584">
        <w:rPr>
          <w:rFonts w:cs="Times New Roman"/>
          <w:b/>
          <w:szCs w:val="24"/>
        </w:rPr>
        <w:t>1.17. attēls Mājokļu cenu pārmaiņas pret iepriekšējā gada attiecīgo ceturksni (%)</w:t>
      </w:r>
    </w:p>
    <w:p w14:paraId="779D7637" w14:textId="77777777" w:rsidR="00A60D47" w:rsidRDefault="00A60D47" w:rsidP="00D576BB">
      <w:pPr>
        <w:rPr>
          <w:rFonts w:eastAsia="Calibri" w:cs="Times New Roman"/>
          <w:szCs w:val="24"/>
        </w:rPr>
      </w:pPr>
    </w:p>
    <w:p w14:paraId="22A7D7CF" w14:textId="38859477" w:rsidR="00D576BB" w:rsidRPr="00D576BB" w:rsidRDefault="00D576BB" w:rsidP="00D576BB">
      <w:pPr>
        <w:rPr>
          <w:rFonts w:eastAsia="Calibri" w:cs="Times New Roman"/>
          <w:szCs w:val="24"/>
        </w:rPr>
      </w:pPr>
      <w:r w:rsidRPr="00D576BB">
        <w:rPr>
          <w:rFonts w:eastAsia="Calibri" w:cs="Times New Roman"/>
          <w:szCs w:val="24"/>
        </w:rPr>
        <w:t xml:space="preserve">Šā gada pirmajā pusē strauji pieauga būvniecības izmaksas. Tās sastāv no būvmateriālu izmaksām, strādnieku darba algas, kā arī mašīnu un iekārtu uzturēšanas izmaksām. Pērn kopējās izmaksas augušas vien par 1,4%, ko izraisīja darba samaksas pieaugums par 7%, pārējās komponentēs izmaksām gandrīz nemainoties (1.18. attēls). Zems izmaksu pieaugums (+1,3%) </w:t>
      </w:r>
      <w:r w:rsidRPr="00D576BB">
        <w:rPr>
          <w:rFonts w:eastAsia="Calibri" w:cs="Times New Roman"/>
          <w:szCs w:val="24"/>
        </w:rPr>
        <w:lastRenderedPageBreak/>
        <w:t>saglabājās arī 2021. gada pirmajā ceturksnī, taču jau no otrā ceturkšņa būvniecības izmaksas strauji palielinās visās izmaksu kategorijās, sasniedzot 4,7% kopējo pieaugumu. Pirmajā pusgadā kopā būvniecības izmaksas bijušas par 3,0% augstākas nekā pirms gada, tajā skaitā būvmateriālu izmaksas augušas par 3%, strādnieku darba samaksa – par 3,6%, bet mašīnu un mehānismu uzturēšanas izmaksas – par 2,2%. Šā gada jūlijā izmaksu kāpums turpinājās un sasniedza 8,2% salīdzinājumā ar pērnā gada attiecīgo periodu, krasi pieaugot būvmateriālu cenām.</w:t>
      </w:r>
    </w:p>
    <w:p w14:paraId="01B2D050" w14:textId="77777777" w:rsidR="00D576BB" w:rsidRPr="00D576BB" w:rsidRDefault="00D576BB" w:rsidP="00D576BB">
      <w:pPr>
        <w:rPr>
          <w:rFonts w:cs="Times New Roman"/>
          <w:szCs w:val="24"/>
        </w:rPr>
      </w:pPr>
      <w:r w:rsidRPr="00D576BB">
        <w:rPr>
          <w:rFonts w:cs="Times New Roman"/>
          <w:noProof/>
          <w:szCs w:val="24"/>
        </w:rPr>
        <w:drawing>
          <wp:inline distT="0" distB="0" distL="0" distR="0" wp14:anchorId="1841BBF9" wp14:editId="2CD50418">
            <wp:extent cx="5215890" cy="2406770"/>
            <wp:effectExtent l="0" t="0" r="381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95227DE" w14:textId="77777777" w:rsidR="00A60D47" w:rsidRPr="009D6584" w:rsidRDefault="00A60D47" w:rsidP="00A60D47">
      <w:pPr>
        <w:spacing w:after="0"/>
        <w:jc w:val="center"/>
        <w:rPr>
          <w:rFonts w:eastAsia="Calibri" w:cs="Times New Roman"/>
          <w:szCs w:val="24"/>
        </w:rPr>
      </w:pPr>
      <w:r w:rsidRPr="009D6584">
        <w:rPr>
          <w:rFonts w:cs="Times New Roman"/>
          <w:b/>
          <w:szCs w:val="24"/>
        </w:rPr>
        <w:t>1.18. attēls Būvniecības izmaksu</w:t>
      </w:r>
      <w:r w:rsidRPr="009D6584">
        <w:rPr>
          <w:rFonts w:cs="Times New Roman"/>
          <w:szCs w:val="24"/>
        </w:rPr>
        <w:t xml:space="preserve"> </w:t>
      </w:r>
      <w:r w:rsidRPr="009D6584">
        <w:rPr>
          <w:rFonts w:cs="Times New Roman"/>
          <w:b/>
          <w:szCs w:val="24"/>
        </w:rPr>
        <w:t>pārmaiņas pret iepriekšējā gada attiecīgo ceturksni (%)</w:t>
      </w:r>
    </w:p>
    <w:p w14:paraId="7F312E7F" w14:textId="77777777" w:rsidR="00A60D47" w:rsidRDefault="00A60D47" w:rsidP="00D576BB">
      <w:pPr>
        <w:spacing w:after="0"/>
        <w:ind w:firstLine="709"/>
        <w:rPr>
          <w:rFonts w:eastAsia="Calibri" w:cs="Times New Roman"/>
          <w:szCs w:val="24"/>
        </w:rPr>
      </w:pPr>
    </w:p>
    <w:p w14:paraId="43EE4EC6" w14:textId="42C79F25" w:rsidR="00D576BB" w:rsidRPr="00D576BB" w:rsidRDefault="00D576BB" w:rsidP="00D576BB">
      <w:pPr>
        <w:spacing w:after="0"/>
        <w:ind w:firstLine="709"/>
        <w:rPr>
          <w:rFonts w:cs="Times New Roman"/>
          <w:szCs w:val="24"/>
        </w:rPr>
      </w:pPr>
      <w:r w:rsidRPr="00D576BB">
        <w:rPr>
          <w:rFonts w:eastAsia="Calibri" w:cs="Times New Roman"/>
          <w:szCs w:val="24"/>
        </w:rPr>
        <w:t xml:space="preserve">Izsniegto būvatļauju dinamika ļauj spriest par turpmākajām būvniecības tempu izmaiņām. Pērn izdotajās būvatļaujās paredzamā platība pandēmijas ietekmē gada laikā samazinājās par 16,9% (1.19. attēls), visvairāk sarūkot rūpnieciskās ražošanas ēku, noliktavu, tirdzniecības un citu nedzīvojamo ēku plānotajai platībai. Turpretī, Latvijas ekonomikai atkopjoties no Covid-19 krīzes, šā gada pirmajā pusgadā reģistrēts 5,3% pieaugums, pirmajā ceturksnī paredzamajām platībām būvatļaujās esot par 17,8% </w:t>
      </w:r>
      <w:r w:rsidRPr="00D576BB">
        <w:rPr>
          <w:rFonts w:cs="Times New Roman"/>
          <w:szCs w:val="24"/>
        </w:rPr>
        <w:t xml:space="preserve">mazākām kā pērn attiecīgajā periodā, bet otrajā ceturksnī strauji augot par  28,1%. </w:t>
      </w:r>
    </w:p>
    <w:p w14:paraId="42C3C974" w14:textId="77777777" w:rsidR="00D576BB" w:rsidRPr="00D576BB" w:rsidRDefault="00D576BB" w:rsidP="00D576BB">
      <w:pPr>
        <w:rPr>
          <w:rFonts w:cs="Times New Roman"/>
          <w:color w:val="2E74B5" w:themeColor="accent1" w:themeShade="BF"/>
          <w:szCs w:val="24"/>
        </w:rPr>
      </w:pPr>
      <w:r w:rsidRPr="00D576BB">
        <w:rPr>
          <w:rFonts w:cs="Times New Roman"/>
          <w:noProof/>
          <w:szCs w:val="24"/>
        </w:rPr>
        <w:drawing>
          <wp:inline distT="0" distB="0" distL="0" distR="0" wp14:anchorId="030ACEE2" wp14:editId="4435549C">
            <wp:extent cx="5090160" cy="2286000"/>
            <wp:effectExtent l="0" t="0" r="0" b="0"/>
            <wp:docPr id="6" name="Chart 6">
              <a:extLst xmlns:a="http://schemas.openxmlformats.org/drawingml/2006/main">
                <a:ext uri="{FF2B5EF4-FFF2-40B4-BE49-F238E27FC236}">
                  <a16:creationId xmlns:a16="http://schemas.microsoft.com/office/drawing/2014/main" id="{00000000-0008-0000-07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59363E4" w14:textId="77777777" w:rsidR="00A60D47" w:rsidRPr="009D6584" w:rsidRDefault="00A60D47" w:rsidP="00A60D47">
      <w:pPr>
        <w:keepNext/>
        <w:spacing w:before="120"/>
        <w:jc w:val="center"/>
        <w:rPr>
          <w:rFonts w:cs="Times New Roman"/>
          <w:b/>
          <w:szCs w:val="24"/>
          <w:vertAlign w:val="superscript"/>
        </w:rPr>
      </w:pPr>
      <w:r w:rsidRPr="009D6584">
        <w:rPr>
          <w:rFonts w:cs="Times New Roman"/>
          <w:b/>
          <w:szCs w:val="24"/>
        </w:rPr>
        <w:t>1.19. attēls. Izdotajās būvatļaujās paredzamā platība pa ēku veidiem (tūkst. km</w:t>
      </w:r>
      <w:r w:rsidRPr="009D6584">
        <w:rPr>
          <w:rFonts w:cs="Times New Roman"/>
          <w:b/>
          <w:szCs w:val="24"/>
          <w:vertAlign w:val="superscript"/>
        </w:rPr>
        <w:t>2</w:t>
      </w:r>
      <w:r w:rsidRPr="009D6584">
        <w:rPr>
          <w:rFonts w:cs="Times New Roman"/>
          <w:b/>
          <w:szCs w:val="24"/>
        </w:rPr>
        <w:t>)</w:t>
      </w:r>
    </w:p>
    <w:p w14:paraId="455DD6CD" w14:textId="77777777" w:rsidR="00A60D47" w:rsidRDefault="00A60D47" w:rsidP="00D576BB">
      <w:pPr>
        <w:spacing w:before="120"/>
        <w:rPr>
          <w:rFonts w:eastAsia="Calibri" w:cs="Times New Roman"/>
          <w:szCs w:val="24"/>
        </w:rPr>
      </w:pPr>
    </w:p>
    <w:p w14:paraId="6C144D1E" w14:textId="276AC03E" w:rsidR="00D576BB" w:rsidRPr="00D576BB" w:rsidRDefault="00D576BB" w:rsidP="00D576BB">
      <w:pPr>
        <w:spacing w:before="120"/>
        <w:rPr>
          <w:rFonts w:eastAsia="Calibri" w:cs="Times New Roman"/>
          <w:szCs w:val="24"/>
        </w:rPr>
      </w:pPr>
      <w:r w:rsidRPr="00D576BB">
        <w:rPr>
          <w:rFonts w:eastAsia="Calibri" w:cs="Times New Roman"/>
          <w:szCs w:val="24"/>
        </w:rPr>
        <w:lastRenderedPageBreak/>
        <w:t>Plānotās būvniecības platības samazinājumu šā gada pirmajā ceturksnī noteica viena dzīvokļa māju, rūpniecības, tirdzniecības, kā arī noliktavu ēku plānoto platību samazinājums, taču otrajā ceturksnī visās minētajās ēku grupās uzrādīti strauji plānoto būvniecības platību pieaugumi, nodrošinot arī pieaugumu pusgada griezumā.</w:t>
      </w:r>
    </w:p>
    <w:p w14:paraId="61DF59E7" w14:textId="77777777" w:rsidR="00D576BB" w:rsidRPr="00D576BB" w:rsidRDefault="00D576BB" w:rsidP="00D576BB">
      <w:pPr>
        <w:rPr>
          <w:rFonts w:eastAsia="Calibri" w:cs="Times New Roman"/>
          <w:szCs w:val="24"/>
        </w:rPr>
      </w:pPr>
      <w:r w:rsidRPr="00D576BB">
        <w:rPr>
          <w:rFonts w:eastAsia="Calibri" w:cs="Times New Roman"/>
          <w:szCs w:val="24"/>
        </w:rPr>
        <w:t>Nav sagaidāms, ka turpmāko situāciju būvniecībā būtiski ietekmēs jauni Covid</w:t>
      </w:r>
      <w:r w:rsidRPr="00D576BB">
        <w:rPr>
          <w:rFonts w:eastAsia="Calibri" w:cs="Times New Roman"/>
          <w:szCs w:val="24"/>
        </w:rPr>
        <w:noBreakHyphen/>
        <w:t xml:space="preserve">19 slimības uzliesmojumi, tomēr bažas rada augošās būvmateriālu izmaksas, ražotājiem nespējot segt patreiz ļoti augsto būvmateriālu pieprasījumu. Sagaidāms, ka būvniecības nozari stimulēs infrastruktūras objektu būvniecība, kur lielākais no tiem ir </w:t>
      </w:r>
      <w:r w:rsidRPr="00D576BB">
        <w:rPr>
          <w:rFonts w:eastAsia="Calibri" w:cs="Times New Roman"/>
          <w:i/>
          <w:iCs/>
          <w:szCs w:val="24"/>
        </w:rPr>
        <w:t>RailBaltica</w:t>
      </w:r>
      <w:r w:rsidRPr="00D576BB">
        <w:rPr>
          <w:rFonts w:eastAsia="Calibri" w:cs="Times New Roman"/>
          <w:szCs w:val="24"/>
        </w:rPr>
        <w:t>.</w:t>
      </w:r>
    </w:p>
    <w:p w14:paraId="5088E33C" w14:textId="77777777" w:rsidR="00D576BB" w:rsidRPr="00D576BB" w:rsidRDefault="00D576BB" w:rsidP="00D576BB">
      <w:pPr>
        <w:spacing w:before="240" w:after="240"/>
        <w:jc w:val="center"/>
        <w:rPr>
          <w:rFonts w:eastAsia="Calibri" w:cs="Times New Roman"/>
          <w:b/>
          <w:szCs w:val="24"/>
        </w:rPr>
      </w:pPr>
      <w:r w:rsidRPr="00D576BB">
        <w:rPr>
          <w:rFonts w:eastAsia="Calibri" w:cs="Times New Roman"/>
          <w:b/>
          <w:szCs w:val="24"/>
        </w:rPr>
        <w:t>Finanšu un apdrošināšanas nozare</w:t>
      </w:r>
    </w:p>
    <w:p w14:paraId="2E82595A" w14:textId="77777777" w:rsidR="00D576BB" w:rsidRPr="00D576BB" w:rsidRDefault="00D576BB" w:rsidP="00D576BB">
      <w:pPr>
        <w:rPr>
          <w:rFonts w:eastAsia="Calibri" w:cs="Times New Roman"/>
          <w:szCs w:val="24"/>
        </w:rPr>
      </w:pPr>
      <w:r w:rsidRPr="00D576BB">
        <w:rPr>
          <w:rFonts w:eastAsia="Calibri" w:cs="Times New Roman"/>
          <w:szCs w:val="24"/>
        </w:rPr>
        <w:t>Finanšu un apdrošināšanas nozarē vērojamais pievienotās vērtības kritums, kurš iesākās 2017. gadā, turpinājās arī nākamajos gados, tajā skaitā arī 2020. gadā, taču krituma temps pērn samazinājās. Pievienotās vērtības kritums 2018. gadā nozarē bija 3,1%, 2019. gadā – 15,7%, savukārt 2020. gadā – 5,7% gada izteiksmē. Savukārt 2021. gada pirmais pusgads jau ir sācies ar pievienotās vērtības kāpumu par 14,8% pret iepriekšējā gada pirmo pusgadu. Ja iepriekšējo gadu lejupslīdi nozarē noteica strukturālās izmaiņas, kas saistītas ar nerezidentu apkalpošanu, tad 2020. gadā finanšu sektoru tāpat kā citas nozares skāra Covid</w:t>
      </w:r>
      <w:r w:rsidRPr="00D576BB">
        <w:rPr>
          <w:rFonts w:eastAsia="Calibri" w:cs="Times New Roman"/>
          <w:szCs w:val="24"/>
        </w:rPr>
        <w:noBreakHyphen/>
        <w:t>19 izraisītā krīze. Kopumā nozares īpatsvars kopējā pievienotajā vērtībā tautsaimniecībā piecu gadu laikā ir samazinājies gandrīz divas reizes - no 4,8% 2015. gadā līdz 2,8% 2020. gadā. Taču  2021. gada pirmajā pusgadā vērojamais pieaugums vieš cerības, ka kritums, kuru ietekmēja t.sk. strukturālās izmaiņas un kas noslēdzās 2019. gadā, rezultējoties ar riskantu nerezidentu noguldījumu aizplūdi, varētu būt beidzies. Līdz ar to vairs nav gaidāma finanšu nozares daļas tālāka samazināšanās kopējā tautsaimniecības struktūrā.</w:t>
      </w:r>
    </w:p>
    <w:p w14:paraId="59AAA264" w14:textId="77777777" w:rsidR="00D576BB" w:rsidRPr="00D576BB" w:rsidRDefault="00D576BB" w:rsidP="00D576BB">
      <w:pPr>
        <w:rPr>
          <w:rFonts w:eastAsia="Calibri" w:cs="Times New Roman"/>
          <w:szCs w:val="24"/>
        </w:rPr>
      </w:pPr>
      <w:r w:rsidRPr="00D576BB">
        <w:rPr>
          <w:rFonts w:eastAsia="Calibri" w:cs="Times New Roman"/>
          <w:szCs w:val="24"/>
        </w:rPr>
        <w:t>Kopš 2016. gada, kad nerezidentu depozītu apjoms bija vislielākais, to apjoms līdz 2020. gada beigām bija samazinājies par 78% un  šāda tendence turpināja saglabāties arī 2021. gada pirmajā pusgadā (1.20. attēls). Kopumā 2020. gadā banku nozari Covid</w:t>
      </w:r>
      <w:r w:rsidRPr="00D576BB">
        <w:rPr>
          <w:rFonts w:eastAsia="Calibri" w:cs="Times New Roman"/>
          <w:szCs w:val="24"/>
        </w:rPr>
        <w:noBreakHyphen/>
        <w:t>19 krīze ietekmēja minimāli, jo, lai gan kopējais kredītportfelis samazinājās par 1%, kopējie aktīvi 2020. gadā auga par 8,4% un pelnītspēja saglabājās, lai arī peļņas rādītāji 2020. gadā bija aptuveni uz pusi zemāki nekā iepriekšējā gadā.</w:t>
      </w:r>
    </w:p>
    <w:p w14:paraId="5821E9C7" w14:textId="77777777" w:rsidR="00D576BB" w:rsidRPr="00D576BB" w:rsidRDefault="00D576BB" w:rsidP="00D576BB">
      <w:pPr>
        <w:spacing w:before="60" w:after="0"/>
        <w:jc w:val="center"/>
        <w:rPr>
          <w:rFonts w:eastAsia="Times New Roman" w:cs="Times New Roman"/>
          <w:szCs w:val="24"/>
        </w:rPr>
      </w:pPr>
      <w:r w:rsidRPr="00D576BB">
        <w:rPr>
          <w:rFonts w:cs="Times New Roman"/>
          <w:noProof/>
          <w:szCs w:val="24"/>
        </w:rPr>
        <w:lastRenderedPageBreak/>
        <w:drawing>
          <wp:inline distT="0" distB="0" distL="0" distR="0" wp14:anchorId="766170B3" wp14:editId="132D8B53">
            <wp:extent cx="5274310" cy="3233420"/>
            <wp:effectExtent l="0" t="0" r="2540" b="5080"/>
            <wp:docPr id="11" name="Chart 11">
              <a:extLst xmlns:a="http://schemas.openxmlformats.org/drawingml/2006/main">
                <a:ext uri="{FF2B5EF4-FFF2-40B4-BE49-F238E27FC236}">
                  <a16:creationId xmlns:a16="http://schemas.microsoft.com/office/drawing/2014/main" id="{6D3B48E5-0C3F-42D3-9206-447C371084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BBDCC2C" w14:textId="03CFD038" w:rsidR="005F21ED" w:rsidRPr="009D6584" w:rsidRDefault="005F21ED" w:rsidP="005F21ED">
      <w:pPr>
        <w:keepNext/>
        <w:spacing w:before="60" w:after="0"/>
        <w:jc w:val="center"/>
        <w:rPr>
          <w:rFonts w:cs="Times New Roman"/>
          <w:b/>
          <w:szCs w:val="24"/>
        </w:rPr>
      </w:pPr>
      <w:r w:rsidRPr="009D6584">
        <w:rPr>
          <w:rFonts w:cs="Times New Roman"/>
          <w:b/>
          <w:szCs w:val="24"/>
        </w:rPr>
        <w:t xml:space="preserve">1.20. attēls. Nerezidentu un rezidentu noguldījumi Latvijas bankās (milj. </w:t>
      </w:r>
      <w:r w:rsidRPr="009D6584">
        <w:rPr>
          <w:rFonts w:cs="Times New Roman"/>
          <w:b/>
          <w:i/>
          <w:szCs w:val="24"/>
        </w:rPr>
        <w:t>euro</w:t>
      </w:r>
      <w:r w:rsidRPr="009D6584">
        <w:rPr>
          <w:rFonts w:cs="Times New Roman"/>
          <w:b/>
          <w:szCs w:val="24"/>
        </w:rPr>
        <w:t>)</w:t>
      </w:r>
    </w:p>
    <w:p w14:paraId="328F2F30" w14:textId="77777777" w:rsidR="005F21ED" w:rsidRPr="009D6584" w:rsidRDefault="005F21ED" w:rsidP="00D576BB">
      <w:pPr>
        <w:rPr>
          <w:rFonts w:eastAsia="Calibri" w:cs="Times New Roman"/>
          <w:szCs w:val="24"/>
        </w:rPr>
      </w:pPr>
    </w:p>
    <w:p w14:paraId="2812648B" w14:textId="0A7E83B3" w:rsidR="00D576BB" w:rsidRPr="00D576BB" w:rsidRDefault="00D576BB" w:rsidP="00D576BB">
      <w:pPr>
        <w:rPr>
          <w:rFonts w:eastAsia="Calibri" w:cs="Times New Roman"/>
          <w:szCs w:val="24"/>
        </w:rPr>
      </w:pPr>
      <w:r w:rsidRPr="00D576BB">
        <w:rPr>
          <w:rFonts w:eastAsia="Calibri" w:cs="Times New Roman"/>
          <w:szCs w:val="24"/>
        </w:rPr>
        <w:t xml:space="preserve">2021. gadā kopējie banku aktīvi turpināja pieaugt, pirmajos astoņos mēnešos gada pieaugums bija 10,7%. Arī kopējais Latvijas mājsaimniecībām jaunizsniegto kredītu apjoms mājokļa iegādei 2021. gada septiņos mēnešos ir sasniedzis 478,2 milj. </w:t>
      </w:r>
      <w:r w:rsidRPr="00D576BB">
        <w:rPr>
          <w:rFonts w:eastAsia="Calibri" w:cs="Times New Roman"/>
          <w:i/>
          <w:szCs w:val="24"/>
        </w:rPr>
        <w:t>euro</w:t>
      </w:r>
      <w:r w:rsidRPr="00D576BB">
        <w:rPr>
          <w:rFonts w:eastAsia="Calibri" w:cs="Times New Roman"/>
          <w:szCs w:val="24"/>
        </w:rPr>
        <w:t xml:space="preserve"> un ir par 75,1% lielāks nekā attiecīgajā periodā pērn, kas ir arī absolūti lielākais kāpums kopš 2015. gada (1.21. attēls). Tomēr citas kredītu kategorijas pagaidām neuzrāda šādu kāpumu.</w:t>
      </w:r>
    </w:p>
    <w:p w14:paraId="64A7EC87" w14:textId="77777777" w:rsidR="00D576BB" w:rsidRPr="00D576BB" w:rsidRDefault="00D576BB" w:rsidP="00D576BB">
      <w:pPr>
        <w:rPr>
          <w:rFonts w:eastAsia="Calibri" w:cs="Times New Roman"/>
          <w:szCs w:val="24"/>
        </w:rPr>
      </w:pPr>
      <w:r w:rsidRPr="00D576BB">
        <w:rPr>
          <w:rFonts w:eastAsia="Calibri" w:cs="Times New Roman"/>
          <w:szCs w:val="24"/>
        </w:rPr>
        <w:t xml:space="preserve">Tāpat kā iepriekšējos gados, arī 2021. gadā savu devumu Latvijas tautsaimniecības kreditēšanā ir sniegusi valsts attīstības finanšu institūcija ALTUM, </w:t>
      </w:r>
      <w:r w:rsidRPr="00D576BB">
        <w:rPr>
          <w:rFonts w:cs="Times New Roman"/>
          <w:szCs w:val="24"/>
        </w:rPr>
        <w:t>pirmajā pusgadā</w:t>
      </w:r>
      <w:r w:rsidRPr="00D576BB">
        <w:rPr>
          <w:rFonts w:eastAsia="Calibri" w:cs="Times New Roman"/>
          <w:szCs w:val="24"/>
        </w:rPr>
        <w:t xml:space="preserve"> kredītportfeli palielinot </w:t>
      </w:r>
      <w:r w:rsidRPr="00D576BB">
        <w:rPr>
          <w:rFonts w:cs="Times New Roman"/>
          <w:szCs w:val="24"/>
        </w:rPr>
        <w:t xml:space="preserve">par 55,4 milj. </w:t>
      </w:r>
      <w:r w:rsidRPr="00D576BB">
        <w:rPr>
          <w:rFonts w:cs="Times New Roman"/>
          <w:i/>
          <w:szCs w:val="24"/>
        </w:rPr>
        <w:t>euro</w:t>
      </w:r>
      <w:r w:rsidRPr="00D576BB">
        <w:rPr>
          <w:rFonts w:cs="Times New Roman"/>
          <w:szCs w:val="24"/>
        </w:rPr>
        <w:t xml:space="preserve"> jeb par 6,9% salīdzinājumā ar 2020. gada pirmo pusgadu</w:t>
      </w:r>
      <w:r w:rsidRPr="00D576BB">
        <w:rPr>
          <w:rFonts w:eastAsia="Calibri" w:cs="Times New Roman"/>
          <w:szCs w:val="24"/>
        </w:rPr>
        <w:t xml:space="preserve">. </w:t>
      </w:r>
      <w:r w:rsidRPr="00D576BB">
        <w:rPr>
          <w:rFonts w:cs="Times New Roman"/>
          <w:szCs w:val="24"/>
        </w:rPr>
        <w:t xml:space="preserve">2021. gada pirmajā pusgadā visos segmentos bija vērojams apjoma pieaugums. Lielākais kāpums sasniegts privātpersonu kreditēšanā, kopējam kredītportfelim pieaugot par 24,5 milj. </w:t>
      </w:r>
      <w:r w:rsidRPr="00D576BB">
        <w:rPr>
          <w:rFonts w:cs="Times New Roman"/>
          <w:i/>
          <w:szCs w:val="24"/>
        </w:rPr>
        <w:t>euro</w:t>
      </w:r>
      <w:r w:rsidRPr="00D576BB">
        <w:rPr>
          <w:rFonts w:cs="Times New Roman"/>
          <w:szCs w:val="24"/>
        </w:rPr>
        <w:t xml:space="preserve"> (+15%), kas ir ievērojami vairāk nekā 2020. gada pirmajā pusgadā.</w:t>
      </w:r>
    </w:p>
    <w:p w14:paraId="1929F48D" w14:textId="77777777" w:rsidR="00D576BB" w:rsidRPr="00D576BB" w:rsidRDefault="00D576BB" w:rsidP="00D576BB">
      <w:pPr>
        <w:rPr>
          <w:rFonts w:eastAsia="Calibri" w:cs="Times New Roman"/>
          <w:szCs w:val="24"/>
        </w:rPr>
      </w:pPr>
      <w:r w:rsidRPr="00D576BB">
        <w:rPr>
          <w:rFonts w:eastAsia="Calibri" w:cs="Times New Roman"/>
          <w:szCs w:val="24"/>
        </w:rPr>
        <w:t>Ja 2020. gadā Covid</w:t>
      </w:r>
      <w:r w:rsidRPr="00D576BB">
        <w:rPr>
          <w:rFonts w:eastAsia="Calibri" w:cs="Times New Roman"/>
          <w:szCs w:val="24"/>
        </w:rPr>
        <w:noBreakHyphen/>
        <w:t xml:space="preserve">19 ierobežojumi un nenoteiktība jūtami mazināja mājsaimniecību vēlmi kreditēties, tad ALTUM mājokļu garantiju programmā (ģimenēm ar bērniem) 2021. gada pirmajā pusgadā izsniegto garantiju apjoms, salīdzinot ar 2020. gada pirmo pusgadu, palielinājās par 90%, sasniedzot 17,1 milj. </w:t>
      </w:r>
      <w:r w:rsidRPr="00D576BB">
        <w:rPr>
          <w:rFonts w:eastAsia="Calibri" w:cs="Times New Roman"/>
          <w:i/>
          <w:szCs w:val="24"/>
        </w:rPr>
        <w:t>euro</w:t>
      </w:r>
      <w:r w:rsidRPr="00D576BB">
        <w:rPr>
          <w:rFonts w:eastAsia="Calibri" w:cs="Times New Roman"/>
          <w:szCs w:val="24"/>
        </w:rPr>
        <w:t>.</w:t>
      </w:r>
    </w:p>
    <w:p w14:paraId="446B4C46" w14:textId="77777777" w:rsidR="00D576BB" w:rsidRPr="00D576BB" w:rsidRDefault="00D576BB" w:rsidP="00D576BB">
      <w:pPr>
        <w:rPr>
          <w:rFonts w:eastAsia="Calibri" w:cs="Times New Roman"/>
          <w:szCs w:val="24"/>
        </w:rPr>
      </w:pPr>
      <w:r w:rsidRPr="00D576BB">
        <w:rPr>
          <w:rFonts w:cs="Times New Roman"/>
          <w:noProof/>
          <w:szCs w:val="24"/>
        </w:rPr>
        <w:lastRenderedPageBreak/>
        <w:drawing>
          <wp:inline distT="0" distB="0" distL="0" distR="0" wp14:anchorId="5546B236" wp14:editId="142FB143">
            <wp:extent cx="5274310" cy="3397885"/>
            <wp:effectExtent l="0" t="0" r="2540" b="0"/>
            <wp:docPr id="26" name="Chart 26">
              <a:extLst xmlns:a="http://schemas.openxmlformats.org/drawingml/2006/main">
                <a:ext uri="{FF2B5EF4-FFF2-40B4-BE49-F238E27FC236}">
                  <a16:creationId xmlns:a16="http://schemas.microsoft.com/office/drawing/2014/main" id="{7A180801-A3B9-4FB1-B4B4-A786BFE4FA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6FD6E32" w14:textId="55D0E23B" w:rsidR="00C56B24" w:rsidRPr="009D6584" w:rsidRDefault="00C56B24" w:rsidP="00C56B24">
      <w:pPr>
        <w:keepNext/>
        <w:spacing w:before="60" w:after="0"/>
        <w:ind w:firstLine="0"/>
        <w:jc w:val="center"/>
        <w:rPr>
          <w:rFonts w:cs="Times New Roman"/>
          <w:b/>
          <w:szCs w:val="24"/>
        </w:rPr>
      </w:pPr>
      <w:r w:rsidRPr="009D6584">
        <w:rPr>
          <w:rFonts w:cs="Times New Roman"/>
          <w:b/>
          <w:szCs w:val="24"/>
        </w:rPr>
        <w:t>1.21. attēls</w:t>
      </w:r>
      <w:r w:rsidR="009D6584">
        <w:rPr>
          <w:rFonts w:cs="Times New Roman"/>
          <w:b/>
          <w:szCs w:val="24"/>
        </w:rPr>
        <w:t>.</w:t>
      </w:r>
      <w:r w:rsidRPr="009D6584">
        <w:rPr>
          <w:rFonts w:cs="Times New Roman"/>
          <w:b/>
          <w:szCs w:val="24"/>
        </w:rPr>
        <w:t xml:space="preserve"> Rezidentiem izsniegtie jaunie kredīti</w:t>
      </w:r>
      <w:r w:rsidRPr="009D6584">
        <w:rPr>
          <w:rFonts w:cs="Times New Roman"/>
          <w:b/>
          <w:szCs w:val="24"/>
        </w:rPr>
        <w:br/>
        <w:t xml:space="preserve">(bez refinansētiem kredītiem, milj. </w:t>
      </w:r>
      <w:r w:rsidRPr="009D6584">
        <w:rPr>
          <w:rFonts w:cs="Times New Roman"/>
          <w:b/>
          <w:i/>
          <w:szCs w:val="24"/>
        </w:rPr>
        <w:t>euro</w:t>
      </w:r>
      <w:r w:rsidRPr="009D6584">
        <w:rPr>
          <w:rFonts w:cs="Times New Roman"/>
          <w:b/>
          <w:szCs w:val="24"/>
        </w:rPr>
        <w:t>)</w:t>
      </w:r>
    </w:p>
    <w:p w14:paraId="523FFE6C" w14:textId="77777777" w:rsidR="00C56B24" w:rsidRDefault="00C56B24" w:rsidP="00D576BB">
      <w:pPr>
        <w:rPr>
          <w:rFonts w:eastAsia="Calibri" w:cs="Times New Roman"/>
          <w:szCs w:val="24"/>
        </w:rPr>
      </w:pPr>
    </w:p>
    <w:p w14:paraId="635A009B" w14:textId="6ED4D480" w:rsidR="00D576BB" w:rsidRPr="00D576BB" w:rsidRDefault="00D576BB" w:rsidP="00D576BB">
      <w:pPr>
        <w:rPr>
          <w:rFonts w:eastAsia="Calibri" w:cs="Times New Roman"/>
          <w:szCs w:val="24"/>
        </w:rPr>
      </w:pPr>
      <w:r w:rsidRPr="00D576BB">
        <w:rPr>
          <w:rFonts w:eastAsia="Calibri" w:cs="Times New Roman"/>
          <w:szCs w:val="24"/>
        </w:rPr>
        <w:t>Saskaņā ar banku uzrauga un regulatora Finanšu u</w:t>
      </w:r>
      <w:r w:rsidR="00C56B24">
        <w:rPr>
          <w:rFonts w:eastAsia="Calibri" w:cs="Times New Roman"/>
          <w:szCs w:val="24"/>
        </w:rPr>
        <w:t xml:space="preserve">n kapitāla tirgus komisijas </w:t>
      </w:r>
      <w:r w:rsidRPr="00D576BB">
        <w:rPr>
          <w:rFonts w:eastAsia="Calibri" w:cs="Times New Roman"/>
          <w:szCs w:val="24"/>
        </w:rPr>
        <w:t xml:space="preserve">apkopojumu, 2020. gadā banku sektors darbojās ar peļņu aptuveni 154 milj. </w:t>
      </w:r>
      <w:r w:rsidRPr="00D576BB">
        <w:rPr>
          <w:rFonts w:eastAsia="Calibri" w:cs="Times New Roman"/>
          <w:i/>
          <w:szCs w:val="24"/>
        </w:rPr>
        <w:t>euro</w:t>
      </w:r>
      <w:r w:rsidRPr="00D576BB">
        <w:rPr>
          <w:rFonts w:eastAsia="Calibri" w:cs="Times New Roman"/>
          <w:szCs w:val="24"/>
        </w:rPr>
        <w:t xml:space="preserve"> apmērā un arī kredītportfeļa kvalitāte 2020. gadā ir uzlabojusies, ienākumus nenesošo kredītu īpatsvaram samazinoties līdz 4,7% no kopējā kredītportfeļa jeb par vienu procentpunktu salīdzinājumā ar 2019. gadā.</w:t>
      </w:r>
    </w:p>
    <w:p w14:paraId="0ED618B9" w14:textId="484AFDDA" w:rsidR="00D576BB" w:rsidRPr="00D576BB" w:rsidRDefault="00D576BB" w:rsidP="00D576BB">
      <w:pPr>
        <w:rPr>
          <w:rFonts w:eastAsia="Calibri" w:cs="Times New Roman"/>
          <w:szCs w:val="24"/>
        </w:rPr>
      </w:pPr>
      <w:r w:rsidRPr="00D576BB">
        <w:rPr>
          <w:rFonts w:eastAsia="Calibri" w:cs="Times New Roman"/>
          <w:szCs w:val="24"/>
        </w:rPr>
        <w:t xml:space="preserve">Pēc </w:t>
      </w:r>
      <w:r w:rsidR="00C56B24" w:rsidRPr="00D576BB">
        <w:rPr>
          <w:rFonts w:eastAsia="Calibri" w:cs="Times New Roman"/>
          <w:szCs w:val="24"/>
        </w:rPr>
        <w:t>Finanšu u</w:t>
      </w:r>
      <w:r w:rsidR="00C56B24">
        <w:rPr>
          <w:rFonts w:eastAsia="Calibri" w:cs="Times New Roman"/>
          <w:szCs w:val="24"/>
        </w:rPr>
        <w:t>n kapitāla tirgus komisijas</w:t>
      </w:r>
      <w:r w:rsidRPr="00D576BB">
        <w:rPr>
          <w:rFonts w:eastAsia="Calibri" w:cs="Times New Roman"/>
          <w:szCs w:val="24"/>
        </w:rPr>
        <w:t xml:space="preserve"> informācijas, arī apdrošināšanas sabiedrību darbību Covid-19 krīze 2020. gadā ietekmēja minimāli. Apdrošināšanas nozare kopumā ir kāpinājusi peļņas apjomus un kopējā apdrošināšanas nozares peļņa 2020. gadā sasniedza 53 milj. </w:t>
      </w:r>
      <w:r w:rsidRPr="00D576BB">
        <w:rPr>
          <w:rFonts w:eastAsia="Calibri" w:cs="Times New Roman"/>
          <w:i/>
          <w:szCs w:val="24"/>
        </w:rPr>
        <w:t>euro</w:t>
      </w:r>
      <w:r w:rsidRPr="00D576BB">
        <w:rPr>
          <w:rFonts w:eastAsia="Calibri" w:cs="Times New Roman"/>
          <w:szCs w:val="24"/>
        </w:rPr>
        <w:t>, kas ir 73% kāpums pret 2019. gadu. Kopējais parakstīto prēmiju apjoms pagājušajā gadā ir krities par 6%, bet izmaksāto atlīdzību apjoms samazinājās straujāk – par 8%.</w:t>
      </w:r>
    </w:p>
    <w:p w14:paraId="467F1F96" w14:textId="77777777" w:rsidR="00D576BB" w:rsidRPr="00D576BB" w:rsidRDefault="00D576BB" w:rsidP="00D576BB">
      <w:pPr>
        <w:rPr>
          <w:rFonts w:eastAsia="Calibri" w:cs="Times New Roman"/>
          <w:szCs w:val="24"/>
        </w:rPr>
      </w:pPr>
      <w:r w:rsidRPr="00D576BB">
        <w:rPr>
          <w:rFonts w:eastAsia="Calibri" w:cs="Times New Roman"/>
          <w:szCs w:val="24"/>
        </w:rPr>
        <w:t>Arī ieguldījumu fondu un alternatīvo ieguldījumu fondu darbība 2020. gadā ir bijusi samērā noturīga pret Covid</w:t>
      </w:r>
      <w:r w:rsidRPr="00D576BB">
        <w:rPr>
          <w:rFonts w:eastAsia="Calibri" w:cs="Times New Roman"/>
          <w:szCs w:val="24"/>
        </w:rPr>
        <w:noBreakHyphen/>
        <w:t xml:space="preserve">19 krīzi un to aktīvu apjoms 2020. gadā ir audzis par attiecīgi 9% ieguldījumu fondiem un 12% alternatīvo ieguldījumu fondiem, sasniedzot attiecīgi 248 milj. </w:t>
      </w:r>
      <w:r w:rsidRPr="00D576BB">
        <w:rPr>
          <w:rFonts w:eastAsia="Calibri" w:cs="Times New Roman"/>
          <w:i/>
          <w:szCs w:val="24"/>
        </w:rPr>
        <w:t>euro</w:t>
      </w:r>
      <w:r w:rsidRPr="00D576BB">
        <w:rPr>
          <w:rFonts w:eastAsia="Calibri" w:cs="Times New Roman"/>
          <w:szCs w:val="24"/>
        </w:rPr>
        <w:t xml:space="preserve"> un 224 milj. </w:t>
      </w:r>
      <w:r w:rsidRPr="00D576BB">
        <w:rPr>
          <w:rFonts w:eastAsia="Calibri" w:cs="Times New Roman"/>
          <w:i/>
          <w:szCs w:val="24"/>
        </w:rPr>
        <w:t>euro</w:t>
      </w:r>
      <w:r w:rsidRPr="00D576BB">
        <w:rPr>
          <w:rFonts w:eastAsia="Calibri" w:cs="Times New Roman"/>
          <w:szCs w:val="24"/>
        </w:rPr>
        <w:t xml:space="preserve">. Latvijas kapitāla tirgū regulētā tirgus kapitalizācija 2020. gadā ir augusi par 6,1%, sasniedzot 2,89 miljardus </w:t>
      </w:r>
      <w:r w:rsidRPr="00D576BB">
        <w:rPr>
          <w:rFonts w:eastAsia="Calibri" w:cs="Times New Roman"/>
          <w:i/>
          <w:szCs w:val="24"/>
        </w:rPr>
        <w:t>euro</w:t>
      </w:r>
      <w:r w:rsidRPr="00D576BB">
        <w:rPr>
          <w:rFonts w:eastAsia="Calibri" w:cs="Times New Roman"/>
          <w:szCs w:val="24"/>
        </w:rPr>
        <w:t xml:space="preserve">, savukārt neregulētā tirgus kapitalizācija palielinājusies par 163,3%, sasniedzot 83,3 milj. </w:t>
      </w:r>
      <w:r w:rsidRPr="00D576BB">
        <w:rPr>
          <w:rFonts w:eastAsia="Calibri" w:cs="Times New Roman"/>
          <w:i/>
          <w:szCs w:val="24"/>
        </w:rPr>
        <w:t>euro</w:t>
      </w:r>
      <w:r w:rsidRPr="00D576BB">
        <w:rPr>
          <w:rFonts w:eastAsia="Calibri" w:cs="Times New Roman"/>
          <w:szCs w:val="24"/>
        </w:rPr>
        <w:t xml:space="preserve">. Valsts fondēto pensiju shēmas kopējos aktīvos un privāto pensiju fondu kopējos aktīvos 2020. gadā ir fiksēts pieaugums attiecīgi par 13% un 9%, sasniedzot kopējos aktīvu apjomus attiecīgi 5,1 miljards </w:t>
      </w:r>
      <w:r w:rsidRPr="00D576BB">
        <w:rPr>
          <w:rFonts w:eastAsia="Calibri" w:cs="Times New Roman"/>
          <w:i/>
          <w:szCs w:val="24"/>
        </w:rPr>
        <w:t>euro</w:t>
      </w:r>
      <w:r w:rsidRPr="00D576BB">
        <w:rPr>
          <w:rFonts w:eastAsia="Calibri" w:cs="Times New Roman"/>
          <w:szCs w:val="24"/>
        </w:rPr>
        <w:t xml:space="preserve"> un 0,6 miljardi </w:t>
      </w:r>
      <w:r w:rsidRPr="00D576BB">
        <w:rPr>
          <w:rFonts w:eastAsia="Calibri" w:cs="Times New Roman"/>
          <w:i/>
          <w:szCs w:val="24"/>
        </w:rPr>
        <w:t>euro</w:t>
      </w:r>
      <w:r w:rsidRPr="00D576BB">
        <w:rPr>
          <w:rFonts w:eastAsia="Calibri" w:cs="Times New Roman"/>
          <w:szCs w:val="24"/>
        </w:rPr>
        <w:t>.</w:t>
      </w:r>
    </w:p>
    <w:p w14:paraId="15EBA80B" w14:textId="77777777" w:rsidR="00D576BB" w:rsidRPr="00D576BB" w:rsidRDefault="00D576BB" w:rsidP="00D576BB">
      <w:pPr>
        <w:spacing w:before="240" w:after="240"/>
        <w:jc w:val="center"/>
        <w:rPr>
          <w:rFonts w:eastAsia="Calibri" w:cs="Times New Roman"/>
          <w:b/>
          <w:szCs w:val="24"/>
        </w:rPr>
      </w:pPr>
      <w:r w:rsidRPr="00D576BB">
        <w:rPr>
          <w:rFonts w:eastAsia="Calibri" w:cs="Times New Roman"/>
          <w:b/>
          <w:szCs w:val="24"/>
        </w:rPr>
        <w:t>Lauksaimniecība</w:t>
      </w:r>
    </w:p>
    <w:p w14:paraId="0C9A6CB7" w14:textId="77777777" w:rsidR="00D576BB" w:rsidRPr="00D576BB" w:rsidRDefault="00D576BB" w:rsidP="00D576BB">
      <w:pPr>
        <w:rPr>
          <w:rFonts w:eastAsia="Calibri" w:cs="Times New Roman"/>
          <w:szCs w:val="24"/>
        </w:rPr>
      </w:pPr>
      <w:r w:rsidRPr="00D576BB">
        <w:rPr>
          <w:rFonts w:eastAsia="Calibri" w:cs="Times New Roman"/>
          <w:szCs w:val="24"/>
        </w:rPr>
        <w:t xml:space="preserve">Lauksaimniecības nozari veido mežsaimniecība, zivsaimniecība un lauksaimniecība (lopkopība un augkopība). Lauksaimniecība ir viena no nozarēm, kuras darbību Covid-19 krīze </w:t>
      </w:r>
      <w:r w:rsidRPr="00D576BB">
        <w:rPr>
          <w:rFonts w:eastAsia="Calibri" w:cs="Times New Roman"/>
          <w:szCs w:val="24"/>
        </w:rPr>
        <w:lastRenderedPageBreak/>
        <w:t>tieši skārusi vismazāk, un nozares īpatsvars kopējā pievienotajā vērtībā 2020. gadā sasniedza 4,0%, salīdzinājumā ar 2019. gadu palielinoties par 0,2 procentpunktiem.</w:t>
      </w:r>
    </w:p>
    <w:p w14:paraId="1B495D3C" w14:textId="72999035" w:rsidR="00D576BB" w:rsidRPr="00D576BB" w:rsidRDefault="00D576BB" w:rsidP="00D576BB">
      <w:pPr>
        <w:rPr>
          <w:rFonts w:eastAsia="Calibri" w:cs="Times New Roman"/>
          <w:szCs w:val="24"/>
        </w:rPr>
      </w:pPr>
      <w:r w:rsidRPr="00D576BB">
        <w:rPr>
          <w:rFonts w:eastAsia="Calibri" w:cs="Times New Roman"/>
          <w:szCs w:val="24"/>
        </w:rPr>
        <w:t xml:space="preserve"> Lauksaimniecībā 2020. gadā bija nodarbināti 64,3 tūkst. jeb 7,2% no kopējā tautsaimniecībā nodarbināto skaita. Kopš 2008. gada lauksaimniecībā novērota nodarbināto skaita samazināšanās, kas skaidrojama galvenokārt ar industrializācijas attīstību, nomainot fizisko darbaspēku ar automatizētām iekārtām. Arī 2020. gadā nodarbināto skaits nozarē samazinājās par 3% salīdzinājumā ar 2019.</w:t>
      </w:r>
      <w:r w:rsidR="00C56B24">
        <w:rPr>
          <w:rFonts w:eastAsia="Calibri" w:cs="Times New Roman"/>
          <w:szCs w:val="24"/>
        </w:rPr>
        <w:t xml:space="preserve"> </w:t>
      </w:r>
      <w:r w:rsidRPr="00D576BB">
        <w:rPr>
          <w:rFonts w:eastAsia="Calibri" w:cs="Times New Roman"/>
          <w:szCs w:val="24"/>
        </w:rPr>
        <w:t>gadu.</w:t>
      </w:r>
    </w:p>
    <w:p w14:paraId="688A757A" w14:textId="77777777" w:rsidR="00D576BB" w:rsidRPr="00D576BB" w:rsidRDefault="00D576BB" w:rsidP="00D576BB">
      <w:pPr>
        <w:rPr>
          <w:rFonts w:eastAsia="Calibri" w:cs="Times New Roman"/>
          <w:szCs w:val="24"/>
        </w:rPr>
      </w:pPr>
      <w:r w:rsidRPr="00D576BB">
        <w:rPr>
          <w:rFonts w:eastAsia="Calibri" w:cs="Times New Roman"/>
          <w:szCs w:val="24"/>
        </w:rPr>
        <w:t>Lauksaimniecības pievienotā vērtība pēc straujā kāpuma 2019. gadā, pērn ir uzrādījusi vājāku izaugsmi 1,8% apmērā, vairāk pieaugot lopkopības un augkopības apakšnozarei, taču krītot zivsaimniecības pievienotajai vērtībai. Pieauguma tempa samazinājumam 2020. gadā sekoja 2,1% kritums šā gada pirmajā pusgadā, ko ietekmēja gan mežsaimniecības, gan lopkopības un augkopības pievienotās vērtības samazinājums, taču straujš pieaugums bija zivsaimniecības nozarē.</w:t>
      </w:r>
    </w:p>
    <w:p w14:paraId="2D73C2D5" w14:textId="77777777" w:rsidR="00D576BB" w:rsidRPr="00D576BB" w:rsidRDefault="00D576BB" w:rsidP="00D576BB">
      <w:pPr>
        <w:ind w:firstLine="709"/>
        <w:rPr>
          <w:rFonts w:cs="Times New Roman"/>
          <w:szCs w:val="24"/>
        </w:rPr>
      </w:pPr>
      <w:r w:rsidRPr="00D576BB">
        <w:rPr>
          <w:rFonts w:cs="Times New Roman"/>
          <w:noProof/>
          <w:szCs w:val="24"/>
        </w:rPr>
        <w:drawing>
          <wp:inline distT="0" distB="0" distL="0" distR="0" wp14:anchorId="04B0238C" wp14:editId="74505AEB">
            <wp:extent cx="4572000" cy="2369489"/>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A489BDE" w14:textId="527FDFCA" w:rsidR="00C56B24" w:rsidRPr="009D6584" w:rsidRDefault="00C56B24" w:rsidP="009D6584">
      <w:pPr>
        <w:keepNext/>
        <w:ind w:firstLine="0"/>
        <w:jc w:val="center"/>
        <w:rPr>
          <w:rFonts w:cs="Times New Roman"/>
          <w:b/>
          <w:szCs w:val="24"/>
        </w:rPr>
      </w:pPr>
      <w:r w:rsidRPr="009D6584">
        <w:rPr>
          <w:rFonts w:cs="Times New Roman"/>
          <w:b/>
          <w:szCs w:val="24"/>
        </w:rPr>
        <w:t>1.22. attēls. Lauksaimniecības nozares pievienotās vērtības struktūra 2020. gadā (%)</w:t>
      </w:r>
    </w:p>
    <w:p w14:paraId="4D0641FD" w14:textId="2D5A3FA6" w:rsidR="00D576BB" w:rsidRPr="00D576BB" w:rsidRDefault="00D576BB" w:rsidP="00D576BB">
      <w:pPr>
        <w:rPr>
          <w:rFonts w:eastAsia="Calibri" w:cs="Times New Roman"/>
          <w:szCs w:val="24"/>
        </w:rPr>
      </w:pPr>
      <w:r w:rsidRPr="00D576BB">
        <w:rPr>
          <w:rFonts w:eastAsia="Calibri" w:cs="Times New Roman"/>
          <w:szCs w:val="24"/>
        </w:rPr>
        <w:t>Lopkopības un augkopības apvienotā apakšnozare ir lielākā lauksaimniecības nozarē un 2020. gadā aizņēma 52% no kopējā sektora (1.22. attēls), kas bija par 2 procentpunktiem vairāk nekā 2019. gadā. Pateicoties labajai graudaugu ražai, augkopības produkcija pēc 39,9% kāpuma 2019. gadā pagājušajā gadā ir palielinājusies vēl par 5%, bet lopkopības produkcijas apjomi pēdējos gados ir saglabājušies stabili (1.23. attēls). Tā kā 2021. gada vasara ir bijusi karsta un sausa, šā gada augkopības raža varētu būt mazāka nekā pērn.</w:t>
      </w:r>
    </w:p>
    <w:p w14:paraId="1F5DD5CD" w14:textId="77777777" w:rsidR="00D576BB" w:rsidRPr="00D576BB" w:rsidRDefault="00D576BB" w:rsidP="00D576BB">
      <w:pPr>
        <w:rPr>
          <w:rFonts w:cs="Times New Roman"/>
          <w:szCs w:val="24"/>
        </w:rPr>
      </w:pPr>
      <w:r w:rsidRPr="00D576BB">
        <w:rPr>
          <w:rFonts w:cs="Times New Roman"/>
          <w:noProof/>
          <w:szCs w:val="24"/>
        </w:rPr>
        <w:lastRenderedPageBreak/>
        <w:drawing>
          <wp:inline distT="0" distB="0" distL="0" distR="0" wp14:anchorId="49BCD7E4" wp14:editId="6CB31CAB">
            <wp:extent cx="5168348" cy="27432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8D8F0E1" w14:textId="031C8075" w:rsidR="00C56B24" w:rsidRPr="009D6584" w:rsidRDefault="00C56B24" w:rsidP="00C56B24">
      <w:pPr>
        <w:keepNext/>
        <w:jc w:val="center"/>
        <w:rPr>
          <w:rFonts w:cs="Times New Roman"/>
          <w:b/>
          <w:szCs w:val="24"/>
        </w:rPr>
      </w:pPr>
      <w:r w:rsidRPr="009D6584">
        <w:rPr>
          <w:rFonts w:cs="Times New Roman"/>
          <w:b/>
          <w:szCs w:val="24"/>
        </w:rPr>
        <w:t>1.23. attēls. Lauksaimniecības produkcijas indeksi</w:t>
      </w:r>
      <w:r w:rsidRPr="009D6584">
        <w:rPr>
          <w:rFonts w:cs="Times New Roman"/>
          <w:b/>
          <w:szCs w:val="24"/>
        </w:rPr>
        <w:br/>
        <w:t>(salīdzināmajās cenās, 2015=100)</w:t>
      </w:r>
    </w:p>
    <w:p w14:paraId="6DDFCF32" w14:textId="0D34ACE1" w:rsidR="00D576BB" w:rsidRPr="00D576BB" w:rsidRDefault="00D576BB" w:rsidP="00D576BB">
      <w:pPr>
        <w:rPr>
          <w:rFonts w:eastAsia="Calibri" w:cs="Times New Roman"/>
          <w:szCs w:val="24"/>
        </w:rPr>
      </w:pPr>
      <w:r w:rsidRPr="00D576BB">
        <w:rPr>
          <w:rFonts w:eastAsia="Calibri" w:cs="Times New Roman"/>
          <w:szCs w:val="24"/>
        </w:rPr>
        <w:t>Lauksaimniecības produkcijas cenas pēc 4,6% kāpuma 2019. gadā, 2020.gadā ir kritušās par 1,9%, salīdzinot ar iepriekšējo gadu. Tostarp augkopības produkcijas cenas pērn samazinājušās par 2,1% un lopkopības produkcijas cenas – par 3,7%, tajā skaitā piena produkcijas cenas – par 4,1% (1.24. attēls). Savukārt šā gada pirmā pusgada cenās vērojams pieaugums 1,4% apmērā, par 2,7% pieaugot augkopības un par 0,6% lopkopības produkcijas cenām, tajā skaitā piena cenām par 5,4%. No augkopības produkcijas pirmajā pusgadā visstraujāk pieauga miežu cenas, turpretī lētāki ir kļuvuši kartupeļi. Savukārt lopkopībā strauji ir augusi broileru cena, tajā pašā laikā cūku cena strauji kritusi.</w:t>
      </w:r>
    </w:p>
    <w:p w14:paraId="69694762" w14:textId="77777777" w:rsidR="00D576BB" w:rsidRPr="00D576BB" w:rsidRDefault="00D576BB" w:rsidP="00D576BB">
      <w:pPr>
        <w:rPr>
          <w:rFonts w:cs="Times New Roman"/>
          <w:b/>
          <w:i/>
          <w:szCs w:val="24"/>
        </w:rPr>
      </w:pPr>
      <w:r w:rsidRPr="00D576BB">
        <w:rPr>
          <w:rFonts w:cs="Times New Roman"/>
          <w:noProof/>
          <w:szCs w:val="24"/>
        </w:rPr>
        <w:drawing>
          <wp:inline distT="0" distB="0" distL="0" distR="0" wp14:anchorId="2E5FB9F8" wp14:editId="296E1DA9">
            <wp:extent cx="5274310" cy="2424023"/>
            <wp:effectExtent l="0" t="0" r="254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576FA00" w14:textId="1DABFDFD" w:rsidR="00C56B24" w:rsidRPr="009D6584" w:rsidRDefault="00C56B24" w:rsidP="00C56B24">
      <w:pPr>
        <w:keepNext/>
        <w:jc w:val="center"/>
        <w:rPr>
          <w:rFonts w:eastAsia="Times New Roman" w:cs="Times New Roman"/>
          <w:szCs w:val="24"/>
        </w:rPr>
      </w:pPr>
      <w:r w:rsidRPr="009D6584">
        <w:rPr>
          <w:rFonts w:eastAsia="Times New Roman" w:cs="Times New Roman"/>
          <w:b/>
          <w:szCs w:val="24"/>
        </w:rPr>
        <w:t>1.24. attēls</w:t>
      </w:r>
      <w:r w:rsidR="009D6584">
        <w:rPr>
          <w:rFonts w:eastAsia="Times New Roman" w:cs="Times New Roman"/>
          <w:b/>
          <w:szCs w:val="24"/>
        </w:rPr>
        <w:t>.</w:t>
      </w:r>
      <w:r w:rsidRPr="009D6584">
        <w:rPr>
          <w:rFonts w:eastAsia="Times New Roman" w:cs="Times New Roman"/>
          <w:b/>
          <w:szCs w:val="24"/>
        </w:rPr>
        <w:t xml:space="preserve"> Lauksaimniecības produkcijas cenas (</w:t>
      </w:r>
      <w:r w:rsidRPr="009D6584">
        <w:rPr>
          <w:rFonts w:eastAsia="Times New Roman" w:cs="Times New Roman"/>
          <w:b/>
          <w:i/>
          <w:szCs w:val="24"/>
        </w:rPr>
        <w:t>euro</w:t>
      </w:r>
      <w:r w:rsidRPr="009D6584">
        <w:rPr>
          <w:rFonts w:eastAsia="Times New Roman" w:cs="Times New Roman"/>
          <w:b/>
          <w:szCs w:val="24"/>
        </w:rPr>
        <w:t xml:space="preserve"> par 1 tonnu)</w:t>
      </w:r>
    </w:p>
    <w:p w14:paraId="06E47A6F" w14:textId="04185B66" w:rsidR="00D576BB" w:rsidRPr="00D576BB" w:rsidRDefault="00D576BB" w:rsidP="00D576BB">
      <w:pPr>
        <w:rPr>
          <w:rFonts w:eastAsia="Calibri" w:cs="Times New Roman"/>
          <w:szCs w:val="24"/>
        </w:rPr>
      </w:pPr>
      <w:r w:rsidRPr="00D576BB">
        <w:rPr>
          <w:rFonts w:eastAsia="Calibri" w:cs="Times New Roman"/>
          <w:szCs w:val="24"/>
        </w:rPr>
        <w:t xml:space="preserve">Mežsaimniecība un mežizstrāde, kas 2020. gadā veidoja 45% </w:t>
      </w:r>
      <w:r w:rsidRPr="00D576BB">
        <w:rPr>
          <w:rFonts w:cs="Times New Roman"/>
          <w:szCs w:val="24"/>
        </w:rPr>
        <w:t>no Latvijas lauksaimniecības sektora, pagājušajā gadā palielinājās par</w:t>
      </w:r>
      <w:r w:rsidRPr="00D576BB">
        <w:rPr>
          <w:rFonts w:eastAsia="Calibri" w:cs="Times New Roman"/>
          <w:szCs w:val="24"/>
        </w:rPr>
        <w:t xml:space="preserve"> 1,1%, gada sākumā nozarei sarūkot, bet pēdējā ceturksnī uzrādot strauju pieaugumu. Šā gada pirmajā pusgadā mežsaimniecībā un mežizstrādē bijis samazinājums 1,4% apmērā,</w:t>
      </w:r>
      <w:r w:rsidRPr="00D576BB">
        <w:rPr>
          <w:rFonts w:cs="Times New Roman"/>
          <w:szCs w:val="24"/>
        </w:rPr>
        <w:t xml:space="preserve"> </w:t>
      </w:r>
      <w:r w:rsidRPr="00D576BB">
        <w:rPr>
          <w:rFonts w:eastAsia="Calibri" w:cs="Times New Roman"/>
          <w:szCs w:val="24"/>
        </w:rPr>
        <w:t xml:space="preserve">lielākam sarukumam izpaužoties pirmajā </w:t>
      </w:r>
      <w:r w:rsidRPr="00D576BB">
        <w:rPr>
          <w:rFonts w:eastAsia="Calibri" w:cs="Times New Roman"/>
          <w:szCs w:val="24"/>
        </w:rPr>
        <w:lastRenderedPageBreak/>
        <w:t>ceturksnī, kad mežistrādes nozari var būt ietekmējuši laika apstākļi. Vienlaikus nozares attīstību šogad veicina strauji pieaugušās kokmateriālu cenas, stimulējot paplašināt mežistrādes apjomus un nodrošinot papildus resursus meža kopšanai un atjaunošanai.</w:t>
      </w:r>
    </w:p>
    <w:p w14:paraId="0639A329" w14:textId="77777777" w:rsidR="00D576BB" w:rsidRPr="00D576BB" w:rsidRDefault="00D576BB" w:rsidP="00D576BB">
      <w:pPr>
        <w:ind w:firstLine="709"/>
        <w:rPr>
          <w:rFonts w:cs="Times New Roman"/>
          <w:color w:val="000000" w:themeColor="text1"/>
          <w:szCs w:val="24"/>
        </w:rPr>
      </w:pPr>
      <w:r w:rsidRPr="00D576BB">
        <w:rPr>
          <w:rFonts w:cs="Times New Roman"/>
          <w:szCs w:val="24"/>
        </w:rPr>
        <w:t xml:space="preserve">Zivsaimniecība ir pārliecinoši mazākā no lauksaimniecības nozarēm, veidojot 3% no lauksaimniecības pievienotās vērtības. Pērn zivsaimniecības pievienotā vērtība samazinājās par 5,8%, ko ietekmēja straujš kritums pirmajā pusgadā. Savukārt šā gada pirmajā pusgadā </w:t>
      </w:r>
      <w:r w:rsidRPr="00D576BB">
        <w:rPr>
          <w:rFonts w:cs="Times New Roman"/>
          <w:color w:val="000000" w:themeColor="text1"/>
          <w:szCs w:val="24"/>
        </w:rPr>
        <w:t>zivsaimniecības pievienotā vērtība ir augusi par 23,4%.</w:t>
      </w:r>
    </w:p>
    <w:p w14:paraId="7296DCA0" w14:textId="27198E7B" w:rsidR="00D576BB" w:rsidRPr="00C56B24" w:rsidRDefault="00D576BB" w:rsidP="00C56B24">
      <w:pPr>
        <w:ind w:firstLine="709"/>
        <w:rPr>
          <w:rFonts w:cs="Times New Roman"/>
          <w:color w:val="000000" w:themeColor="text1"/>
          <w:szCs w:val="24"/>
        </w:rPr>
      </w:pPr>
      <w:r w:rsidRPr="00D576BB">
        <w:rPr>
          <w:rFonts w:cs="Times New Roman"/>
          <w:color w:val="000000" w:themeColor="text1"/>
          <w:szCs w:val="24"/>
        </w:rPr>
        <w:t>2021. gadā lauksaimniecības nozares attīstību pozitīvi var ietekmēt cenu pieaugums, kas atsācies pēc Covid-19 krīzes, taču karstie laika apstākļi un mazais nokrišņu daudzums vasarā var</w:t>
      </w:r>
      <w:r w:rsidR="00C56B24">
        <w:rPr>
          <w:rFonts w:cs="Times New Roman"/>
          <w:color w:val="000000" w:themeColor="text1"/>
          <w:szCs w:val="24"/>
        </w:rPr>
        <w:t xml:space="preserve"> būt samazinājis ražas apjomus.</w:t>
      </w:r>
    </w:p>
    <w:p w14:paraId="092A45C3" w14:textId="23395C50" w:rsidR="00D576BB" w:rsidRDefault="005774F8" w:rsidP="005774F8">
      <w:pPr>
        <w:pStyle w:val="Heading3"/>
        <w:numPr>
          <w:ilvl w:val="0"/>
          <w:numId w:val="0"/>
        </w:numPr>
        <w:ind w:left="720"/>
      </w:pPr>
      <w:bookmarkStart w:id="5" w:name="_Toc84756388"/>
      <w:r>
        <w:t xml:space="preserve">1.2.3. </w:t>
      </w:r>
      <w:r w:rsidR="000548A5" w:rsidRPr="002C516C">
        <w:t>Inflācija</w:t>
      </w:r>
      <w:bookmarkEnd w:id="5"/>
    </w:p>
    <w:p w14:paraId="5D4D3B66" w14:textId="77777777" w:rsidR="00D576BB" w:rsidRPr="00D576BB" w:rsidRDefault="00D576BB" w:rsidP="00D576BB">
      <w:pPr>
        <w:rPr>
          <w:rFonts w:eastAsia="Calibri" w:cs="Times New Roman"/>
          <w:szCs w:val="24"/>
        </w:rPr>
      </w:pPr>
      <w:r w:rsidRPr="00D576BB">
        <w:rPr>
          <w:rFonts w:eastAsia="Calibri" w:cs="Times New Roman"/>
          <w:szCs w:val="24"/>
        </w:rPr>
        <w:t>2020. gadā patēriņa cenas Latvijā pieauga par 0,2%. Pandēmija būtiski izmainīja patēriņa cenu dinamiku gan Eiropā, gan Latvijā. Ja vēl pērn janvārī un februārī gada inflācija Latvijā pārsniedza 2%, tad 2020. gada maijā un jūnijā pirmo reizi kopš 2016. gada vidus bija fiksēta deflācija. Pērnā gada jūlijā īslaicīgi bija novērojama inflācija – patēriņa cenas pieauga par 0,5% gada izteiksmē, ko lielā mērā noteica pārtikas cenu pieaugums. Savukārt jau augustā atkal bija deflācija, kas saglabājās līdz 2020. gada beigām.</w:t>
      </w:r>
    </w:p>
    <w:p w14:paraId="76EC9111" w14:textId="77777777" w:rsidR="00D576BB" w:rsidRPr="00D576BB" w:rsidRDefault="00D576BB" w:rsidP="00D576BB">
      <w:pPr>
        <w:rPr>
          <w:rFonts w:eastAsia="Calibri" w:cs="Times New Roman"/>
          <w:szCs w:val="24"/>
        </w:rPr>
      </w:pPr>
      <w:r w:rsidRPr="00D576BB">
        <w:rPr>
          <w:rFonts w:eastAsia="Calibri" w:cs="Times New Roman"/>
          <w:szCs w:val="24"/>
        </w:rPr>
        <w:t>Straujo patēriņa cenu kritumu samērā īsā laika periodā noteica gan ārējie, gan iekšējie faktori, tomēr abos gadījumos cenu kritums ir saistīts ar Covid-19 pandēmijas sekām. Pandēmijas dēļ visā pasaulē samazinājās ekonomiskā aktivitāte un pieprasījums pēc energoresursiem, tādējādi naftas cena 2020. gada aprīlī piedzīvoja kritumu līdz zemākajam līmenim pēdējo 16 gadu laikā. Rezultātā Latvijā strauji samazinājās gāzes, degvielas un siltumenerģijas cenas. Savukārt ārkārtējās situācijas izsludināšana gan Latvijā, gan pārējās pasaules valstīs, kā arī ieviestie pasākumiem cīņai pret koronovīrusa izplatību mazināja pieprasījumu ar tūrisma nozari saistītajiem pakalpojumiem, kā piemēram, aviopārvadājumiem un izmitināšanas pakalpojumiem. Tā rezultātā saruka arī šo pakalpojumu cenas. Kopumā 2020. gadā preču cenas vidēji samazinājās par 0,5%, bet pakalpojumu cenas palielinājās vidēji par 1,9%. Lai arī pakalpojumu cenas pērn palielinājās, fiksētais kāpums bija gandrīz uz pusi mazāks nekā iepriekšējos gados.</w:t>
      </w:r>
    </w:p>
    <w:p w14:paraId="6C863149" w14:textId="77777777" w:rsidR="00D576BB" w:rsidRPr="00D576BB" w:rsidRDefault="00D576BB" w:rsidP="00D576BB">
      <w:pPr>
        <w:rPr>
          <w:rFonts w:eastAsia="Calibri" w:cs="Times New Roman"/>
          <w:szCs w:val="24"/>
        </w:rPr>
      </w:pPr>
      <w:r w:rsidRPr="00D576BB">
        <w:rPr>
          <w:rFonts w:eastAsia="Calibri" w:cs="Times New Roman"/>
          <w:szCs w:val="24"/>
        </w:rPr>
        <w:t>2021. gada astoņos mēnešos patēriņa cenu līmenis Latvijā bija par 1,6% augstāks nekā pērn attiecīgajā periodā (1.2. tabula un 1.25. attēls). Neskatoties uz to, ka inflācija šajā periodā kopumā bija mērena, cenu izmaiņas gada sākumā un vēlākajos mēnešos būtiski atšķiras. Šā gada janvārī un februārī Latvijā turpinājās deflācija un kopumā bija saglabājusies iepriekšējā gada nogales tendence, kad patēriņa cenu līmenis bija krītošs. Savukārt martā patēriņa cenas pirmo reizi kopš pērnā gada augusta palielinājās – par 0,3% gada izteiksmē. Kopš pandēmijas sākuma bija pagājis viens gads, tādējādi, mazinoties Covid-19 krīzes negatīvajiem faktoriem un izzūdot bāzes efektiem, deflācijas periods Latvijā, ko izraisīja pandēmija, bija beidzies. Turpmākajos mēnešos cenu pieaugums paātrinājās no 1,7% aprīlī līdz 3,7% augustā, inflācijas spiedienam kļūstot arvien pamanāmākam ikdienas tēriņos.</w:t>
      </w:r>
    </w:p>
    <w:p w14:paraId="731D9DF3" w14:textId="77777777" w:rsidR="00D576BB" w:rsidRPr="00D576BB" w:rsidRDefault="00D576BB" w:rsidP="00D576BB">
      <w:pPr>
        <w:rPr>
          <w:rFonts w:eastAsia="Calibri" w:cs="Times New Roman"/>
          <w:szCs w:val="24"/>
        </w:rPr>
      </w:pPr>
      <w:r w:rsidRPr="00D576BB">
        <w:rPr>
          <w:rFonts w:eastAsia="Calibri" w:cs="Times New Roman"/>
          <w:szCs w:val="24"/>
        </w:rPr>
        <w:t xml:space="preserve">Patēriņa cenu paātrinājumu kopš šā gada aprīļa noteica vairāki faktori. Viens no faktoriem bija bāzes efekts, jo sākot no pērna gada maija un līdz gada beigām, izņemot jūliju, Latvijā bija fiksēta deflācija. Tomēr noteicošā loma bija izejvielu cenu kāpumam, kas atspoguļojās augošajās energoresursu un pārtikas cenās. Pašreizējo patēriņa cenu dinamiku nosaka galvenokārt ārējie faktori, t.i., naftas un gāzes, kā arī pārtikas cenu pieaugums pasaulē, </w:t>
      </w:r>
      <w:r w:rsidRPr="00D576BB">
        <w:rPr>
          <w:rFonts w:eastAsia="Calibri" w:cs="Times New Roman"/>
          <w:szCs w:val="24"/>
        </w:rPr>
        <w:lastRenderedPageBreak/>
        <w:t>transportēšanas izmaksu pieaugums, ko ietekmē gan augstākas degvielas cenas, gan piegāžu traucējumi pandēmijas dēļ saistībā ar ierobežojumiem visā pasaulē. Papildus tam cenu dinamiku nosaka pasaules ekonomikas atkopšanās no pandēmijas un līdz ar to augošais preču pieprasījums, kas apsteidz piedāvājumu. Ja iepriekšējā gadā tieši ārējie faktori noteica deflāciju Latvijā atsevišķos mēnešos, tad šogad vērojama pretēja situācija – importētā inflācija būs ievērojami augstāka nekā pamatinflācija. Vienlaicīgi jāatzīmē, ka tādos pakalpojumu sektoros kā izmitināšana un pasažieru aviopārvadājumi pandēmijas ietekme joprojām būs jūtama, jo šajos sektoros cenas šā gada pirmajos astoņos mēnešos turpināja samazināties.</w:t>
      </w:r>
    </w:p>
    <w:p w14:paraId="52416ACA" w14:textId="66895CFB" w:rsidR="00D576BB" w:rsidRPr="00D576BB" w:rsidRDefault="00D576BB" w:rsidP="00D576BB">
      <w:pPr>
        <w:rPr>
          <w:rFonts w:eastAsia="Calibri" w:cs="Times New Roman"/>
          <w:szCs w:val="24"/>
        </w:rPr>
      </w:pPr>
      <w:r w:rsidRPr="00D576BB">
        <w:rPr>
          <w:rFonts w:eastAsia="Calibri" w:cs="Times New Roman"/>
          <w:szCs w:val="24"/>
        </w:rPr>
        <w:t xml:space="preserve">Lielāko devumu patēriņa cenu pieaugumā šā gada astoņos mēnešos noteica degvielas cenu kāpums par 11,2% salīdzinājumā ar pagājušā gada attiecīgo periodu, izskaidrojot 0,6 procentpunktus no fiksētās 1,6% inflācijas. Šā gada sākumā degvielas cenas gada izteiksmē turpināja samazināties, bet martā sākās straujš cenu pieaugums. Maijā degvielas cenas pieauga par 29,5% salīdzinājumā ar iepriekšējā gada maiju, kas bija straujākais kāpums kopš 2010. gada sākuma un sasniedza šā gada cenu pieauguma maksimumu, bet jūlijā un augustā tās pieauga attiecīgi par 17,8% un 19,1%. Šādu pieaugumu varētu uzskatīt par ļoti strauju, tomēr dīzeļdegvielas vidējā cena Latvijā šā gada augustā bija 1,25 </w:t>
      </w:r>
      <w:r w:rsidRPr="00D576BB">
        <w:rPr>
          <w:rFonts w:eastAsia="Calibri" w:cs="Times New Roman"/>
          <w:i/>
          <w:szCs w:val="24"/>
        </w:rPr>
        <w:t>euro</w:t>
      </w:r>
      <w:r w:rsidRPr="00D576BB">
        <w:rPr>
          <w:rFonts w:eastAsia="Calibri" w:cs="Times New Roman"/>
          <w:szCs w:val="24"/>
        </w:rPr>
        <w:t xml:space="preserve"> par litru, kas atbilst 2020. gada janvāra līmenim jeb pirmspandēmijas līmenim, pirms naftas cena pasaules biržās sāka strauji samazināties un 2020. gada augustā 1 litrs dīzeļdegvielas jau maksāja 1,05 </w:t>
      </w:r>
      <w:r w:rsidRPr="00D576BB">
        <w:rPr>
          <w:rFonts w:eastAsia="Calibri" w:cs="Times New Roman"/>
          <w:i/>
          <w:szCs w:val="24"/>
        </w:rPr>
        <w:t>euro</w:t>
      </w:r>
      <w:r w:rsidRPr="00D576BB">
        <w:rPr>
          <w:rFonts w:eastAsia="Calibri" w:cs="Times New Roman"/>
          <w:szCs w:val="24"/>
        </w:rPr>
        <w:t xml:space="preserve">. Tādējādi straujo degvielas cenu pieaugumu ietekmē zemā bāze. Līdz septembrim </w:t>
      </w:r>
      <w:r w:rsidRPr="00D576BB">
        <w:rPr>
          <w:rFonts w:eastAsia="Calibri" w:cs="Times New Roman"/>
          <w:i/>
          <w:szCs w:val="24"/>
        </w:rPr>
        <w:t>Brent</w:t>
      </w:r>
      <w:r w:rsidRPr="00D576BB">
        <w:rPr>
          <w:rFonts w:eastAsia="Calibri" w:cs="Times New Roman"/>
          <w:szCs w:val="24"/>
        </w:rPr>
        <w:t xml:space="preserve"> markas jēlnaftas cen</w:t>
      </w:r>
      <w:r w:rsidR="00C56B24">
        <w:rPr>
          <w:rFonts w:eastAsia="Calibri" w:cs="Times New Roman"/>
          <w:szCs w:val="24"/>
        </w:rPr>
        <w:t>a ir palielinājusies līdz 75 Amerikas Savienoto Valstu</w:t>
      </w:r>
      <w:r w:rsidRPr="00D576BB">
        <w:rPr>
          <w:rFonts w:eastAsia="Calibri" w:cs="Times New Roman"/>
          <w:szCs w:val="24"/>
        </w:rPr>
        <w:t xml:space="preserve"> dolāriem par barelu, kas ir gandrīz divas reizes vairāk nekā pirms gada. Turpmākās naftas cenu svārstības noteiks pieprasījuma apjoms atkarībā no pasaules ekonomikas attīstības tempiem. Sagaidāms, ka degvielas cenu pieaugums arī turpmākajos mēnešos gada izteiksmē būs augsts un saglabāsies kā galvenais inflāciju ietekmējošais faktors, tomēr pieauguma temps pakāpeniski mazināsies.</w:t>
      </w:r>
    </w:p>
    <w:p w14:paraId="32AA966F" w14:textId="77777777" w:rsidR="00D576BB" w:rsidRPr="00D576BB" w:rsidRDefault="00D576BB" w:rsidP="00D576BB">
      <w:pPr>
        <w:rPr>
          <w:rFonts w:eastAsia="Calibri" w:cs="Times New Roman"/>
          <w:szCs w:val="24"/>
        </w:rPr>
      </w:pPr>
      <w:r w:rsidRPr="00D576BB">
        <w:rPr>
          <w:rFonts w:eastAsia="Calibri" w:cs="Times New Roman"/>
          <w:szCs w:val="24"/>
        </w:rPr>
        <w:t>Naftas un gāzes cenu pieaugums pasaulē ietekmē arī ar mājokli saistīto pakalpojumu cenas. Mājokļu apsaimniekošanas izdevumi šā gada astoņos mēnešos palielinājās par 0,3% salīdzinājumā ar pērnā gada attiecīgo periodu. Šo pakalpojumu vidējais pieaugums astoņos mēnešos bija zems, tomēr līdz gada beigām tas palielināsies. Augustā mājokļu uzturēšanas pakalpojumu cena gada griezumā palielinājās par 6,8%. Tā pamatā bija cenu pieaugums tādiem komunālajiem pakalpojumiem kā gāze (+36,4%), siltumenerģija (+6,1%) un elektrība (+7,8%), jo jūlijā tika pārskatīti gāzes tarifi, bet augustā tika palielināts elektroenerģijas tarifs, kā arī siltumenerģijas tarifs Rīgā. Tādējādi, lai arī astoņos mēnešos mājokļu uzturēšanas pakalpojumi vidēji uzrādīja nebūtisku pieaugumu, tomēr sākot ar augustu kāpums ir ievērojams, kas paātrināsies arī šā gada septembrī, ko ietekmēs atkārtots siltumenerģijas tarifa palielinājums Rīgā.</w:t>
      </w:r>
    </w:p>
    <w:p w14:paraId="5559EC00" w14:textId="1E779CC4" w:rsidR="00D576BB" w:rsidRPr="00D576BB" w:rsidRDefault="00D576BB" w:rsidP="00D576BB">
      <w:pPr>
        <w:rPr>
          <w:rFonts w:eastAsia="Calibri" w:cs="Times New Roman"/>
          <w:szCs w:val="24"/>
        </w:rPr>
      </w:pPr>
      <w:r w:rsidRPr="00D576BB">
        <w:rPr>
          <w:rFonts w:eastAsia="Calibri" w:cs="Times New Roman"/>
          <w:szCs w:val="24"/>
        </w:rPr>
        <w:t>Pārtikas cenas Latvijā šā gada pirmajos astoņos mēnešos palielinājās par 0,7% salīdzinājumā ar pērnā gada attiecīgo periodu un to devums kopējā inflāc</w:t>
      </w:r>
      <w:r w:rsidR="00C56B24">
        <w:rPr>
          <w:rFonts w:eastAsia="Calibri" w:cs="Times New Roman"/>
          <w:szCs w:val="24"/>
        </w:rPr>
        <w:t xml:space="preserve">ijā bija 0,2 procentpunkti. Apvienoto Nāciju Organizācijas </w:t>
      </w:r>
      <w:r w:rsidRPr="00D576BB">
        <w:rPr>
          <w:rFonts w:eastAsia="Calibri" w:cs="Times New Roman"/>
          <w:szCs w:val="24"/>
        </w:rPr>
        <w:t>Pārtikas un lauksaimniecības organizācijas dati par neapstrādātās pārtikas cenām pasaulē liecina, ka pārtikas cenu indekss ir būtiski audzis kopš 2020. gada vidus, sasniedzot augtāko līmeni kopš 2011. gada beigām. Cenu kāpums ir vērojams visām galvenajām pārtikas grupām, tajā skaitā graudaugiem, eļļām, cukuram, pienam.</w:t>
      </w:r>
    </w:p>
    <w:p w14:paraId="75BFA75F" w14:textId="77777777" w:rsidR="00D576BB" w:rsidRPr="00D576BB" w:rsidRDefault="00D576BB" w:rsidP="00D576BB">
      <w:pPr>
        <w:rPr>
          <w:rFonts w:eastAsia="Calibri" w:cs="Times New Roman"/>
          <w:szCs w:val="24"/>
        </w:rPr>
      </w:pPr>
      <w:r w:rsidRPr="00D576BB">
        <w:rPr>
          <w:rFonts w:eastAsia="Calibri" w:cs="Times New Roman"/>
          <w:szCs w:val="24"/>
        </w:rPr>
        <w:t xml:space="preserve">Neapstrādātās pārtikas cenu kāpumu noteicošie faktori ir dažādi un ir saistīti ar sliktajiem laika apstākļiem (attiecīgi ar slikto ražu), pieprasījuma pieaugumu, kas būtiski apsteidz piedāvājumu, naftas cenu kāpumu, kas palielina transportēšanas izmaksas, un piegāžu traucējumiem. Attiecībā uz pieprasījumu jāatzīmē, ka tajās valstīs, kur vakcinēšanas process </w:t>
      </w:r>
      <w:r w:rsidRPr="00D576BB">
        <w:rPr>
          <w:rFonts w:eastAsia="Calibri" w:cs="Times New Roman"/>
          <w:szCs w:val="24"/>
        </w:rPr>
        <w:lastRenderedPageBreak/>
        <w:t xml:space="preserve">notiek diezgan raiti, pulcēšanās ierobežojumi pakāpeniski tiek atviegloti un atkal var strādāt restorāni un kafejnīcas, palielinot pieprasījumu pēc pārtikas. Turpmāko pārtikas cenu dinamiku ietekmēs pasaules ekonomikas aktivitāte, rudenī gaidāmā raža, kā arī situācija ar pandēmijas attīstību pasaulē. Latvijā kopš gada sākuma pārtikas cenas palielinājās minimāli, tomēr pārtikas cenu kāpums varētu paātrināties šā gada nogalē vai nākamā gada sākumā.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162"/>
        <w:gridCol w:w="4763"/>
      </w:tblGrid>
      <w:tr w:rsidR="00D576BB" w:rsidRPr="00D576BB" w14:paraId="67F1703F" w14:textId="77777777" w:rsidTr="00B13890">
        <w:tc>
          <w:tcPr>
            <w:tcW w:w="4253" w:type="dxa"/>
            <w:gridSpan w:val="2"/>
          </w:tcPr>
          <w:p w14:paraId="5484CC84" w14:textId="77777777" w:rsidR="00D576BB" w:rsidRPr="006A6E94" w:rsidRDefault="00D576BB" w:rsidP="006A6E94">
            <w:pPr>
              <w:spacing w:before="60" w:after="60"/>
              <w:jc w:val="right"/>
              <w:rPr>
                <w:rFonts w:cs="Times New Roman"/>
                <w:i/>
                <w:szCs w:val="24"/>
              </w:rPr>
            </w:pPr>
            <w:r w:rsidRPr="006A6E94">
              <w:rPr>
                <w:rFonts w:cs="Times New Roman"/>
                <w:b/>
                <w:bCs/>
                <w:i/>
                <w:szCs w:val="24"/>
              </w:rPr>
              <w:t xml:space="preserve">1.2. tabula. PCI izmaiņas pa grupām 2020. gadā un 2021.g. astoņos mēnešos </w:t>
            </w:r>
          </w:p>
        </w:tc>
        <w:tc>
          <w:tcPr>
            <w:tcW w:w="4053" w:type="dxa"/>
          </w:tcPr>
          <w:p w14:paraId="05A6B81A" w14:textId="19156E17" w:rsidR="00D576BB" w:rsidRPr="00D576BB" w:rsidRDefault="00D576BB" w:rsidP="00B13890">
            <w:pPr>
              <w:spacing w:before="60" w:after="60"/>
              <w:jc w:val="center"/>
              <w:rPr>
                <w:rFonts w:cs="Times New Roman"/>
                <w:i/>
                <w:szCs w:val="24"/>
              </w:rPr>
            </w:pPr>
          </w:p>
        </w:tc>
      </w:tr>
      <w:tr w:rsidR="00D576BB" w:rsidRPr="00D576BB" w14:paraId="19774739" w14:textId="77777777" w:rsidTr="00B13890">
        <w:tc>
          <w:tcPr>
            <w:tcW w:w="4116" w:type="dxa"/>
          </w:tcPr>
          <w:tbl>
            <w:tblPr>
              <w:tblW w:w="3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430"/>
              <w:gridCol w:w="1284"/>
              <w:gridCol w:w="1284"/>
            </w:tblGrid>
            <w:tr w:rsidR="00D576BB" w:rsidRPr="00D576BB" w14:paraId="079E7556" w14:textId="77777777" w:rsidTr="006A6E94">
              <w:tc>
                <w:tcPr>
                  <w:tcW w:w="2297" w:type="dxa"/>
                  <w:shd w:val="clear" w:color="auto" w:fill="9CC2E5" w:themeFill="accent1" w:themeFillTint="99"/>
                  <w:tcMar>
                    <w:top w:w="12" w:type="dxa"/>
                    <w:left w:w="12" w:type="dxa"/>
                    <w:bottom w:w="0" w:type="dxa"/>
                    <w:right w:w="12" w:type="dxa"/>
                  </w:tcMar>
                  <w:vAlign w:val="center"/>
                  <w:hideMark/>
                </w:tcPr>
                <w:p w14:paraId="346C0092" w14:textId="77777777" w:rsidR="00D576BB" w:rsidRPr="006A6E94" w:rsidRDefault="00D576BB" w:rsidP="006A6E94">
                  <w:pPr>
                    <w:spacing w:before="60" w:after="60"/>
                    <w:ind w:firstLine="22"/>
                    <w:jc w:val="left"/>
                    <w:rPr>
                      <w:rFonts w:cs="Times New Roman"/>
                      <w:sz w:val="18"/>
                      <w:szCs w:val="24"/>
                    </w:rPr>
                  </w:pPr>
                  <w:r w:rsidRPr="006A6E94">
                    <w:rPr>
                      <w:rFonts w:cs="Times New Roman"/>
                      <w:b/>
                      <w:bCs/>
                      <w:sz w:val="18"/>
                      <w:szCs w:val="24"/>
                    </w:rPr>
                    <w:t>Grupas un apakšgrupas</w:t>
                  </w:r>
                </w:p>
              </w:tc>
              <w:tc>
                <w:tcPr>
                  <w:tcW w:w="851" w:type="dxa"/>
                  <w:shd w:val="clear" w:color="auto" w:fill="9CC2E5" w:themeFill="accent1" w:themeFillTint="99"/>
                  <w:tcMar>
                    <w:top w:w="12" w:type="dxa"/>
                    <w:left w:w="12" w:type="dxa"/>
                    <w:bottom w:w="0" w:type="dxa"/>
                    <w:right w:w="12" w:type="dxa"/>
                  </w:tcMar>
                  <w:vAlign w:val="center"/>
                  <w:hideMark/>
                </w:tcPr>
                <w:p w14:paraId="2E5EB928" w14:textId="77777777" w:rsidR="00D576BB" w:rsidRPr="006A6E94" w:rsidRDefault="00D576BB" w:rsidP="00B13890">
                  <w:pPr>
                    <w:spacing w:before="60" w:after="60"/>
                    <w:jc w:val="center"/>
                    <w:rPr>
                      <w:rFonts w:cs="Times New Roman"/>
                      <w:sz w:val="18"/>
                      <w:szCs w:val="24"/>
                    </w:rPr>
                  </w:pPr>
                  <w:r w:rsidRPr="006A6E94">
                    <w:rPr>
                      <w:rFonts w:cs="Times New Roman"/>
                      <w:b/>
                      <w:bCs/>
                      <w:sz w:val="18"/>
                      <w:szCs w:val="24"/>
                      <w:lang w:val="nn-NO"/>
                    </w:rPr>
                    <w:t>2020.g.</w:t>
                  </w:r>
                </w:p>
              </w:tc>
              <w:tc>
                <w:tcPr>
                  <w:tcW w:w="850" w:type="dxa"/>
                  <w:shd w:val="clear" w:color="auto" w:fill="9CC2E5" w:themeFill="accent1" w:themeFillTint="99"/>
                  <w:tcMar>
                    <w:top w:w="12" w:type="dxa"/>
                    <w:left w:w="12" w:type="dxa"/>
                    <w:bottom w:w="0" w:type="dxa"/>
                    <w:right w:w="12" w:type="dxa"/>
                  </w:tcMar>
                  <w:vAlign w:val="center"/>
                  <w:hideMark/>
                </w:tcPr>
                <w:p w14:paraId="02F1FE63" w14:textId="77777777" w:rsidR="00D576BB" w:rsidRPr="006A6E94" w:rsidRDefault="00D576BB" w:rsidP="00B13890">
                  <w:pPr>
                    <w:spacing w:before="60" w:after="60"/>
                    <w:jc w:val="center"/>
                    <w:rPr>
                      <w:rFonts w:cs="Times New Roman"/>
                      <w:b/>
                      <w:bCs/>
                      <w:sz w:val="18"/>
                      <w:szCs w:val="24"/>
                    </w:rPr>
                  </w:pPr>
                  <w:r w:rsidRPr="006A6E94">
                    <w:rPr>
                      <w:rFonts w:cs="Times New Roman"/>
                      <w:b/>
                      <w:bCs/>
                      <w:sz w:val="18"/>
                      <w:szCs w:val="24"/>
                    </w:rPr>
                    <w:t xml:space="preserve">I-VIII </w:t>
                  </w:r>
                </w:p>
                <w:p w14:paraId="18B8E10D" w14:textId="77777777" w:rsidR="00D576BB" w:rsidRPr="006A6E94" w:rsidRDefault="00D576BB" w:rsidP="00B13890">
                  <w:pPr>
                    <w:spacing w:before="60" w:after="60"/>
                    <w:jc w:val="center"/>
                    <w:rPr>
                      <w:rFonts w:cs="Times New Roman"/>
                      <w:sz w:val="18"/>
                      <w:szCs w:val="24"/>
                    </w:rPr>
                  </w:pPr>
                  <w:r w:rsidRPr="006A6E94">
                    <w:rPr>
                      <w:rFonts w:cs="Times New Roman"/>
                      <w:b/>
                      <w:bCs/>
                      <w:sz w:val="18"/>
                      <w:szCs w:val="24"/>
                    </w:rPr>
                    <w:t xml:space="preserve">2021.g. </w:t>
                  </w:r>
                </w:p>
              </w:tc>
            </w:tr>
            <w:tr w:rsidR="00D576BB" w:rsidRPr="00D576BB" w14:paraId="12FC95E2" w14:textId="77777777" w:rsidTr="00B13890">
              <w:tc>
                <w:tcPr>
                  <w:tcW w:w="2297" w:type="dxa"/>
                  <w:shd w:val="clear" w:color="auto" w:fill="auto"/>
                  <w:tcMar>
                    <w:top w:w="12" w:type="dxa"/>
                    <w:left w:w="12" w:type="dxa"/>
                    <w:bottom w:w="0" w:type="dxa"/>
                    <w:right w:w="12" w:type="dxa"/>
                  </w:tcMar>
                  <w:vAlign w:val="center"/>
                  <w:hideMark/>
                </w:tcPr>
                <w:p w14:paraId="650824E7" w14:textId="77777777" w:rsidR="00D576BB" w:rsidRPr="006A6E94" w:rsidRDefault="00D576BB" w:rsidP="006A6E94">
                  <w:pPr>
                    <w:spacing w:before="60" w:after="60"/>
                    <w:ind w:firstLine="22"/>
                    <w:jc w:val="left"/>
                    <w:rPr>
                      <w:rFonts w:cs="Times New Roman"/>
                      <w:sz w:val="18"/>
                      <w:szCs w:val="24"/>
                    </w:rPr>
                  </w:pPr>
                  <w:r w:rsidRPr="006A6E94">
                    <w:rPr>
                      <w:rFonts w:cs="Times New Roman"/>
                      <w:b/>
                      <w:bCs/>
                      <w:sz w:val="18"/>
                      <w:szCs w:val="24"/>
                    </w:rPr>
                    <w:t>Vidējā inflācija</w:t>
                  </w:r>
                </w:p>
              </w:tc>
              <w:tc>
                <w:tcPr>
                  <w:tcW w:w="851" w:type="dxa"/>
                  <w:shd w:val="clear" w:color="auto" w:fill="auto"/>
                  <w:tcMar>
                    <w:top w:w="12" w:type="dxa"/>
                    <w:left w:w="12" w:type="dxa"/>
                    <w:bottom w:w="0" w:type="dxa"/>
                    <w:right w:w="12" w:type="dxa"/>
                  </w:tcMar>
                  <w:vAlign w:val="center"/>
                  <w:hideMark/>
                </w:tcPr>
                <w:p w14:paraId="047CA8C2" w14:textId="77777777" w:rsidR="00D576BB" w:rsidRPr="006A6E94" w:rsidRDefault="00D576BB" w:rsidP="00B13890">
                  <w:pPr>
                    <w:spacing w:before="60" w:after="60"/>
                    <w:jc w:val="center"/>
                    <w:rPr>
                      <w:rFonts w:cs="Times New Roman"/>
                      <w:sz w:val="18"/>
                      <w:szCs w:val="24"/>
                    </w:rPr>
                  </w:pPr>
                  <w:r w:rsidRPr="006A6E94">
                    <w:rPr>
                      <w:rFonts w:cs="Times New Roman"/>
                      <w:b/>
                      <w:bCs/>
                      <w:sz w:val="18"/>
                      <w:szCs w:val="24"/>
                    </w:rPr>
                    <w:t>0,2</w:t>
                  </w:r>
                </w:p>
              </w:tc>
              <w:tc>
                <w:tcPr>
                  <w:tcW w:w="850" w:type="dxa"/>
                  <w:shd w:val="clear" w:color="auto" w:fill="auto"/>
                  <w:tcMar>
                    <w:top w:w="12" w:type="dxa"/>
                    <w:left w:w="12" w:type="dxa"/>
                    <w:bottom w:w="0" w:type="dxa"/>
                    <w:right w:w="12" w:type="dxa"/>
                  </w:tcMar>
                  <w:vAlign w:val="center"/>
                </w:tcPr>
                <w:p w14:paraId="3D62D11A" w14:textId="77777777" w:rsidR="00D576BB" w:rsidRPr="006A6E94" w:rsidRDefault="00D576BB" w:rsidP="00B13890">
                  <w:pPr>
                    <w:spacing w:before="60" w:after="60"/>
                    <w:jc w:val="center"/>
                    <w:rPr>
                      <w:rFonts w:cs="Times New Roman"/>
                      <w:b/>
                      <w:sz w:val="18"/>
                      <w:szCs w:val="24"/>
                    </w:rPr>
                  </w:pPr>
                  <w:r w:rsidRPr="006A6E94">
                    <w:rPr>
                      <w:rFonts w:cs="Times New Roman"/>
                      <w:b/>
                      <w:sz w:val="18"/>
                      <w:szCs w:val="24"/>
                    </w:rPr>
                    <w:t>1,6</w:t>
                  </w:r>
                </w:p>
              </w:tc>
            </w:tr>
            <w:tr w:rsidR="00D576BB" w:rsidRPr="00D576BB" w14:paraId="11B889C9" w14:textId="77777777" w:rsidTr="00B13890">
              <w:tc>
                <w:tcPr>
                  <w:tcW w:w="2297" w:type="dxa"/>
                  <w:shd w:val="clear" w:color="auto" w:fill="auto"/>
                  <w:tcMar>
                    <w:top w:w="12" w:type="dxa"/>
                    <w:left w:w="12" w:type="dxa"/>
                    <w:bottom w:w="0" w:type="dxa"/>
                    <w:right w:w="12" w:type="dxa"/>
                  </w:tcMar>
                  <w:vAlign w:val="center"/>
                  <w:hideMark/>
                </w:tcPr>
                <w:p w14:paraId="7F0EC4DB" w14:textId="77777777" w:rsidR="00D576BB" w:rsidRPr="006A6E94" w:rsidRDefault="00D576BB" w:rsidP="006A6E94">
                  <w:pPr>
                    <w:spacing w:before="60" w:after="60"/>
                    <w:ind w:firstLine="22"/>
                    <w:jc w:val="left"/>
                    <w:rPr>
                      <w:rFonts w:cs="Times New Roman"/>
                      <w:sz w:val="18"/>
                      <w:szCs w:val="24"/>
                    </w:rPr>
                  </w:pPr>
                  <w:r w:rsidRPr="006A6E94">
                    <w:rPr>
                      <w:rFonts w:cs="Times New Roman"/>
                      <w:sz w:val="18"/>
                      <w:szCs w:val="24"/>
                    </w:rPr>
                    <w:t>Pārtika un bezalkoholiskie dzērieni</w:t>
                  </w:r>
                </w:p>
              </w:tc>
              <w:tc>
                <w:tcPr>
                  <w:tcW w:w="851" w:type="dxa"/>
                  <w:shd w:val="clear" w:color="auto" w:fill="auto"/>
                  <w:tcMar>
                    <w:top w:w="12" w:type="dxa"/>
                    <w:left w:w="12" w:type="dxa"/>
                    <w:bottom w:w="0" w:type="dxa"/>
                    <w:right w:w="12" w:type="dxa"/>
                  </w:tcMar>
                  <w:vAlign w:val="center"/>
                  <w:hideMark/>
                </w:tcPr>
                <w:p w14:paraId="74A309E1" w14:textId="77777777" w:rsidR="00D576BB" w:rsidRPr="006A6E94" w:rsidRDefault="00D576BB" w:rsidP="00B13890">
                  <w:pPr>
                    <w:spacing w:before="60" w:after="60"/>
                    <w:jc w:val="center"/>
                    <w:rPr>
                      <w:rFonts w:cs="Times New Roman"/>
                      <w:sz w:val="18"/>
                      <w:szCs w:val="24"/>
                    </w:rPr>
                  </w:pPr>
                  <w:r w:rsidRPr="006A6E94">
                    <w:rPr>
                      <w:rFonts w:cs="Times New Roman"/>
                      <w:sz w:val="18"/>
                      <w:szCs w:val="24"/>
                    </w:rPr>
                    <w:t>2,4</w:t>
                  </w:r>
                </w:p>
              </w:tc>
              <w:tc>
                <w:tcPr>
                  <w:tcW w:w="850" w:type="dxa"/>
                  <w:shd w:val="clear" w:color="auto" w:fill="auto"/>
                  <w:tcMar>
                    <w:top w:w="12" w:type="dxa"/>
                    <w:left w:w="12" w:type="dxa"/>
                    <w:bottom w:w="0" w:type="dxa"/>
                    <w:right w:w="12" w:type="dxa"/>
                  </w:tcMar>
                  <w:vAlign w:val="center"/>
                </w:tcPr>
                <w:p w14:paraId="2DBEF48D" w14:textId="77777777" w:rsidR="00D576BB" w:rsidRPr="006A6E94" w:rsidRDefault="00D576BB" w:rsidP="00B13890">
                  <w:pPr>
                    <w:spacing w:before="60" w:after="60"/>
                    <w:jc w:val="center"/>
                    <w:rPr>
                      <w:rFonts w:cs="Times New Roman"/>
                      <w:sz w:val="18"/>
                      <w:szCs w:val="24"/>
                    </w:rPr>
                  </w:pPr>
                  <w:r w:rsidRPr="006A6E94">
                    <w:rPr>
                      <w:rFonts w:cs="Times New Roman"/>
                      <w:sz w:val="18"/>
                      <w:szCs w:val="24"/>
                    </w:rPr>
                    <w:t>0,7</w:t>
                  </w:r>
                </w:p>
              </w:tc>
            </w:tr>
            <w:tr w:rsidR="00D576BB" w:rsidRPr="00D576BB" w14:paraId="6FA18DD5" w14:textId="77777777" w:rsidTr="00B13890">
              <w:tc>
                <w:tcPr>
                  <w:tcW w:w="2297" w:type="dxa"/>
                  <w:shd w:val="clear" w:color="auto" w:fill="auto"/>
                  <w:tcMar>
                    <w:top w:w="12" w:type="dxa"/>
                    <w:left w:w="12" w:type="dxa"/>
                    <w:bottom w:w="0" w:type="dxa"/>
                    <w:right w:w="12" w:type="dxa"/>
                  </w:tcMar>
                  <w:vAlign w:val="center"/>
                  <w:hideMark/>
                </w:tcPr>
                <w:p w14:paraId="6F8A9F36" w14:textId="77777777" w:rsidR="00D576BB" w:rsidRPr="006A6E94" w:rsidRDefault="00D576BB" w:rsidP="006A6E94">
                  <w:pPr>
                    <w:spacing w:before="60" w:after="60"/>
                    <w:ind w:firstLine="22"/>
                    <w:jc w:val="left"/>
                    <w:rPr>
                      <w:rFonts w:cs="Times New Roman"/>
                      <w:sz w:val="18"/>
                      <w:szCs w:val="24"/>
                    </w:rPr>
                  </w:pPr>
                  <w:r w:rsidRPr="006A6E94">
                    <w:rPr>
                      <w:rFonts w:cs="Times New Roman"/>
                      <w:sz w:val="18"/>
                      <w:szCs w:val="24"/>
                    </w:rPr>
                    <w:t>Mājokļa īres maksa</w:t>
                  </w:r>
                </w:p>
              </w:tc>
              <w:tc>
                <w:tcPr>
                  <w:tcW w:w="851" w:type="dxa"/>
                  <w:shd w:val="clear" w:color="auto" w:fill="auto"/>
                  <w:tcMar>
                    <w:top w:w="12" w:type="dxa"/>
                    <w:left w:w="12" w:type="dxa"/>
                    <w:bottom w:w="0" w:type="dxa"/>
                    <w:right w:w="12" w:type="dxa"/>
                  </w:tcMar>
                  <w:vAlign w:val="center"/>
                  <w:hideMark/>
                </w:tcPr>
                <w:p w14:paraId="340AC77D" w14:textId="77777777" w:rsidR="00D576BB" w:rsidRPr="006A6E94" w:rsidRDefault="00D576BB" w:rsidP="00B13890">
                  <w:pPr>
                    <w:spacing w:before="60" w:after="60"/>
                    <w:jc w:val="center"/>
                    <w:rPr>
                      <w:rFonts w:cs="Times New Roman"/>
                      <w:sz w:val="18"/>
                      <w:szCs w:val="24"/>
                    </w:rPr>
                  </w:pPr>
                  <w:r w:rsidRPr="006A6E94">
                    <w:rPr>
                      <w:rFonts w:cs="Times New Roman"/>
                      <w:sz w:val="18"/>
                      <w:szCs w:val="24"/>
                    </w:rPr>
                    <w:t>-2,2</w:t>
                  </w:r>
                </w:p>
              </w:tc>
              <w:tc>
                <w:tcPr>
                  <w:tcW w:w="850" w:type="dxa"/>
                  <w:shd w:val="clear" w:color="auto" w:fill="auto"/>
                  <w:tcMar>
                    <w:top w:w="12" w:type="dxa"/>
                    <w:left w:w="12" w:type="dxa"/>
                    <w:bottom w:w="0" w:type="dxa"/>
                    <w:right w:w="12" w:type="dxa"/>
                  </w:tcMar>
                  <w:vAlign w:val="center"/>
                </w:tcPr>
                <w:p w14:paraId="1C93DD68" w14:textId="77777777" w:rsidR="00D576BB" w:rsidRPr="006A6E94" w:rsidRDefault="00D576BB" w:rsidP="00B13890">
                  <w:pPr>
                    <w:spacing w:before="60" w:after="60"/>
                    <w:jc w:val="center"/>
                    <w:rPr>
                      <w:rFonts w:cs="Times New Roman"/>
                      <w:sz w:val="18"/>
                      <w:szCs w:val="24"/>
                    </w:rPr>
                  </w:pPr>
                  <w:r w:rsidRPr="006A6E94">
                    <w:rPr>
                      <w:rFonts w:cs="Times New Roman"/>
                      <w:sz w:val="18"/>
                      <w:szCs w:val="24"/>
                    </w:rPr>
                    <w:t>0,6</w:t>
                  </w:r>
                </w:p>
              </w:tc>
            </w:tr>
            <w:tr w:rsidR="00D576BB" w:rsidRPr="00D576BB" w14:paraId="458A0BB3" w14:textId="77777777" w:rsidTr="00B13890">
              <w:tc>
                <w:tcPr>
                  <w:tcW w:w="2297" w:type="dxa"/>
                  <w:shd w:val="clear" w:color="auto" w:fill="auto"/>
                  <w:tcMar>
                    <w:top w:w="12" w:type="dxa"/>
                    <w:left w:w="12" w:type="dxa"/>
                    <w:bottom w:w="0" w:type="dxa"/>
                    <w:right w:w="12" w:type="dxa"/>
                  </w:tcMar>
                  <w:vAlign w:val="center"/>
                  <w:hideMark/>
                </w:tcPr>
                <w:p w14:paraId="23CB2748" w14:textId="77777777" w:rsidR="00D576BB" w:rsidRPr="006A6E94" w:rsidRDefault="00D576BB" w:rsidP="006A6E94">
                  <w:pPr>
                    <w:spacing w:before="60" w:after="60"/>
                    <w:ind w:firstLine="22"/>
                    <w:jc w:val="left"/>
                    <w:rPr>
                      <w:rFonts w:cs="Times New Roman"/>
                      <w:b/>
                      <w:sz w:val="18"/>
                      <w:szCs w:val="24"/>
                    </w:rPr>
                  </w:pPr>
                  <w:r w:rsidRPr="006A6E94">
                    <w:rPr>
                      <w:rFonts w:cs="Times New Roman"/>
                      <w:b/>
                      <w:bCs/>
                      <w:sz w:val="18"/>
                      <w:szCs w:val="24"/>
                    </w:rPr>
                    <w:t>Elektroenerģija</w:t>
                  </w:r>
                </w:p>
              </w:tc>
              <w:tc>
                <w:tcPr>
                  <w:tcW w:w="851" w:type="dxa"/>
                  <w:shd w:val="clear" w:color="auto" w:fill="auto"/>
                  <w:tcMar>
                    <w:top w:w="12" w:type="dxa"/>
                    <w:left w:w="12" w:type="dxa"/>
                    <w:bottom w:w="0" w:type="dxa"/>
                    <w:right w:w="12" w:type="dxa"/>
                  </w:tcMar>
                  <w:vAlign w:val="center"/>
                  <w:hideMark/>
                </w:tcPr>
                <w:p w14:paraId="43AEB538" w14:textId="77777777" w:rsidR="00D576BB" w:rsidRPr="006A6E94" w:rsidRDefault="00D576BB" w:rsidP="00B13890">
                  <w:pPr>
                    <w:spacing w:before="60" w:after="60"/>
                    <w:jc w:val="center"/>
                    <w:rPr>
                      <w:rFonts w:cs="Times New Roman"/>
                      <w:b/>
                      <w:sz w:val="18"/>
                      <w:szCs w:val="24"/>
                    </w:rPr>
                  </w:pPr>
                  <w:r w:rsidRPr="006A6E94">
                    <w:rPr>
                      <w:rFonts w:cs="Times New Roman"/>
                      <w:b/>
                      <w:bCs/>
                      <w:sz w:val="18"/>
                      <w:szCs w:val="24"/>
                    </w:rPr>
                    <w:t>-2,9</w:t>
                  </w:r>
                </w:p>
              </w:tc>
              <w:tc>
                <w:tcPr>
                  <w:tcW w:w="850" w:type="dxa"/>
                  <w:shd w:val="clear" w:color="auto" w:fill="auto"/>
                  <w:tcMar>
                    <w:top w:w="12" w:type="dxa"/>
                    <w:left w:w="12" w:type="dxa"/>
                    <w:bottom w:w="0" w:type="dxa"/>
                    <w:right w:w="12" w:type="dxa"/>
                  </w:tcMar>
                  <w:vAlign w:val="center"/>
                </w:tcPr>
                <w:p w14:paraId="206B0ACD" w14:textId="77777777" w:rsidR="00D576BB" w:rsidRPr="006A6E94" w:rsidRDefault="00D576BB" w:rsidP="00B13890">
                  <w:pPr>
                    <w:spacing w:before="60" w:after="60"/>
                    <w:jc w:val="center"/>
                    <w:rPr>
                      <w:rFonts w:cs="Times New Roman"/>
                      <w:b/>
                      <w:sz w:val="18"/>
                      <w:szCs w:val="24"/>
                    </w:rPr>
                  </w:pPr>
                  <w:r w:rsidRPr="006A6E94">
                    <w:rPr>
                      <w:rFonts w:cs="Times New Roman"/>
                      <w:b/>
                      <w:sz w:val="18"/>
                      <w:szCs w:val="24"/>
                    </w:rPr>
                    <w:t>1,3</w:t>
                  </w:r>
                </w:p>
              </w:tc>
            </w:tr>
            <w:tr w:rsidR="00D576BB" w:rsidRPr="00D576BB" w14:paraId="2AAD3A04" w14:textId="77777777" w:rsidTr="00B13890">
              <w:tc>
                <w:tcPr>
                  <w:tcW w:w="2297" w:type="dxa"/>
                  <w:shd w:val="clear" w:color="auto" w:fill="auto"/>
                  <w:tcMar>
                    <w:top w:w="12" w:type="dxa"/>
                    <w:left w:w="12" w:type="dxa"/>
                    <w:bottom w:w="0" w:type="dxa"/>
                    <w:right w:w="12" w:type="dxa"/>
                  </w:tcMar>
                  <w:vAlign w:val="center"/>
                  <w:hideMark/>
                </w:tcPr>
                <w:p w14:paraId="5BEFB8D4" w14:textId="77777777" w:rsidR="00D576BB" w:rsidRPr="006A6E94" w:rsidRDefault="00D576BB" w:rsidP="006A6E94">
                  <w:pPr>
                    <w:spacing w:before="60" w:after="60"/>
                    <w:ind w:firstLine="22"/>
                    <w:jc w:val="left"/>
                    <w:rPr>
                      <w:rFonts w:cs="Times New Roman"/>
                      <w:b/>
                      <w:sz w:val="18"/>
                      <w:szCs w:val="24"/>
                    </w:rPr>
                  </w:pPr>
                  <w:r w:rsidRPr="006A6E94">
                    <w:rPr>
                      <w:rFonts w:cs="Times New Roman"/>
                      <w:b/>
                      <w:bCs/>
                      <w:sz w:val="18"/>
                      <w:szCs w:val="24"/>
                    </w:rPr>
                    <w:t>Gāze</w:t>
                  </w:r>
                </w:p>
              </w:tc>
              <w:tc>
                <w:tcPr>
                  <w:tcW w:w="851" w:type="dxa"/>
                  <w:shd w:val="clear" w:color="auto" w:fill="auto"/>
                  <w:tcMar>
                    <w:top w:w="12" w:type="dxa"/>
                    <w:left w:w="12" w:type="dxa"/>
                    <w:bottom w:w="0" w:type="dxa"/>
                    <w:right w:w="12" w:type="dxa"/>
                  </w:tcMar>
                  <w:vAlign w:val="center"/>
                  <w:hideMark/>
                </w:tcPr>
                <w:p w14:paraId="16927EF3" w14:textId="77777777" w:rsidR="00D576BB" w:rsidRPr="006A6E94" w:rsidRDefault="00D576BB" w:rsidP="00B13890">
                  <w:pPr>
                    <w:spacing w:before="60" w:after="60"/>
                    <w:jc w:val="center"/>
                    <w:rPr>
                      <w:rFonts w:cs="Times New Roman"/>
                      <w:b/>
                      <w:sz w:val="18"/>
                      <w:szCs w:val="24"/>
                    </w:rPr>
                  </w:pPr>
                  <w:r w:rsidRPr="006A6E94">
                    <w:rPr>
                      <w:rFonts w:cs="Times New Roman"/>
                      <w:b/>
                      <w:bCs/>
                      <w:sz w:val="18"/>
                      <w:szCs w:val="24"/>
                    </w:rPr>
                    <w:t>-15,5</w:t>
                  </w:r>
                </w:p>
              </w:tc>
              <w:tc>
                <w:tcPr>
                  <w:tcW w:w="850" w:type="dxa"/>
                  <w:shd w:val="clear" w:color="auto" w:fill="auto"/>
                  <w:tcMar>
                    <w:top w:w="12" w:type="dxa"/>
                    <w:left w:w="12" w:type="dxa"/>
                    <w:bottom w:w="0" w:type="dxa"/>
                    <w:right w:w="12" w:type="dxa"/>
                  </w:tcMar>
                  <w:vAlign w:val="center"/>
                </w:tcPr>
                <w:p w14:paraId="0D1CF344" w14:textId="77777777" w:rsidR="00D576BB" w:rsidRPr="006A6E94" w:rsidRDefault="00D576BB" w:rsidP="00B13890">
                  <w:pPr>
                    <w:spacing w:before="60" w:after="60"/>
                    <w:jc w:val="center"/>
                    <w:rPr>
                      <w:rFonts w:cs="Times New Roman"/>
                      <w:b/>
                      <w:sz w:val="18"/>
                      <w:szCs w:val="24"/>
                    </w:rPr>
                  </w:pPr>
                  <w:r w:rsidRPr="006A6E94">
                    <w:rPr>
                      <w:rFonts w:cs="Times New Roman"/>
                      <w:b/>
                      <w:sz w:val="18"/>
                      <w:szCs w:val="24"/>
                    </w:rPr>
                    <w:t>6,6</w:t>
                  </w:r>
                </w:p>
              </w:tc>
            </w:tr>
            <w:tr w:rsidR="00D576BB" w:rsidRPr="00D576BB" w14:paraId="113AA451" w14:textId="77777777" w:rsidTr="00B13890">
              <w:tc>
                <w:tcPr>
                  <w:tcW w:w="2297" w:type="dxa"/>
                  <w:shd w:val="clear" w:color="auto" w:fill="auto"/>
                  <w:tcMar>
                    <w:top w:w="12" w:type="dxa"/>
                    <w:left w:w="12" w:type="dxa"/>
                    <w:bottom w:w="0" w:type="dxa"/>
                    <w:right w:w="12" w:type="dxa"/>
                  </w:tcMar>
                  <w:vAlign w:val="center"/>
                  <w:hideMark/>
                </w:tcPr>
                <w:p w14:paraId="52977BC7" w14:textId="77777777" w:rsidR="00D576BB" w:rsidRPr="006A6E94" w:rsidRDefault="00D576BB" w:rsidP="006A6E94">
                  <w:pPr>
                    <w:spacing w:before="60" w:after="60"/>
                    <w:ind w:firstLine="22"/>
                    <w:jc w:val="left"/>
                    <w:rPr>
                      <w:rFonts w:cs="Times New Roman"/>
                      <w:b/>
                      <w:sz w:val="18"/>
                      <w:szCs w:val="24"/>
                    </w:rPr>
                  </w:pPr>
                  <w:r w:rsidRPr="006A6E94">
                    <w:rPr>
                      <w:rFonts w:cs="Times New Roman"/>
                      <w:b/>
                      <w:bCs/>
                      <w:sz w:val="18"/>
                      <w:szCs w:val="24"/>
                    </w:rPr>
                    <w:t>Siltumenerģija</w:t>
                  </w:r>
                </w:p>
              </w:tc>
              <w:tc>
                <w:tcPr>
                  <w:tcW w:w="851" w:type="dxa"/>
                  <w:shd w:val="clear" w:color="auto" w:fill="auto"/>
                  <w:tcMar>
                    <w:top w:w="12" w:type="dxa"/>
                    <w:left w:w="12" w:type="dxa"/>
                    <w:bottom w:w="0" w:type="dxa"/>
                    <w:right w:w="12" w:type="dxa"/>
                  </w:tcMar>
                  <w:vAlign w:val="center"/>
                  <w:hideMark/>
                </w:tcPr>
                <w:p w14:paraId="18745058" w14:textId="77777777" w:rsidR="00D576BB" w:rsidRPr="006A6E94" w:rsidRDefault="00D576BB" w:rsidP="00B13890">
                  <w:pPr>
                    <w:spacing w:before="60" w:after="60"/>
                    <w:jc w:val="center"/>
                    <w:rPr>
                      <w:rFonts w:cs="Times New Roman"/>
                      <w:b/>
                      <w:sz w:val="18"/>
                      <w:szCs w:val="24"/>
                    </w:rPr>
                  </w:pPr>
                  <w:r w:rsidRPr="006A6E94">
                    <w:rPr>
                      <w:rFonts w:cs="Times New Roman"/>
                      <w:b/>
                      <w:bCs/>
                      <w:sz w:val="18"/>
                      <w:szCs w:val="24"/>
                    </w:rPr>
                    <w:t>-3,6</w:t>
                  </w:r>
                </w:p>
              </w:tc>
              <w:tc>
                <w:tcPr>
                  <w:tcW w:w="850" w:type="dxa"/>
                  <w:shd w:val="clear" w:color="auto" w:fill="auto"/>
                  <w:tcMar>
                    <w:top w:w="12" w:type="dxa"/>
                    <w:left w:w="12" w:type="dxa"/>
                    <w:bottom w:w="0" w:type="dxa"/>
                    <w:right w:w="12" w:type="dxa"/>
                  </w:tcMar>
                  <w:vAlign w:val="center"/>
                </w:tcPr>
                <w:p w14:paraId="413B0BA6" w14:textId="77777777" w:rsidR="00D576BB" w:rsidRPr="006A6E94" w:rsidRDefault="00D576BB" w:rsidP="00B13890">
                  <w:pPr>
                    <w:spacing w:before="60" w:after="60"/>
                    <w:jc w:val="center"/>
                    <w:rPr>
                      <w:rFonts w:cs="Times New Roman"/>
                      <w:b/>
                      <w:sz w:val="18"/>
                      <w:szCs w:val="24"/>
                    </w:rPr>
                  </w:pPr>
                  <w:r w:rsidRPr="006A6E94">
                    <w:rPr>
                      <w:rFonts w:cs="Times New Roman"/>
                      <w:b/>
                      <w:sz w:val="18"/>
                      <w:szCs w:val="24"/>
                    </w:rPr>
                    <w:t>-4,4</w:t>
                  </w:r>
                </w:p>
              </w:tc>
            </w:tr>
            <w:tr w:rsidR="00D576BB" w:rsidRPr="00D576BB" w14:paraId="4E397853" w14:textId="77777777" w:rsidTr="00B13890">
              <w:tc>
                <w:tcPr>
                  <w:tcW w:w="2297" w:type="dxa"/>
                  <w:shd w:val="clear" w:color="auto" w:fill="auto"/>
                  <w:tcMar>
                    <w:top w:w="12" w:type="dxa"/>
                    <w:left w:w="12" w:type="dxa"/>
                    <w:bottom w:w="0" w:type="dxa"/>
                    <w:right w:w="12" w:type="dxa"/>
                  </w:tcMar>
                  <w:vAlign w:val="center"/>
                  <w:hideMark/>
                </w:tcPr>
                <w:p w14:paraId="11BE7612" w14:textId="77777777" w:rsidR="00D576BB" w:rsidRPr="006A6E94" w:rsidRDefault="00D576BB" w:rsidP="006A6E94">
                  <w:pPr>
                    <w:spacing w:before="60" w:after="60"/>
                    <w:ind w:firstLine="22"/>
                    <w:jc w:val="left"/>
                    <w:rPr>
                      <w:rFonts w:cs="Times New Roman"/>
                      <w:sz w:val="18"/>
                      <w:szCs w:val="24"/>
                    </w:rPr>
                  </w:pPr>
                  <w:r w:rsidRPr="006A6E94">
                    <w:rPr>
                      <w:rFonts w:cs="Times New Roman"/>
                      <w:sz w:val="18"/>
                      <w:szCs w:val="24"/>
                    </w:rPr>
                    <w:t>Veselības aprūpe</w:t>
                  </w:r>
                </w:p>
              </w:tc>
              <w:tc>
                <w:tcPr>
                  <w:tcW w:w="851" w:type="dxa"/>
                  <w:shd w:val="clear" w:color="auto" w:fill="auto"/>
                  <w:tcMar>
                    <w:top w:w="12" w:type="dxa"/>
                    <w:left w:w="12" w:type="dxa"/>
                    <w:bottom w:w="0" w:type="dxa"/>
                    <w:right w:w="12" w:type="dxa"/>
                  </w:tcMar>
                  <w:vAlign w:val="center"/>
                  <w:hideMark/>
                </w:tcPr>
                <w:p w14:paraId="52C43E52" w14:textId="77777777" w:rsidR="00D576BB" w:rsidRPr="006A6E94" w:rsidRDefault="00D576BB" w:rsidP="00B13890">
                  <w:pPr>
                    <w:spacing w:before="60" w:after="60"/>
                    <w:jc w:val="center"/>
                    <w:rPr>
                      <w:rFonts w:cs="Times New Roman"/>
                      <w:sz w:val="18"/>
                      <w:szCs w:val="24"/>
                    </w:rPr>
                  </w:pPr>
                  <w:r w:rsidRPr="006A6E94">
                    <w:rPr>
                      <w:rFonts w:cs="Times New Roman"/>
                      <w:sz w:val="18"/>
                      <w:szCs w:val="24"/>
                    </w:rPr>
                    <w:t>3,0</w:t>
                  </w:r>
                </w:p>
              </w:tc>
              <w:tc>
                <w:tcPr>
                  <w:tcW w:w="850" w:type="dxa"/>
                  <w:shd w:val="clear" w:color="auto" w:fill="auto"/>
                  <w:tcMar>
                    <w:top w:w="12" w:type="dxa"/>
                    <w:left w:w="12" w:type="dxa"/>
                    <w:bottom w:w="0" w:type="dxa"/>
                    <w:right w:w="12" w:type="dxa"/>
                  </w:tcMar>
                  <w:vAlign w:val="center"/>
                </w:tcPr>
                <w:p w14:paraId="4D97A8F4" w14:textId="77777777" w:rsidR="00D576BB" w:rsidRPr="006A6E94" w:rsidRDefault="00D576BB" w:rsidP="00B13890">
                  <w:pPr>
                    <w:spacing w:before="60" w:after="60"/>
                    <w:jc w:val="center"/>
                    <w:rPr>
                      <w:rFonts w:cs="Times New Roman"/>
                      <w:sz w:val="18"/>
                      <w:szCs w:val="24"/>
                    </w:rPr>
                  </w:pPr>
                  <w:r w:rsidRPr="006A6E94">
                    <w:rPr>
                      <w:rFonts w:cs="Times New Roman"/>
                      <w:sz w:val="18"/>
                      <w:szCs w:val="24"/>
                    </w:rPr>
                    <w:t>2,6</w:t>
                  </w:r>
                </w:p>
              </w:tc>
            </w:tr>
            <w:tr w:rsidR="00D576BB" w:rsidRPr="00D576BB" w14:paraId="342BE0E6" w14:textId="77777777" w:rsidTr="00B13890">
              <w:tc>
                <w:tcPr>
                  <w:tcW w:w="2297" w:type="dxa"/>
                  <w:shd w:val="clear" w:color="auto" w:fill="auto"/>
                  <w:tcMar>
                    <w:top w:w="12" w:type="dxa"/>
                    <w:left w:w="12" w:type="dxa"/>
                    <w:bottom w:w="0" w:type="dxa"/>
                    <w:right w:w="12" w:type="dxa"/>
                  </w:tcMar>
                  <w:vAlign w:val="center"/>
                  <w:hideMark/>
                </w:tcPr>
                <w:p w14:paraId="0DC9E045" w14:textId="77777777" w:rsidR="00D576BB" w:rsidRPr="006A6E94" w:rsidRDefault="00D576BB" w:rsidP="006A6E94">
                  <w:pPr>
                    <w:spacing w:before="60" w:after="60"/>
                    <w:ind w:firstLine="22"/>
                    <w:jc w:val="left"/>
                    <w:rPr>
                      <w:rFonts w:cs="Times New Roman"/>
                      <w:b/>
                      <w:sz w:val="18"/>
                      <w:szCs w:val="24"/>
                    </w:rPr>
                  </w:pPr>
                  <w:r w:rsidRPr="006A6E94">
                    <w:rPr>
                      <w:rFonts w:cs="Times New Roman"/>
                      <w:b/>
                      <w:bCs/>
                      <w:sz w:val="18"/>
                      <w:szCs w:val="24"/>
                    </w:rPr>
                    <w:t>Degviela</w:t>
                  </w:r>
                </w:p>
              </w:tc>
              <w:tc>
                <w:tcPr>
                  <w:tcW w:w="851" w:type="dxa"/>
                  <w:shd w:val="clear" w:color="auto" w:fill="auto"/>
                  <w:tcMar>
                    <w:top w:w="12" w:type="dxa"/>
                    <w:left w:w="12" w:type="dxa"/>
                    <w:bottom w:w="0" w:type="dxa"/>
                    <w:right w:w="12" w:type="dxa"/>
                  </w:tcMar>
                  <w:vAlign w:val="center"/>
                  <w:hideMark/>
                </w:tcPr>
                <w:p w14:paraId="14AD81EC" w14:textId="77777777" w:rsidR="00D576BB" w:rsidRPr="006A6E94" w:rsidRDefault="00D576BB" w:rsidP="00B13890">
                  <w:pPr>
                    <w:spacing w:before="60" w:after="60"/>
                    <w:jc w:val="center"/>
                    <w:rPr>
                      <w:rFonts w:cs="Times New Roman"/>
                      <w:b/>
                      <w:sz w:val="18"/>
                      <w:szCs w:val="24"/>
                    </w:rPr>
                  </w:pPr>
                  <w:r w:rsidRPr="006A6E94">
                    <w:rPr>
                      <w:rFonts w:cs="Times New Roman"/>
                      <w:b/>
                      <w:bCs/>
                      <w:sz w:val="18"/>
                      <w:szCs w:val="24"/>
                    </w:rPr>
                    <w:t>-10,6</w:t>
                  </w:r>
                </w:p>
              </w:tc>
              <w:tc>
                <w:tcPr>
                  <w:tcW w:w="850" w:type="dxa"/>
                  <w:shd w:val="clear" w:color="auto" w:fill="auto"/>
                  <w:tcMar>
                    <w:top w:w="12" w:type="dxa"/>
                    <w:left w:w="12" w:type="dxa"/>
                    <w:bottom w:w="0" w:type="dxa"/>
                    <w:right w:w="12" w:type="dxa"/>
                  </w:tcMar>
                  <w:vAlign w:val="center"/>
                </w:tcPr>
                <w:p w14:paraId="5F5DFFD1" w14:textId="77777777" w:rsidR="00D576BB" w:rsidRPr="006A6E94" w:rsidRDefault="00D576BB" w:rsidP="00B13890">
                  <w:pPr>
                    <w:spacing w:before="60" w:after="60"/>
                    <w:jc w:val="center"/>
                    <w:rPr>
                      <w:rFonts w:cs="Times New Roman"/>
                      <w:b/>
                      <w:sz w:val="18"/>
                      <w:szCs w:val="24"/>
                    </w:rPr>
                  </w:pPr>
                  <w:r w:rsidRPr="006A6E94">
                    <w:rPr>
                      <w:rFonts w:cs="Times New Roman"/>
                      <w:b/>
                      <w:sz w:val="18"/>
                      <w:szCs w:val="24"/>
                    </w:rPr>
                    <w:t>11,2</w:t>
                  </w:r>
                </w:p>
              </w:tc>
            </w:tr>
            <w:tr w:rsidR="00D576BB" w:rsidRPr="00D576BB" w14:paraId="36D49029" w14:textId="77777777" w:rsidTr="00B13890">
              <w:tc>
                <w:tcPr>
                  <w:tcW w:w="2297" w:type="dxa"/>
                  <w:shd w:val="clear" w:color="auto" w:fill="auto"/>
                  <w:tcMar>
                    <w:top w:w="12" w:type="dxa"/>
                    <w:left w:w="12" w:type="dxa"/>
                    <w:bottom w:w="0" w:type="dxa"/>
                    <w:right w:w="12" w:type="dxa"/>
                  </w:tcMar>
                  <w:vAlign w:val="center"/>
                  <w:hideMark/>
                </w:tcPr>
                <w:p w14:paraId="125FA795" w14:textId="77777777" w:rsidR="00D576BB" w:rsidRPr="006A6E94" w:rsidRDefault="00D576BB" w:rsidP="006A6E94">
                  <w:pPr>
                    <w:spacing w:before="60" w:after="60"/>
                    <w:ind w:firstLine="22"/>
                    <w:jc w:val="left"/>
                    <w:rPr>
                      <w:rFonts w:cs="Times New Roman"/>
                      <w:sz w:val="18"/>
                      <w:szCs w:val="24"/>
                    </w:rPr>
                  </w:pPr>
                  <w:r w:rsidRPr="006A6E94">
                    <w:rPr>
                      <w:rFonts w:cs="Times New Roman"/>
                      <w:sz w:val="18"/>
                      <w:szCs w:val="24"/>
                    </w:rPr>
                    <w:t>Pārvadājumu pakalpojumi</w:t>
                  </w:r>
                </w:p>
              </w:tc>
              <w:tc>
                <w:tcPr>
                  <w:tcW w:w="851" w:type="dxa"/>
                  <w:shd w:val="clear" w:color="auto" w:fill="auto"/>
                  <w:tcMar>
                    <w:top w:w="12" w:type="dxa"/>
                    <w:left w:w="12" w:type="dxa"/>
                    <w:bottom w:w="0" w:type="dxa"/>
                    <w:right w:w="12" w:type="dxa"/>
                  </w:tcMar>
                  <w:vAlign w:val="center"/>
                  <w:hideMark/>
                </w:tcPr>
                <w:p w14:paraId="7AACB24D" w14:textId="77777777" w:rsidR="00D576BB" w:rsidRPr="006A6E94" w:rsidRDefault="00D576BB" w:rsidP="00B13890">
                  <w:pPr>
                    <w:spacing w:before="60" w:after="60"/>
                    <w:jc w:val="center"/>
                    <w:rPr>
                      <w:rFonts w:cs="Times New Roman"/>
                      <w:sz w:val="18"/>
                      <w:szCs w:val="24"/>
                    </w:rPr>
                  </w:pPr>
                  <w:r w:rsidRPr="006A6E94">
                    <w:rPr>
                      <w:rFonts w:cs="Times New Roman"/>
                      <w:sz w:val="18"/>
                      <w:szCs w:val="24"/>
                    </w:rPr>
                    <w:t>0,0</w:t>
                  </w:r>
                </w:p>
              </w:tc>
              <w:tc>
                <w:tcPr>
                  <w:tcW w:w="850" w:type="dxa"/>
                  <w:shd w:val="clear" w:color="auto" w:fill="auto"/>
                  <w:tcMar>
                    <w:top w:w="12" w:type="dxa"/>
                    <w:left w:w="12" w:type="dxa"/>
                    <w:bottom w:w="0" w:type="dxa"/>
                    <w:right w:w="12" w:type="dxa"/>
                  </w:tcMar>
                  <w:vAlign w:val="center"/>
                </w:tcPr>
                <w:p w14:paraId="4E41367F" w14:textId="77777777" w:rsidR="00D576BB" w:rsidRPr="006A6E94" w:rsidRDefault="00D576BB" w:rsidP="00B13890">
                  <w:pPr>
                    <w:spacing w:before="60" w:after="60"/>
                    <w:jc w:val="center"/>
                    <w:rPr>
                      <w:rFonts w:cs="Times New Roman"/>
                      <w:sz w:val="18"/>
                      <w:szCs w:val="24"/>
                    </w:rPr>
                  </w:pPr>
                  <w:r w:rsidRPr="006A6E94">
                    <w:rPr>
                      <w:rFonts w:cs="Times New Roman"/>
                      <w:sz w:val="18"/>
                      <w:szCs w:val="24"/>
                    </w:rPr>
                    <w:t>-1,1</w:t>
                  </w:r>
                </w:p>
              </w:tc>
            </w:tr>
            <w:tr w:rsidR="00D576BB" w:rsidRPr="00D576BB" w14:paraId="67441780" w14:textId="77777777" w:rsidTr="00B13890">
              <w:tc>
                <w:tcPr>
                  <w:tcW w:w="2297" w:type="dxa"/>
                  <w:shd w:val="clear" w:color="auto" w:fill="auto"/>
                  <w:tcMar>
                    <w:top w:w="12" w:type="dxa"/>
                    <w:left w:w="12" w:type="dxa"/>
                    <w:bottom w:w="0" w:type="dxa"/>
                    <w:right w:w="12" w:type="dxa"/>
                  </w:tcMar>
                  <w:vAlign w:val="center"/>
                  <w:hideMark/>
                </w:tcPr>
                <w:p w14:paraId="13AB4F90" w14:textId="77777777" w:rsidR="00D576BB" w:rsidRPr="006A6E94" w:rsidRDefault="00D576BB" w:rsidP="006A6E94">
                  <w:pPr>
                    <w:spacing w:before="60" w:after="60"/>
                    <w:ind w:firstLine="22"/>
                    <w:jc w:val="left"/>
                    <w:rPr>
                      <w:rFonts w:cs="Times New Roman"/>
                      <w:sz w:val="18"/>
                      <w:szCs w:val="24"/>
                    </w:rPr>
                  </w:pPr>
                  <w:r w:rsidRPr="006A6E94">
                    <w:rPr>
                      <w:rFonts w:cs="Times New Roman"/>
                      <w:sz w:val="18"/>
                      <w:szCs w:val="24"/>
                    </w:rPr>
                    <w:t>Atpūta un kultūra</w:t>
                  </w:r>
                </w:p>
              </w:tc>
              <w:tc>
                <w:tcPr>
                  <w:tcW w:w="851" w:type="dxa"/>
                  <w:shd w:val="clear" w:color="auto" w:fill="auto"/>
                  <w:tcMar>
                    <w:top w:w="12" w:type="dxa"/>
                    <w:left w:w="12" w:type="dxa"/>
                    <w:bottom w:w="0" w:type="dxa"/>
                    <w:right w:w="12" w:type="dxa"/>
                  </w:tcMar>
                  <w:vAlign w:val="center"/>
                  <w:hideMark/>
                </w:tcPr>
                <w:p w14:paraId="2E17F28C" w14:textId="77777777" w:rsidR="00D576BB" w:rsidRPr="006A6E94" w:rsidRDefault="00D576BB" w:rsidP="00B13890">
                  <w:pPr>
                    <w:spacing w:before="60" w:after="60"/>
                    <w:jc w:val="center"/>
                    <w:rPr>
                      <w:rFonts w:cs="Times New Roman"/>
                      <w:sz w:val="18"/>
                      <w:szCs w:val="24"/>
                    </w:rPr>
                  </w:pPr>
                  <w:r w:rsidRPr="006A6E94">
                    <w:rPr>
                      <w:rFonts w:cs="Times New Roman"/>
                      <w:sz w:val="18"/>
                      <w:szCs w:val="24"/>
                    </w:rPr>
                    <w:t>2,0</w:t>
                  </w:r>
                </w:p>
              </w:tc>
              <w:tc>
                <w:tcPr>
                  <w:tcW w:w="850" w:type="dxa"/>
                  <w:shd w:val="clear" w:color="auto" w:fill="auto"/>
                  <w:tcMar>
                    <w:top w:w="12" w:type="dxa"/>
                    <w:left w:w="12" w:type="dxa"/>
                    <w:bottom w:w="0" w:type="dxa"/>
                    <w:right w:w="12" w:type="dxa"/>
                  </w:tcMar>
                  <w:vAlign w:val="center"/>
                </w:tcPr>
                <w:p w14:paraId="67C0B747" w14:textId="77777777" w:rsidR="00D576BB" w:rsidRPr="006A6E94" w:rsidRDefault="00D576BB" w:rsidP="00B13890">
                  <w:pPr>
                    <w:spacing w:before="60" w:after="60"/>
                    <w:jc w:val="center"/>
                    <w:rPr>
                      <w:rFonts w:cs="Times New Roman"/>
                      <w:sz w:val="18"/>
                      <w:szCs w:val="24"/>
                    </w:rPr>
                  </w:pPr>
                  <w:r w:rsidRPr="006A6E94">
                    <w:rPr>
                      <w:rFonts w:cs="Times New Roman"/>
                      <w:sz w:val="18"/>
                      <w:szCs w:val="24"/>
                    </w:rPr>
                    <w:t>2,2</w:t>
                  </w:r>
                </w:p>
              </w:tc>
            </w:tr>
            <w:tr w:rsidR="00D576BB" w:rsidRPr="00D576BB" w14:paraId="07F614FC" w14:textId="77777777" w:rsidTr="00B13890">
              <w:tc>
                <w:tcPr>
                  <w:tcW w:w="2297" w:type="dxa"/>
                  <w:shd w:val="clear" w:color="auto" w:fill="auto"/>
                  <w:tcMar>
                    <w:top w:w="12" w:type="dxa"/>
                    <w:left w:w="12" w:type="dxa"/>
                    <w:bottom w:w="0" w:type="dxa"/>
                    <w:right w:w="12" w:type="dxa"/>
                  </w:tcMar>
                  <w:vAlign w:val="center"/>
                  <w:hideMark/>
                </w:tcPr>
                <w:p w14:paraId="3A467B3E" w14:textId="77777777" w:rsidR="00D576BB" w:rsidRPr="006A6E94" w:rsidRDefault="00D576BB" w:rsidP="006A6E94">
                  <w:pPr>
                    <w:spacing w:before="60" w:after="60"/>
                    <w:ind w:firstLine="22"/>
                    <w:jc w:val="left"/>
                    <w:rPr>
                      <w:rFonts w:cs="Times New Roman"/>
                      <w:sz w:val="18"/>
                      <w:szCs w:val="24"/>
                    </w:rPr>
                  </w:pPr>
                  <w:r w:rsidRPr="006A6E94">
                    <w:rPr>
                      <w:rFonts w:cs="Times New Roman"/>
                      <w:sz w:val="18"/>
                      <w:szCs w:val="24"/>
                    </w:rPr>
                    <w:t>Restorāni un viesnīcas</w:t>
                  </w:r>
                </w:p>
              </w:tc>
              <w:tc>
                <w:tcPr>
                  <w:tcW w:w="851" w:type="dxa"/>
                  <w:shd w:val="clear" w:color="auto" w:fill="auto"/>
                  <w:tcMar>
                    <w:top w:w="12" w:type="dxa"/>
                    <w:left w:w="12" w:type="dxa"/>
                    <w:bottom w:w="0" w:type="dxa"/>
                    <w:right w:w="12" w:type="dxa"/>
                  </w:tcMar>
                  <w:vAlign w:val="center"/>
                  <w:hideMark/>
                </w:tcPr>
                <w:p w14:paraId="3CF2C906" w14:textId="77777777" w:rsidR="00D576BB" w:rsidRPr="006A6E94" w:rsidRDefault="00D576BB" w:rsidP="00B13890">
                  <w:pPr>
                    <w:spacing w:before="60" w:after="60"/>
                    <w:jc w:val="center"/>
                    <w:rPr>
                      <w:rFonts w:cs="Times New Roman"/>
                      <w:sz w:val="18"/>
                      <w:szCs w:val="24"/>
                    </w:rPr>
                  </w:pPr>
                  <w:r w:rsidRPr="006A6E94">
                    <w:rPr>
                      <w:rFonts w:cs="Times New Roman"/>
                      <w:sz w:val="18"/>
                      <w:szCs w:val="24"/>
                    </w:rPr>
                    <w:t>2,7</w:t>
                  </w:r>
                </w:p>
              </w:tc>
              <w:tc>
                <w:tcPr>
                  <w:tcW w:w="850" w:type="dxa"/>
                  <w:shd w:val="clear" w:color="auto" w:fill="auto"/>
                  <w:tcMar>
                    <w:top w:w="12" w:type="dxa"/>
                    <w:left w:w="12" w:type="dxa"/>
                    <w:bottom w:w="0" w:type="dxa"/>
                    <w:right w:w="12" w:type="dxa"/>
                  </w:tcMar>
                  <w:vAlign w:val="center"/>
                </w:tcPr>
                <w:p w14:paraId="4916BA4E" w14:textId="77777777" w:rsidR="00D576BB" w:rsidRPr="006A6E94" w:rsidRDefault="00D576BB" w:rsidP="00B13890">
                  <w:pPr>
                    <w:spacing w:before="60" w:after="60"/>
                    <w:jc w:val="center"/>
                    <w:rPr>
                      <w:rFonts w:cs="Times New Roman"/>
                      <w:sz w:val="18"/>
                      <w:szCs w:val="24"/>
                    </w:rPr>
                  </w:pPr>
                  <w:r w:rsidRPr="006A6E94">
                    <w:rPr>
                      <w:rFonts w:cs="Times New Roman"/>
                      <w:sz w:val="18"/>
                      <w:szCs w:val="24"/>
                    </w:rPr>
                    <w:t>1,4</w:t>
                  </w:r>
                </w:p>
              </w:tc>
            </w:tr>
            <w:tr w:rsidR="00D576BB" w:rsidRPr="00D576BB" w14:paraId="7D66A702" w14:textId="77777777" w:rsidTr="00B13890">
              <w:tc>
                <w:tcPr>
                  <w:tcW w:w="2297" w:type="dxa"/>
                  <w:shd w:val="clear" w:color="auto" w:fill="auto"/>
                  <w:tcMar>
                    <w:top w:w="12" w:type="dxa"/>
                    <w:left w:w="12" w:type="dxa"/>
                    <w:bottom w:w="0" w:type="dxa"/>
                    <w:right w:w="12" w:type="dxa"/>
                  </w:tcMar>
                  <w:vAlign w:val="center"/>
                  <w:hideMark/>
                </w:tcPr>
                <w:p w14:paraId="068FC870" w14:textId="77777777" w:rsidR="00D576BB" w:rsidRPr="006A6E94" w:rsidRDefault="00D576BB" w:rsidP="006A6E94">
                  <w:pPr>
                    <w:spacing w:before="60" w:after="60"/>
                    <w:ind w:firstLine="22"/>
                    <w:jc w:val="left"/>
                    <w:rPr>
                      <w:rFonts w:cs="Times New Roman"/>
                      <w:sz w:val="18"/>
                      <w:szCs w:val="24"/>
                    </w:rPr>
                  </w:pPr>
                  <w:r w:rsidRPr="006A6E94">
                    <w:rPr>
                      <w:rFonts w:cs="Times New Roman"/>
                      <w:sz w:val="18"/>
                      <w:szCs w:val="24"/>
                      <w:lang w:val="es-ES"/>
                    </w:rPr>
                    <w:t>Dažādas preces un pakalpojumi</w:t>
                  </w:r>
                </w:p>
              </w:tc>
              <w:tc>
                <w:tcPr>
                  <w:tcW w:w="851" w:type="dxa"/>
                  <w:shd w:val="clear" w:color="auto" w:fill="auto"/>
                  <w:tcMar>
                    <w:top w:w="12" w:type="dxa"/>
                    <w:left w:w="12" w:type="dxa"/>
                    <w:bottom w:w="0" w:type="dxa"/>
                    <w:right w:w="12" w:type="dxa"/>
                  </w:tcMar>
                  <w:vAlign w:val="center"/>
                  <w:hideMark/>
                </w:tcPr>
                <w:p w14:paraId="55092FB4" w14:textId="77777777" w:rsidR="00D576BB" w:rsidRPr="006A6E94" w:rsidRDefault="00D576BB" w:rsidP="00B13890">
                  <w:pPr>
                    <w:spacing w:before="60" w:after="60"/>
                    <w:jc w:val="center"/>
                    <w:rPr>
                      <w:rFonts w:cs="Times New Roman"/>
                      <w:sz w:val="18"/>
                      <w:szCs w:val="24"/>
                    </w:rPr>
                  </w:pPr>
                  <w:r w:rsidRPr="006A6E94">
                    <w:rPr>
                      <w:rFonts w:cs="Times New Roman"/>
                      <w:sz w:val="18"/>
                      <w:szCs w:val="24"/>
                    </w:rPr>
                    <w:t>-0,1</w:t>
                  </w:r>
                </w:p>
              </w:tc>
              <w:tc>
                <w:tcPr>
                  <w:tcW w:w="850" w:type="dxa"/>
                  <w:shd w:val="clear" w:color="auto" w:fill="auto"/>
                  <w:tcMar>
                    <w:top w:w="12" w:type="dxa"/>
                    <w:left w:w="12" w:type="dxa"/>
                    <w:bottom w:w="0" w:type="dxa"/>
                    <w:right w:w="12" w:type="dxa"/>
                  </w:tcMar>
                  <w:vAlign w:val="center"/>
                </w:tcPr>
                <w:p w14:paraId="5C77DD03" w14:textId="77777777" w:rsidR="00D576BB" w:rsidRPr="006A6E94" w:rsidRDefault="00D576BB" w:rsidP="00B13890">
                  <w:pPr>
                    <w:spacing w:before="60" w:after="60"/>
                    <w:jc w:val="center"/>
                    <w:rPr>
                      <w:rFonts w:cs="Times New Roman"/>
                      <w:sz w:val="18"/>
                      <w:szCs w:val="24"/>
                    </w:rPr>
                  </w:pPr>
                  <w:r w:rsidRPr="006A6E94">
                    <w:rPr>
                      <w:rFonts w:cs="Times New Roman"/>
                      <w:sz w:val="18"/>
                      <w:szCs w:val="24"/>
                    </w:rPr>
                    <w:t>-0,1</w:t>
                  </w:r>
                </w:p>
              </w:tc>
            </w:tr>
          </w:tbl>
          <w:p w14:paraId="6621FFA5" w14:textId="77777777" w:rsidR="00D576BB" w:rsidRPr="00D576BB" w:rsidRDefault="00D576BB" w:rsidP="00B13890">
            <w:pPr>
              <w:spacing w:before="60" w:after="60"/>
              <w:rPr>
                <w:rFonts w:cs="Times New Roman"/>
                <w:szCs w:val="24"/>
              </w:rPr>
            </w:pPr>
          </w:p>
        </w:tc>
        <w:tc>
          <w:tcPr>
            <w:tcW w:w="4190" w:type="dxa"/>
            <w:gridSpan w:val="2"/>
          </w:tcPr>
          <w:p w14:paraId="415949F6" w14:textId="4F7A3BE4" w:rsidR="006A6E94" w:rsidRDefault="001A257A" w:rsidP="00B13890">
            <w:pPr>
              <w:spacing w:before="60" w:after="60"/>
              <w:rPr>
                <w:rFonts w:cs="Times New Roman"/>
                <w:szCs w:val="24"/>
              </w:rPr>
            </w:pPr>
            <w:r>
              <w:rPr>
                <w:noProof/>
              </w:rPr>
              <w:drawing>
                <wp:inline distT="0" distB="0" distL="0" distR="0" wp14:anchorId="7DF0E0E9" wp14:editId="504A5A62">
                  <wp:extent cx="2581275" cy="3257550"/>
                  <wp:effectExtent l="0" t="0" r="9525" b="0"/>
                  <wp:docPr id="3" name="Picture 3" descr="cid:image004.png@01D7B90D.2F319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descr="cid:image004.png@01D7B90D.2F319150"/>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2581275" cy="3257550"/>
                          </a:xfrm>
                          <a:prstGeom prst="rect">
                            <a:avLst/>
                          </a:prstGeom>
                          <a:noFill/>
                          <a:ln>
                            <a:noFill/>
                          </a:ln>
                        </pic:spPr>
                      </pic:pic>
                    </a:graphicData>
                  </a:graphic>
                </wp:inline>
              </w:drawing>
            </w:r>
          </w:p>
          <w:p w14:paraId="2454040B" w14:textId="143CA4DD" w:rsidR="006A6E94" w:rsidRDefault="006A6E94" w:rsidP="006A6E94">
            <w:pPr>
              <w:rPr>
                <w:rFonts w:cs="Times New Roman"/>
                <w:szCs w:val="24"/>
              </w:rPr>
            </w:pPr>
          </w:p>
          <w:p w14:paraId="758D70FF" w14:textId="1A2D906B" w:rsidR="00D576BB" w:rsidRPr="009D6584" w:rsidRDefault="006A6E94" w:rsidP="006A6E94">
            <w:pPr>
              <w:tabs>
                <w:tab w:val="left" w:pos="1896"/>
              </w:tabs>
              <w:ind w:firstLine="0"/>
              <w:jc w:val="center"/>
              <w:rPr>
                <w:rFonts w:cs="Times New Roman"/>
                <w:szCs w:val="24"/>
              </w:rPr>
            </w:pPr>
            <w:r w:rsidRPr="009D6584">
              <w:rPr>
                <w:rFonts w:cs="Times New Roman"/>
                <w:b/>
                <w:bCs/>
                <w:szCs w:val="24"/>
              </w:rPr>
              <w:t>1.25. attēls</w:t>
            </w:r>
            <w:r w:rsidR="009D6584">
              <w:rPr>
                <w:rFonts w:cs="Times New Roman"/>
                <w:b/>
                <w:bCs/>
                <w:szCs w:val="24"/>
              </w:rPr>
              <w:t>.</w:t>
            </w:r>
            <w:r w:rsidRPr="009D6584">
              <w:rPr>
                <w:rFonts w:cs="Times New Roman"/>
                <w:b/>
                <w:bCs/>
                <w:szCs w:val="24"/>
              </w:rPr>
              <w:t xml:space="preserve"> Devums gada inflācijā pēc izcelsmes avota (pp) un PCI (%)</w:t>
            </w:r>
          </w:p>
        </w:tc>
      </w:tr>
    </w:tbl>
    <w:p w14:paraId="7196C30F" w14:textId="4E9D130B" w:rsidR="00D576BB" w:rsidRDefault="00D576BB" w:rsidP="00D576BB">
      <w:pPr>
        <w:spacing w:before="120"/>
        <w:rPr>
          <w:rFonts w:eastAsia="Calibri" w:cs="Times New Roman"/>
          <w:szCs w:val="24"/>
        </w:rPr>
      </w:pPr>
      <w:r w:rsidRPr="00D576BB">
        <w:rPr>
          <w:rFonts w:eastAsia="Calibri" w:cs="Times New Roman"/>
          <w:szCs w:val="24"/>
        </w:rPr>
        <w:t>Patēriņa cenu izmaiņas Latvijā atbilst tendencēm</w:t>
      </w:r>
      <w:r w:rsidR="009D6584">
        <w:rPr>
          <w:rFonts w:eastAsia="Calibri" w:cs="Times New Roman"/>
          <w:szCs w:val="24"/>
        </w:rPr>
        <w:t xml:space="preserve"> </w:t>
      </w:r>
      <w:r w:rsidR="009D6584" w:rsidRPr="009D6584">
        <w:rPr>
          <w:rFonts w:eastAsia="Calibri" w:cs="Times New Roman"/>
          <w:i/>
          <w:szCs w:val="24"/>
        </w:rPr>
        <w:t>Euro</w:t>
      </w:r>
      <w:r w:rsidR="009D6584">
        <w:rPr>
          <w:rFonts w:eastAsia="Calibri" w:cs="Times New Roman"/>
          <w:szCs w:val="24"/>
        </w:rPr>
        <w:t xml:space="preserve"> </w:t>
      </w:r>
      <w:r w:rsidRPr="00D576BB">
        <w:rPr>
          <w:rFonts w:eastAsia="Calibri" w:cs="Times New Roman"/>
          <w:szCs w:val="24"/>
        </w:rPr>
        <w:t>zonā. Šā gada pirmajos astoņos mēnešos saskaņotais patēriņa cenu indekss eirozonā ir palielinājies nedaudz straujāk nekā Latvijā un salīdzinājumā ar pērnā gada attiecīgo periodu bija par 1,7% augstāks. Savukārt augustā saskaņotais patēriņa cenu indekss eirozonā gada griezumā palielinājās par 3,0%, kas tāpat kā Latvijā ir straujākais cenu</w:t>
      </w:r>
      <w:r w:rsidR="006A6E94">
        <w:rPr>
          <w:rFonts w:eastAsia="Calibri" w:cs="Times New Roman"/>
          <w:szCs w:val="24"/>
        </w:rPr>
        <w:t xml:space="preserve"> pieaugums kopš 2012. gada. </w:t>
      </w:r>
      <w:r w:rsidR="006A6E94" w:rsidRPr="006A6E94">
        <w:rPr>
          <w:rFonts w:eastAsia="Calibri" w:cs="Times New Roman"/>
          <w:i/>
          <w:szCs w:val="24"/>
        </w:rPr>
        <w:t>Euro</w:t>
      </w:r>
      <w:r w:rsidR="006A6E94">
        <w:rPr>
          <w:rFonts w:eastAsia="Calibri" w:cs="Times New Roman"/>
          <w:szCs w:val="24"/>
        </w:rPr>
        <w:t xml:space="preserve"> </w:t>
      </w:r>
      <w:r w:rsidRPr="00D576BB">
        <w:rPr>
          <w:rFonts w:eastAsia="Calibri" w:cs="Times New Roman"/>
          <w:szCs w:val="24"/>
        </w:rPr>
        <w:t>zonas valstīs būtisku devumu inflācijā gan astoņos mēnešos kopumā, gan augustā nodrošināja energoresursu cenu pieaugums (degviela, gāze, siltumenerģija, elektroenerģija), jo, izslēdzot tās, vidējais cenu līmenis būtu palielinājies gandrīz divas reizes mazāk. Papildus tam jāatzīmē, ka pamatinflācija jeb cenu izmaiņas, kas raksturo tieši iekšējā tirgus ekonomikas procesus, šā gada astoņos mēnešos eirozonā bija 1,0%, bet Latvijā 1,2%, kas pie samērā straujās ekonomiskās izaugsmes šā gada pirmajā pusgadā nav daudz.</w:t>
      </w:r>
    </w:p>
    <w:p w14:paraId="5CBCE200" w14:textId="77777777" w:rsidR="005774F8" w:rsidRPr="00D576BB" w:rsidRDefault="005774F8" w:rsidP="00D576BB">
      <w:pPr>
        <w:spacing w:before="120"/>
        <w:rPr>
          <w:rFonts w:eastAsia="Calibri" w:cs="Times New Roman"/>
          <w:szCs w:val="24"/>
        </w:rPr>
      </w:pPr>
    </w:p>
    <w:p w14:paraId="244295BC" w14:textId="0ADAC3DA" w:rsidR="003F3FCD" w:rsidRPr="005774F8" w:rsidRDefault="005774F8" w:rsidP="005774F8">
      <w:pPr>
        <w:pStyle w:val="Heading3"/>
        <w:numPr>
          <w:ilvl w:val="0"/>
          <w:numId w:val="0"/>
        </w:numPr>
        <w:spacing w:before="240" w:after="240"/>
        <w:ind w:left="720"/>
      </w:pPr>
      <w:bookmarkStart w:id="6" w:name="_Toc84756389"/>
      <w:r>
        <w:lastRenderedPageBreak/>
        <w:t xml:space="preserve">1.2.4. </w:t>
      </w:r>
      <w:r w:rsidR="000548A5" w:rsidRPr="002C516C">
        <w:t>Nodarbinātība un bezdarbs</w:t>
      </w:r>
      <w:bookmarkEnd w:id="6"/>
    </w:p>
    <w:p w14:paraId="49CC6EF9" w14:textId="77777777" w:rsidR="00D576BB" w:rsidRPr="00D576BB" w:rsidRDefault="00D576BB" w:rsidP="00D576BB">
      <w:pPr>
        <w:rPr>
          <w:rFonts w:eastAsia="Calibri" w:cs="Times New Roman"/>
          <w:szCs w:val="24"/>
        </w:rPr>
      </w:pPr>
      <w:r w:rsidRPr="00D576BB">
        <w:rPr>
          <w:rFonts w:eastAsia="Calibri" w:cs="Times New Roman"/>
          <w:szCs w:val="24"/>
        </w:rPr>
        <w:t>Bezdarba līmenis, kas līdz ar spēcīgo ekonomikas izaugsmi laikā līdz 2019. gadam bija būtiski samazinājies, Covid</w:t>
      </w:r>
      <w:r w:rsidRPr="00D576BB">
        <w:rPr>
          <w:rFonts w:eastAsia="Calibri" w:cs="Times New Roman"/>
          <w:szCs w:val="24"/>
        </w:rPr>
        <w:noBreakHyphen/>
        <w:t>19 krīzes laikā 2020. gadā un 2021. gada pirmajā pusē atkal pieauga, tomēr šis bezdarba kāpums bija nesalīdzināmi mazāks nekā 2009.-2010. gada ekonomiskās krīzes laikā un arī mērenāks, nekā tika prognozēts Covid</w:t>
      </w:r>
      <w:r w:rsidRPr="00D576BB">
        <w:rPr>
          <w:rFonts w:eastAsia="Calibri" w:cs="Times New Roman"/>
          <w:szCs w:val="24"/>
        </w:rPr>
        <w:noBreakHyphen/>
        <w:t xml:space="preserve">19 krīzes sākumā 2020. gada pavasarī. </w:t>
      </w:r>
    </w:p>
    <w:p w14:paraId="42CA1CB3" w14:textId="17F156A7" w:rsidR="00D576BB" w:rsidRPr="00D576BB" w:rsidRDefault="00D576BB" w:rsidP="00D576BB">
      <w:pPr>
        <w:rPr>
          <w:rFonts w:eastAsia="Calibri" w:cs="Times New Roman"/>
          <w:szCs w:val="24"/>
        </w:rPr>
      </w:pPr>
      <w:r w:rsidRPr="00D576BB">
        <w:rPr>
          <w:rFonts w:eastAsia="Calibri" w:cs="Times New Roman"/>
          <w:szCs w:val="24"/>
        </w:rPr>
        <w:t>2020. gadā bezdarba līmenis, pēc darbaspēka apsekojuma, salīdzinot ar 2019. gadu palielinājās par 1,8 procentpunktiem un sasniedza 8,1% no ekonomiski aktīvajiem iedzīvotājiem, tālu atpaliekot no pagājušajā krīzē 2010. gadā sasniegtā 19,5% maksimuma. Šā gada pirmajā ceturksnī, līdz ar Covid</w:t>
      </w:r>
      <w:r w:rsidRPr="00D576BB">
        <w:rPr>
          <w:rFonts w:eastAsia="Calibri" w:cs="Times New Roman"/>
          <w:szCs w:val="24"/>
        </w:rPr>
        <w:noBreakHyphen/>
        <w:t>19 atkārtoto uzliesmojumu, bezdarbs saglabājās sasniegtajā 8,1% līmenī, bet otrajā ceturksnī, slimības izplatībai un ierobežojumiem mazinoties, jau noslīdēja līdz 7,9%. Salīdzinājumā ar 2020. gada otro ceturksni, kad Latviju visjūtamāk bija skāris Covid</w:t>
      </w:r>
      <w:r w:rsidRPr="00D576BB">
        <w:rPr>
          <w:rFonts w:eastAsia="Calibri" w:cs="Times New Roman"/>
          <w:szCs w:val="24"/>
        </w:rPr>
        <w:noBreakHyphen/>
        <w:t xml:space="preserve">19 uzliesmojums, bezdarba līmenis bija samazinājies jau par 0,7 procentpunktiem, bet bezdarbnieku </w:t>
      </w:r>
      <w:r w:rsidR="002675A9">
        <w:rPr>
          <w:rFonts w:eastAsia="Calibri" w:cs="Times New Roman"/>
          <w:szCs w:val="24"/>
        </w:rPr>
        <w:t>skaits krities par 10,1 tūkst.</w:t>
      </w:r>
      <w:r w:rsidRPr="00D576BB">
        <w:rPr>
          <w:rFonts w:eastAsia="Calibri" w:cs="Times New Roman"/>
          <w:szCs w:val="24"/>
        </w:rPr>
        <w:t xml:space="preserve"> jeb 12,1%. Tāpat kā 2020. gadā, arī šā gada pirmajā pusē bezdarba līmeni būtiski ierobežoja valsts sniegtais nodarbinātības atbalsts dīkstāves pabalstu un algu subsīdiju veidā, gan tas, ka ekonomika krīzes otrajā vilnī jau bija labāk pielāgojusies Covid</w:t>
      </w:r>
      <w:r w:rsidRPr="00D576BB">
        <w:rPr>
          <w:rFonts w:eastAsia="Calibri" w:cs="Times New Roman"/>
          <w:szCs w:val="24"/>
        </w:rPr>
        <w:noBreakHyphen/>
        <w:t>19 ierobežojumiem.</w:t>
      </w:r>
    </w:p>
    <w:p w14:paraId="5EBBDB7D" w14:textId="77777777" w:rsidR="00D576BB" w:rsidRPr="00D576BB" w:rsidRDefault="00D576BB" w:rsidP="00D576BB">
      <w:pPr>
        <w:rPr>
          <w:rFonts w:eastAsia="Calibri" w:cs="Times New Roman"/>
          <w:szCs w:val="24"/>
        </w:rPr>
      </w:pPr>
      <w:r w:rsidRPr="00D576BB">
        <w:rPr>
          <w:rFonts w:eastAsia="Calibri" w:cs="Times New Roman"/>
          <w:szCs w:val="24"/>
        </w:rPr>
        <w:t>Līdzīgi reģistrētā bezdarba līmenis, kas 2021. gada ziemas mēnešos bija pieaudzis līdz 8,2%, kopš marta visai stabili samazinās un augusta beigās jau ir noslīdējis līdz  6,5% no ekonomiski aktīvajiem iedzīvotājiem, kas ir par 1,7 procentpunktiem mazāk nekā pirms gada. Reģistrēto bezdarbnieku skaits gada laikā ir sarucis par 21,3% un augusta beigās bija 59,0 tūkstoši. Arī beidzoties dīkstāves atbalsta periodam, gada otrajā pusē bezdarba līmenis nav sācis pieaugt, bet tieši pretēji – bezdarbnieku skaita kritums jūlijā un augustā kļuvis vēl straujāks, ko ietekmējuši gan sezonāli faktori, gan Covid</w:t>
      </w:r>
      <w:r w:rsidRPr="00D576BB">
        <w:rPr>
          <w:rFonts w:eastAsia="Calibri" w:cs="Times New Roman"/>
          <w:szCs w:val="24"/>
        </w:rPr>
        <w:noBreakHyphen/>
        <w:t xml:space="preserve">19 ierobežojumu mazināšana un atcelšana. </w:t>
      </w:r>
    </w:p>
    <w:p w14:paraId="67E029CB" w14:textId="77777777" w:rsidR="00D576BB" w:rsidRPr="00D576BB" w:rsidRDefault="00D576BB" w:rsidP="00D576BB">
      <w:pPr>
        <w:rPr>
          <w:rFonts w:eastAsia="Calibri" w:cs="Times New Roman"/>
          <w:szCs w:val="24"/>
        </w:rPr>
      </w:pPr>
      <w:r w:rsidRPr="00D576BB">
        <w:rPr>
          <w:rFonts w:eastAsia="Calibri" w:cs="Times New Roman"/>
          <w:szCs w:val="24"/>
        </w:rPr>
        <w:t>Pašlaik pieejamie dati neliecina, ka Covid</w:t>
      </w:r>
      <w:r w:rsidRPr="00D576BB">
        <w:rPr>
          <w:rFonts w:eastAsia="Calibri" w:cs="Times New Roman"/>
          <w:szCs w:val="24"/>
        </w:rPr>
        <w:noBreakHyphen/>
        <w:t>19 pandēmija un slimības apkarošanai noteiktie ierobežojumi būtu atstājuši paliekošu negatīvu ietekmi darba tirgū, un septembra sākumā reģistrētais bezdarbs praktiski jau ir atgriezies pirmskrīzes līmenī, kad 2020. gada februārī reģistrētā bezdarba līmenis bija 6,3%. Arī skatoties pa reģioniem, kur Covid</w:t>
      </w:r>
      <w:r w:rsidRPr="00D576BB">
        <w:rPr>
          <w:rFonts w:eastAsia="Calibri" w:cs="Times New Roman"/>
          <w:szCs w:val="24"/>
        </w:rPr>
        <w:noBreakHyphen/>
        <w:t>19 uzliesmojumā visvairāk cieta pārsvarā Rīgā bāzētās pakalpojumu nozares, bezdarba līmenis ir sācis atgriezties pirmskrīzes laika zemajos līmeņos. Reģistrētā bezdarba līmenis Rīgas reģionā, kur tas pērn vasarā bija sasniedzis 6,9%, augusta beigās samazinājies jau līdz 4,7%, un gandrīz tikpat straujš kritums bijis arī citos Latvijas reģionos (1.26. attēls).</w:t>
      </w:r>
    </w:p>
    <w:p w14:paraId="4EAF1FDB" w14:textId="77777777" w:rsidR="00D576BB" w:rsidRPr="00D576BB" w:rsidRDefault="00D576BB" w:rsidP="00D576BB">
      <w:pPr>
        <w:spacing w:after="0"/>
        <w:rPr>
          <w:rFonts w:eastAsia="Times New Roman" w:cs="Times New Roman"/>
          <w:szCs w:val="24"/>
        </w:rPr>
      </w:pPr>
      <w:r w:rsidRPr="00D576BB">
        <w:rPr>
          <w:rFonts w:eastAsia="Times New Roman" w:cs="Times New Roman"/>
          <w:noProof/>
          <w:szCs w:val="24"/>
        </w:rPr>
        <w:lastRenderedPageBreak/>
        <w:drawing>
          <wp:inline distT="0" distB="0" distL="0" distR="0" wp14:anchorId="17FF8DA7" wp14:editId="41EA0F2B">
            <wp:extent cx="5219700" cy="3133725"/>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E660F8A" w14:textId="014E7CFB" w:rsidR="002675A9" w:rsidRPr="009D6584" w:rsidRDefault="002675A9" w:rsidP="002675A9">
      <w:pPr>
        <w:keepNext/>
        <w:spacing w:before="120" w:after="0"/>
        <w:ind w:firstLine="709"/>
        <w:jc w:val="center"/>
        <w:rPr>
          <w:rFonts w:eastAsia="Times New Roman" w:cs="Times New Roman"/>
          <w:b/>
          <w:szCs w:val="24"/>
        </w:rPr>
      </w:pPr>
      <w:r w:rsidRPr="009D6584">
        <w:rPr>
          <w:rFonts w:eastAsia="Times New Roman" w:cs="Times New Roman"/>
          <w:b/>
          <w:color w:val="000000" w:themeColor="text1"/>
          <w:szCs w:val="24"/>
        </w:rPr>
        <w:t>1.26. attēls</w:t>
      </w:r>
      <w:r w:rsidR="009D6584">
        <w:rPr>
          <w:rFonts w:eastAsia="Times New Roman" w:cs="Times New Roman"/>
          <w:b/>
          <w:color w:val="000000" w:themeColor="text1"/>
          <w:szCs w:val="24"/>
        </w:rPr>
        <w:t>.</w:t>
      </w:r>
      <w:r w:rsidRPr="009D6584">
        <w:rPr>
          <w:rFonts w:eastAsia="Times New Roman" w:cs="Times New Roman"/>
          <w:b/>
          <w:szCs w:val="24"/>
        </w:rPr>
        <w:t xml:space="preserve"> Reģistrētā bezdarba līmenis Latvijas reģionos</w:t>
      </w:r>
    </w:p>
    <w:p w14:paraId="583BE9D7" w14:textId="4E9519F3" w:rsidR="002675A9" w:rsidRPr="009D6584" w:rsidRDefault="002675A9" w:rsidP="002675A9">
      <w:pPr>
        <w:keepNext/>
        <w:spacing w:after="0"/>
        <w:ind w:firstLine="709"/>
        <w:jc w:val="center"/>
        <w:rPr>
          <w:rFonts w:eastAsia="Times New Roman" w:cs="Times New Roman"/>
          <w:szCs w:val="24"/>
        </w:rPr>
      </w:pPr>
      <w:r w:rsidRPr="009D6584">
        <w:rPr>
          <w:rFonts w:eastAsia="Times New Roman" w:cs="Times New Roman"/>
          <w:b/>
          <w:szCs w:val="24"/>
        </w:rPr>
        <w:t>(% no ekonomiski aktīvajiem iedzīvotājiem) perioda beigās</w:t>
      </w:r>
    </w:p>
    <w:p w14:paraId="49117105" w14:textId="77777777" w:rsidR="002675A9" w:rsidRPr="002675A9" w:rsidRDefault="002675A9" w:rsidP="002675A9">
      <w:pPr>
        <w:keepNext/>
        <w:spacing w:after="0"/>
        <w:ind w:firstLine="709"/>
        <w:jc w:val="center"/>
        <w:rPr>
          <w:rFonts w:eastAsia="Times New Roman" w:cs="Times New Roman"/>
          <w:i/>
          <w:szCs w:val="24"/>
        </w:rPr>
      </w:pPr>
    </w:p>
    <w:p w14:paraId="2F65E841" w14:textId="6FFB7A9B" w:rsidR="00D576BB" w:rsidRPr="00D576BB" w:rsidRDefault="00D576BB" w:rsidP="00D576BB">
      <w:pPr>
        <w:spacing w:before="120"/>
        <w:rPr>
          <w:rFonts w:eastAsia="Calibri" w:cs="Times New Roman"/>
          <w:szCs w:val="24"/>
        </w:rPr>
      </w:pPr>
      <w:r w:rsidRPr="00D576BB">
        <w:rPr>
          <w:rFonts w:eastAsia="Calibri" w:cs="Times New Roman"/>
          <w:szCs w:val="24"/>
        </w:rPr>
        <w:t>Tautsaimniecībā nodarbināto iedzīvotāju skaits 2020. ga</w:t>
      </w:r>
      <w:r w:rsidR="002675A9">
        <w:rPr>
          <w:rFonts w:eastAsia="Calibri" w:cs="Times New Roman"/>
          <w:szCs w:val="24"/>
        </w:rPr>
        <w:t>dā samazinājās par 17 tūkst.</w:t>
      </w:r>
      <w:r w:rsidRPr="00D576BB">
        <w:rPr>
          <w:rFonts w:eastAsia="Calibri" w:cs="Times New Roman"/>
          <w:szCs w:val="24"/>
        </w:rPr>
        <w:t xml:space="preserve"> j</w:t>
      </w:r>
      <w:r w:rsidR="002675A9">
        <w:rPr>
          <w:rFonts w:eastAsia="Calibri" w:cs="Times New Roman"/>
          <w:szCs w:val="24"/>
        </w:rPr>
        <w:t>eb 1,9% un veidoja 893 tūkst</w:t>
      </w:r>
      <w:r w:rsidRPr="00D576BB">
        <w:rPr>
          <w:rFonts w:eastAsia="Calibri" w:cs="Times New Roman"/>
          <w:szCs w:val="24"/>
        </w:rPr>
        <w:t>. Dati par aizņemtajām darba vietām rāda, ka 2020. gadā lielākais strādājošo skaita kritums bijis Covid</w:t>
      </w:r>
      <w:r w:rsidRPr="00D576BB">
        <w:rPr>
          <w:rFonts w:eastAsia="Calibri" w:cs="Times New Roman"/>
          <w:szCs w:val="24"/>
        </w:rPr>
        <w:noBreakHyphen/>
        <w:t>19 krīzes tieši skartajās nozarēs, tajā skaitā izmitināšanas un ēdināšanas nozarē aizņemto darba vietu skaits samazinājās par 21,4%, citu pakalpojumu nozarēs – par 8,1%, transporta nozarē – par 7,1% un mākslas izklaides un atpūtas nozarē – par 6,5%. Tajā pašā laikā darba vietu skaits veselības nozarē pieauga par 3,0%, informācijas un komunikācijas pakalpojumu nozarē – par 2,9%, ieguves rūpniecībā – par 2,1% un izglītības nozarē – par 1,2%.</w:t>
      </w:r>
    </w:p>
    <w:p w14:paraId="738BDB54" w14:textId="77777777" w:rsidR="00D576BB" w:rsidRPr="00D576BB" w:rsidRDefault="00D576BB" w:rsidP="00D576BB">
      <w:pPr>
        <w:rPr>
          <w:rFonts w:eastAsia="Calibri" w:cs="Times New Roman"/>
          <w:szCs w:val="24"/>
        </w:rPr>
      </w:pPr>
      <w:r w:rsidRPr="00D576BB">
        <w:rPr>
          <w:rFonts w:eastAsia="Calibri" w:cs="Times New Roman"/>
          <w:szCs w:val="24"/>
        </w:rPr>
        <w:t>Arī 2021. gada pirmajā pusē Centrālās statistikas pārvaldes darbaspēka apsekojuma dati parādīja nodarbināto skaita samazināšanos – par 4,4% salīdzinājumā ar 2020. gada pirmo pusi, lielai daļai Covid</w:t>
      </w:r>
      <w:r w:rsidRPr="00D576BB">
        <w:rPr>
          <w:rFonts w:eastAsia="Calibri" w:cs="Times New Roman"/>
          <w:szCs w:val="24"/>
        </w:rPr>
        <w:noBreakHyphen/>
        <w:t>19 ierobežojumu skarto nozaru darbinieku saņemot dīkstāves pabalstus un kļūstot ekonomiski neaktīviem. Taču jau no jūlija mazinoties Covid</w:t>
      </w:r>
      <w:r w:rsidRPr="00D576BB">
        <w:rPr>
          <w:rFonts w:eastAsia="Calibri" w:cs="Times New Roman"/>
          <w:szCs w:val="24"/>
        </w:rPr>
        <w:noBreakHyphen/>
        <w:t xml:space="preserve">19 ierobežojumiem un beidzoties dīkstāves atbalstam, lielākā daļa uz laiku par ekonomiski neaktīvajiem kļuvušie cilvēki jau kā nodarbinātie pakāpeniski atgriezīsies darba tirgū.    </w:t>
      </w:r>
    </w:p>
    <w:p w14:paraId="576A1DED" w14:textId="77777777" w:rsidR="00D576BB" w:rsidRPr="00D576BB" w:rsidRDefault="00D576BB" w:rsidP="00D576BB">
      <w:pPr>
        <w:rPr>
          <w:rFonts w:eastAsia="Calibri" w:cs="Times New Roman"/>
          <w:szCs w:val="24"/>
        </w:rPr>
      </w:pPr>
      <w:r w:rsidRPr="00D576BB">
        <w:rPr>
          <w:rFonts w:eastAsia="Calibri" w:cs="Times New Roman"/>
          <w:szCs w:val="24"/>
        </w:rPr>
        <w:t>Kā liecina Valsts ieņēmumu dienesta dati par darba ņēmēju skaitu Latvijā, jūlijā darba ņēmēju skaits, kuri maksā valsts sociālās apdrošināšanas obligātās iemaksas, jau bijis par 2,2% lielāks nekā pirms gada, un ar 826,6 tūkstošiem praktiski jau ir atgriezies 2018. gada līmenī un tikai par 1,2% atpaliek no 2019. gada līmeņa (1.27. attēls).</w:t>
      </w:r>
    </w:p>
    <w:p w14:paraId="45B4DD96" w14:textId="77777777" w:rsidR="00D576BB" w:rsidRPr="00D576BB" w:rsidRDefault="00D576BB" w:rsidP="002675A9">
      <w:pPr>
        <w:pStyle w:val="Default"/>
        <w:jc w:val="center"/>
      </w:pPr>
      <w:r w:rsidRPr="00D576BB">
        <w:rPr>
          <w:noProof/>
        </w:rPr>
        <w:lastRenderedPageBreak/>
        <w:drawing>
          <wp:inline distT="0" distB="0" distL="0" distR="0" wp14:anchorId="4B54B3BF" wp14:editId="0B807909">
            <wp:extent cx="5274310" cy="3056890"/>
            <wp:effectExtent l="0" t="0" r="254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070CA4C" w14:textId="13C3505B" w:rsidR="002675A9" w:rsidRPr="009D6584" w:rsidRDefault="002675A9" w:rsidP="002675A9">
      <w:pPr>
        <w:keepNext/>
        <w:spacing w:after="0"/>
        <w:jc w:val="center"/>
        <w:rPr>
          <w:rFonts w:eastAsia="Times New Roman" w:cs="Times New Roman"/>
          <w:b/>
          <w:szCs w:val="24"/>
        </w:rPr>
      </w:pPr>
      <w:r w:rsidRPr="009D6584">
        <w:rPr>
          <w:rFonts w:eastAsia="Times New Roman" w:cs="Times New Roman"/>
          <w:b/>
          <w:szCs w:val="24"/>
        </w:rPr>
        <w:t>1.27. attēls</w:t>
      </w:r>
      <w:r w:rsidR="009D6584">
        <w:rPr>
          <w:rFonts w:eastAsia="Times New Roman" w:cs="Times New Roman"/>
          <w:b/>
          <w:szCs w:val="24"/>
        </w:rPr>
        <w:t>.</w:t>
      </w:r>
      <w:r w:rsidRPr="009D6584">
        <w:rPr>
          <w:rFonts w:eastAsia="Times New Roman" w:cs="Times New Roman"/>
          <w:b/>
          <w:szCs w:val="24"/>
        </w:rPr>
        <w:t xml:space="preserve"> Darba ņēmēji, kas maksā valsts sociālās apdrošināšanas obligātās iemaksas, Valsts ieņēmuma dienesta dati</w:t>
      </w:r>
    </w:p>
    <w:p w14:paraId="634EDA29" w14:textId="77777777" w:rsidR="002675A9" w:rsidRPr="002675A9" w:rsidRDefault="002675A9" w:rsidP="002675A9">
      <w:pPr>
        <w:keepNext/>
        <w:spacing w:after="0"/>
        <w:jc w:val="center"/>
        <w:rPr>
          <w:rFonts w:eastAsia="Times New Roman" w:cs="Times New Roman"/>
          <w:b/>
          <w:i/>
          <w:szCs w:val="24"/>
        </w:rPr>
      </w:pPr>
    </w:p>
    <w:p w14:paraId="46A58CFF" w14:textId="180B9C1D" w:rsidR="00D576BB" w:rsidRPr="00D576BB" w:rsidRDefault="00D576BB" w:rsidP="00D576BB">
      <w:pPr>
        <w:spacing w:before="120"/>
        <w:rPr>
          <w:rFonts w:eastAsia="Calibri" w:cs="Times New Roman"/>
          <w:szCs w:val="24"/>
        </w:rPr>
      </w:pPr>
      <w:r w:rsidRPr="00D576BB">
        <w:rPr>
          <w:rFonts w:eastAsia="Calibri" w:cs="Times New Roman"/>
          <w:szCs w:val="24"/>
        </w:rPr>
        <w:t>Dati par aizņemtajām darba vietām rāda, ka lielākais darba vietu skaita pieaugums šā gada otrā ceturkšņa beigās, salīdzinot ar to pašu laiku pirms gada, bijis profesionālo pakalpojumu, citu pakalpojumu, apstrādes rūpniecības, ēdināšanas, kā arī veselības un sociālās aprūpes nozarē. Savukārt izmitināšanas, transporta un uzglabāšanas, kā arī finanšu pakalpojumu nozarēs aizņemto darba vietu skaits bijis mazāks nekā pirms gada.</w:t>
      </w:r>
    </w:p>
    <w:p w14:paraId="581EF3BE" w14:textId="77777777" w:rsidR="00D576BB" w:rsidRPr="00D576BB" w:rsidRDefault="00D576BB" w:rsidP="00D576BB">
      <w:pPr>
        <w:rPr>
          <w:rFonts w:eastAsia="Calibri" w:cs="Times New Roman"/>
          <w:szCs w:val="24"/>
        </w:rPr>
      </w:pPr>
      <w:r w:rsidRPr="00D576BB">
        <w:rPr>
          <w:rFonts w:eastAsia="Calibri" w:cs="Times New Roman"/>
          <w:szCs w:val="24"/>
        </w:rPr>
        <w:t>Kopumā situācija darba tirgū visās Baltijas valstīs Covid</w:t>
      </w:r>
      <w:r w:rsidRPr="00D576BB">
        <w:rPr>
          <w:rFonts w:eastAsia="Calibri" w:cs="Times New Roman"/>
          <w:szCs w:val="24"/>
        </w:rPr>
        <w:noBreakHyphen/>
        <w:t>19 krīzes laikā attīstījusies diezgan līdzīgi un pandēmija nav ienesusi būtiskas izmaiņas bezdarba līmeņos (1.28. attēls). Visās Baltijas valstīs bezdarbs šā gada otrajā ceturksnī jau ir zemāks nekā pirms gada, taču vēl nav atgriezies 2019. gada otrā ceturkšņa līmenī, Igaunijā to pārsniedzot par 1,8 procentpunktiem, Latvijā par 1,5 procentpunktiem un Lietuvā par 1,2 procentpunktiem. Tāpat ir saglabājusies situācija, kad Igaunijā bezdarba līmenis vēsturiski ir zemāks nekā kaimiņvalstīs, un Lietuvā nedaudz zemāks nekā Latvijā. Ja 2020. gada laikā bezdarbs Lietuvā bija sasniedzis augstāku līmeni nekā Latvijā, to noteica lielāks valsts atbalsts iedzīvotājiem bezdarba pabalstu veidā, kamēr Latvija krīzes skarto nozaru darbiniekiem maksāja dīkstāves pabalstus, saglabājot darba vietas. Attiecīgi 2021. gadā bezdarba samazinājums Lietuvā bija straujāks, atkal noslīdot zem Latvijas līmeņa.</w:t>
      </w:r>
    </w:p>
    <w:p w14:paraId="74666A0E" w14:textId="77777777" w:rsidR="00D576BB" w:rsidRPr="00D576BB" w:rsidRDefault="00D576BB" w:rsidP="00D576BB">
      <w:pPr>
        <w:spacing w:after="0"/>
        <w:jc w:val="center"/>
        <w:rPr>
          <w:rFonts w:eastAsia="Times New Roman" w:cs="Times New Roman"/>
          <w:b/>
          <w:i/>
          <w:szCs w:val="24"/>
        </w:rPr>
      </w:pPr>
      <w:r w:rsidRPr="00D576BB">
        <w:rPr>
          <w:rFonts w:eastAsia="Times New Roman" w:cs="Times New Roman"/>
          <w:b/>
          <w:i/>
          <w:noProof/>
          <w:szCs w:val="24"/>
        </w:rPr>
        <w:lastRenderedPageBreak/>
        <w:drawing>
          <wp:inline distT="0" distB="0" distL="0" distR="0" wp14:anchorId="5AB00F28" wp14:editId="2F4256E9">
            <wp:extent cx="5153025" cy="2486025"/>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7D2EF93" w14:textId="43AD34B9" w:rsidR="00D576BB" w:rsidRPr="009D6584" w:rsidRDefault="002675A9" w:rsidP="002675A9">
      <w:pPr>
        <w:keepNext/>
        <w:spacing w:before="120"/>
        <w:jc w:val="center"/>
        <w:rPr>
          <w:rFonts w:eastAsia="Times New Roman" w:cs="Times New Roman"/>
          <w:b/>
          <w:szCs w:val="24"/>
        </w:rPr>
      </w:pPr>
      <w:r w:rsidRPr="009D6584">
        <w:rPr>
          <w:rFonts w:eastAsia="Times New Roman" w:cs="Times New Roman"/>
          <w:b/>
          <w:szCs w:val="24"/>
        </w:rPr>
        <w:t>1.28. attēls</w:t>
      </w:r>
      <w:r w:rsidR="009D6584">
        <w:rPr>
          <w:rFonts w:eastAsia="Times New Roman" w:cs="Times New Roman"/>
          <w:b/>
          <w:szCs w:val="24"/>
        </w:rPr>
        <w:t>.</w:t>
      </w:r>
      <w:r w:rsidRPr="009D6584">
        <w:rPr>
          <w:rFonts w:eastAsia="Times New Roman" w:cs="Times New Roman"/>
          <w:b/>
          <w:szCs w:val="24"/>
        </w:rPr>
        <w:t xml:space="preserve"> Bezdarba līmenis Baltijas valstīs un Eiropas Savienībā vidēji, pa ceturkšņiem, % no ekonomiski aktīvajiem iedzīvotājiem</w:t>
      </w:r>
    </w:p>
    <w:p w14:paraId="73ABCC32" w14:textId="1550DC12" w:rsidR="003F3FCD" w:rsidRPr="005774F8" w:rsidRDefault="005774F8" w:rsidP="005774F8">
      <w:pPr>
        <w:pStyle w:val="Heading3"/>
        <w:numPr>
          <w:ilvl w:val="0"/>
          <w:numId w:val="0"/>
        </w:numPr>
        <w:spacing w:before="240" w:after="240"/>
      </w:pPr>
      <w:bookmarkStart w:id="7" w:name="_Toc84756390"/>
      <w:r>
        <w:t xml:space="preserve">1.2.5. </w:t>
      </w:r>
      <w:r w:rsidR="000548A5" w:rsidRPr="000368AE">
        <w:t>Iedzīvotāju ienākumi</w:t>
      </w:r>
      <w:bookmarkEnd w:id="7"/>
    </w:p>
    <w:p w14:paraId="0647FD17" w14:textId="77777777" w:rsidR="00B13890" w:rsidRPr="00B13890" w:rsidRDefault="00B13890" w:rsidP="00B13890">
      <w:pPr>
        <w:rPr>
          <w:rFonts w:eastAsia="Calibri"/>
        </w:rPr>
      </w:pPr>
      <w:r w:rsidRPr="00B13890">
        <w:rPr>
          <w:rFonts w:eastAsia="Calibri"/>
        </w:rPr>
        <w:t>Neskatoties uz Covid</w:t>
      </w:r>
      <w:r w:rsidRPr="00B13890">
        <w:rPr>
          <w:rFonts w:eastAsia="Calibri"/>
        </w:rPr>
        <w:noBreakHyphen/>
        <w:t>19 krīzi, iedzīvotāju ienākumi, tajā skaitā darba samaksa un sociālā atbalsta apmērs 2020. gadā un 2021. gada pirmajā pusē uzrādīja visai spēcīgu pieaugumu, veicinot strauju mājsaimniecību noguldījumu pieaugumu komercbankās, kā arī spēcīgu privātā patēriņa atgūšanos uzreiz pēc Covid</w:t>
      </w:r>
      <w:r w:rsidRPr="00B13890">
        <w:rPr>
          <w:rFonts w:eastAsia="Calibri"/>
        </w:rPr>
        <w:noBreakHyphen/>
        <w:t>19 ierobežojumu atcelšanas. Vienlaikus šis ienākumu pieaugums bija daudz nevienmērīgāk sadalīts nekā iepriekš, veicinot nevienlīdzības pieaugumu darbspējas vecuma iedzīvotāju grupās.</w:t>
      </w:r>
    </w:p>
    <w:p w14:paraId="12C5137B" w14:textId="77777777" w:rsidR="00B13890" w:rsidRPr="00B13890" w:rsidRDefault="00B13890" w:rsidP="00B13890">
      <w:pPr>
        <w:rPr>
          <w:rFonts w:eastAsia="Calibri"/>
        </w:rPr>
      </w:pPr>
      <w:r w:rsidRPr="00B13890">
        <w:rPr>
          <w:rFonts w:eastAsia="Calibri"/>
        </w:rPr>
        <w:t xml:space="preserve">Mēneša vidējā bruto darba samaksa 2020. gadā turpināja salīdzinoši strauji pieaugt, salīdzinājumā ar iepriekšējo gadu palielinoties par 6,2% un sasniedzot 1143 </w:t>
      </w:r>
      <w:r w:rsidRPr="00B13890">
        <w:rPr>
          <w:rFonts w:eastAsia="Calibri"/>
          <w:i/>
        </w:rPr>
        <w:t>euro</w:t>
      </w:r>
      <w:r w:rsidRPr="00B13890">
        <w:rPr>
          <w:rFonts w:eastAsia="Calibri"/>
        </w:rPr>
        <w:t xml:space="preserve">. Šis pieaugums bija tikpat straujš kā kopumā laikā kopš globālās finanšu krīzes, kad 2011.-2019. gadā mēneša vidējā bruto darba samaksa bija augusi vidēji par 6,1% gadā. 2021. gada pirmajā pusē vidējās algas pieaugums ir kļuvis vēl straujāks, pirmajā ceturksnī, salīdzinot ar 2020. gada attiecīgo ceturksni, palielinoties par 9,5% un otrajā ceturksnī – par 10,2%, sasniedzot 1237 </w:t>
      </w:r>
      <w:r w:rsidRPr="00B13890">
        <w:rPr>
          <w:rFonts w:eastAsia="Calibri"/>
          <w:i/>
        </w:rPr>
        <w:t>euro</w:t>
      </w:r>
      <w:r w:rsidRPr="00B13890">
        <w:rPr>
          <w:rFonts w:eastAsia="Calibri"/>
        </w:rPr>
        <w:t>.</w:t>
      </w:r>
    </w:p>
    <w:p w14:paraId="2D890B09" w14:textId="77777777" w:rsidR="00B13890" w:rsidRPr="00B13890" w:rsidRDefault="00B13890" w:rsidP="00B13890">
      <w:pPr>
        <w:rPr>
          <w:rFonts w:eastAsia="Calibri"/>
        </w:rPr>
      </w:pPr>
      <w:r w:rsidRPr="00B13890">
        <w:rPr>
          <w:rFonts w:eastAsia="Calibri"/>
        </w:rPr>
        <w:t>Vidējās darba samaksas pārmaiņas gan 2020. gadā, gan šogad būtiski ietekmēja ne tikai darbinieku algu izmaiņas, bet arī darba tirgus strukturālās pārmaiņas – darbību uzsākušie un pārtraukušie uzņēmumi un darbinieku skaita un slodžu izmaiņas. Covid</w:t>
      </w:r>
      <w:r w:rsidRPr="00B13890">
        <w:rPr>
          <w:rFonts w:eastAsia="Calibri"/>
        </w:rPr>
        <w:noBreakHyphen/>
        <w:t xml:space="preserve">19 ierobežojumu dēļ darbu apturēja nozares, kurās vidējās darba samaksas līmenis bija zemāks par vidējo valstī, tādējādi paaugstinot vidējās algas līmeni tautsaimniecībā, kā arī mainījās darbinieku nostrādāto stundu skaits, ietekmējot mēneša vidējo bruto darba samaksu, kas tiek aprēķināta par pilnu slodzi. Attiecīgi bruto samaksa par vienu nostrādāto darba stundu šā gada otrajā ceturksnī palielinājās par 4,6%, kas ir būtiski lēnāk nekā mēneša vidējās darba samaksas pieaugums (10,2%). Mēneša vidējās bruto darba samaksas pieaugumu 2021. gadā ietekmēja arī minimālās algas paaugstinājums no 430 </w:t>
      </w:r>
      <w:r w:rsidRPr="00B13890">
        <w:rPr>
          <w:rFonts w:eastAsia="Calibri"/>
          <w:i/>
        </w:rPr>
        <w:t>euro</w:t>
      </w:r>
      <w:r w:rsidRPr="00B13890">
        <w:rPr>
          <w:rFonts w:eastAsia="Calibri"/>
        </w:rPr>
        <w:t xml:space="preserve"> uz 500 </w:t>
      </w:r>
      <w:r w:rsidRPr="00B13890">
        <w:rPr>
          <w:rFonts w:eastAsia="Calibri"/>
          <w:i/>
        </w:rPr>
        <w:t>euro</w:t>
      </w:r>
      <w:r w:rsidRPr="00B13890">
        <w:rPr>
          <w:rFonts w:eastAsia="Calibri"/>
        </w:rPr>
        <w:t>, sākot no 2021. gada 1.janvāra.</w:t>
      </w:r>
    </w:p>
    <w:p w14:paraId="7D791854" w14:textId="77777777" w:rsidR="00B13890" w:rsidRPr="00B13890" w:rsidRDefault="00B13890" w:rsidP="00B13890">
      <w:pPr>
        <w:rPr>
          <w:rFonts w:eastAsia="Calibri"/>
        </w:rPr>
      </w:pPr>
      <w:r w:rsidRPr="00B13890">
        <w:rPr>
          <w:rFonts w:eastAsia="Calibri"/>
        </w:rPr>
        <w:t xml:space="preserve">Straujākais darba samaksas pieaugums 2021. gadā bija sabiedriskajā sektorā, kur mēneša vidējā bruto darba samaksa otrajā ceturksnī palielinājās par 13,4% līdz 1291 </w:t>
      </w:r>
      <w:r w:rsidRPr="00B13890">
        <w:rPr>
          <w:rFonts w:eastAsia="Calibri"/>
          <w:i/>
        </w:rPr>
        <w:t>euro</w:t>
      </w:r>
      <w:r w:rsidRPr="00B13890">
        <w:rPr>
          <w:rFonts w:eastAsia="Calibri"/>
        </w:rPr>
        <w:t xml:space="preserve">, bet arī privātajā sektorā fiksēts visai straujš vidējās darba samaksas pieaugums – par 9,0% līdz 1215 </w:t>
      </w:r>
      <w:r w:rsidRPr="00B13890">
        <w:rPr>
          <w:rFonts w:eastAsia="Calibri"/>
          <w:i/>
        </w:rPr>
        <w:lastRenderedPageBreak/>
        <w:t>euro</w:t>
      </w:r>
      <w:r w:rsidRPr="00B13890">
        <w:rPr>
          <w:rFonts w:eastAsia="Calibri"/>
        </w:rPr>
        <w:t>. Darba samaksas pieaugumu sabiedriskajā sektorā noteicis galvenokārt finansējuma palielinājums medicīnas darbinieku atalgojumam Covid</w:t>
      </w:r>
      <w:r w:rsidRPr="00B13890">
        <w:rPr>
          <w:rFonts w:eastAsia="Calibri"/>
        </w:rPr>
        <w:noBreakHyphen/>
        <w:t>19 krīzes apstākļos, kā arī ar pieaugušais izglītības nozares finansējums. Attiecīgi veselības un sociālās aprūpes nozarē mēneša vidējā darba samaksa 2021. gada otrajā ceturksnī bija par 35,1% augstāka nekā pirms gada un izglītības nozarē – par 12,4% augstāka nekā pirms gada. Straujš darba samaksas pieaugums bijis arī tirdzniecības nozarē – par 11,7% salīdzinot ar 2020. gada otro ceturksni.</w:t>
      </w:r>
    </w:p>
    <w:p w14:paraId="29A75A55" w14:textId="77777777" w:rsidR="00B13890" w:rsidRPr="00B13890" w:rsidRDefault="00B13890" w:rsidP="00B13890">
      <w:pPr>
        <w:rPr>
          <w:rFonts w:eastAsia="Calibri"/>
        </w:rPr>
      </w:pPr>
      <w:r w:rsidRPr="00B13890">
        <w:rPr>
          <w:rFonts w:eastAsia="Calibri"/>
        </w:rPr>
        <w:t xml:space="preserve">Augstākā darba samaksa joprojām saglabājās finanšu pakalpojumu un informācijas un komunikācijas pakalpojumu nozarēs, kur vidējā alga 2021. gada otrajā ceturksnī bija attiecīgi 2558 </w:t>
      </w:r>
      <w:r w:rsidRPr="00B13890">
        <w:rPr>
          <w:rFonts w:eastAsia="Calibri"/>
          <w:i/>
        </w:rPr>
        <w:t>euro</w:t>
      </w:r>
      <w:r w:rsidRPr="00B13890">
        <w:rPr>
          <w:rFonts w:eastAsia="Calibri"/>
        </w:rPr>
        <w:t xml:space="preserve"> un 1955 </w:t>
      </w:r>
      <w:r w:rsidRPr="00B13890">
        <w:rPr>
          <w:rFonts w:eastAsia="Calibri"/>
          <w:i/>
        </w:rPr>
        <w:t>euro</w:t>
      </w:r>
      <w:r w:rsidRPr="00B13890">
        <w:rPr>
          <w:rFonts w:eastAsia="Calibri"/>
        </w:rPr>
        <w:t xml:space="preserve">, bet zemākā darba samaksa bija izmitināšanas un ēdināšanas nozarē – 738 </w:t>
      </w:r>
      <w:r w:rsidRPr="00B13890">
        <w:rPr>
          <w:rFonts w:eastAsia="Calibri"/>
          <w:i/>
        </w:rPr>
        <w:t>euro</w:t>
      </w:r>
      <w:r w:rsidRPr="00B13890">
        <w:rPr>
          <w:rFonts w:eastAsia="Calibri"/>
        </w:rPr>
        <w:t>.  (1.29. attēls).</w:t>
      </w:r>
    </w:p>
    <w:p w14:paraId="273F1023" w14:textId="77777777" w:rsidR="00B13890" w:rsidRPr="00B13890" w:rsidRDefault="00B13890" w:rsidP="00B13890">
      <w:pPr>
        <w:rPr>
          <w:rFonts w:eastAsia="Times New Roman"/>
          <w:color w:val="1F3864" w:themeColor="accent5" w:themeShade="80"/>
        </w:rPr>
      </w:pPr>
      <w:r w:rsidRPr="00B13890">
        <w:rPr>
          <w:noProof/>
        </w:rPr>
        <w:drawing>
          <wp:inline distT="0" distB="0" distL="0" distR="0" wp14:anchorId="400A01EE" wp14:editId="5AF8DE9A">
            <wp:extent cx="5274310" cy="3381375"/>
            <wp:effectExtent l="0" t="0" r="254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F1F5BA9" w14:textId="52491207" w:rsidR="00DC5603" w:rsidRPr="00DC5603" w:rsidRDefault="00DC5603" w:rsidP="00DC5603">
      <w:pPr>
        <w:spacing w:after="0"/>
        <w:jc w:val="center"/>
        <w:rPr>
          <w:rFonts w:eastAsia="Times New Roman"/>
          <w:b/>
          <w:i/>
        </w:rPr>
      </w:pPr>
      <w:r w:rsidRPr="00CA66D3">
        <w:rPr>
          <w:rFonts w:eastAsia="Times New Roman"/>
          <w:b/>
        </w:rPr>
        <w:t>1.29. attēls</w:t>
      </w:r>
      <w:r w:rsidR="00CA66D3">
        <w:rPr>
          <w:rFonts w:eastAsia="Times New Roman"/>
          <w:b/>
        </w:rPr>
        <w:t>.</w:t>
      </w:r>
      <w:r w:rsidRPr="00CA66D3">
        <w:rPr>
          <w:rFonts w:eastAsia="Times New Roman"/>
          <w:b/>
        </w:rPr>
        <w:t xml:space="preserve"> Strādājošo mēneša vidējā bruto darba samaksa valstī, pa nozarēm</w:t>
      </w:r>
      <w:r w:rsidRPr="00B13890">
        <w:rPr>
          <w:rFonts w:eastAsia="Times New Roman"/>
          <w:b/>
        </w:rPr>
        <w:t xml:space="preserve"> (</w:t>
      </w:r>
      <w:r w:rsidRPr="00B13890">
        <w:rPr>
          <w:rFonts w:eastAsia="Times New Roman"/>
          <w:b/>
          <w:i/>
        </w:rPr>
        <w:t>euro)</w:t>
      </w:r>
    </w:p>
    <w:p w14:paraId="12B36F42" w14:textId="77777777" w:rsidR="00DC5603" w:rsidRDefault="00DC5603" w:rsidP="00B13890">
      <w:pPr>
        <w:rPr>
          <w:rFonts w:eastAsia="Calibri"/>
        </w:rPr>
      </w:pPr>
    </w:p>
    <w:p w14:paraId="395AE868" w14:textId="32C034B9" w:rsidR="00B13890" w:rsidRPr="00B13890" w:rsidRDefault="00B13890" w:rsidP="00B13890">
      <w:pPr>
        <w:rPr>
          <w:rFonts w:eastAsia="Calibri"/>
        </w:rPr>
      </w:pPr>
      <w:r w:rsidRPr="00B13890">
        <w:rPr>
          <w:rFonts w:eastAsia="Calibri"/>
        </w:rPr>
        <w:t>Neskatoties uz to, ka Covid</w:t>
      </w:r>
      <w:r w:rsidRPr="00B13890">
        <w:rPr>
          <w:rFonts w:eastAsia="Calibri"/>
        </w:rPr>
        <w:noBreakHyphen/>
        <w:t xml:space="preserve">19 krīzei vairāk skāra Rīgā strādājošos uzņēmumus, joprojām saglabājušās arī būtiskas darba samaksas atšķirības starp Rīgas reģionu un pārējo Latviju, tomēr ārpus Rīgas darba samaksas palielinājums šogad bijis nedaudz straujāks. Rīgas reģionā mēneša vidējā bruto darba samaksa šā gada otrajā ceturksnī bija 1339 </w:t>
      </w:r>
      <w:r w:rsidRPr="00B13890">
        <w:rPr>
          <w:rFonts w:eastAsia="Calibri"/>
          <w:i/>
        </w:rPr>
        <w:t>euro</w:t>
      </w:r>
      <w:r w:rsidRPr="00B13890">
        <w:rPr>
          <w:rFonts w:eastAsia="Calibri"/>
        </w:rPr>
        <w:t xml:space="preserve"> – par 9,8% lielāka nekā pirms gada. Latgales reģionā mēneša vidējā bruto darba samaksa otrajā ceturksnī bija 887 </w:t>
      </w:r>
      <w:r w:rsidRPr="00B13890">
        <w:rPr>
          <w:rFonts w:eastAsia="Calibri"/>
          <w:i/>
        </w:rPr>
        <w:t>euro</w:t>
      </w:r>
      <w:r w:rsidRPr="00B13890">
        <w:rPr>
          <w:rFonts w:eastAsia="Calibri"/>
        </w:rPr>
        <w:t xml:space="preserve"> (+12,8%), Vidzemes reģionā – 992 </w:t>
      </w:r>
      <w:r w:rsidRPr="00B13890">
        <w:rPr>
          <w:rFonts w:eastAsia="Calibri"/>
          <w:i/>
        </w:rPr>
        <w:t>euro</w:t>
      </w:r>
      <w:r w:rsidRPr="00B13890">
        <w:rPr>
          <w:rFonts w:eastAsia="Calibri"/>
        </w:rPr>
        <w:t xml:space="preserve"> (+11,0%), Kurzemes reģionā – 1061 </w:t>
      </w:r>
      <w:r w:rsidRPr="00B13890">
        <w:rPr>
          <w:rFonts w:eastAsia="Calibri"/>
          <w:i/>
        </w:rPr>
        <w:t>euro</w:t>
      </w:r>
      <w:r w:rsidRPr="00B13890">
        <w:rPr>
          <w:rFonts w:eastAsia="Calibri"/>
        </w:rPr>
        <w:t xml:space="preserve"> (+11,9%) un Zemgales reģionā 1059 </w:t>
      </w:r>
      <w:r w:rsidRPr="00B13890">
        <w:rPr>
          <w:rFonts w:eastAsia="Calibri"/>
          <w:i/>
        </w:rPr>
        <w:t>euro</w:t>
      </w:r>
      <w:r w:rsidRPr="00B13890">
        <w:rPr>
          <w:rFonts w:eastAsia="Calibri"/>
        </w:rPr>
        <w:t xml:space="preserve"> (+11,5%).</w:t>
      </w:r>
    </w:p>
    <w:p w14:paraId="6F92A184" w14:textId="77777777" w:rsidR="00B13890" w:rsidRPr="00B13890" w:rsidRDefault="00B13890" w:rsidP="00B13890">
      <w:pPr>
        <w:rPr>
          <w:rFonts w:eastAsia="Calibri"/>
        </w:rPr>
      </w:pPr>
      <w:r w:rsidRPr="00B13890">
        <w:rPr>
          <w:rFonts w:eastAsia="Calibri"/>
        </w:rPr>
        <w:t>Strādājošo reālā neto darba samaksa, kas ietver patēriņa cenu un nodokļu izmaiņas un precīzāk raksturo strādājošo pirktspējas izmaiņas, pagājušajā gadā augusi par 6,1%, atspoguļojot zemo patēriņa cenu pieaugumu. Šogad strādājošo iedzīvotāju reālo ienākumu pieaugums bijis vēl straujāks, reālajai neto darba samaksai pieaugot attiecīgi par 9,7% un 7,9% šā gada pirmajā un otrajā ceturksnī.</w:t>
      </w:r>
    </w:p>
    <w:p w14:paraId="674B2695" w14:textId="77777777" w:rsidR="00B13890" w:rsidRPr="00B13890" w:rsidRDefault="00B13890" w:rsidP="00B13890">
      <w:pPr>
        <w:rPr>
          <w:rFonts w:eastAsia="Calibri"/>
        </w:rPr>
      </w:pPr>
      <w:r w:rsidRPr="00B13890">
        <w:rPr>
          <w:rFonts w:eastAsia="Calibri"/>
        </w:rPr>
        <w:lastRenderedPageBreak/>
        <w:t>Covid</w:t>
      </w:r>
      <w:r w:rsidRPr="00B13890">
        <w:rPr>
          <w:rFonts w:eastAsia="Calibri"/>
        </w:rPr>
        <w:noBreakHyphen/>
        <w:t>19 krīzes laikā nesalīdzināmi lielāka loma nekā iepriekš bijusi valsts sociālajam atbalstam nestrādājošajiem un Covid</w:t>
      </w:r>
      <w:r w:rsidRPr="00B13890">
        <w:rPr>
          <w:rFonts w:eastAsia="Calibri"/>
        </w:rPr>
        <w:noBreakHyphen/>
        <w:t xml:space="preserve">19 ierobežojumu skartajiem iedzīvotājiem. Turpinoties vecuma pensiju indeksācijai, mēneša vidējā vecuma pensija šā gada otrajā ceturksnī sasniegusi 389 </w:t>
      </w:r>
      <w:r w:rsidRPr="00B13890">
        <w:rPr>
          <w:rFonts w:eastAsia="Calibri"/>
          <w:i/>
        </w:rPr>
        <w:t>euro</w:t>
      </w:r>
      <w:r w:rsidRPr="00B13890">
        <w:rPr>
          <w:rFonts w:eastAsia="Calibri"/>
        </w:rPr>
        <w:t>, salīdzinājumā ar pagājušā gada attiecīgo ceturksni palielinoties par 6,9%. Vecuma pensijas 2021. gada otrajā ceturksnī saņēma pavisam 541,5 tūkstoši cilvēku jeb 28,6% no visiem Latvijas iedzīvotājiem, kamēr tautsaimniecībā nodarbināto iedzīvotāju skaits šajā laikā veidoja 861 tūkstoti jeb 45% no visiem iedzīvotājiem.</w:t>
      </w:r>
    </w:p>
    <w:p w14:paraId="4914160B" w14:textId="77777777" w:rsidR="00B13890" w:rsidRPr="00B13890" w:rsidRDefault="00B13890" w:rsidP="00B13890">
      <w:pPr>
        <w:rPr>
          <w:rFonts w:eastAsia="Calibri"/>
        </w:rPr>
      </w:pPr>
      <w:r w:rsidRPr="00B13890">
        <w:rPr>
          <w:rFonts w:eastAsia="Calibri"/>
        </w:rPr>
        <w:t>Covid</w:t>
      </w:r>
      <w:r w:rsidRPr="00B13890">
        <w:rPr>
          <w:rFonts w:eastAsia="Calibri"/>
        </w:rPr>
        <w:noBreakHyphen/>
        <w:t>19 pirmā viļņa laikā no 2020. gada marta līdz jūnijam mēnesī vidēji 31,7 tūkstoši cilvēku saņēma dīkstāves pabalstus, bet slimības otrā uzliesmojuma laikā 2021. gada pirmajā pusē kopējais dīkstāves atbalsta un algu subsīdiju saņēmēju skaits sasniedza jau 76,7 tūkstošus. Līdz 2021. gada 29. augustam kopējais Covid</w:t>
      </w:r>
      <w:r w:rsidRPr="00B13890">
        <w:rPr>
          <w:rFonts w:eastAsia="Calibri"/>
        </w:rPr>
        <w:noBreakHyphen/>
        <w:t xml:space="preserve">19 otrajā vilnī izmaksātais dīkstāves atbalstu un subsīdiju atbalsts darba ņēmējiem sasniedza 137,8 miljonus </w:t>
      </w:r>
      <w:r w:rsidRPr="00B13890">
        <w:rPr>
          <w:rFonts w:eastAsia="Calibri"/>
          <w:i/>
        </w:rPr>
        <w:t>euro</w:t>
      </w:r>
      <w:r w:rsidRPr="00B13890">
        <w:rPr>
          <w:rFonts w:eastAsia="Calibri"/>
        </w:rPr>
        <w:t xml:space="preserve"> un pašnodarbinātajiem – 16,4 miljonus </w:t>
      </w:r>
      <w:r w:rsidRPr="00B13890">
        <w:rPr>
          <w:rFonts w:eastAsia="Calibri"/>
          <w:i/>
        </w:rPr>
        <w:t>euro</w:t>
      </w:r>
      <w:r w:rsidRPr="00B13890">
        <w:rPr>
          <w:rFonts w:eastAsia="Calibri"/>
        </w:rPr>
        <w:t xml:space="preserve">, bet vidējais dīkstāves pabalsta apmērs bija 451 </w:t>
      </w:r>
      <w:r w:rsidRPr="00B13890">
        <w:rPr>
          <w:rFonts w:eastAsia="Calibri"/>
          <w:i/>
        </w:rPr>
        <w:t>euro</w:t>
      </w:r>
      <w:r w:rsidRPr="00B13890">
        <w:rPr>
          <w:rFonts w:eastAsia="Calibri"/>
        </w:rPr>
        <w:t xml:space="preserve"> mēnesī darba ņēmējiem un 420 </w:t>
      </w:r>
      <w:r w:rsidRPr="00B13890">
        <w:rPr>
          <w:rFonts w:eastAsia="Calibri"/>
          <w:i/>
        </w:rPr>
        <w:t>euro</w:t>
      </w:r>
      <w:r w:rsidRPr="00B13890">
        <w:rPr>
          <w:rFonts w:eastAsia="Calibri"/>
        </w:rPr>
        <w:t xml:space="preserve"> pašnodarbinātajiem.</w:t>
      </w:r>
    </w:p>
    <w:p w14:paraId="229E7DC3" w14:textId="77777777" w:rsidR="00B13890" w:rsidRPr="00B13890" w:rsidRDefault="00B13890" w:rsidP="00B13890">
      <w:pPr>
        <w:rPr>
          <w:rFonts w:eastAsia="Calibri"/>
        </w:rPr>
      </w:pPr>
      <w:r w:rsidRPr="00B13890">
        <w:rPr>
          <w:rFonts w:eastAsia="Calibri"/>
        </w:rPr>
        <w:t xml:space="preserve">Kopumā no budžeta izmaksātā sociālā atbalsta apmērs iedzīvotājiem, tajā skaitā pensijas un citi pabalsti, šā gada pirmajā pusē sasniedza 2,7 miljardus </w:t>
      </w:r>
      <w:r w:rsidRPr="00B13890">
        <w:rPr>
          <w:rFonts w:eastAsia="Calibri"/>
          <w:i/>
        </w:rPr>
        <w:t>euro</w:t>
      </w:r>
      <w:r w:rsidRPr="00B13890">
        <w:rPr>
          <w:rFonts w:eastAsia="Calibri"/>
        </w:rPr>
        <w:t xml:space="preserve"> un bija par 53,5% lielāks nekā 2020. gada pirmajā pusē. Papildus sociālais atbalsts, kas līdzās dīkstāves atbalstam un subsidētajam nodarbinātības atbalstam ietvēra arī vienreizēju pabalstu ģimenēm par katru bērnu 500 </w:t>
      </w:r>
      <w:r w:rsidRPr="00B13890">
        <w:rPr>
          <w:rFonts w:eastAsia="Calibri"/>
          <w:i/>
        </w:rPr>
        <w:t>euro</w:t>
      </w:r>
      <w:r w:rsidRPr="00B13890">
        <w:rPr>
          <w:rFonts w:eastAsia="Calibri"/>
        </w:rPr>
        <w:t xml:space="preserve"> apmērā un katram pensionāram 200 </w:t>
      </w:r>
      <w:r w:rsidRPr="00B13890">
        <w:rPr>
          <w:rFonts w:eastAsia="Calibri"/>
          <w:i/>
        </w:rPr>
        <w:t>euro</w:t>
      </w:r>
      <w:r w:rsidRPr="00B13890">
        <w:rPr>
          <w:rFonts w:eastAsia="Calibri"/>
        </w:rPr>
        <w:t xml:space="preserve"> apmērā, nodrošināja iedzīvotāju patēriņa saglabāšanos Covid</w:t>
      </w:r>
      <w:r w:rsidRPr="00B13890">
        <w:rPr>
          <w:rFonts w:eastAsia="Calibri"/>
        </w:rPr>
        <w:noBreakHyphen/>
        <w:t>19 ierobežojumu laikā un sekmēja spēcīgu patēriņa pieaugumu uzreiz pēc ierobežojumu mīkstināšanas un atcelšanas. Kopējais darba samaksas fonds – kopējā strādājošajiem iedzīvotājiem izmaksātā bruto darba alga – šā gada pirmajā pusē palielinājās par 7,1% (1.30. attēls).</w:t>
      </w:r>
    </w:p>
    <w:p w14:paraId="298FEE02" w14:textId="77777777" w:rsidR="00B13890" w:rsidRPr="00B13890" w:rsidRDefault="00B13890" w:rsidP="00B13890">
      <w:pPr>
        <w:rPr>
          <w:rFonts w:eastAsia="Times New Roman"/>
        </w:rPr>
      </w:pPr>
      <w:r w:rsidRPr="00B13890">
        <w:rPr>
          <w:noProof/>
        </w:rPr>
        <w:drawing>
          <wp:inline distT="0" distB="0" distL="0" distR="0" wp14:anchorId="18809D4E" wp14:editId="191F6745">
            <wp:extent cx="4857750" cy="274320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42E13AB" w14:textId="57C04D36" w:rsidR="00DC5603" w:rsidRPr="00CA66D3" w:rsidRDefault="00DC5603" w:rsidP="00DC5603">
      <w:pPr>
        <w:spacing w:after="0"/>
        <w:jc w:val="center"/>
        <w:rPr>
          <w:rFonts w:eastAsia="Times New Roman"/>
          <w:b/>
        </w:rPr>
      </w:pPr>
      <w:r w:rsidRPr="00CA66D3">
        <w:rPr>
          <w:rFonts w:eastAsia="Times New Roman"/>
          <w:b/>
        </w:rPr>
        <w:t>1.30. attēls</w:t>
      </w:r>
      <w:r w:rsidR="00CA66D3">
        <w:rPr>
          <w:rFonts w:eastAsia="Times New Roman"/>
          <w:b/>
        </w:rPr>
        <w:t>.</w:t>
      </w:r>
      <w:r w:rsidRPr="00CA66D3">
        <w:rPr>
          <w:rFonts w:eastAsia="Times New Roman"/>
          <w:b/>
        </w:rPr>
        <w:t xml:space="preserve"> Kopējie iedzīvotāju ienākumi no darba samaksas un sociālā atbalsta gada pirmajā pusē (milj. </w:t>
      </w:r>
      <w:r w:rsidRPr="00CA66D3">
        <w:rPr>
          <w:rFonts w:eastAsia="Times New Roman"/>
          <w:b/>
          <w:i/>
        </w:rPr>
        <w:t>euro</w:t>
      </w:r>
      <w:r w:rsidRPr="00CA66D3">
        <w:rPr>
          <w:rFonts w:eastAsia="Times New Roman"/>
          <w:b/>
        </w:rPr>
        <w:t>)</w:t>
      </w:r>
    </w:p>
    <w:p w14:paraId="56CCE677" w14:textId="77777777" w:rsidR="00DC5603" w:rsidRPr="00CA66D3" w:rsidRDefault="00DC5603" w:rsidP="00B13890">
      <w:pPr>
        <w:rPr>
          <w:rFonts w:eastAsia="Calibri"/>
        </w:rPr>
      </w:pPr>
    </w:p>
    <w:p w14:paraId="11AA9095" w14:textId="4616CFA6" w:rsidR="00B13890" w:rsidRPr="00B13890" w:rsidRDefault="00B13890" w:rsidP="00B13890">
      <w:pPr>
        <w:rPr>
          <w:rFonts w:eastAsia="Calibri"/>
        </w:rPr>
      </w:pPr>
      <w:r w:rsidRPr="00B13890">
        <w:rPr>
          <w:rFonts w:eastAsia="Calibri"/>
        </w:rPr>
        <w:t>Kopējam iedzīvotāju ienākumu apjomam Covid</w:t>
      </w:r>
      <w:r w:rsidRPr="00B13890">
        <w:rPr>
          <w:rFonts w:eastAsia="Calibri"/>
        </w:rPr>
        <w:noBreakHyphen/>
        <w:t xml:space="preserve">19 laikā turpinot pieaugt un vienlaikus pastāvot ierobežojumiem dažādu preču iegādei un pakalpojumu saņemšanai, jau kopš 2020. gada sākuma visai būtiski ir palielinājies kopējais mājsaimniecību noguldījumu apjoms </w:t>
      </w:r>
      <w:r w:rsidRPr="00B13890">
        <w:rPr>
          <w:rFonts w:eastAsia="Calibri"/>
        </w:rPr>
        <w:lastRenderedPageBreak/>
        <w:t xml:space="preserve">komercbankās. Ja laikā </w:t>
      </w:r>
      <w:r w:rsidR="00DC5603">
        <w:rPr>
          <w:rFonts w:eastAsia="Calibri"/>
        </w:rPr>
        <w:t xml:space="preserve">kopš Latvijas pievienošanās </w:t>
      </w:r>
      <w:r w:rsidR="00DC5603" w:rsidRPr="00DC5603">
        <w:rPr>
          <w:rFonts w:eastAsia="Calibri"/>
          <w:i/>
        </w:rPr>
        <w:t xml:space="preserve">Euro </w:t>
      </w:r>
      <w:r w:rsidRPr="00B13890">
        <w:rPr>
          <w:rFonts w:eastAsia="Calibri"/>
        </w:rPr>
        <w:t>zonai mājsaimniecību noguldījumi bankās auga vidēji par 8% gadā, kopš 2020. gada pieauguma temps ir pārsniedzis 10% un 2021. gada jūlija beigās rezidentu mājsaimniecību kopējais noguldījumu ap</w:t>
      </w:r>
      <w:r w:rsidR="00DC5603">
        <w:rPr>
          <w:rFonts w:eastAsia="Calibri"/>
        </w:rPr>
        <w:t>joms ir sasniedzis 9,2 mljrd.</w:t>
      </w:r>
      <w:r w:rsidRPr="00B13890">
        <w:rPr>
          <w:rFonts w:eastAsia="Calibri"/>
        </w:rPr>
        <w:t xml:space="preserve"> </w:t>
      </w:r>
      <w:r w:rsidRPr="00B13890">
        <w:rPr>
          <w:rFonts w:eastAsia="Calibri"/>
          <w:i/>
        </w:rPr>
        <w:t>euro</w:t>
      </w:r>
      <w:r w:rsidRPr="00B13890">
        <w:rPr>
          <w:rFonts w:eastAsia="Calibri"/>
        </w:rPr>
        <w:t xml:space="preserve">, salīdzinājumā ar 2020. gada jūlija beigām palielinoties par 17,7% jeb 1,4 </w:t>
      </w:r>
      <w:r w:rsidR="00DC5603">
        <w:rPr>
          <w:rFonts w:eastAsia="Calibri"/>
        </w:rPr>
        <w:t>mljrd.</w:t>
      </w:r>
      <w:r w:rsidR="00DC5603" w:rsidRPr="00B13890">
        <w:rPr>
          <w:rFonts w:eastAsia="Calibri"/>
        </w:rPr>
        <w:t xml:space="preserve"> </w:t>
      </w:r>
      <w:r w:rsidRPr="00B13890">
        <w:rPr>
          <w:rFonts w:eastAsia="Calibri"/>
        </w:rPr>
        <w:t xml:space="preserve"> </w:t>
      </w:r>
      <w:r w:rsidRPr="00B13890">
        <w:rPr>
          <w:rFonts w:eastAsia="Calibri"/>
          <w:i/>
        </w:rPr>
        <w:t>euro</w:t>
      </w:r>
      <w:r w:rsidRPr="00B13890">
        <w:rPr>
          <w:rFonts w:eastAsia="Calibri"/>
        </w:rPr>
        <w:t xml:space="preserve"> (1.31. attēls).</w:t>
      </w:r>
    </w:p>
    <w:p w14:paraId="638D5937" w14:textId="77777777" w:rsidR="00B13890" w:rsidRPr="00B13890" w:rsidRDefault="00B13890" w:rsidP="00B13890">
      <w:pPr>
        <w:rPr>
          <w:rFonts w:eastAsia="Times New Roman"/>
        </w:rPr>
      </w:pPr>
      <w:r w:rsidRPr="00B13890">
        <w:rPr>
          <w:rFonts w:eastAsia="Times New Roman"/>
          <w:noProof/>
        </w:rPr>
        <w:drawing>
          <wp:inline distT="0" distB="0" distL="0" distR="0" wp14:anchorId="64C982CD" wp14:editId="718C8EF5">
            <wp:extent cx="4692375" cy="2446836"/>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5EE52B2" w14:textId="7192D41D" w:rsidR="00DC5603" w:rsidRPr="00CA66D3" w:rsidRDefault="00DC5603" w:rsidP="00DC5603">
      <w:pPr>
        <w:spacing w:after="0"/>
        <w:jc w:val="center"/>
        <w:rPr>
          <w:rFonts w:eastAsia="Times New Roman"/>
          <w:b/>
        </w:rPr>
      </w:pPr>
      <w:r w:rsidRPr="00CA66D3">
        <w:rPr>
          <w:rFonts w:eastAsia="Times New Roman"/>
          <w:b/>
        </w:rPr>
        <w:t>1.31. attēls</w:t>
      </w:r>
      <w:r w:rsidR="00CA66D3">
        <w:rPr>
          <w:rFonts w:eastAsia="Times New Roman"/>
          <w:b/>
        </w:rPr>
        <w:t>.</w:t>
      </w:r>
      <w:r w:rsidRPr="00CA66D3">
        <w:rPr>
          <w:rFonts w:eastAsia="Times New Roman"/>
          <w:b/>
        </w:rPr>
        <w:t xml:space="preserve"> Rezidentu mājsaimniecību kopējie noguldījumi Latvijas komercbankās (milj. </w:t>
      </w:r>
      <w:r w:rsidRPr="00CA66D3">
        <w:rPr>
          <w:rFonts w:eastAsia="Times New Roman"/>
          <w:b/>
          <w:i/>
        </w:rPr>
        <w:t>euro</w:t>
      </w:r>
      <w:r w:rsidRPr="00CA66D3">
        <w:rPr>
          <w:rFonts w:eastAsia="Times New Roman"/>
          <w:b/>
        </w:rPr>
        <w:t xml:space="preserve"> un izmaiņas %)</w:t>
      </w:r>
    </w:p>
    <w:p w14:paraId="1EAC5FEF" w14:textId="77777777" w:rsidR="00DC5603" w:rsidRPr="00DC5603" w:rsidRDefault="00DC5603" w:rsidP="00DC5603">
      <w:pPr>
        <w:spacing w:after="0"/>
        <w:jc w:val="center"/>
        <w:rPr>
          <w:rFonts w:eastAsia="Times New Roman"/>
          <w:b/>
          <w:i/>
        </w:rPr>
      </w:pPr>
    </w:p>
    <w:p w14:paraId="40A471FD" w14:textId="073CE372" w:rsidR="00B13890" w:rsidRPr="00B13890" w:rsidRDefault="00B13890" w:rsidP="00B13890">
      <w:pPr>
        <w:rPr>
          <w:rFonts w:eastAsia="Calibri"/>
        </w:rPr>
      </w:pPr>
      <w:r w:rsidRPr="00B13890">
        <w:rPr>
          <w:rFonts w:eastAsia="Calibri"/>
        </w:rPr>
        <w:t>Vienlaikus šis ienākumu un uzkrājumu pieaugums ir visai nevienmērīgs un norāda uz potenciālu nevienlīdzības pieaugumu darbspējas vecuma iedzīvotāju vidū, Covid</w:t>
      </w:r>
      <w:r w:rsidRPr="00B13890">
        <w:rPr>
          <w:rFonts w:eastAsia="Calibri"/>
        </w:rPr>
        <w:noBreakHyphen/>
        <w:t>19 krīzei smagāk skarot zemāk atalgotos, izmitināšanas un ēdināšanas un citu pakalpojumu nozarēs nodarbinātos cilvēkus. Materiālo nevienlīdzību raksturojošie rādītāji par Covid</w:t>
      </w:r>
      <w:r w:rsidRPr="00B13890">
        <w:rPr>
          <w:rFonts w:eastAsia="Calibri"/>
        </w:rPr>
        <w:noBreakHyphen/>
        <w:t>19 krīzes laiku vēl nav pieejami, bet iepriekšējo gadu dati rāda, ka būtiskas izmaiņas nevienlīdzības līmenī Latvijā laikā kopš pagājušās 2008.-2009. gada finanšu krīzes nav notikušas, un pēc 2019. gada datiem Latvija joprojām ir trešā nevienlīdzīgākā valsts Eiropas Savienībā aiz Bulgārijas un Lietuvas. Latvijas Džini koeficients 2019. gadā ir uzrādījis nelielu nevienlīdzības samazinājumu, pazeminoties līdz 34,5 no 35,2 iepriekšējā gadā un atgriežoties 2016. gada līmenī.</w:t>
      </w:r>
    </w:p>
    <w:p w14:paraId="7FB5DD09" w14:textId="2972C0DF" w:rsidR="00B13890" w:rsidRPr="00B13890" w:rsidRDefault="00B13890" w:rsidP="00B13890">
      <w:pPr>
        <w:rPr>
          <w:rFonts w:eastAsia="Calibri"/>
        </w:rPr>
      </w:pPr>
      <w:r w:rsidRPr="00B13890">
        <w:rPr>
          <w:rFonts w:eastAsia="Calibri"/>
        </w:rPr>
        <w:t>Augsto nevienlīdzības līmeni Latvijā galvenokārt nosaka augstais nabadzības riskam pakļauto iedzīvotāju īpatsvars pensionāru grupā, kur</w:t>
      </w:r>
      <w:r w:rsidR="00DC5603">
        <w:rPr>
          <w:rFonts w:eastAsia="Calibri"/>
        </w:rPr>
        <w:t xml:space="preserve"> tas ir būtiski augstāks nekā Eiropas Savienībā</w:t>
      </w:r>
      <w:r w:rsidRPr="00B13890">
        <w:rPr>
          <w:rFonts w:eastAsia="Calibri"/>
        </w:rPr>
        <w:t xml:space="preserve"> vidēji. Skatoties pēc nodarbošanās statusa, Latvijā nabadzības riskam ir pakļauti 55,6% pensionāru, kamēr </w:t>
      </w:r>
      <w:r w:rsidR="00DC5603">
        <w:rPr>
          <w:rFonts w:eastAsia="Calibri"/>
        </w:rPr>
        <w:t>Eiropas Savienībā</w:t>
      </w:r>
      <w:r w:rsidRPr="00B13890">
        <w:rPr>
          <w:rFonts w:eastAsia="Calibri"/>
        </w:rPr>
        <w:t xml:space="preserve"> vidēji – tikai 19,2%. Arī bezdarbniekiem nabadzības risks Latvijā ir nedaudz augstāks nekā vidēji </w:t>
      </w:r>
      <w:r w:rsidR="00DC5603">
        <w:rPr>
          <w:rFonts w:eastAsia="Calibri"/>
        </w:rPr>
        <w:t>Eiropas Savienībā</w:t>
      </w:r>
      <w:r w:rsidRPr="00B13890">
        <w:rPr>
          <w:rFonts w:eastAsia="Calibri"/>
        </w:rPr>
        <w:t xml:space="preserve">, kamēr strādājošajiem iedzīvotājiem tas praktiski neatšķiras no </w:t>
      </w:r>
      <w:r w:rsidR="00DC5603">
        <w:rPr>
          <w:rFonts w:eastAsia="Calibri"/>
        </w:rPr>
        <w:t>Eiropas Savienībā</w:t>
      </w:r>
      <w:r w:rsidRPr="00B13890">
        <w:rPr>
          <w:rFonts w:eastAsia="Calibri"/>
        </w:rPr>
        <w:t xml:space="preserve"> vidējiem rādītājiem (1.32. attēls).</w:t>
      </w:r>
    </w:p>
    <w:p w14:paraId="0AF9706C" w14:textId="77777777" w:rsidR="00B13890" w:rsidRPr="00B13890" w:rsidRDefault="00B13890" w:rsidP="00B13890">
      <w:pPr>
        <w:rPr>
          <w:rFonts w:eastAsia="Times New Roman"/>
        </w:rPr>
      </w:pPr>
      <w:r w:rsidRPr="00B13890">
        <w:rPr>
          <w:noProof/>
        </w:rPr>
        <w:lastRenderedPageBreak/>
        <w:drawing>
          <wp:inline distT="0" distB="0" distL="0" distR="0" wp14:anchorId="5C2DACA8" wp14:editId="5F459334">
            <wp:extent cx="4638675" cy="2364105"/>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86A08D0" w14:textId="3FAEA2A2" w:rsidR="00DC5603" w:rsidRPr="00CA66D3" w:rsidRDefault="00DC5603" w:rsidP="00DC5603">
      <w:pPr>
        <w:spacing w:after="0"/>
        <w:jc w:val="center"/>
        <w:rPr>
          <w:rFonts w:eastAsia="Times New Roman"/>
          <w:b/>
        </w:rPr>
      </w:pPr>
      <w:r w:rsidRPr="00CA66D3">
        <w:rPr>
          <w:rFonts w:eastAsia="Times New Roman"/>
          <w:b/>
        </w:rPr>
        <w:t>1.32. attēls</w:t>
      </w:r>
      <w:r w:rsidR="00CA66D3">
        <w:rPr>
          <w:rFonts w:eastAsia="Times New Roman"/>
          <w:b/>
        </w:rPr>
        <w:t>.</w:t>
      </w:r>
      <w:r w:rsidRPr="00CA66D3">
        <w:rPr>
          <w:rFonts w:eastAsia="Times New Roman"/>
          <w:b/>
        </w:rPr>
        <w:t xml:space="preserve"> Nabadzības riskam pakļautie iedzīvotāji, pēc statusa,</w:t>
      </w:r>
    </w:p>
    <w:p w14:paraId="56E0E77B" w14:textId="77777777" w:rsidR="00DC5603" w:rsidRPr="00CA66D3" w:rsidRDefault="00DC5603" w:rsidP="00DC5603">
      <w:pPr>
        <w:spacing w:after="0"/>
        <w:jc w:val="center"/>
        <w:rPr>
          <w:rFonts w:eastAsia="Times New Roman"/>
          <w:b/>
        </w:rPr>
      </w:pPr>
      <w:r w:rsidRPr="00CA66D3">
        <w:rPr>
          <w:rFonts w:eastAsia="Times New Roman"/>
          <w:b/>
        </w:rPr>
        <w:t>2019. gada dati (%)</w:t>
      </w:r>
    </w:p>
    <w:p w14:paraId="46FBC40B" w14:textId="77777777" w:rsidR="00DC5603" w:rsidRPr="00CA66D3" w:rsidRDefault="00DC5603" w:rsidP="00B13890">
      <w:pPr>
        <w:rPr>
          <w:rFonts w:eastAsia="Calibri"/>
        </w:rPr>
      </w:pPr>
    </w:p>
    <w:p w14:paraId="1E5AA7B1" w14:textId="130AEB61" w:rsidR="00B13890" w:rsidRPr="00B13890" w:rsidRDefault="00B13890" w:rsidP="00B13890">
      <w:pPr>
        <w:rPr>
          <w:rFonts w:eastAsia="Calibri"/>
        </w:rPr>
      </w:pPr>
      <w:r w:rsidRPr="00B13890">
        <w:rPr>
          <w:rFonts w:eastAsia="Calibri"/>
        </w:rPr>
        <w:t>Līdz ar ekonomikas izaugsmi laikā kopš 2010. gada Latvijas iedzīvotāju ie</w:t>
      </w:r>
      <w:r w:rsidR="00DC5603">
        <w:rPr>
          <w:rFonts w:eastAsia="Calibri"/>
        </w:rPr>
        <w:t>nākumi arvien ir tuvinājušies Eiropas Savienības</w:t>
      </w:r>
      <w:r w:rsidRPr="00B13890">
        <w:rPr>
          <w:rFonts w:eastAsia="Calibri"/>
        </w:rPr>
        <w:t xml:space="preserve"> vidējam līmenim, bet joprojām no tā būtiski atpaliek. Laikā no 2008. līdz 2019. gadam mājsaimniecību vidējie rīcībā esošie ienākumi uz vienu iedzīvotāju pēc pirktspējas paritātes standarta ir palielinājušies no 59,7% no </w:t>
      </w:r>
      <w:r w:rsidR="00DC5603">
        <w:rPr>
          <w:rFonts w:eastAsia="Calibri"/>
        </w:rPr>
        <w:t>Eiropas Savienības</w:t>
      </w:r>
      <w:r w:rsidRPr="00B13890">
        <w:rPr>
          <w:rFonts w:eastAsia="Calibri"/>
        </w:rPr>
        <w:t xml:space="preserve"> vidējā līdz 65,8% no </w:t>
      </w:r>
      <w:r w:rsidR="00DC5603">
        <w:rPr>
          <w:rFonts w:eastAsia="Calibri"/>
        </w:rPr>
        <w:t>Eiropas Savienības</w:t>
      </w:r>
      <w:r w:rsidR="00DC5603" w:rsidRPr="00B13890">
        <w:rPr>
          <w:rFonts w:eastAsia="Calibri"/>
        </w:rPr>
        <w:t xml:space="preserve"> </w:t>
      </w:r>
      <w:r w:rsidRPr="00B13890">
        <w:rPr>
          <w:rFonts w:eastAsia="Calibri"/>
        </w:rPr>
        <w:t xml:space="preserve">vidējā, tomēr joprojām ir trešie zemākie </w:t>
      </w:r>
      <w:r w:rsidR="00DC5603">
        <w:rPr>
          <w:rFonts w:eastAsia="Calibri"/>
        </w:rPr>
        <w:t>Eiropas Savienībā</w:t>
      </w:r>
      <w:r w:rsidRPr="00B13890">
        <w:rPr>
          <w:rFonts w:eastAsia="Calibri"/>
        </w:rPr>
        <w:t>, apsteidzot tikai Bulgāriju, un Horvātiju (1.33. attēls).</w:t>
      </w:r>
    </w:p>
    <w:p w14:paraId="2A0FED29" w14:textId="77777777" w:rsidR="00B13890" w:rsidRPr="00B13890" w:rsidRDefault="00B13890" w:rsidP="00B13890">
      <w:pPr>
        <w:rPr>
          <w:rFonts w:eastAsia="Times New Roman"/>
        </w:rPr>
      </w:pPr>
      <w:r w:rsidRPr="00B13890">
        <w:rPr>
          <w:noProof/>
        </w:rPr>
        <w:drawing>
          <wp:inline distT="0" distB="0" distL="0" distR="0" wp14:anchorId="0B2D1A7E" wp14:editId="5C5E1D20">
            <wp:extent cx="5274310" cy="2978785"/>
            <wp:effectExtent l="0" t="0" r="254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795EF99" w14:textId="40326BB3" w:rsidR="00DC5603" w:rsidRPr="00CA66D3" w:rsidRDefault="00DC5603" w:rsidP="00DC5603">
      <w:pPr>
        <w:jc w:val="center"/>
        <w:rPr>
          <w:rFonts w:eastAsia="Times New Roman"/>
          <w:b/>
        </w:rPr>
      </w:pPr>
      <w:r w:rsidRPr="00CA66D3">
        <w:rPr>
          <w:rFonts w:eastAsia="Times New Roman"/>
          <w:b/>
        </w:rPr>
        <w:t>1.33. attēls</w:t>
      </w:r>
      <w:r w:rsidR="00CA66D3">
        <w:rPr>
          <w:rFonts w:eastAsia="Times New Roman"/>
          <w:b/>
        </w:rPr>
        <w:t>.</w:t>
      </w:r>
      <w:r w:rsidRPr="00CA66D3">
        <w:rPr>
          <w:rFonts w:eastAsia="Times New Roman"/>
          <w:b/>
        </w:rPr>
        <w:t xml:space="preserve"> Mājsaimniecību rīcībā esošie ienākumi uz vienu iedzīvotāju pēc pirktspējas paritātes standarta Eiropas Savienības valstīs, 2019. gadā, % no Eiropas Savienības vidējā</w:t>
      </w:r>
    </w:p>
    <w:p w14:paraId="34A01322" w14:textId="77777777" w:rsidR="00B13890" w:rsidRPr="00CA66D3" w:rsidRDefault="00B13890" w:rsidP="00B13890">
      <w:pPr>
        <w:widowControl w:val="0"/>
        <w:ind w:firstLine="0"/>
        <w:rPr>
          <w:rFonts w:eastAsia="Times New Roman" w:cs="Times New Roman"/>
        </w:rPr>
      </w:pPr>
    </w:p>
    <w:p w14:paraId="6E153714" w14:textId="2C443D6E" w:rsidR="003F3FCD" w:rsidRPr="002C516C" w:rsidRDefault="005774F8" w:rsidP="005774F8">
      <w:pPr>
        <w:pStyle w:val="Heading3"/>
        <w:numPr>
          <w:ilvl w:val="0"/>
          <w:numId w:val="0"/>
        </w:numPr>
      </w:pPr>
      <w:bookmarkStart w:id="8" w:name="_Toc84756391"/>
      <w:r>
        <w:lastRenderedPageBreak/>
        <w:t xml:space="preserve">1.2.6. </w:t>
      </w:r>
      <w:r w:rsidR="000548A5" w:rsidRPr="002C516C">
        <w:t>Ārējā tirdzniecība un maksājumu bilance</w:t>
      </w:r>
      <w:bookmarkEnd w:id="8"/>
    </w:p>
    <w:p w14:paraId="17626AD0" w14:textId="77777777" w:rsidR="00B13890" w:rsidRPr="00BD0181" w:rsidRDefault="00B13890" w:rsidP="00B13890">
      <w:pPr>
        <w:spacing w:before="120"/>
        <w:rPr>
          <w:rFonts w:eastAsia="Calibri"/>
        </w:rPr>
      </w:pPr>
      <w:r w:rsidRPr="00BD0181">
        <w:rPr>
          <w:rFonts w:eastAsia="Calibri"/>
        </w:rPr>
        <w:t>Latvijas preču un pakalpojumu ārējās tirdzniecības apgrozījums salīdzināmajās cenās 2020</w:t>
      </w:r>
      <w:r>
        <w:rPr>
          <w:rFonts w:eastAsia="Calibri"/>
        </w:rPr>
        <w:t>. gad</w:t>
      </w:r>
      <w:r w:rsidRPr="00BD0181">
        <w:rPr>
          <w:rFonts w:eastAsia="Calibri"/>
        </w:rPr>
        <w:t>ā samazinājās par 3,0%, uzrādot sliktāko sniegumu kopš 2010</w:t>
      </w:r>
      <w:r>
        <w:rPr>
          <w:rFonts w:eastAsia="Calibri"/>
        </w:rPr>
        <w:t>. gad</w:t>
      </w:r>
      <w:r w:rsidRPr="00BD0181">
        <w:rPr>
          <w:rFonts w:eastAsia="Calibri"/>
        </w:rPr>
        <w:t>a. Covid-19 krīze vairāk ietekmēja preču un pakalpojumu importu, tam samazinoties par 3,3% salīdzinājumā ar 2019</w:t>
      </w:r>
      <w:r>
        <w:rPr>
          <w:rFonts w:eastAsia="Calibri"/>
        </w:rPr>
        <w:t>. gad</w:t>
      </w:r>
      <w:r w:rsidRPr="00BD0181">
        <w:rPr>
          <w:rFonts w:eastAsia="Calibri"/>
        </w:rPr>
        <w:t>u. Savukārt eksports samazinājās par 2,7%, ko pamatā noteica strauj</w:t>
      </w:r>
      <w:r>
        <w:rPr>
          <w:rFonts w:eastAsia="Calibri"/>
        </w:rPr>
        <w:t>ais</w:t>
      </w:r>
      <w:r w:rsidRPr="00BD0181">
        <w:rPr>
          <w:rFonts w:eastAsia="Calibri"/>
        </w:rPr>
        <w:t xml:space="preserve"> pakalpojumu eksporta kritums.</w:t>
      </w:r>
    </w:p>
    <w:p w14:paraId="35A875B8" w14:textId="473553FE" w:rsidR="00B13890" w:rsidRPr="00BD0181" w:rsidRDefault="00B13890" w:rsidP="00B13890">
      <w:pPr>
        <w:spacing w:before="120"/>
        <w:rPr>
          <w:rFonts w:eastAsia="Calibri"/>
        </w:rPr>
      </w:pPr>
      <w:r w:rsidRPr="00BD0181">
        <w:rPr>
          <w:rFonts w:eastAsia="Calibri"/>
        </w:rPr>
        <w:t xml:space="preserve">Latvijas </w:t>
      </w:r>
      <w:r w:rsidRPr="00BD0181">
        <w:rPr>
          <w:rFonts w:eastAsia="Calibri"/>
          <w:b/>
        </w:rPr>
        <w:t>preču un pakalpojumu eksports</w:t>
      </w:r>
      <w:r w:rsidRPr="00BD0181">
        <w:rPr>
          <w:rFonts w:eastAsia="Calibri"/>
        </w:rPr>
        <w:t xml:space="preserve"> 2020</w:t>
      </w:r>
      <w:r>
        <w:rPr>
          <w:rFonts w:eastAsia="Calibri"/>
        </w:rPr>
        <w:t>. gad</w:t>
      </w:r>
      <w:r w:rsidRPr="00BD0181">
        <w:rPr>
          <w:rFonts w:eastAsia="Calibri"/>
        </w:rPr>
        <w:t xml:space="preserve">ā ir samazinājies pirmo reizi 11 gadu laikā, tomēr eksporta kritums bija viens no mazākajiem starp Eiropas Savienības valstīm un būtiski zemāks nekā vidēji </w:t>
      </w:r>
      <w:r w:rsidR="00883C11">
        <w:rPr>
          <w:rFonts w:eastAsia="Calibri"/>
        </w:rPr>
        <w:t>Eiropas Savienībā</w:t>
      </w:r>
      <w:r w:rsidRPr="00BD0181">
        <w:rPr>
          <w:rFonts w:eastAsia="Calibri"/>
        </w:rPr>
        <w:t xml:space="preserve"> (</w:t>
      </w:r>
      <w:r w:rsidRPr="00BD0181">
        <w:rPr>
          <w:rFonts w:eastAsia="Calibri"/>
        </w:rPr>
        <w:noBreakHyphen/>
        <w:t xml:space="preserve">8,4%). Mazāks eksporta kritums nekā vidēji </w:t>
      </w:r>
      <w:r w:rsidR="00883C11">
        <w:rPr>
          <w:rFonts w:eastAsia="Calibri"/>
        </w:rPr>
        <w:t>Eiropas Savienībā</w:t>
      </w:r>
      <w:r w:rsidRPr="00BD0181">
        <w:rPr>
          <w:rFonts w:eastAsia="Calibri"/>
        </w:rPr>
        <w:t xml:space="preserve"> ir saistīts ar vairākiem faktoriem. Pirmkārt, 2020</w:t>
      </w:r>
      <w:r>
        <w:rPr>
          <w:rFonts w:eastAsia="Calibri"/>
        </w:rPr>
        <w:t>. gad</w:t>
      </w:r>
      <w:r w:rsidRPr="00BD0181">
        <w:rPr>
          <w:rFonts w:eastAsia="Calibri"/>
        </w:rPr>
        <w:t>ā kopumā epidemioloģiskā situācija Latvijā bija labāka nekā lielākajā daļā Eiropas Savienības valstu un nebija ieviesti ļoti stingri ierobežojumi</w:t>
      </w:r>
      <w:r>
        <w:rPr>
          <w:rFonts w:eastAsia="Calibri"/>
        </w:rPr>
        <w:t>, t</w:t>
      </w:r>
      <w:r w:rsidRPr="00BD0181">
        <w:rPr>
          <w:rFonts w:eastAsia="Calibri"/>
        </w:rPr>
        <w:t>ādējādi</w:t>
      </w:r>
      <w:r>
        <w:rPr>
          <w:rFonts w:eastAsia="Calibri"/>
        </w:rPr>
        <w:t xml:space="preserve"> </w:t>
      </w:r>
      <w:r w:rsidRPr="00BD0181">
        <w:rPr>
          <w:rFonts w:eastAsia="Calibri"/>
        </w:rPr>
        <w:t xml:space="preserve">ļaujot ražojošajiem uzņēmumiem turpināt darbu. Otrkārt, Latvijā ir mazāks ar tūrisma nozari saistīto pakalpojumu īpatsvars pakalpojumu eksportā, it īpaši salīdzinājumā ar Dienvideiropas valstīm. </w:t>
      </w:r>
      <w:r>
        <w:rPr>
          <w:rFonts w:eastAsia="Calibri"/>
        </w:rPr>
        <w:t>L</w:t>
      </w:r>
      <w:r w:rsidRPr="00BD0181">
        <w:rPr>
          <w:rFonts w:eastAsia="Calibri"/>
        </w:rPr>
        <w:t>ielākie eksporta kritumi ir fiksēti tādās valstīs kā Horvātija, Grieķija, Spānijā, Portugālē</w:t>
      </w:r>
      <w:r>
        <w:rPr>
          <w:rFonts w:eastAsia="Calibri"/>
        </w:rPr>
        <w:t xml:space="preserve"> (1.34.</w:t>
      </w:r>
      <w:r w:rsidRPr="00BD0181">
        <w:rPr>
          <w:rFonts w:eastAsia="Calibri"/>
        </w:rPr>
        <w:t xml:space="preserve"> attēl</w:t>
      </w:r>
      <w:r>
        <w:rPr>
          <w:rFonts w:eastAsia="Calibri"/>
        </w:rPr>
        <w:t>s)</w:t>
      </w:r>
      <w:r w:rsidRPr="00BD0181">
        <w:rPr>
          <w:rFonts w:eastAsia="Calibri"/>
        </w:rPr>
        <w:t>. Šo valstu kopējo eksporta vērtību negatīvi ietekmēja būtisks pakalpojumu eksporta samazinājums, kas bija tuvu vai pat lielāks nekā 40%, un noteicošā loma bija tieši ar tūrisma nozari saistīto pakalpojum</w:t>
      </w:r>
      <w:r>
        <w:rPr>
          <w:rFonts w:eastAsia="Calibri"/>
        </w:rPr>
        <w:t>u eksporta kritumam. T</w:t>
      </w:r>
      <w:r w:rsidRPr="00BD0181">
        <w:rPr>
          <w:rFonts w:eastAsia="Calibri"/>
        </w:rPr>
        <w:t>rešais faktors, kas minimizēja pandēmijas negatīvo ietekmi Latvijas eksportā</w:t>
      </w:r>
      <w:r>
        <w:rPr>
          <w:rFonts w:eastAsia="Calibri"/>
        </w:rPr>
        <w:t>,</w:t>
      </w:r>
      <w:r w:rsidRPr="00BD0181">
        <w:rPr>
          <w:rFonts w:eastAsia="Calibri"/>
        </w:rPr>
        <w:t xml:space="preserve"> ir rekordaugstā graudaugu raža Latvijā. Tādējādi pērn izdevās sasniegt arī rekordaugstus graudaugu eksporta apjomus, nodrošinot būtisku devumu preču eksporta pieaugumā. Kopumā jāsecina, ka 2020</w:t>
      </w:r>
      <w:r>
        <w:rPr>
          <w:rFonts w:eastAsia="Calibri"/>
        </w:rPr>
        <w:t>. gad</w:t>
      </w:r>
      <w:r w:rsidRPr="00BD0181">
        <w:rPr>
          <w:rFonts w:eastAsia="Calibri"/>
        </w:rPr>
        <w:t>ā Latvijas preču eksport</w:t>
      </w:r>
      <w:r>
        <w:rPr>
          <w:rFonts w:eastAsia="Calibri"/>
        </w:rPr>
        <w:t>s</w:t>
      </w:r>
      <w:r w:rsidRPr="00BD0181">
        <w:rPr>
          <w:rFonts w:eastAsia="Calibri"/>
        </w:rPr>
        <w:t xml:space="preserve"> salīdzināmajās cenās </w:t>
      </w:r>
      <w:r>
        <w:rPr>
          <w:rFonts w:eastAsia="Calibri"/>
        </w:rPr>
        <w:t>ir palielinājies</w:t>
      </w:r>
      <w:r w:rsidRPr="00BD0181">
        <w:rPr>
          <w:rFonts w:eastAsia="Calibri"/>
        </w:rPr>
        <w:t xml:space="preserve"> par 5,5%, bet pakalpojumu eksports samazinājies par 21,4%. Ņemot vērā, ka Latvijas reālā iekšzemes kopprodukta kritums bija straujāks nekā eksporta samazinājums, eksporta īpatsvars iekšzemes kopproduktā 2020</w:t>
      </w:r>
      <w:r>
        <w:rPr>
          <w:rFonts w:eastAsia="Calibri"/>
        </w:rPr>
        <w:t>. gad</w:t>
      </w:r>
      <w:r w:rsidRPr="00BD0181">
        <w:rPr>
          <w:rFonts w:eastAsia="Calibri"/>
        </w:rPr>
        <w:t xml:space="preserve">ā palielinājās līdz 63,9%, sasniedzot vēsturiski augstāko līmeni. </w:t>
      </w:r>
    </w:p>
    <w:p w14:paraId="430D498C" w14:textId="77777777" w:rsidR="00B13890" w:rsidRDefault="00B13890" w:rsidP="00B13890">
      <w:r>
        <w:rPr>
          <w:noProof/>
        </w:rPr>
        <w:drawing>
          <wp:inline distT="0" distB="0" distL="0" distR="0" wp14:anchorId="3DD12CFE" wp14:editId="39C689B9">
            <wp:extent cx="4975860" cy="28956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A7B0D8A" w14:textId="65EA51BA" w:rsidR="00883C11" w:rsidRPr="00CA66D3" w:rsidRDefault="00883C11" w:rsidP="00CA66D3">
      <w:pPr>
        <w:keepNext/>
        <w:spacing w:before="120"/>
        <w:ind w:firstLine="0"/>
        <w:jc w:val="center"/>
        <w:rPr>
          <w:b/>
          <w:szCs w:val="28"/>
        </w:rPr>
      </w:pPr>
      <w:r w:rsidRPr="00CA66D3">
        <w:rPr>
          <w:b/>
          <w:szCs w:val="28"/>
        </w:rPr>
        <w:t>1.34. attēls</w:t>
      </w:r>
      <w:r w:rsidR="00CA66D3">
        <w:rPr>
          <w:b/>
          <w:szCs w:val="28"/>
        </w:rPr>
        <w:t>.</w:t>
      </w:r>
      <w:r w:rsidRPr="00CA66D3">
        <w:rPr>
          <w:b/>
          <w:szCs w:val="28"/>
        </w:rPr>
        <w:t xml:space="preserve"> </w:t>
      </w:r>
      <w:r w:rsidRPr="00CA66D3">
        <w:rPr>
          <w:b/>
          <w:color w:val="000000" w:themeColor="text1"/>
          <w:szCs w:val="28"/>
        </w:rPr>
        <w:t xml:space="preserve">Preču </w:t>
      </w:r>
      <w:r w:rsidRPr="00CA66D3">
        <w:rPr>
          <w:b/>
          <w:szCs w:val="28"/>
        </w:rPr>
        <w:t>un pakalpojumu eksporta izmaiņas Eiropas Savienības dalībvalstīs 2020. gadā salīdzinājumā ar 2019. gadu (salīdzināmajās cenās, %)</w:t>
      </w:r>
    </w:p>
    <w:p w14:paraId="61010F9A" w14:textId="77777777" w:rsidR="00883C11" w:rsidRDefault="00883C11" w:rsidP="00B13890">
      <w:pPr>
        <w:spacing w:before="120"/>
        <w:rPr>
          <w:rFonts w:eastAsia="Calibri"/>
        </w:rPr>
      </w:pPr>
    </w:p>
    <w:p w14:paraId="6FCB68C2" w14:textId="46172B66" w:rsidR="00B13890" w:rsidRPr="007B7159" w:rsidRDefault="00B13890" w:rsidP="00B13890">
      <w:pPr>
        <w:spacing w:before="120"/>
        <w:rPr>
          <w:rFonts w:eastAsia="Calibri"/>
        </w:rPr>
      </w:pPr>
      <w:r w:rsidRPr="007B7159">
        <w:rPr>
          <w:rFonts w:eastAsia="Calibri"/>
        </w:rPr>
        <w:lastRenderedPageBreak/>
        <w:t>Covid-19 krīze radīja būtiskus šķēršļus tirdzniecībai starp valstīm. Tomēr par spīti ekonomiskās aktivitātes kritumam Latvijas galvenajos noieta tirgos, robežu slēgšanai, izejvielu un starppatēriņa preču piegādes ķēžu traucējumiem</w:t>
      </w:r>
      <w:r>
        <w:rPr>
          <w:rFonts w:eastAsia="Calibri"/>
        </w:rPr>
        <w:t>,</w:t>
      </w:r>
      <w:r w:rsidRPr="007B7159">
        <w:rPr>
          <w:rFonts w:eastAsia="Calibri"/>
        </w:rPr>
        <w:t xml:space="preserve"> Latvijas </w:t>
      </w:r>
      <w:r w:rsidRPr="007B7159">
        <w:rPr>
          <w:rFonts w:eastAsia="Calibri"/>
          <w:b/>
        </w:rPr>
        <w:t>preču eksports</w:t>
      </w:r>
      <w:r w:rsidRPr="007B7159">
        <w:rPr>
          <w:rFonts w:eastAsia="Calibri"/>
        </w:rPr>
        <w:t xml:space="preserve"> 2020</w:t>
      </w:r>
      <w:r>
        <w:rPr>
          <w:rFonts w:eastAsia="Calibri"/>
        </w:rPr>
        <w:t>. gad</w:t>
      </w:r>
      <w:r w:rsidRPr="007B7159">
        <w:rPr>
          <w:rFonts w:eastAsia="Calibri"/>
        </w:rPr>
        <w:t xml:space="preserve">ā palielinājās par 5,5%. Tas, pēc Īrijas, bija otrais lielākais pieaugums </w:t>
      </w:r>
      <w:r w:rsidR="00883C11">
        <w:rPr>
          <w:rFonts w:eastAsia="Calibri"/>
        </w:rPr>
        <w:t>Eiropas Savienībā</w:t>
      </w:r>
      <w:r w:rsidRPr="007B7159">
        <w:rPr>
          <w:rFonts w:eastAsia="Calibri"/>
        </w:rPr>
        <w:t xml:space="preserve">, kamēr </w:t>
      </w:r>
      <w:r w:rsidR="00883C11">
        <w:rPr>
          <w:rFonts w:eastAsia="Calibri"/>
        </w:rPr>
        <w:t>Eiropas Savienībā</w:t>
      </w:r>
      <w:r w:rsidRPr="007B7159">
        <w:rPr>
          <w:rFonts w:eastAsia="Calibri"/>
        </w:rPr>
        <w:t xml:space="preserve"> vidēji preču eksporta vērtība samazinājās par 5,6%. Tādējādi preču eksporta izaugsme minimizēja pakalpojumu eksporta krituma negatīvo ietekmi. Preču eksportu pērn veicināja graudaugu eksporta kāpums par 21,5%, kā arī mehānisko ierīču un elektroiekārtu reeksporta pieaugums par 17,3%. </w:t>
      </w:r>
    </w:p>
    <w:p w14:paraId="697EBFB4" w14:textId="0D433403" w:rsidR="00B13890" w:rsidRPr="007B7159" w:rsidRDefault="00B13890" w:rsidP="00B13890">
      <w:pPr>
        <w:spacing w:before="120"/>
        <w:rPr>
          <w:rFonts w:eastAsia="Calibri"/>
        </w:rPr>
      </w:pPr>
      <w:r w:rsidRPr="007B7159">
        <w:rPr>
          <w:rFonts w:eastAsia="Calibri"/>
        </w:rPr>
        <w:t xml:space="preserve">Savukārt, Latvijas </w:t>
      </w:r>
      <w:r w:rsidRPr="007B7159">
        <w:rPr>
          <w:rFonts w:eastAsia="Calibri"/>
          <w:b/>
        </w:rPr>
        <w:t>pakalpojumu eksporta vērtība</w:t>
      </w:r>
      <w:r w:rsidRPr="007B7159">
        <w:rPr>
          <w:rFonts w:eastAsia="Calibri"/>
        </w:rPr>
        <w:t xml:space="preserve"> 2020</w:t>
      </w:r>
      <w:r>
        <w:rPr>
          <w:rFonts w:eastAsia="Calibri"/>
        </w:rPr>
        <w:t>. gad</w:t>
      </w:r>
      <w:r w:rsidRPr="007B7159">
        <w:rPr>
          <w:rFonts w:eastAsia="Calibri"/>
        </w:rPr>
        <w:t xml:space="preserve">ā salīdzināmajās cenās samazinājās par 21,4%, kamēr </w:t>
      </w:r>
      <w:r w:rsidR="00883C11">
        <w:rPr>
          <w:rFonts w:eastAsia="Calibri"/>
        </w:rPr>
        <w:t>Eiropas Savienībā</w:t>
      </w:r>
      <w:r w:rsidRPr="007B7159">
        <w:rPr>
          <w:rFonts w:eastAsia="Calibri"/>
        </w:rPr>
        <w:t xml:space="preserve"> vidēji kritums veidoja 15,4%. Lielāks pakalpojumu eksporta kritums Latvijā ir saistīts ar to, ka transporta pakalpojumu eksportu Latvijā būtiski ietekmēja spēcīgs kritums jūras un dzelzceļa transporta pakalpojumos saistībā ar ogļu un naftas produktu kravu plūsmas samazināšanos no Krievijas. Savukārt pandēmijas un ārkārtējā stāvokļa dēļ gan Latvijā, gan citās pasaules valstīs būtiski samazinājās arī gaisa transporta pakalpojumu eksports un ārvalstu tūristu izdevumi Latvijā.</w:t>
      </w:r>
    </w:p>
    <w:p w14:paraId="3E8D4584" w14:textId="77777777" w:rsidR="00B13890" w:rsidRPr="007B7159" w:rsidRDefault="00B13890" w:rsidP="00B13890">
      <w:pPr>
        <w:spacing w:before="120"/>
        <w:rPr>
          <w:rFonts w:eastAsia="Calibri"/>
        </w:rPr>
      </w:pPr>
      <w:r w:rsidRPr="007B7159">
        <w:rPr>
          <w:rFonts w:eastAsia="Calibri"/>
        </w:rPr>
        <w:t>2021</w:t>
      </w:r>
      <w:r>
        <w:rPr>
          <w:rFonts w:eastAsia="Calibri"/>
        </w:rPr>
        <w:t>. gada</w:t>
      </w:r>
      <w:r w:rsidRPr="007B7159">
        <w:rPr>
          <w:rFonts w:eastAsia="Calibri"/>
        </w:rPr>
        <w:t xml:space="preserve"> pirmajā ceturksnī </w:t>
      </w:r>
      <w:r>
        <w:rPr>
          <w:rFonts w:eastAsia="Calibri"/>
        </w:rPr>
        <w:t xml:space="preserve">preču un pakalpojumu </w:t>
      </w:r>
      <w:r w:rsidRPr="007B7159">
        <w:rPr>
          <w:rFonts w:eastAsia="Calibri"/>
        </w:rPr>
        <w:t>eksports uzrādīja nelielu samazinājumu, ko noteica krītoš</w:t>
      </w:r>
      <w:r>
        <w:rPr>
          <w:rFonts w:eastAsia="Calibri"/>
        </w:rPr>
        <w:t>ai</w:t>
      </w:r>
      <w:r w:rsidRPr="007B7159">
        <w:rPr>
          <w:rFonts w:eastAsia="Calibri"/>
        </w:rPr>
        <w:t xml:space="preserve">s pakalpojumu eksports. Tomēr </w:t>
      </w:r>
      <w:r w:rsidRPr="00F54954">
        <w:rPr>
          <w:rFonts w:eastAsia="Calibri"/>
        </w:rPr>
        <w:t>šā gada</w:t>
      </w:r>
      <w:r>
        <w:rPr>
          <w:rFonts w:eastAsia="Calibri"/>
        </w:rPr>
        <w:t xml:space="preserve"> </w:t>
      </w:r>
      <w:r w:rsidRPr="007B7159">
        <w:rPr>
          <w:rFonts w:eastAsia="Calibri"/>
        </w:rPr>
        <w:t>otrajā ceturksnī būtiski palielinājās gan preču, gan</w:t>
      </w:r>
      <w:r>
        <w:rPr>
          <w:rFonts w:eastAsia="Calibri"/>
        </w:rPr>
        <w:t xml:space="preserve"> pakalpojumu eksports. Tādējādi</w:t>
      </w:r>
      <w:r w:rsidRPr="007B7159">
        <w:rPr>
          <w:rFonts w:eastAsia="Calibri"/>
        </w:rPr>
        <w:t xml:space="preserve"> pirmajā pusgadā kopējā eksporta vērtība salīdzināmajās cenās bija par 7,0% augstāka nekā 2020</w:t>
      </w:r>
      <w:r>
        <w:rPr>
          <w:rFonts w:eastAsia="Calibri"/>
        </w:rPr>
        <w:t>. gad</w:t>
      </w:r>
      <w:r w:rsidRPr="007B7159">
        <w:rPr>
          <w:rFonts w:eastAsia="Calibri"/>
        </w:rPr>
        <w:t xml:space="preserve">a pirmajā pusē. Vienlaicīgi jāatzīmē, ka kopējo eksportu veicināja tieši preču eksporta būtiska izaugsme (+10,6%), kamēr pakalpojumu eksports </w:t>
      </w:r>
      <w:r>
        <w:rPr>
          <w:rFonts w:eastAsia="Calibri"/>
        </w:rPr>
        <w:t>šā gada</w:t>
      </w:r>
      <w:r w:rsidRPr="007B7159">
        <w:rPr>
          <w:rFonts w:eastAsia="Calibri"/>
        </w:rPr>
        <w:t xml:space="preserve"> pirmajā pusgadā bija par 3,2% mazāks</w:t>
      </w:r>
      <w:r>
        <w:rPr>
          <w:rFonts w:eastAsia="Calibri"/>
        </w:rPr>
        <w:t xml:space="preserve"> nekā pirms gada.</w:t>
      </w:r>
      <w:r w:rsidRPr="007B7159">
        <w:rPr>
          <w:rFonts w:eastAsia="Calibri"/>
        </w:rPr>
        <w:t xml:space="preserve"> Pateicoties straujai preču eksporta izaugsmei, kopējais eksports pārsniedza pirms Covid-19 krīzes vērtību un salīdzinājumā ar 2019</w:t>
      </w:r>
      <w:r>
        <w:rPr>
          <w:rFonts w:eastAsia="Calibri"/>
        </w:rPr>
        <w:t xml:space="preserve">. gada pirmo pusgadu ir </w:t>
      </w:r>
      <w:r w:rsidRPr="007B7159">
        <w:rPr>
          <w:rFonts w:eastAsia="Calibri"/>
        </w:rPr>
        <w:t xml:space="preserve">palielinājies par 1,3%. </w:t>
      </w:r>
    </w:p>
    <w:p w14:paraId="4CB0ACB9" w14:textId="77777777" w:rsidR="00B13890" w:rsidRPr="007B7159" w:rsidRDefault="00B13890" w:rsidP="00B13890">
      <w:pPr>
        <w:spacing w:before="120"/>
        <w:rPr>
          <w:rFonts w:eastAsia="Calibri"/>
        </w:rPr>
      </w:pPr>
      <w:r w:rsidRPr="007B7159">
        <w:rPr>
          <w:rFonts w:eastAsia="Calibri"/>
        </w:rPr>
        <w:t>No mēneš</w:t>
      </w:r>
      <w:r>
        <w:rPr>
          <w:rFonts w:eastAsia="Calibri"/>
        </w:rPr>
        <w:t>u</w:t>
      </w:r>
      <w:r w:rsidRPr="007B7159">
        <w:rPr>
          <w:rFonts w:eastAsia="Calibri"/>
        </w:rPr>
        <w:t xml:space="preserve"> datiem var secināt, ka pandēmijas negatīvā ietekme uz preču ārējo tirdzniecību līdz </w:t>
      </w:r>
      <w:r>
        <w:rPr>
          <w:rFonts w:eastAsia="Calibri"/>
        </w:rPr>
        <w:t>šā gada</w:t>
      </w:r>
      <w:r w:rsidRPr="007B7159">
        <w:rPr>
          <w:rFonts w:eastAsia="Calibri"/>
        </w:rPr>
        <w:t xml:space="preserve"> vidum būtiski </w:t>
      </w:r>
      <w:r>
        <w:rPr>
          <w:rFonts w:eastAsia="Calibri"/>
        </w:rPr>
        <w:t xml:space="preserve">ir </w:t>
      </w:r>
      <w:r w:rsidRPr="007B7159">
        <w:rPr>
          <w:rFonts w:eastAsia="Calibri"/>
        </w:rPr>
        <w:t>samazināj</w:t>
      </w:r>
      <w:r>
        <w:rPr>
          <w:rFonts w:eastAsia="Calibri"/>
        </w:rPr>
        <w:t>usie</w:t>
      </w:r>
      <w:r w:rsidRPr="007B7159">
        <w:rPr>
          <w:rFonts w:eastAsia="Calibri"/>
        </w:rPr>
        <w:t>s un vairs nerada šķēršļus preču eksporta attīstībai. Pasaules valstu ekonomikām atgūstoties no pandēmijas ierobežojumiem un augot izejvielu preču cenām pasaules tirgos, Latvijas preču eksporta vērtība 2021</w:t>
      </w:r>
      <w:r>
        <w:rPr>
          <w:rFonts w:eastAsia="Calibri"/>
        </w:rPr>
        <w:t>. gada</w:t>
      </w:r>
      <w:r w:rsidRPr="007B7159">
        <w:rPr>
          <w:rFonts w:eastAsia="Calibri"/>
        </w:rPr>
        <w:t xml:space="preserve"> pirmajos 7 mēnešos palielinājās par 21,2%. Vēl </w:t>
      </w:r>
      <w:r>
        <w:rPr>
          <w:rFonts w:eastAsia="Calibri"/>
        </w:rPr>
        <w:t>šā gada</w:t>
      </w:r>
      <w:r w:rsidRPr="007B7159">
        <w:rPr>
          <w:rFonts w:eastAsia="Calibri"/>
        </w:rPr>
        <w:t xml:space="preserve"> janvārī preču eksports uzrādīja nelielu samazinājumu, kas galvenokārt bija saistīts ar augu valsts produktu eksporta samazinājumu un satiksmes līdzekļu reeksporta kritumu. Savukārt turpmākajos mēnešos preču eksporta vērtība </w:t>
      </w:r>
      <w:r>
        <w:rPr>
          <w:rFonts w:eastAsia="Calibri"/>
        </w:rPr>
        <w:t xml:space="preserve">tikai </w:t>
      </w:r>
      <w:r w:rsidRPr="007B7159">
        <w:rPr>
          <w:rFonts w:eastAsia="Calibri"/>
        </w:rPr>
        <w:t>auga, atsevišķos mēnešos pieaugums pārsniedza pat 35%. Varētu apgalvot, ka spēcīgu preču eksporta pieaugumu noteica zemā bāze pērnajā gadā, kad pandēmijas dēļ saruka globālie tirdzniecības apjomi. Tomēr, ja preču eksporta vērtību salīdzina ar 2019</w:t>
      </w:r>
      <w:r>
        <w:rPr>
          <w:rFonts w:eastAsia="Calibri"/>
        </w:rPr>
        <w:t>. gada</w:t>
      </w:r>
      <w:r w:rsidRPr="007B7159">
        <w:rPr>
          <w:rFonts w:eastAsia="Calibri"/>
        </w:rPr>
        <w:t xml:space="preserve"> pirmajiem 7</w:t>
      </w:r>
      <w:r>
        <w:rPr>
          <w:rFonts w:eastAsia="Calibri"/>
        </w:rPr>
        <w:t> </w:t>
      </w:r>
      <w:r w:rsidRPr="007B7159">
        <w:rPr>
          <w:rFonts w:eastAsia="Calibri"/>
        </w:rPr>
        <w:t>mēnešiem, tad arī šajā gadījumā būs fiksēts straujš 18,5% kāpums. Tas nozīm</w:t>
      </w:r>
      <w:r>
        <w:rPr>
          <w:rFonts w:eastAsia="Calibri"/>
        </w:rPr>
        <w:t>ē</w:t>
      </w:r>
      <w:r w:rsidRPr="007B7159">
        <w:rPr>
          <w:rFonts w:eastAsia="Calibri"/>
        </w:rPr>
        <w:t>, ka Covid-19 pandēmija neradīja strukturālas problēmas preču eksportējošajās nozarēs un, atjaunojoties pasaules pieprasījumam, Latvijas eksportētāji spēja ātri un veiksmīgi iekļauties pasaules tirdzniecības plūsmās.</w:t>
      </w:r>
    </w:p>
    <w:p w14:paraId="30DF11E5" w14:textId="5DD7E265" w:rsidR="00B13890" w:rsidRDefault="00B13890" w:rsidP="00883C11">
      <w:pPr>
        <w:spacing w:before="120"/>
        <w:rPr>
          <w:rFonts w:eastAsia="Calibri"/>
        </w:rPr>
      </w:pPr>
      <w:r w:rsidRPr="007B7159">
        <w:rPr>
          <w:rFonts w:eastAsia="Calibri"/>
        </w:rPr>
        <w:t xml:space="preserve">Jāatzīmē, ka visās </w:t>
      </w:r>
      <w:r w:rsidR="00883C11">
        <w:rPr>
          <w:rFonts w:eastAsia="Calibri"/>
        </w:rPr>
        <w:t>Eiropas Savienības</w:t>
      </w:r>
      <w:r w:rsidRPr="007B7159">
        <w:rPr>
          <w:rFonts w:eastAsia="Calibri"/>
        </w:rPr>
        <w:t xml:space="preserve"> dalībvalstīs, izņemot Kipru un Luksemburgu, pašreiz vērojam</w:t>
      </w:r>
      <w:r>
        <w:rPr>
          <w:rFonts w:eastAsia="Calibri"/>
        </w:rPr>
        <w:t>s</w:t>
      </w:r>
      <w:r w:rsidRPr="007B7159">
        <w:rPr>
          <w:rFonts w:eastAsia="Calibri"/>
        </w:rPr>
        <w:t xml:space="preserve"> straujš preču eksporta pieaugums. Vienlaicīgi jānorāda, ka Latvija 2020</w:t>
      </w:r>
      <w:r>
        <w:rPr>
          <w:rFonts w:eastAsia="Calibri"/>
        </w:rPr>
        <w:t>. gad</w:t>
      </w:r>
      <w:r w:rsidRPr="007B7159">
        <w:rPr>
          <w:rFonts w:eastAsia="Calibri"/>
        </w:rPr>
        <w:t>ā bija vie</w:t>
      </w:r>
      <w:r>
        <w:rPr>
          <w:rFonts w:eastAsia="Calibri"/>
        </w:rPr>
        <w:t xml:space="preserve">na no tām dažām </w:t>
      </w:r>
      <w:r w:rsidR="00883C11">
        <w:rPr>
          <w:rFonts w:eastAsia="Calibri"/>
        </w:rPr>
        <w:t>Eiropas Savienības</w:t>
      </w:r>
      <w:r>
        <w:rPr>
          <w:rFonts w:eastAsia="Calibri"/>
        </w:rPr>
        <w:t xml:space="preserve"> valstīm, kura</w:t>
      </w:r>
      <w:r w:rsidRPr="007B7159">
        <w:rPr>
          <w:rFonts w:eastAsia="Calibri"/>
        </w:rPr>
        <w:t>s pat pandēmijas ierobežojumu apstākļos spēja nedaudz kāpināt eksporta vērtību. Tas apliecina Latvijas eksportētāju konkurētspēju – spēju attīstīties sarežģītajos pandēmijas apstākļos un izmantot iespējas pasaules tirdzniecības atjaunošanās laikā. Situācija ārējos tirgos saglabājas Latvijas preču eksportam labvēlīga</w:t>
      </w:r>
      <w:r>
        <w:rPr>
          <w:rFonts w:eastAsia="Calibri"/>
        </w:rPr>
        <w:t>,</w:t>
      </w:r>
      <w:r w:rsidRPr="007B7159">
        <w:rPr>
          <w:rFonts w:eastAsia="Calibri"/>
        </w:rPr>
        <w:t xml:space="preserve"> </w:t>
      </w:r>
      <w:r>
        <w:rPr>
          <w:rFonts w:eastAsia="Calibri"/>
        </w:rPr>
        <w:t xml:space="preserve">atjaunojoties </w:t>
      </w:r>
      <w:r w:rsidRPr="007B7159">
        <w:rPr>
          <w:rFonts w:eastAsia="Calibri"/>
        </w:rPr>
        <w:t>izaugsme</w:t>
      </w:r>
      <w:r>
        <w:rPr>
          <w:rFonts w:eastAsia="Calibri"/>
        </w:rPr>
        <w:t>i</w:t>
      </w:r>
      <w:r w:rsidRPr="007B7159">
        <w:rPr>
          <w:rFonts w:eastAsia="Calibri"/>
        </w:rPr>
        <w:t xml:space="preserve"> </w:t>
      </w:r>
      <w:r>
        <w:rPr>
          <w:rFonts w:eastAsia="Calibri"/>
        </w:rPr>
        <w:t xml:space="preserve">gan </w:t>
      </w:r>
      <w:r w:rsidRPr="007B7159">
        <w:rPr>
          <w:rFonts w:eastAsia="Calibri"/>
        </w:rPr>
        <w:t>pasaules</w:t>
      </w:r>
      <w:r>
        <w:rPr>
          <w:rFonts w:eastAsia="Calibri"/>
        </w:rPr>
        <w:t xml:space="preserve">, gan </w:t>
      </w:r>
      <w:r w:rsidRPr="007B7159">
        <w:rPr>
          <w:rFonts w:eastAsia="Calibri"/>
        </w:rPr>
        <w:t xml:space="preserve">Eiropas valstu ekonomikās, </w:t>
      </w:r>
      <w:r>
        <w:rPr>
          <w:rFonts w:eastAsia="Calibri"/>
        </w:rPr>
        <w:t xml:space="preserve">kas </w:t>
      </w:r>
      <w:r w:rsidRPr="007B7159">
        <w:rPr>
          <w:rFonts w:eastAsia="Calibri"/>
        </w:rPr>
        <w:t>notiek pat straujākos tempos nekā sākotnēji gaidīts</w:t>
      </w:r>
      <w:r>
        <w:rPr>
          <w:rFonts w:eastAsia="Calibri"/>
        </w:rPr>
        <w:t xml:space="preserve">, </w:t>
      </w:r>
      <w:r w:rsidRPr="007B7159">
        <w:rPr>
          <w:rFonts w:eastAsia="Calibri"/>
        </w:rPr>
        <w:t>mazinoties Covid</w:t>
      </w:r>
      <w:r w:rsidR="00CA66D3">
        <w:rPr>
          <w:rFonts w:eastAsia="Calibri"/>
        </w:rPr>
        <w:t>-19</w:t>
      </w:r>
      <w:r w:rsidRPr="007B7159">
        <w:rPr>
          <w:rFonts w:eastAsia="Calibri"/>
        </w:rPr>
        <w:t xml:space="preserve"> ierobežojumiem</w:t>
      </w:r>
      <w:r>
        <w:rPr>
          <w:rFonts w:eastAsia="Calibri"/>
        </w:rPr>
        <w:t xml:space="preserve"> </w:t>
      </w:r>
      <w:r>
        <w:rPr>
          <w:rFonts w:eastAsia="Calibri"/>
        </w:rPr>
        <w:lastRenderedPageBreak/>
        <w:t>(1.35.</w:t>
      </w:r>
      <w:r w:rsidRPr="007B7159">
        <w:rPr>
          <w:rFonts w:eastAsia="Calibri"/>
        </w:rPr>
        <w:t xml:space="preserve"> un </w:t>
      </w:r>
      <w:r>
        <w:rPr>
          <w:rFonts w:eastAsia="Calibri"/>
        </w:rPr>
        <w:t>1.36. attēls)</w:t>
      </w:r>
      <w:r w:rsidRPr="007B7159">
        <w:rPr>
          <w:rFonts w:eastAsia="Calibri"/>
        </w:rPr>
        <w:t>. Tāpēc pasaules attīstīto valstu ekonomiskās izaugsmes prognozes šā gada laikā tiek pastāvīgi paaugstinātas. Vienlaikus uzņēmēju un patērētāju konfidences rādītāji Eiropā ir sasnieguši rekordaugstus līmeņus, signalizējot par spēcīgu ekonomikas izaugsmi un augstu pieprasījumu nākamajos mēnešos. Sagaidāms, ka arī turpmākajos mēnešos gaidāmi augsti Latvijas preču eksporta pieauguma tempi, kas tomēr pakāpeniski kļūs zemāki, ar katru mēnesi mazinoties pagājušā gada Covid</w:t>
      </w:r>
      <w:r w:rsidR="00CA66D3">
        <w:rPr>
          <w:rFonts w:eastAsia="Calibri"/>
        </w:rPr>
        <w:t>-19</w:t>
      </w:r>
      <w:r w:rsidRPr="007B7159">
        <w:rPr>
          <w:rFonts w:eastAsia="Calibri"/>
        </w:rPr>
        <w:t xml:space="preserve"> krīzes bāzes efektiem un cenu pieauguma ietekmei</w:t>
      </w:r>
      <w:r>
        <w:rPr>
          <w:rFonts w:eastAsia="Calibri"/>
        </w:rPr>
        <w:t>.</w:t>
      </w:r>
    </w:p>
    <w:tbl>
      <w:tblPr>
        <w:tblStyle w:val="TableGrid"/>
        <w:tblW w:w="5003" w:type="pct"/>
        <w:tblInd w:w="-5" w:type="dxa"/>
        <w:tblLayout w:type="fixed"/>
        <w:tblCellMar>
          <w:left w:w="0" w:type="dxa"/>
          <w:right w:w="0" w:type="dxa"/>
        </w:tblCellMar>
        <w:tblLook w:val="04A0" w:firstRow="1" w:lastRow="0" w:firstColumn="1" w:lastColumn="0" w:noHBand="0" w:noVBand="1"/>
      </w:tblPr>
      <w:tblGrid>
        <w:gridCol w:w="4537"/>
        <w:gridCol w:w="4539"/>
      </w:tblGrid>
      <w:tr w:rsidR="00B13890" w14:paraId="0281CE9E" w14:textId="77777777" w:rsidTr="00883C11">
        <w:tc>
          <w:tcPr>
            <w:tcW w:w="4537" w:type="dxa"/>
            <w:tcBorders>
              <w:top w:val="nil"/>
              <w:left w:val="nil"/>
              <w:bottom w:val="nil"/>
              <w:right w:val="nil"/>
            </w:tcBorders>
          </w:tcPr>
          <w:p w14:paraId="78BE4C1D" w14:textId="025CD978" w:rsidR="00B13890" w:rsidRPr="00E36206" w:rsidRDefault="00B13890" w:rsidP="00B13890">
            <w:pPr>
              <w:keepNext/>
              <w:jc w:val="center"/>
              <w:rPr>
                <w:b/>
                <w:i/>
              </w:rPr>
            </w:pPr>
          </w:p>
        </w:tc>
        <w:tc>
          <w:tcPr>
            <w:tcW w:w="4539" w:type="dxa"/>
            <w:tcBorders>
              <w:top w:val="nil"/>
              <w:left w:val="nil"/>
              <w:bottom w:val="nil"/>
              <w:right w:val="nil"/>
            </w:tcBorders>
          </w:tcPr>
          <w:p w14:paraId="377AF124" w14:textId="0FEC96AB" w:rsidR="00B13890" w:rsidRDefault="00B13890" w:rsidP="00B13890">
            <w:pPr>
              <w:keepNext/>
              <w:jc w:val="center"/>
            </w:pPr>
          </w:p>
        </w:tc>
      </w:tr>
      <w:tr w:rsidR="00B13890" w14:paraId="57722D7E" w14:textId="77777777" w:rsidTr="00883C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7" w:type="dxa"/>
          </w:tcPr>
          <w:p w14:paraId="48E04363" w14:textId="77777777" w:rsidR="00B13890" w:rsidRDefault="00B13890" w:rsidP="00883C11">
            <w:pPr>
              <w:keepNext/>
              <w:ind w:firstLine="0"/>
            </w:pPr>
            <w:r>
              <w:rPr>
                <w:noProof/>
              </w:rPr>
              <w:drawing>
                <wp:inline distT="0" distB="0" distL="0" distR="0" wp14:anchorId="562636A7" wp14:editId="130B9956">
                  <wp:extent cx="2562045"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4539" w:type="dxa"/>
          </w:tcPr>
          <w:p w14:paraId="5E860B73" w14:textId="77777777" w:rsidR="00B13890" w:rsidRDefault="00B13890" w:rsidP="00B13890">
            <w:pPr>
              <w:keepNext/>
              <w:jc w:val="center"/>
            </w:pPr>
            <w:r>
              <w:rPr>
                <w:noProof/>
              </w:rPr>
              <w:drawing>
                <wp:inline distT="0" distB="0" distL="0" distR="0" wp14:anchorId="3F06249A" wp14:editId="69B6EFCD">
                  <wp:extent cx="2529840" cy="2743200"/>
                  <wp:effectExtent l="0" t="0" r="381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bl>
    <w:p w14:paraId="57679E95" w14:textId="3D5C516F" w:rsidR="00883C11" w:rsidRPr="00CA66D3" w:rsidRDefault="00883C11" w:rsidP="00CA66D3">
      <w:pPr>
        <w:spacing w:after="0"/>
        <w:ind w:left="5245" w:hanging="5245"/>
        <w:rPr>
          <w:rFonts w:eastAsia="Calibri"/>
          <w:b/>
        </w:rPr>
      </w:pPr>
      <w:r w:rsidRPr="00CA66D3">
        <w:rPr>
          <w:rFonts w:eastAsia="Calibri"/>
          <w:b/>
        </w:rPr>
        <w:t>1.35. attēls</w:t>
      </w:r>
      <w:r w:rsidR="00CA66D3">
        <w:rPr>
          <w:rFonts w:eastAsia="Calibri"/>
          <w:b/>
        </w:rPr>
        <w:t xml:space="preserve">. </w:t>
      </w:r>
      <w:r w:rsidRPr="00CA66D3">
        <w:rPr>
          <w:rFonts w:eastAsia="Calibri"/>
          <w:b/>
        </w:rPr>
        <w:t xml:space="preserve"> Preču eksporta gada pieaugums (%)</w:t>
      </w:r>
      <w:r w:rsidRPr="00CA66D3">
        <w:rPr>
          <w:rFonts w:eastAsia="Calibri"/>
          <w:b/>
        </w:rPr>
        <w:tab/>
        <w:t>1.36. attēls</w:t>
      </w:r>
      <w:r w:rsidR="00CA66D3">
        <w:rPr>
          <w:rFonts w:eastAsia="Calibri"/>
          <w:b/>
        </w:rPr>
        <w:t xml:space="preserve">.  Preču eksporta vērtība </w:t>
      </w:r>
      <w:r w:rsidRPr="00CA66D3">
        <w:rPr>
          <w:rFonts w:eastAsia="Calibri"/>
          <w:b/>
        </w:rPr>
        <w:t xml:space="preserve">(milj. </w:t>
      </w:r>
      <w:r w:rsidRPr="00CA66D3">
        <w:rPr>
          <w:rFonts w:eastAsia="Calibri"/>
          <w:b/>
          <w:i/>
        </w:rPr>
        <w:t>euro</w:t>
      </w:r>
      <w:r w:rsidRPr="00CA66D3">
        <w:rPr>
          <w:rFonts w:eastAsia="Calibri"/>
          <w:b/>
        </w:rPr>
        <w:t>)</w:t>
      </w:r>
    </w:p>
    <w:p w14:paraId="52481822" w14:textId="1309DF8C" w:rsidR="00B13890" w:rsidRPr="00072563" w:rsidRDefault="00B13890" w:rsidP="00B13890">
      <w:pPr>
        <w:spacing w:before="120"/>
        <w:rPr>
          <w:rFonts w:eastAsia="Calibri"/>
        </w:rPr>
      </w:pPr>
      <w:r w:rsidRPr="00072563">
        <w:rPr>
          <w:rFonts w:eastAsia="Calibri"/>
        </w:rPr>
        <w:t xml:space="preserve">Preču eksporta kāpums </w:t>
      </w:r>
      <w:r w:rsidR="00883C11">
        <w:rPr>
          <w:rFonts w:eastAsia="Calibri"/>
        </w:rPr>
        <w:t>šī</w:t>
      </w:r>
      <w:r>
        <w:rPr>
          <w:rFonts w:eastAsia="Calibri"/>
        </w:rPr>
        <w:t xml:space="preserve"> gada</w:t>
      </w:r>
      <w:r w:rsidR="00883C11">
        <w:rPr>
          <w:rFonts w:eastAsia="Calibri"/>
        </w:rPr>
        <w:t xml:space="preserve"> septiņos</w:t>
      </w:r>
      <w:r w:rsidRPr="00072563">
        <w:rPr>
          <w:rFonts w:eastAsia="Calibri"/>
        </w:rPr>
        <w:t xml:space="preserve"> mēnešos kopumā bija fiksēts visās preču grupās. Lielāko devumu preču eksporta izaugsmē nodrošināja koksnes un koka izstrādājumu eksporta pieaugums par 40,2% salīdzinājumā ar attiecīgo periodu 2020</w:t>
      </w:r>
      <w:r>
        <w:rPr>
          <w:rFonts w:eastAsia="Calibri"/>
        </w:rPr>
        <w:t>. gad</w:t>
      </w:r>
      <w:r w:rsidRPr="00072563">
        <w:rPr>
          <w:rFonts w:eastAsia="Calibri"/>
        </w:rPr>
        <w:t>ā, izskaidrojot trešdaļu no kopējā preču eksporta pieauguma. Koksnes un koka izstrādājumu eksporta pieaugums bija fiksēts uz Vāciju, Lietuvu, Nīderl</w:t>
      </w:r>
      <w:r w:rsidR="00883C11">
        <w:rPr>
          <w:rFonts w:eastAsia="Calibri"/>
        </w:rPr>
        <w:t>andi un Amerikas Savienotajām Valstīm</w:t>
      </w:r>
      <w:r w:rsidRPr="00072563">
        <w:rPr>
          <w:rFonts w:eastAsia="Calibri"/>
        </w:rPr>
        <w:t xml:space="preserve">. Tomēr noteicošā loma bija eksporta pieaugumam uz Apvienoto Karalisti, būtiski palielinoties garumā sazāģētu kokmateriālu un koksnes granulu eksportam, kas nodrošināja divas trešdaļas no kopējās koka un koksnes eksporta izaugsmes uz šo valsti. </w:t>
      </w:r>
    </w:p>
    <w:p w14:paraId="32D2B6A1" w14:textId="77777777" w:rsidR="00B13890" w:rsidRPr="00072563" w:rsidRDefault="00B13890" w:rsidP="00B13890">
      <w:pPr>
        <w:spacing w:before="120"/>
        <w:rPr>
          <w:rFonts w:eastAsia="Calibri"/>
        </w:rPr>
      </w:pPr>
      <w:r w:rsidRPr="00072563">
        <w:rPr>
          <w:rFonts w:eastAsia="Calibri"/>
        </w:rPr>
        <w:t xml:space="preserve">Straujš pieaugums bija fiksēts arī minerālproduktu, kā arī metālu un to izstrādājumu eksportam. Minerālproduktu eksporta vērtība pieauga par 49,1%, galvenokārt pateicoties lielākam naftas eļļu, dabasgāzes un elektroenerģijas eksportam uz Lietuvu un Igauniju, ko noteica gan cenu kāpums, gan arī lielāks eksporta apjoms. Savukārt metālu un to izstrādājumu eksports pieauga par 34,2% salīdzinājumā ar pērnā gada septiņiem mēnešiem. Zīmīgi, ka arī šajā preču grupā eksporta kāpums bija diversificēts un fiksēts dzelzs atkritumiem, plakanajiem dzelzs velmējumiem, tērauda izstrādājumiem, kā arī varam un tā izstrādājumiem.  </w:t>
      </w:r>
    </w:p>
    <w:p w14:paraId="58B51601" w14:textId="77777777" w:rsidR="00B13890" w:rsidRPr="00072563" w:rsidRDefault="00B13890" w:rsidP="00B13890">
      <w:pPr>
        <w:spacing w:before="120"/>
        <w:rPr>
          <w:rFonts w:eastAsia="Calibri"/>
        </w:rPr>
      </w:pPr>
      <w:r w:rsidRPr="00072563">
        <w:rPr>
          <w:rFonts w:eastAsia="Calibri"/>
        </w:rPr>
        <w:t>Jāatzīmē, ka preču eksporta kāpumu veicina arī izejvielu cenu pieaugums. To nosaka pasaules ekonomikas atkopšanās, kā arī ieviestie ierobežojumi koronovīrusa izplatības mazināšanai, kas negatīvi ietekmēja ražošanas jaudas un piegādes ātrumu. Tādējādi piedāvājums at</w:t>
      </w:r>
      <w:r>
        <w:rPr>
          <w:rFonts w:eastAsia="Calibri"/>
        </w:rPr>
        <w:t>jaunojas</w:t>
      </w:r>
      <w:r w:rsidRPr="00072563">
        <w:rPr>
          <w:rFonts w:eastAsia="Calibri"/>
        </w:rPr>
        <w:t xml:space="preserve"> lēnāk nekā pieprasījums, radot cenu spiedienu atsevišķās nozarēs. Kopš gada sākuma pasaules biržās strauji pieauga koksnes, naftas, metālu un citu izejvielu cenas. Tas </w:t>
      </w:r>
      <w:r w:rsidRPr="00072563">
        <w:rPr>
          <w:rFonts w:eastAsia="Calibri"/>
        </w:rPr>
        <w:lastRenderedPageBreak/>
        <w:t>ir atspoguļojies arī Latvijas ražotāju un eksporta vienības cenās. Š</w:t>
      </w:r>
      <w:r>
        <w:rPr>
          <w:rFonts w:eastAsia="Calibri"/>
        </w:rPr>
        <w:t>ā gada</w:t>
      </w:r>
      <w:r w:rsidRPr="00072563">
        <w:rPr>
          <w:rFonts w:eastAsia="Calibri"/>
        </w:rPr>
        <w:t xml:space="preserve"> septiņos mēnešos eksporta vienības cena koksnei un naftas produktiem ir palielinājusies par 28%, bet metāliem par 31%.</w:t>
      </w:r>
    </w:p>
    <w:p w14:paraId="361A0433" w14:textId="77777777" w:rsidR="00B13890" w:rsidRPr="00072563" w:rsidRDefault="00B13890" w:rsidP="00B13890">
      <w:pPr>
        <w:spacing w:before="120"/>
        <w:rPr>
          <w:rFonts w:eastAsia="Calibri"/>
        </w:rPr>
      </w:pPr>
      <w:r w:rsidRPr="00072563">
        <w:rPr>
          <w:rFonts w:eastAsia="Calibri"/>
        </w:rPr>
        <w:t xml:space="preserve">Nozīmīgu ieguldījumu preču eksporta attīstībā nodrošināja </w:t>
      </w:r>
      <w:r>
        <w:rPr>
          <w:rFonts w:eastAsia="Calibri"/>
        </w:rPr>
        <w:t>arī pārē</w:t>
      </w:r>
      <w:r w:rsidRPr="00072563">
        <w:rPr>
          <w:rFonts w:eastAsia="Calibri"/>
        </w:rPr>
        <w:t>jās preču eksporta grupas, tostarp mehānism</w:t>
      </w:r>
      <w:r>
        <w:rPr>
          <w:rFonts w:eastAsia="Calibri"/>
        </w:rPr>
        <w:t>u</w:t>
      </w:r>
      <w:r w:rsidRPr="00072563">
        <w:rPr>
          <w:rFonts w:eastAsia="Calibri"/>
        </w:rPr>
        <w:t xml:space="preserve"> un elektroierī</w:t>
      </w:r>
      <w:r>
        <w:rPr>
          <w:rFonts w:eastAsia="Calibri"/>
        </w:rPr>
        <w:t>ču</w:t>
      </w:r>
      <w:r w:rsidRPr="00072563">
        <w:rPr>
          <w:rFonts w:eastAsia="Calibri"/>
        </w:rPr>
        <w:t xml:space="preserve"> eksportam pieaugot par 10,8%, ķīmiskās rūpniecības ražojum</w:t>
      </w:r>
      <w:r>
        <w:rPr>
          <w:rFonts w:eastAsia="Calibri"/>
        </w:rPr>
        <w:t>u eksportam</w:t>
      </w:r>
      <w:r w:rsidRPr="00072563">
        <w:rPr>
          <w:rFonts w:eastAsia="Calibri"/>
        </w:rPr>
        <w:t xml:space="preserve"> par 23,1% un pār</w:t>
      </w:r>
      <w:r>
        <w:rPr>
          <w:rFonts w:eastAsia="Calibri"/>
        </w:rPr>
        <w:t>tikas un lauksaimniecības preču eksportam</w:t>
      </w:r>
      <w:r w:rsidRPr="00072563">
        <w:rPr>
          <w:rFonts w:eastAsia="Calibri"/>
        </w:rPr>
        <w:t xml:space="preserve"> par 5,8% </w:t>
      </w:r>
      <w:r>
        <w:rPr>
          <w:rFonts w:eastAsia="Calibri"/>
        </w:rPr>
        <w:t>(</w:t>
      </w:r>
      <w:r w:rsidRPr="00072563">
        <w:rPr>
          <w:rFonts w:eastAsia="Calibri"/>
        </w:rPr>
        <w:t>1.</w:t>
      </w:r>
      <w:r>
        <w:rPr>
          <w:rFonts w:eastAsia="Calibri"/>
        </w:rPr>
        <w:t>3</w:t>
      </w:r>
      <w:r w:rsidRPr="00072563">
        <w:rPr>
          <w:rFonts w:eastAsia="Calibri"/>
        </w:rPr>
        <w:t>. tab</w:t>
      </w:r>
      <w:r>
        <w:rPr>
          <w:rFonts w:eastAsia="Calibri"/>
        </w:rPr>
        <w:t>ula</w:t>
      </w:r>
      <w:r w:rsidRPr="00072563">
        <w:rPr>
          <w:rFonts w:eastAsia="Calibri"/>
        </w:rPr>
        <w:t xml:space="preserve">). Kopumā jāsecina, ka </w:t>
      </w:r>
      <w:r w:rsidRPr="00110945">
        <w:rPr>
          <w:rFonts w:eastAsia="Calibri"/>
        </w:rPr>
        <w:t xml:space="preserve">preču eksporta pieaugums </w:t>
      </w:r>
      <w:r>
        <w:rPr>
          <w:rFonts w:eastAsia="Calibri"/>
        </w:rPr>
        <w:t>turpināsies</w:t>
      </w:r>
      <w:r w:rsidRPr="00072563">
        <w:rPr>
          <w:rFonts w:eastAsia="Calibri"/>
        </w:rPr>
        <w:t xml:space="preserve"> arī turpmākajos šā gada mēnešos, kā arī nā</w:t>
      </w:r>
      <w:r>
        <w:rPr>
          <w:rFonts w:eastAsia="Calibri"/>
        </w:rPr>
        <w:t>kamā gada sākumā. Tomēr vidējā ter</w:t>
      </w:r>
      <w:r w:rsidRPr="00072563">
        <w:rPr>
          <w:rFonts w:eastAsia="Calibri"/>
        </w:rPr>
        <w:t xml:space="preserve">miņā eksporta </w:t>
      </w:r>
      <w:r>
        <w:rPr>
          <w:rFonts w:eastAsia="Calibri"/>
        </w:rPr>
        <w:t>izaugsme varētu bremzēties nepietiekamo investīciju</w:t>
      </w:r>
      <w:r w:rsidRPr="00072563">
        <w:rPr>
          <w:rFonts w:eastAsia="Calibri"/>
        </w:rPr>
        <w:t xml:space="preserve"> un darbaspēka trūkuma dēļ.  </w:t>
      </w:r>
    </w:p>
    <w:p w14:paraId="1F1FD838" w14:textId="0CE39200" w:rsidR="00B13890" w:rsidRPr="0099640B" w:rsidRDefault="00CA66D3" w:rsidP="0099640B">
      <w:pPr>
        <w:spacing w:before="120"/>
        <w:ind w:firstLine="1134"/>
        <w:jc w:val="right"/>
        <w:rPr>
          <w:rFonts w:eastAsia="Calibri"/>
          <w:i/>
        </w:rPr>
      </w:pPr>
      <w:r w:rsidRPr="00883C11">
        <w:rPr>
          <w:rFonts w:eastAsia="Calibri"/>
          <w:b/>
          <w:i/>
        </w:rPr>
        <w:t>1.3. tabula</w:t>
      </w:r>
      <w:r>
        <w:rPr>
          <w:rFonts w:eastAsia="Calibri"/>
          <w:b/>
          <w:i/>
        </w:rPr>
        <w:t>.</w:t>
      </w:r>
      <w:r w:rsidRPr="00883C11">
        <w:rPr>
          <w:rFonts w:eastAsia="Calibri"/>
          <w:b/>
          <w:i/>
        </w:rPr>
        <w:t xml:space="preserve"> Preču eksporta vērtība 2020. gada un 2021. gada pirmajos septiņos mēnešos (izmaiņas un preču grupu īpatsvars 2021. gada septiņos mēnešos)</w:t>
      </w:r>
    </w:p>
    <w:tbl>
      <w:tblPr>
        <w:tblW w:w="8302" w:type="dxa"/>
        <w:jc w:val="center"/>
        <w:tblLayout w:type="fixed"/>
        <w:tblLook w:val="04A0" w:firstRow="1" w:lastRow="0" w:firstColumn="1" w:lastColumn="0" w:noHBand="0" w:noVBand="1"/>
      </w:tblPr>
      <w:tblGrid>
        <w:gridCol w:w="2263"/>
        <w:gridCol w:w="1276"/>
        <w:gridCol w:w="1276"/>
        <w:gridCol w:w="1134"/>
        <w:gridCol w:w="1134"/>
        <w:gridCol w:w="1219"/>
      </w:tblGrid>
      <w:tr w:rsidR="00B13890" w:rsidRPr="00902214" w14:paraId="2BFB52F5" w14:textId="77777777" w:rsidTr="00883C11">
        <w:trPr>
          <w:trHeight w:val="419"/>
          <w:jc w:val="center"/>
        </w:trPr>
        <w:tc>
          <w:tcPr>
            <w:tcW w:w="226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3B69EF5" w14:textId="77777777" w:rsidR="00B13890" w:rsidRPr="00902214" w:rsidRDefault="00B13890" w:rsidP="00883C11">
            <w:pPr>
              <w:spacing w:after="0"/>
              <w:ind w:firstLine="34"/>
              <w:jc w:val="left"/>
              <w:rPr>
                <w:rFonts w:eastAsia="Times New Roman"/>
                <w:b/>
                <w:color w:val="000000"/>
                <w:sz w:val="18"/>
                <w:szCs w:val="18"/>
              </w:rPr>
            </w:pPr>
            <w:r w:rsidRPr="00902214">
              <w:rPr>
                <w:rFonts w:eastAsia="Times New Roman"/>
                <w:b/>
                <w:color w:val="000000"/>
                <w:sz w:val="18"/>
                <w:szCs w:val="18"/>
              </w:rPr>
              <w:t>Preču grupa</w:t>
            </w:r>
          </w:p>
        </w:tc>
        <w:tc>
          <w:tcPr>
            <w:tcW w:w="1276"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2FFCE2D7" w14:textId="77777777" w:rsidR="00B13890" w:rsidRPr="00902214" w:rsidRDefault="00B13890" w:rsidP="00883C11">
            <w:pPr>
              <w:spacing w:after="0"/>
              <w:ind w:hanging="108"/>
              <w:jc w:val="center"/>
              <w:rPr>
                <w:rFonts w:eastAsia="Times New Roman"/>
                <w:b/>
                <w:color w:val="000000"/>
                <w:sz w:val="18"/>
                <w:szCs w:val="18"/>
              </w:rPr>
            </w:pPr>
            <w:r w:rsidRPr="00902214">
              <w:rPr>
                <w:rFonts w:eastAsia="Times New Roman"/>
                <w:b/>
                <w:color w:val="000000"/>
                <w:sz w:val="18"/>
                <w:szCs w:val="18"/>
              </w:rPr>
              <w:t xml:space="preserve">I-VII 2020 milj. </w:t>
            </w:r>
            <w:r w:rsidRPr="000E4AA4">
              <w:rPr>
                <w:rFonts w:eastAsia="Times New Roman"/>
                <w:b/>
                <w:i/>
                <w:color w:val="000000"/>
                <w:sz w:val="18"/>
                <w:szCs w:val="18"/>
              </w:rPr>
              <w:t>euro</w:t>
            </w:r>
          </w:p>
        </w:tc>
        <w:tc>
          <w:tcPr>
            <w:tcW w:w="1276"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139710AC" w14:textId="77777777" w:rsidR="00B13890" w:rsidRPr="00902214" w:rsidRDefault="00B13890" w:rsidP="00883C11">
            <w:pPr>
              <w:spacing w:after="0"/>
              <w:ind w:hanging="108"/>
              <w:jc w:val="center"/>
              <w:rPr>
                <w:rFonts w:eastAsia="Times New Roman"/>
                <w:b/>
                <w:color w:val="000000"/>
                <w:sz w:val="18"/>
                <w:szCs w:val="18"/>
              </w:rPr>
            </w:pPr>
            <w:r w:rsidRPr="00902214">
              <w:rPr>
                <w:rFonts w:eastAsia="Times New Roman"/>
                <w:b/>
                <w:color w:val="000000"/>
                <w:sz w:val="18"/>
                <w:szCs w:val="18"/>
              </w:rPr>
              <w:t xml:space="preserve">I-VII 2021 milj. </w:t>
            </w:r>
            <w:r w:rsidRPr="000E4AA4">
              <w:rPr>
                <w:rFonts w:eastAsia="Times New Roman"/>
                <w:b/>
                <w:i/>
                <w:color w:val="000000"/>
                <w:sz w:val="18"/>
                <w:szCs w:val="18"/>
              </w:rPr>
              <w:t>euro</w:t>
            </w:r>
          </w:p>
        </w:tc>
        <w:tc>
          <w:tcPr>
            <w:tcW w:w="1134"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256763AA" w14:textId="77777777" w:rsidR="00B13890" w:rsidRPr="00902214" w:rsidRDefault="00B13890" w:rsidP="00883C11">
            <w:pPr>
              <w:spacing w:after="0"/>
              <w:ind w:hanging="108"/>
              <w:jc w:val="center"/>
              <w:rPr>
                <w:rFonts w:eastAsia="Times New Roman"/>
                <w:b/>
                <w:color w:val="000000"/>
                <w:sz w:val="18"/>
                <w:szCs w:val="18"/>
              </w:rPr>
            </w:pPr>
            <w:r w:rsidRPr="00902214">
              <w:rPr>
                <w:rFonts w:eastAsia="Times New Roman"/>
                <w:b/>
                <w:color w:val="000000"/>
                <w:sz w:val="18"/>
                <w:szCs w:val="18"/>
              </w:rPr>
              <w:t xml:space="preserve">Izmaiņas, milj. </w:t>
            </w:r>
            <w:r w:rsidRPr="000E4AA4">
              <w:rPr>
                <w:rFonts w:eastAsia="Times New Roman"/>
                <w:b/>
                <w:i/>
                <w:color w:val="000000"/>
                <w:sz w:val="18"/>
                <w:szCs w:val="18"/>
              </w:rPr>
              <w:t>euro</w:t>
            </w:r>
          </w:p>
        </w:tc>
        <w:tc>
          <w:tcPr>
            <w:tcW w:w="1134"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A6727AF" w14:textId="77777777" w:rsidR="00B13890" w:rsidRPr="00902214" w:rsidRDefault="00B13890" w:rsidP="00883C11">
            <w:pPr>
              <w:spacing w:after="0"/>
              <w:ind w:hanging="108"/>
              <w:jc w:val="center"/>
              <w:rPr>
                <w:rFonts w:eastAsia="Times New Roman"/>
                <w:b/>
                <w:color w:val="000000"/>
                <w:sz w:val="18"/>
                <w:szCs w:val="18"/>
              </w:rPr>
            </w:pPr>
            <w:r>
              <w:rPr>
                <w:rFonts w:eastAsia="Times New Roman"/>
                <w:b/>
                <w:color w:val="000000"/>
                <w:sz w:val="18"/>
                <w:szCs w:val="18"/>
              </w:rPr>
              <w:t>Izmaiņas</w:t>
            </w:r>
          </w:p>
        </w:tc>
        <w:tc>
          <w:tcPr>
            <w:tcW w:w="1219"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26A1D85" w14:textId="77777777" w:rsidR="00B13890" w:rsidRPr="00902214" w:rsidRDefault="00B13890" w:rsidP="00883C11">
            <w:pPr>
              <w:spacing w:after="0"/>
              <w:ind w:hanging="108"/>
              <w:jc w:val="center"/>
              <w:rPr>
                <w:rFonts w:eastAsia="Times New Roman"/>
                <w:b/>
                <w:color w:val="000000"/>
                <w:sz w:val="18"/>
                <w:szCs w:val="18"/>
              </w:rPr>
            </w:pPr>
            <w:r>
              <w:rPr>
                <w:rFonts w:eastAsia="Times New Roman"/>
                <w:b/>
                <w:color w:val="000000"/>
                <w:sz w:val="18"/>
                <w:szCs w:val="18"/>
              </w:rPr>
              <w:t>Preču grupu īpatsvars</w:t>
            </w:r>
          </w:p>
        </w:tc>
      </w:tr>
      <w:tr w:rsidR="00B13890" w:rsidRPr="00902214" w14:paraId="091163D8" w14:textId="77777777" w:rsidTr="00883C11">
        <w:trPr>
          <w:trHeight w:val="28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3AA3A19" w14:textId="77777777" w:rsidR="00B13890" w:rsidRPr="00902214" w:rsidRDefault="00B13890" w:rsidP="00883C11">
            <w:pPr>
              <w:spacing w:after="0"/>
              <w:ind w:firstLine="34"/>
              <w:jc w:val="left"/>
              <w:rPr>
                <w:rFonts w:eastAsia="Times New Roman"/>
                <w:color w:val="000000"/>
                <w:sz w:val="18"/>
                <w:szCs w:val="18"/>
              </w:rPr>
            </w:pPr>
            <w:r w:rsidRPr="00902214">
              <w:rPr>
                <w:rFonts w:eastAsia="Times New Roman"/>
                <w:color w:val="000000"/>
                <w:sz w:val="18"/>
                <w:szCs w:val="18"/>
              </w:rPr>
              <w:t>Koks un koka izstrādājumi</w:t>
            </w:r>
          </w:p>
        </w:tc>
        <w:tc>
          <w:tcPr>
            <w:tcW w:w="1276" w:type="dxa"/>
            <w:tcBorders>
              <w:top w:val="nil"/>
              <w:left w:val="nil"/>
              <w:bottom w:val="single" w:sz="4" w:space="0" w:color="auto"/>
              <w:right w:val="single" w:sz="4" w:space="0" w:color="auto"/>
            </w:tcBorders>
            <w:shd w:val="clear" w:color="auto" w:fill="auto"/>
            <w:noWrap/>
            <w:vAlign w:val="center"/>
            <w:hideMark/>
          </w:tcPr>
          <w:p w14:paraId="1483BAA9"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1256</w:t>
            </w:r>
          </w:p>
        </w:tc>
        <w:tc>
          <w:tcPr>
            <w:tcW w:w="1276" w:type="dxa"/>
            <w:tcBorders>
              <w:top w:val="nil"/>
              <w:left w:val="nil"/>
              <w:bottom w:val="single" w:sz="4" w:space="0" w:color="auto"/>
              <w:right w:val="single" w:sz="4" w:space="0" w:color="auto"/>
            </w:tcBorders>
            <w:shd w:val="clear" w:color="auto" w:fill="auto"/>
            <w:noWrap/>
            <w:vAlign w:val="center"/>
            <w:hideMark/>
          </w:tcPr>
          <w:p w14:paraId="1C9C9640"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1761</w:t>
            </w:r>
          </w:p>
        </w:tc>
        <w:tc>
          <w:tcPr>
            <w:tcW w:w="1134" w:type="dxa"/>
            <w:tcBorders>
              <w:top w:val="nil"/>
              <w:left w:val="nil"/>
              <w:bottom w:val="single" w:sz="4" w:space="0" w:color="auto"/>
              <w:right w:val="single" w:sz="4" w:space="0" w:color="auto"/>
            </w:tcBorders>
            <w:shd w:val="clear" w:color="auto" w:fill="auto"/>
            <w:noWrap/>
            <w:vAlign w:val="center"/>
            <w:hideMark/>
          </w:tcPr>
          <w:p w14:paraId="3E3CD936"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505</w:t>
            </w:r>
          </w:p>
        </w:tc>
        <w:tc>
          <w:tcPr>
            <w:tcW w:w="1134" w:type="dxa"/>
            <w:tcBorders>
              <w:top w:val="nil"/>
              <w:left w:val="nil"/>
              <w:bottom w:val="single" w:sz="4" w:space="0" w:color="auto"/>
              <w:right w:val="single" w:sz="4" w:space="0" w:color="auto"/>
            </w:tcBorders>
            <w:shd w:val="clear" w:color="auto" w:fill="auto"/>
            <w:noWrap/>
            <w:vAlign w:val="center"/>
            <w:hideMark/>
          </w:tcPr>
          <w:p w14:paraId="3F65BCCA"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40%</w:t>
            </w:r>
          </w:p>
        </w:tc>
        <w:tc>
          <w:tcPr>
            <w:tcW w:w="1219" w:type="dxa"/>
            <w:tcBorders>
              <w:top w:val="nil"/>
              <w:left w:val="nil"/>
              <w:bottom w:val="single" w:sz="4" w:space="0" w:color="auto"/>
              <w:right w:val="single" w:sz="4" w:space="0" w:color="auto"/>
            </w:tcBorders>
            <w:shd w:val="clear" w:color="auto" w:fill="auto"/>
            <w:noWrap/>
            <w:vAlign w:val="center"/>
            <w:hideMark/>
          </w:tcPr>
          <w:p w14:paraId="3D0878DC"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20%</w:t>
            </w:r>
          </w:p>
        </w:tc>
      </w:tr>
      <w:tr w:rsidR="00B13890" w:rsidRPr="00902214" w14:paraId="7B38A97D" w14:textId="77777777" w:rsidTr="00883C11">
        <w:trPr>
          <w:trHeight w:val="28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B3019BA" w14:textId="77777777" w:rsidR="00B13890" w:rsidRPr="00902214" w:rsidRDefault="00B13890" w:rsidP="00883C11">
            <w:pPr>
              <w:spacing w:after="0"/>
              <w:ind w:firstLine="34"/>
              <w:jc w:val="left"/>
              <w:rPr>
                <w:rFonts w:eastAsia="Times New Roman"/>
                <w:color w:val="000000"/>
                <w:sz w:val="18"/>
                <w:szCs w:val="18"/>
              </w:rPr>
            </w:pPr>
            <w:r w:rsidRPr="00902214">
              <w:rPr>
                <w:rFonts w:eastAsia="Times New Roman"/>
                <w:color w:val="000000"/>
                <w:sz w:val="18"/>
                <w:szCs w:val="18"/>
              </w:rPr>
              <w:t>Mehānismi un ierīces, t.sk. elektroierīces</w:t>
            </w:r>
          </w:p>
        </w:tc>
        <w:tc>
          <w:tcPr>
            <w:tcW w:w="1276" w:type="dxa"/>
            <w:tcBorders>
              <w:top w:val="nil"/>
              <w:left w:val="nil"/>
              <w:bottom w:val="single" w:sz="4" w:space="0" w:color="auto"/>
              <w:right w:val="single" w:sz="4" w:space="0" w:color="auto"/>
            </w:tcBorders>
            <w:shd w:val="clear" w:color="auto" w:fill="auto"/>
            <w:noWrap/>
            <w:vAlign w:val="center"/>
            <w:hideMark/>
          </w:tcPr>
          <w:p w14:paraId="7F57E09D"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1335</w:t>
            </w:r>
          </w:p>
        </w:tc>
        <w:tc>
          <w:tcPr>
            <w:tcW w:w="1276" w:type="dxa"/>
            <w:tcBorders>
              <w:top w:val="nil"/>
              <w:left w:val="nil"/>
              <w:bottom w:val="single" w:sz="4" w:space="0" w:color="auto"/>
              <w:right w:val="single" w:sz="4" w:space="0" w:color="auto"/>
            </w:tcBorders>
            <w:shd w:val="clear" w:color="auto" w:fill="auto"/>
            <w:noWrap/>
            <w:vAlign w:val="center"/>
            <w:hideMark/>
          </w:tcPr>
          <w:p w14:paraId="6950E48A"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1480</w:t>
            </w:r>
          </w:p>
        </w:tc>
        <w:tc>
          <w:tcPr>
            <w:tcW w:w="1134" w:type="dxa"/>
            <w:tcBorders>
              <w:top w:val="nil"/>
              <w:left w:val="nil"/>
              <w:bottom w:val="single" w:sz="4" w:space="0" w:color="auto"/>
              <w:right w:val="single" w:sz="4" w:space="0" w:color="auto"/>
            </w:tcBorders>
            <w:shd w:val="clear" w:color="auto" w:fill="auto"/>
            <w:noWrap/>
            <w:vAlign w:val="center"/>
            <w:hideMark/>
          </w:tcPr>
          <w:p w14:paraId="5F5C6590"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145</w:t>
            </w:r>
          </w:p>
        </w:tc>
        <w:tc>
          <w:tcPr>
            <w:tcW w:w="1134" w:type="dxa"/>
            <w:tcBorders>
              <w:top w:val="nil"/>
              <w:left w:val="nil"/>
              <w:bottom w:val="single" w:sz="4" w:space="0" w:color="auto"/>
              <w:right w:val="single" w:sz="4" w:space="0" w:color="auto"/>
            </w:tcBorders>
            <w:shd w:val="clear" w:color="auto" w:fill="auto"/>
            <w:noWrap/>
            <w:vAlign w:val="center"/>
            <w:hideMark/>
          </w:tcPr>
          <w:p w14:paraId="76B12092"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11%</w:t>
            </w:r>
          </w:p>
        </w:tc>
        <w:tc>
          <w:tcPr>
            <w:tcW w:w="1219" w:type="dxa"/>
            <w:tcBorders>
              <w:top w:val="nil"/>
              <w:left w:val="nil"/>
              <w:bottom w:val="single" w:sz="4" w:space="0" w:color="auto"/>
              <w:right w:val="single" w:sz="4" w:space="0" w:color="auto"/>
            </w:tcBorders>
            <w:shd w:val="clear" w:color="auto" w:fill="auto"/>
            <w:noWrap/>
            <w:vAlign w:val="center"/>
            <w:hideMark/>
          </w:tcPr>
          <w:p w14:paraId="043B8A63"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17%</w:t>
            </w:r>
          </w:p>
        </w:tc>
      </w:tr>
      <w:tr w:rsidR="00B13890" w:rsidRPr="00902214" w14:paraId="24668CC0" w14:textId="77777777" w:rsidTr="00883C11">
        <w:trPr>
          <w:trHeight w:val="28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47CB2316" w14:textId="77777777" w:rsidR="00B13890" w:rsidRPr="00902214" w:rsidRDefault="00B13890" w:rsidP="00883C11">
            <w:pPr>
              <w:spacing w:after="0"/>
              <w:ind w:firstLine="34"/>
              <w:jc w:val="left"/>
              <w:rPr>
                <w:rFonts w:eastAsia="Times New Roman"/>
                <w:color w:val="000000"/>
                <w:sz w:val="18"/>
                <w:szCs w:val="18"/>
              </w:rPr>
            </w:pPr>
            <w:r w:rsidRPr="00902214">
              <w:rPr>
                <w:rFonts w:eastAsia="Times New Roman"/>
                <w:color w:val="000000"/>
                <w:sz w:val="18"/>
                <w:szCs w:val="18"/>
              </w:rPr>
              <w:t>Lauksaimniecības preces un pārtika</w:t>
            </w:r>
          </w:p>
        </w:tc>
        <w:tc>
          <w:tcPr>
            <w:tcW w:w="1276" w:type="dxa"/>
            <w:tcBorders>
              <w:top w:val="nil"/>
              <w:left w:val="nil"/>
              <w:bottom w:val="single" w:sz="4" w:space="0" w:color="auto"/>
              <w:right w:val="single" w:sz="4" w:space="0" w:color="auto"/>
            </w:tcBorders>
            <w:shd w:val="clear" w:color="auto" w:fill="auto"/>
            <w:noWrap/>
            <w:vAlign w:val="center"/>
            <w:hideMark/>
          </w:tcPr>
          <w:p w14:paraId="570DD470"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1378</w:t>
            </w:r>
          </w:p>
        </w:tc>
        <w:tc>
          <w:tcPr>
            <w:tcW w:w="1276" w:type="dxa"/>
            <w:tcBorders>
              <w:top w:val="nil"/>
              <w:left w:val="nil"/>
              <w:bottom w:val="single" w:sz="4" w:space="0" w:color="auto"/>
              <w:right w:val="single" w:sz="4" w:space="0" w:color="auto"/>
            </w:tcBorders>
            <w:shd w:val="clear" w:color="auto" w:fill="auto"/>
            <w:noWrap/>
            <w:vAlign w:val="center"/>
            <w:hideMark/>
          </w:tcPr>
          <w:p w14:paraId="489BB789"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1458</w:t>
            </w:r>
          </w:p>
        </w:tc>
        <w:tc>
          <w:tcPr>
            <w:tcW w:w="1134" w:type="dxa"/>
            <w:tcBorders>
              <w:top w:val="nil"/>
              <w:left w:val="nil"/>
              <w:bottom w:val="single" w:sz="4" w:space="0" w:color="auto"/>
              <w:right w:val="single" w:sz="4" w:space="0" w:color="auto"/>
            </w:tcBorders>
            <w:shd w:val="clear" w:color="auto" w:fill="auto"/>
            <w:noWrap/>
            <w:vAlign w:val="center"/>
            <w:hideMark/>
          </w:tcPr>
          <w:p w14:paraId="18DCDD5C"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80</w:t>
            </w:r>
          </w:p>
        </w:tc>
        <w:tc>
          <w:tcPr>
            <w:tcW w:w="1134" w:type="dxa"/>
            <w:tcBorders>
              <w:top w:val="nil"/>
              <w:left w:val="nil"/>
              <w:bottom w:val="single" w:sz="4" w:space="0" w:color="auto"/>
              <w:right w:val="single" w:sz="4" w:space="0" w:color="auto"/>
            </w:tcBorders>
            <w:shd w:val="clear" w:color="auto" w:fill="auto"/>
            <w:noWrap/>
            <w:vAlign w:val="center"/>
            <w:hideMark/>
          </w:tcPr>
          <w:p w14:paraId="6C24DD0C"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6%</w:t>
            </w:r>
          </w:p>
        </w:tc>
        <w:tc>
          <w:tcPr>
            <w:tcW w:w="1219" w:type="dxa"/>
            <w:tcBorders>
              <w:top w:val="nil"/>
              <w:left w:val="nil"/>
              <w:bottom w:val="single" w:sz="4" w:space="0" w:color="auto"/>
              <w:right w:val="single" w:sz="4" w:space="0" w:color="auto"/>
            </w:tcBorders>
            <w:shd w:val="clear" w:color="auto" w:fill="auto"/>
            <w:noWrap/>
            <w:vAlign w:val="center"/>
            <w:hideMark/>
          </w:tcPr>
          <w:p w14:paraId="5D411243"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17%</w:t>
            </w:r>
          </w:p>
        </w:tc>
      </w:tr>
      <w:tr w:rsidR="00B13890" w:rsidRPr="00902214" w14:paraId="085301CF" w14:textId="77777777" w:rsidTr="00883C11">
        <w:trPr>
          <w:trHeight w:val="28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D32779F" w14:textId="77777777" w:rsidR="00B13890" w:rsidRPr="00902214" w:rsidRDefault="00B13890" w:rsidP="00883C11">
            <w:pPr>
              <w:spacing w:after="0"/>
              <w:ind w:firstLine="34"/>
              <w:jc w:val="left"/>
              <w:rPr>
                <w:rFonts w:eastAsia="Times New Roman"/>
                <w:color w:val="000000"/>
                <w:sz w:val="18"/>
                <w:szCs w:val="18"/>
              </w:rPr>
            </w:pPr>
            <w:r w:rsidRPr="00902214">
              <w:rPr>
                <w:rFonts w:eastAsia="Times New Roman"/>
                <w:color w:val="000000"/>
                <w:sz w:val="18"/>
                <w:szCs w:val="18"/>
              </w:rPr>
              <w:t>Metāli un to izstrādājumi</w:t>
            </w:r>
          </w:p>
        </w:tc>
        <w:tc>
          <w:tcPr>
            <w:tcW w:w="1276" w:type="dxa"/>
            <w:tcBorders>
              <w:top w:val="nil"/>
              <w:left w:val="nil"/>
              <w:bottom w:val="single" w:sz="4" w:space="0" w:color="auto"/>
              <w:right w:val="single" w:sz="4" w:space="0" w:color="auto"/>
            </w:tcBorders>
            <w:shd w:val="clear" w:color="auto" w:fill="auto"/>
            <w:noWrap/>
            <w:vAlign w:val="center"/>
            <w:hideMark/>
          </w:tcPr>
          <w:p w14:paraId="6423C861"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644</w:t>
            </w:r>
          </w:p>
        </w:tc>
        <w:tc>
          <w:tcPr>
            <w:tcW w:w="1276" w:type="dxa"/>
            <w:tcBorders>
              <w:top w:val="nil"/>
              <w:left w:val="nil"/>
              <w:bottom w:val="single" w:sz="4" w:space="0" w:color="auto"/>
              <w:right w:val="single" w:sz="4" w:space="0" w:color="auto"/>
            </w:tcBorders>
            <w:shd w:val="clear" w:color="auto" w:fill="auto"/>
            <w:noWrap/>
            <w:vAlign w:val="center"/>
            <w:hideMark/>
          </w:tcPr>
          <w:p w14:paraId="4BCB253A"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865</w:t>
            </w:r>
          </w:p>
        </w:tc>
        <w:tc>
          <w:tcPr>
            <w:tcW w:w="1134" w:type="dxa"/>
            <w:tcBorders>
              <w:top w:val="nil"/>
              <w:left w:val="nil"/>
              <w:bottom w:val="single" w:sz="4" w:space="0" w:color="auto"/>
              <w:right w:val="single" w:sz="4" w:space="0" w:color="auto"/>
            </w:tcBorders>
            <w:shd w:val="clear" w:color="auto" w:fill="auto"/>
            <w:noWrap/>
            <w:vAlign w:val="center"/>
            <w:hideMark/>
          </w:tcPr>
          <w:p w14:paraId="4B6002CD"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221</w:t>
            </w:r>
          </w:p>
        </w:tc>
        <w:tc>
          <w:tcPr>
            <w:tcW w:w="1134" w:type="dxa"/>
            <w:tcBorders>
              <w:top w:val="nil"/>
              <w:left w:val="nil"/>
              <w:bottom w:val="single" w:sz="4" w:space="0" w:color="auto"/>
              <w:right w:val="single" w:sz="4" w:space="0" w:color="auto"/>
            </w:tcBorders>
            <w:shd w:val="clear" w:color="auto" w:fill="auto"/>
            <w:noWrap/>
            <w:vAlign w:val="center"/>
            <w:hideMark/>
          </w:tcPr>
          <w:p w14:paraId="3D585F6B"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34%</w:t>
            </w:r>
          </w:p>
        </w:tc>
        <w:tc>
          <w:tcPr>
            <w:tcW w:w="1219" w:type="dxa"/>
            <w:tcBorders>
              <w:top w:val="nil"/>
              <w:left w:val="nil"/>
              <w:bottom w:val="single" w:sz="4" w:space="0" w:color="auto"/>
              <w:right w:val="single" w:sz="4" w:space="0" w:color="auto"/>
            </w:tcBorders>
            <w:shd w:val="clear" w:color="auto" w:fill="auto"/>
            <w:noWrap/>
            <w:vAlign w:val="center"/>
            <w:hideMark/>
          </w:tcPr>
          <w:p w14:paraId="025169C3"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10%</w:t>
            </w:r>
          </w:p>
        </w:tc>
      </w:tr>
      <w:tr w:rsidR="00B13890" w:rsidRPr="00902214" w14:paraId="28A5BF7D" w14:textId="77777777" w:rsidTr="00883C11">
        <w:trPr>
          <w:trHeight w:val="28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3791CDE" w14:textId="77777777" w:rsidR="00B13890" w:rsidRPr="00902214" w:rsidRDefault="00B13890" w:rsidP="00883C11">
            <w:pPr>
              <w:spacing w:after="0"/>
              <w:ind w:firstLine="34"/>
              <w:jc w:val="left"/>
              <w:rPr>
                <w:rFonts w:eastAsia="Times New Roman"/>
                <w:color w:val="000000"/>
                <w:sz w:val="18"/>
                <w:szCs w:val="18"/>
              </w:rPr>
            </w:pPr>
            <w:r w:rsidRPr="00902214">
              <w:rPr>
                <w:rFonts w:eastAsia="Times New Roman"/>
                <w:color w:val="000000"/>
                <w:sz w:val="18"/>
                <w:szCs w:val="18"/>
              </w:rPr>
              <w:t>Ķīmiskās rūpniecības ražojumi</w:t>
            </w:r>
          </w:p>
        </w:tc>
        <w:tc>
          <w:tcPr>
            <w:tcW w:w="1276" w:type="dxa"/>
            <w:tcBorders>
              <w:top w:val="nil"/>
              <w:left w:val="nil"/>
              <w:bottom w:val="single" w:sz="4" w:space="0" w:color="auto"/>
              <w:right w:val="single" w:sz="4" w:space="0" w:color="auto"/>
            </w:tcBorders>
            <w:shd w:val="clear" w:color="auto" w:fill="auto"/>
            <w:noWrap/>
            <w:vAlign w:val="center"/>
            <w:hideMark/>
          </w:tcPr>
          <w:p w14:paraId="08556A1A"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585</w:t>
            </w:r>
          </w:p>
        </w:tc>
        <w:tc>
          <w:tcPr>
            <w:tcW w:w="1276" w:type="dxa"/>
            <w:tcBorders>
              <w:top w:val="nil"/>
              <w:left w:val="nil"/>
              <w:bottom w:val="single" w:sz="4" w:space="0" w:color="auto"/>
              <w:right w:val="single" w:sz="4" w:space="0" w:color="auto"/>
            </w:tcBorders>
            <w:shd w:val="clear" w:color="auto" w:fill="auto"/>
            <w:noWrap/>
            <w:vAlign w:val="center"/>
            <w:hideMark/>
          </w:tcPr>
          <w:p w14:paraId="4FD41C92"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719</w:t>
            </w:r>
          </w:p>
        </w:tc>
        <w:tc>
          <w:tcPr>
            <w:tcW w:w="1134" w:type="dxa"/>
            <w:tcBorders>
              <w:top w:val="nil"/>
              <w:left w:val="nil"/>
              <w:bottom w:val="single" w:sz="4" w:space="0" w:color="auto"/>
              <w:right w:val="single" w:sz="4" w:space="0" w:color="auto"/>
            </w:tcBorders>
            <w:shd w:val="clear" w:color="auto" w:fill="auto"/>
            <w:noWrap/>
            <w:vAlign w:val="center"/>
            <w:hideMark/>
          </w:tcPr>
          <w:p w14:paraId="1758DE90"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135</w:t>
            </w:r>
          </w:p>
        </w:tc>
        <w:tc>
          <w:tcPr>
            <w:tcW w:w="1134" w:type="dxa"/>
            <w:tcBorders>
              <w:top w:val="nil"/>
              <w:left w:val="nil"/>
              <w:bottom w:val="single" w:sz="4" w:space="0" w:color="auto"/>
              <w:right w:val="single" w:sz="4" w:space="0" w:color="auto"/>
            </w:tcBorders>
            <w:shd w:val="clear" w:color="auto" w:fill="auto"/>
            <w:noWrap/>
            <w:vAlign w:val="center"/>
            <w:hideMark/>
          </w:tcPr>
          <w:p w14:paraId="475F05C4"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23%</w:t>
            </w:r>
          </w:p>
        </w:tc>
        <w:tc>
          <w:tcPr>
            <w:tcW w:w="1219" w:type="dxa"/>
            <w:tcBorders>
              <w:top w:val="nil"/>
              <w:left w:val="nil"/>
              <w:bottom w:val="single" w:sz="4" w:space="0" w:color="auto"/>
              <w:right w:val="single" w:sz="4" w:space="0" w:color="auto"/>
            </w:tcBorders>
            <w:shd w:val="clear" w:color="auto" w:fill="auto"/>
            <w:noWrap/>
            <w:vAlign w:val="center"/>
            <w:hideMark/>
          </w:tcPr>
          <w:p w14:paraId="236D06AC"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8%</w:t>
            </w:r>
          </w:p>
        </w:tc>
      </w:tr>
      <w:tr w:rsidR="00B13890" w:rsidRPr="00902214" w14:paraId="4A832003" w14:textId="77777777" w:rsidTr="00883C11">
        <w:trPr>
          <w:trHeight w:val="28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9AFF16D" w14:textId="77777777" w:rsidR="00B13890" w:rsidRPr="00902214" w:rsidRDefault="00B13890" w:rsidP="00883C11">
            <w:pPr>
              <w:spacing w:after="0"/>
              <w:ind w:firstLine="34"/>
              <w:jc w:val="left"/>
              <w:rPr>
                <w:rFonts w:eastAsia="Times New Roman"/>
                <w:color w:val="000000"/>
                <w:sz w:val="18"/>
                <w:szCs w:val="18"/>
              </w:rPr>
            </w:pPr>
            <w:r w:rsidRPr="00902214">
              <w:rPr>
                <w:rFonts w:eastAsia="Times New Roman"/>
                <w:color w:val="000000"/>
                <w:sz w:val="18"/>
                <w:szCs w:val="18"/>
              </w:rPr>
              <w:t>Pārējās preces</w:t>
            </w:r>
          </w:p>
        </w:tc>
        <w:tc>
          <w:tcPr>
            <w:tcW w:w="1276" w:type="dxa"/>
            <w:tcBorders>
              <w:top w:val="nil"/>
              <w:left w:val="nil"/>
              <w:bottom w:val="single" w:sz="4" w:space="0" w:color="auto"/>
              <w:right w:val="single" w:sz="4" w:space="0" w:color="auto"/>
            </w:tcBorders>
            <w:shd w:val="clear" w:color="auto" w:fill="auto"/>
            <w:noWrap/>
            <w:vAlign w:val="center"/>
            <w:hideMark/>
          </w:tcPr>
          <w:p w14:paraId="6DCDECB0"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476</w:t>
            </w:r>
          </w:p>
        </w:tc>
        <w:tc>
          <w:tcPr>
            <w:tcW w:w="1276" w:type="dxa"/>
            <w:tcBorders>
              <w:top w:val="nil"/>
              <w:left w:val="nil"/>
              <w:bottom w:val="single" w:sz="4" w:space="0" w:color="auto"/>
              <w:right w:val="single" w:sz="4" w:space="0" w:color="auto"/>
            </w:tcBorders>
            <w:shd w:val="clear" w:color="auto" w:fill="auto"/>
            <w:noWrap/>
            <w:vAlign w:val="center"/>
            <w:hideMark/>
          </w:tcPr>
          <w:p w14:paraId="0FFE1327"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551</w:t>
            </w:r>
          </w:p>
        </w:tc>
        <w:tc>
          <w:tcPr>
            <w:tcW w:w="1134" w:type="dxa"/>
            <w:tcBorders>
              <w:top w:val="nil"/>
              <w:left w:val="nil"/>
              <w:bottom w:val="single" w:sz="4" w:space="0" w:color="auto"/>
              <w:right w:val="single" w:sz="4" w:space="0" w:color="auto"/>
            </w:tcBorders>
            <w:shd w:val="clear" w:color="auto" w:fill="auto"/>
            <w:noWrap/>
            <w:vAlign w:val="center"/>
            <w:hideMark/>
          </w:tcPr>
          <w:p w14:paraId="21317259"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76</w:t>
            </w:r>
          </w:p>
        </w:tc>
        <w:tc>
          <w:tcPr>
            <w:tcW w:w="1134" w:type="dxa"/>
            <w:tcBorders>
              <w:top w:val="nil"/>
              <w:left w:val="nil"/>
              <w:bottom w:val="single" w:sz="4" w:space="0" w:color="auto"/>
              <w:right w:val="single" w:sz="4" w:space="0" w:color="auto"/>
            </w:tcBorders>
            <w:shd w:val="clear" w:color="auto" w:fill="auto"/>
            <w:noWrap/>
            <w:vAlign w:val="center"/>
            <w:hideMark/>
          </w:tcPr>
          <w:p w14:paraId="00FC7622"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16%</w:t>
            </w:r>
          </w:p>
        </w:tc>
        <w:tc>
          <w:tcPr>
            <w:tcW w:w="1219" w:type="dxa"/>
            <w:tcBorders>
              <w:top w:val="nil"/>
              <w:left w:val="nil"/>
              <w:bottom w:val="single" w:sz="4" w:space="0" w:color="auto"/>
              <w:right w:val="single" w:sz="4" w:space="0" w:color="auto"/>
            </w:tcBorders>
            <w:shd w:val="clear" w:color="auto" w:fill="auto"/>
            <w:noWrap/>
            <w:vAlign w:val="center"/>
            <w:hideMark/>
          </w:tcPr>
          <w:p w14:paraId="704CB9DC"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6%</w:t>
            </w:r>
          </w:p>
        </w:tc>
      </w:tr>
      <w:tr w:rsidR="00B13890" w:rsidRPr="00902214" w14:paraId="5C642346" w14:textId="77777777" w:rsidTr="00883C11">
        <w:trPr>
          <w:trHeight w:val="28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36FF878" w14:textId="77777777" w:rsidR="00B13890" w:rsidRPr="00902214" w:rsidRDefault="00B13890" w:rsidP="00883C11">
            <w:pPr>
              <w:spacing w:after="0"/>
              <w:ind w:firstLine="34"/>
              <w:jc w:val="left"/>
              <w:rPr>
                <w:rFonts w:eastAsia="Times New Roman"/>
                <w:color w:val="000000"/>
                <w:sz w:val="18"/>
                <w:szCs w:val="18"/>
              </w:rPr>
            </w:pPr>
            <w:r w:rsidRPr="00902214">
              <w:rPr>
                <w:rFonts w:eastAsia="Times New Roman"/>
                <w:color w:val="000000"/>
                <w:sz w:val="18"/>
                <w:szCs w:val="18"/>
              </w:rPr>
              <w:t>Minerālprodukti</w:t>
            </w:r>
          </w:p>
        </w:tc>
        <w:tc>
          <w:tcPr>
            <w:tcW w:w="1276" w:type="dxa"/>
            <w:tcBorders>
              <w:top w:val="nil"/>
              <w:left w:val="nil"/>
              <w:bottom w:val="single" w:sz="4" w:space="0" w:color="auto"/>
              <w:right w:val="single" w:sz="4" w:space="0" w:color="auto"/>
            </w:tcBorders>
            <w:shd w:val="clear" w:color="auto" w:fill="auto"/>
            <w:noWrap/>
            <w:vAlign w:val="center"/>
            <w:hideMark/>
          </w:tcPr>
          <w:p w14:paraId="199BE438"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312</w:t>
            </w:r>
          </w:p>
        </w:tc>
        <w:tc>
          <w:tcPr>
            <w:tcW w:w="1276" w:type="dxa"/>
            <w:tcBorders>
              <w:top w:val="nil"/>
              <w:left w:val="nil"/>
              <w:bottom w:val="single" w:sz="4" w:space="0" w:color="auto"/>
              <w:right w:val="single" w:sz="4" w:space="0" w:color="auto"/>
            </w:tcBorders>
            <w:shd w:val="clear" w:color="auto" w:fill="auto"/>
            <w:noWrap/>
            <w:vAlign w:val="center"/>
            <w:hideMark/>
          </w:tcPr>
          <w:p w14:paraId="0C8EFCE8"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466</w:t>
            </w:r>
          </w:p>
        </w:tc>
        <w:tc>
          <w:tcPr>
            <w:tcW w:w="1134" w:type="dxa"/>
            <w:tcBorders>
              <w:top w:val="nil"/>
              <w:left w:val="nil"/>
              <w:bottom w:val="single" w:sz="4" w:space="0" w:color="auto"/>
              <w:right w:val="single" w:sz="4" w:space="0" w:color="auto"/>
            </w:tcBorders>
            <w:shd w:val="clear" w:color="auto" w:fill="auto"/>
            <w:noWrap/>
            <w:vAlign w:val="center"/>
            <w:hideMark/>
          </w:tcPr>
          <w:p w14:paraId="64890B79"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153</w:t>
            </w:r>
          </w:p>
        </w:tc>
        <w:tc>
          <w:tcPr>
            <w:tcW w:w="1134" w:type="dxa"/>
            <w:tcBorders>
              <w:top w:val="nil"/>
              <w:left w:val="nil"/>
              <w:bottom w:val="single" w:sz="4" w:space="0" w:color="auto"/>
              <w:right w:val="single" w:sz="4" w:space="0" w:color="auto"/>
            </w:tcBorders>
            <w:shd w:val="clear" w:color="auto" w:fill="auto"/>
            <w:noWrap/>
            <w:vAlign w:val="center"/>
            <w:hideMark/>
          </w:tcPr>
          <w:p w14:paraId="788A0DD3"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49%</w:t>
            </w:r>
          </w:p>
        </w:tc>
        <w:tc>
          <w:tcPr>
            <w:tcW w:w="1219" w:type="dxa"/>
            <w:tcBorders>
              <w:top w:val="nil"/>
              <w:left w:val="nil"/>
              <w:bottom w:val="single" w:sz="4" w:space="0" w:color="auto"/>
              <w:right w:val="single" w:sz="4" w:space="0" w:color="auto"/>
            </w:tcBorders>
            <w:shd w:val="clear" w:color="auto" w:fill="auto"/>
            <w:noWrap/>
            <w:vAlign w:val="center"/>
            <w:hideMark/>
          </w:tcPr>
          <w:p w14:paraId="634154EE"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5%</w:t>
            </w:r>
          </w:p>
        </w:tc>
      </w:tr>
      <w:tr w:rsidR="00B13890" w:rsidRPr="00902214" w14:paraId="563FCB0A" w14:textId="77777777" w:rsidTr="00883C11">
        <w:trPr>
          <w:trHeight w:val="28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8AA1517" w14:textId="77777777" w:rsidR="00B13890" w:rsidRPr="00902214" w:rsidRDefault="00B13890" w:rsidP="00883C11">
            <w:pPr>
              <w:spacing w:after="0"/>
              <w:ind w:firstLine="34"/>
              <w:jc w:val="left"/>
              <w:rPr>
                <w:rFonts w:eastAsia="Times New Roman"/>
                <w:color w:val="000000"/>
                <w:sz w:val="18"/>
                <w:szCs w:val="18"/>
              </w:rPr>
            </w:pPr>
            <w:r w:rsidRPr="00902214">
              <w:rPr>
                <w:rFonts w:eastAsia="Times New Roman"/>
                <w:color w:val="000000"/>
                <w:sz w:val="18"/>
                <w:szCs w:val="18"/>
              </w:rPr>
              <w:t>Satiksmes līdzekļi</w:t>
            </w:r>
          </w:p>
        </w:tc>
        <w:tc>
          <w:tcPr>
            <w:tcW w:w="1276" w:type="dxa"/>
            <w:tcBorders>
              <w:top w:val="nil"/>
              <w:left w:val="nil"/>
              <w:bottom w:val="single" w:sz="4" w:space="0" w:color="auto"/>
              <w:right w:val="single" w:sz="4" w:space="0" w:color="auto"/>
            </w:tcBorders>
            <w:shd w:val="clear" w:color="auto" w:fill="auto"/>
            <w:noWrap/>
            <w:vAlign w:val="center"/>
            <w:hideMark/>
          </w:tcPr>
          <w:p w14:paraId="7FF7D2F7"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373</w:t>
            </w:r>
          </w:p>
        </w:tc>
        <w:tc>
          <w:tcPr>
            <w:tcW w:w="1276" w:type="dxa"/>
            <w:tcBorders>
              <w:top w:val="nil"/>
              <w:left w:val="nil"/>
              <w:bottom w:val="single" w:sz="4" w:space="0" w:color="auto"/>
              <w:right w:val="single" w:sz="4" w:space="0" w:color="auto"/>
            </w:tcBorders>
            <w:shd w:val="clear" w:color="auto" w:fill="auto"/>
            <w:noWrap/>
            <w:vAlign w:val="center"/>
            <w:hideMark/>
          </w:tcPr>
          <w:p w14:paraId="61655619"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439</w:t>
            </w:r>
          </w:p>
        </w:tc>
        <w:tc>
          <w:tcPr>
            <w:tcW w:w="1134" w:type="dxa"/>
            <w:tcBorders>
              <w:top w:val="nil"/>
              <w:left w:val="nil"/>
              <w:bottom w:val="single" w:sz="4" w:space="0" w:color="auto"/>
              <w:right w:val="single" w:sz="4" w:space="0" w:color="auto"/>
            </w:tcBorders>
            <w:shd w:val="clear" w:color="auto" w:fill="auto"/>
            <w:noWrap/>
            <w:vAlign w:val="center"/>
            <w:hideMark/>
          </w:tcPr>
          <w:p w14:paraId="07A4ED67"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66</w:t>
            </w:r>
          </w:p>
        </w:tc>
        <w:tc>
          <w:tcPr>
            <w:tcW w:w="1134" w:type="dxa"/>
            <w:tcBorders>
              <w:top w:val="nil"/>
              <w:left w:val="nil"/>
              <w:bottom w:val="single" w:sz="4" w:space="0" w:color="auto"/>
              <w:right w:val="single" w:sz="4" w:space="0" w:color="auto"/>
            </w:tcBorders>
            <w:shd w:val="clear" w:color="auto" w:fill="auto"/>
            <w:noWrap/>
            <w:vAlign w:val="center"/>
            <w:hideMark/>
          </w:tcPr>
          <w:p w14:paraId="5D34469B"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18%</w:t>
            </w:r>
          </w:p>
        </w:tc>
        <w:tc>
          <w:tcPr>
            <w:tcW w:w="1219" w:type="dxa"/>
            <w:tcBorders>
              <w:top w:val="nil"/>
              <w:left w:val="nil"/>
              <w:bottom w:val="single" w:sz="4" w:space="0" w:color="auto"/>
              <w:right w:val="single" w:sz="4" w:space="0" w:color="auto"/>
            </w:tcBorders>
            <w:shd w:val="clear" w:color="auto" w:fill="auto"/>
            <w:noWrap/>
            <w:vAlign w:val="center"/>
            <w:hideMark/>
          </w:tcPr>
          <w:p w14:paraId="39859F5F"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5%</w:t>
            </w:r>
          </w:p>
        </w:tc>
      </w:tr>
      <w:tr w:rsidR="00B13890" w:rsidRPr="00902214" w14:paraId="378DC37A" w14:textId="77777777" w:rsidTr="00883C11">
        <w:trPr>
          <w:trHeight w:val="28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85D1C11" w14:textId="77777777" w:rsidR="00B13890" w:rsidRPr="00902214" w:rsidRDefault="00B13890" w:rsidP="00883C11">
            <w:pPr>
              <w:spacing w:after="0"/>
              <w:ind w:firstLine="34"/>
              <w:jc w:val="left"/>
              <w:rPr>
                <w:rFonts w:eastAsia="Times New Roman"/>
                <w:color w:val="000000"/>
                <w:sz w:val="18"/>
                <w:szCs w:val="18"/>
              </w:rPr>
            </w:pPr>
            <w:r w:rsidRPr="00902214">
              <w:rPr>
                <w:rFonts w:eastAsia="Times New Roman"/>
                <w:color w:val="000000"/>
                <w:sz w:val="18"/>
                <w:szCs w:val="18"/>
              </w:rPr>
              <w:t>Plastmasas, kaučuks un to izstrādājumi</w:t>
            </w:r>
          </w:p>
        </w:tc>
        <w:tc>
          <w:tcPr>
            <w:tcW w:w="1276" w:type="dxa"/>
            <w:tcBorders>
              <w:top w:val="nil"/>
              <w:left w:val="nil"/>
              <w:bottom w:val="single" w:sz="4" w:space="0" w:color="auto"/>
              <w:right w:val="single" w:sz="4" w:space="0" w:color="auto"/>
            </w:tcBorders>
            <w:shd w:val="clear" w:color="auto" w:fill="auto"/>
            <w:noWrap/>
            <w:vAlign w:val="center"/>
            <w:hideMark/>
          </w:tcPr>
          <w:p w14:paraId="570AA56C"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261</w:t>
            </w:r>
          </w:p>
        </w:tc>
        <w:tc>
          <w:tcPr>
            <w:tcW w:w="1276" w:type="dxa"/>
            <w:tcBorders>
              <w:top w:val="nil"/>
              <w:left w:val="nil"/>
              <w:bottom w:val="single" w:sz="4" w:space="0" w:color="auto"/>
              <w:right w:val="single" w:sz="4" w:space="0" w:color="auto"/>
            </w:tcBorders>
            <w:shd w:val="clear" w:color="auto" w:fill="auto"/>
            <w:noWrap/>
            <w:vAlign w:val="center"/>
            <w:hideMark/>
          </w:tcPr>
          <w:p w14:paraId="4E78F3A1"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317</w:t>
            </w:r>
          </w:p>
        </w:tc>
        <w:tc>
          <w:tcPr>
            <w:tcW w:w="1134" w:type="dxa"/>
            <w:tcBorders>
              <w:top w:val="nil"/>
              <w:left w:val="nil"/>
              <w:bottom w:val="single" w:sz="4" w:space="0" w:color="auto"/>
              <w:right w:val="single" w:sz="4" w:space="0" w:color="auto"/>
            </w:tcBorders>
            <w:shd w:val="clear" w:color="auto" w:fill="auto"/>
            <w:noWrap/>
            <w:vAlign w:val="center"/>
            <w:hideMark/>
          </w:tcPr>
          <w:p w14:paraId="112747B3"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56</w:t>
            </w:r>
          </w:p>
        </w:tc>
        <w:tc>
          <w:tcPr>
            <w:tcW w:w="1134" w:type="dxa"/>
            <w:tcBorders>
              <w:top w:val="nil"/>
              <w:left w:val="nil"/>
              <w:bottom w:val="single" w:sz="4" w:space="0" w:color="auto"/>
              <w:right w:val="single" w:sz="4" w:space="0" w:color="auto"/>
            </w:tcBorders>
            <w:shd w:val="clear" w:color="auto" w:fill="auto"/>
            <w:noWrap/>
            <w:vAlign w:val="center"/>
            <w:hideMark/>
          </w:tcPr>
          <w:p w14:paraId="2AF65A32"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22%</w:t>
            </w:r>
          </w:p>
        </w:tc>
        <w:tc>
          <w:tcPr>
            <w:tcW w:w="1219" w:type="dxa"/>
            <w:tcBorders>
              <w:top w:val="nil"/>
              <w:left w:val="nil"/>
              <w:bottom w:val="single" w:sz="4" w:space="0" w:color="auto"/>
              <w:right w:val="single" w:sz="4" w:space="0" w:color="auto"/>
            </w:tcBorders>
            <w:shd w:val="clear" w:color="auto" w:fill="auto"/>
            <w:noWrap/>
            <w:vAlign w:val="center"/>
            <w:hideMark/>
          </w:tcPr>
          <w:p w14:paraId="47EF0488"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4%</w:t>
            </w:r>
          </w:p>
        </w:tc>
      </w:tr>
      <w:tr w:rsidR="00B13890" w:rsidRPr="00902214" w14:paraId="70F2C9B3" w14:textId="77777777" w:rsidTr="00883C11">
        <w:trPr>
          <w:trHeight w:val="28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490F2A4" w14:textId="77777777" w:rsidR="00B13890" w:rsidRPr="00902214" w:rsidRDefault="00B13890" w:rsidP="00883C11">
            <w:pPr>
              <w:spacing w:after="0"/>
              <w:ind w:firstLine="34"/>
              <w:jc w:val="left"/>
              <w:rPr>
                <w:rFonts w:eastAsia="Times New Roman"/>
                <w:color w:val="000000"/>
                <w:sz w:val="18"/>
                <w:szCs w:val="18"/>
              </w:rPr>
            </w:pPr>
            <w:r w:rsidRPr="00902214">
              <w:rPr>
                <w:rFonts w:eastAsia="Times New Roman"/>
                <w:color w:val="000000"/>
                <w:sz w:val="18"/>
                <w:szCs w:val="18"/>
              </w:rPr>
              <w:t>Tekstilmateriāli un tekstilizstrādājumi</w:t>
            </w:r>
          </w:p>
        </w:tc>
        <w:tc>
          <w:tcPr>
            <w:tcW w:w="1276" w:type="dxa"/>
            <w:tcBorders>
              <w:top w:val="nil"/>
              <w:left w:val="nil"/>
              <w:bottom w:val="single" w:sz="4" w:space="0" w:color="auto"/>
              <w:right w:val="single" w:sz="4" w:space="0" w:color="auto"/>
            </w:tcBorders>
            <w:shd w:val="clear" w:color="auto" w:fill="auto"/>
            <w:noWrap/>
            <w:vAlign w:val="center"/>
            <w:hideMark/>
          </w:tcPr>
          <w:p w14:paraId="57B956D1"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216</w:t>
            </w:r>
          </w:p>
        </w:tc>
        <w:tc>
          <w:tcPr>
            <w:tcW w:w="1276" w:type="dxa"/>
            <w:tcBorders>
              <w:top w:val="nil"/>
              <w:left w:val="nil"/>
              <w:bottom w:val="single" w:sz="4" w:space="0" w:color="auto"/>
              <w:right w:val="single" w:sz="4" w:space="0" w:color="auto"/>
            </w:tcBorders>
            <w:shd w:val="clear" w:color="auto" w:fill="auto"/>
            <w:noWrap/>
            <w:vAlign w:val="center"/>
            <w:hideMark/>
          </w:tcPr>
          <w:p w14:paraId="7C447693"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243</w:t>
            </w:r>
          </w:p>
        </w:tc>
        <w:tc>
          <w:tcPr>
            <w:tcW w:w="1134" w:type="dxa"/>
            <w:tcBorders>
              <w:top w:val="nil"/>
              <w:left w:val="nil"/>
              <w:bottom w:val="single" w:sz="4" w:space="0" w:color="auto"/>
              <w:right w:val="single" w:sz="4" w:space="0" w:color="auto"/>
            </w:tcBorders>
            <w:shd w:val="clear" w:color="auto" w:fill="auto"/>
            <w:noWrap/>
            <w:vAlign w:val="center"/>
            <w:hideMark/>
          </w:tcPr>
          <w:p w14:paraId="6985DFC2"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27</w:t>
            </w:r>
          </w:p>
        </w:tc>
        <w:tc>
          <w:tcPr>
            <w:tcW w:w="1134" w:type="dxa"/>
            <w:tcBorders>
              <w:top w:val="nil"/>
              <w:left w:val="nil"/>
              <w:bottom w:val="single" w:sz="4" w:space="0" w:color="auto"/>
              <w:right w:val="single" w:sz="4" w:space="0" w:color="auto"/>
            </w:tcBorders>
            <w:shd w:val="clear" w:color="auto" w:fill="auto"/>
            <w:noWrap/>
            <w:vAlign w:val="center"/>
            <w:hideMark/>
          </w:tcPr>
          <w:p w14:paraId="4FE60724"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12%</w:t>
            </w:r>
          </w:p>
        </w:tc>
        <w:tc>
          <w:tcPr>
            <w:tcW w:w="1219" w:type="dxa"/>
            <w:tcBorders>
              <w:top w:val="nil"/>
              <w:left w:val="nil"/>
              <w:bottom w:val="single" w:sz="4" w:space="0" w:color="auto"/>
              <w:right w:val="single" w:sz="4" w:space="0" w:color="auto"/>
            </w:tcBorders>
            <w:shd w:val="clear" w:color="auto" w:fill="auto"/>
            <w:noWrap/>
            <w:vAlign w:val="center"/>
            <w:hideMark/>
          </w:tcPr>
          <w:p w14:paraId="46ACDEF9"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3%</w:t>
            </w:r>
          </w:p>
        </w:tc>
      </w:tr>
      <w:tr w:rsidR="00B13890" w:rsidRPr="00902214" w14:paraId="218BCC39" w14:textId="77777777" w:rsidTr="00883C11">
        <w:trPr>
          <w:trHeight w:val="28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D30D0AA" w14:textId="77777777" w:rsidR="00B13890" w:rsidRPr="00902214" w:rsidRDefault="00B13890" w:rsidP="00883C11">
            <w:pPr>
              <w:spacing w:after="0"/>
              <w:ind w:firstLine="34"/>
              <w:jc w:val="left"/>
              <w:rPr>
                <w:rFonts w:eastAsia="Times New Roman"/>
                <w:color w:val="000000"/>
                <w:sz w:val="18"/>
                <w:szCs w:val="18"/>
              </w:rPr>
            </w:pPr>
            <w:r w:rsidRPr="00902214">
              <w:rPr>
                <w:rFonts w:eastAsia="Times New Roman"/>
                <w:color w:val="000000"/>
                <w:sz w:val="18"/>
                <w:szCs w:val="18"/>
              </w:rPr>
              <w:t>Būvniecības izstrādājumi</w:t>
            </w:r>
          </w:p>
        </w:tc>
        <w:tc>
          <w:tcPr>
            <w:tcW w:w="1276" w:type="dxa"/>
            <w:tcBorders>
              <w:top w:val="nil"/>
              <w:left w:val="nil"/>
              <w:bottom w:val="single" w:sz="4" w:space="0" w:color="auto"/>
              <w:right w:val="single" w:sz="4" w:space="0" w:color="auto"/>
            </w:tcBorders>
            <w:shd w:val="clear" w:color="auto" w:fill="auto"/>
            <w:noWrap/>
            <w:vAlign w:val="center"/>
            <w:hideMark/>
          </w:tcPr>
          <w:p w14:paraId="44C1CE51"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183</w:t>
            </w:r>
          </w:p>
        </w:tc>
        <w:tc>
          <w:tcPr>
            <w:tcW w:w="1276" w:type="dxa"/>
            <w:tcBorders>
              <w:top w:val="nil"/>
              <w:left w:val="nil"/>
              <w:bottom w:val="single" w:sz="4" w:space="0" w:color="auto"/>
              <w:right w:val="single" w:sz="4" w:space="0" w:color="auto"/>
            </w:tcBorders>
            <w:shd w:val="clear" w:color="auto" w:fill="auto"/>
            <w:noWrap/>
            <w:vAlign w:val="center"/>
            <w:hideMark/>
          </w:tcPr>
          <w:p w14:paraId="5A14DAFB"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208</w:t>
            </w:r>
          </w:p>
        </w:tc>
        <w:tc>
          <w:tcPr>
            <w:tcW w:w="1134" w:type="dxa"/>
            <w:tcBorders>
              <w:top w:val="nil"/>
              <w:left w:val="nil"/>
              <w:bottom w:val="single" w:sz="4" w:space="0" w:color="auto"/>
              <w:right w:val="single" w:sz="4" w:space="0" w:color="auto"/>
            </w:tcBorders>
            <w:shd w:val="clear" w:color="auto" w:fill="auto"/>
            <w:noWrap/>
            <w:vAlign w:val="center"/>
            <w:hideMark/>
          </w:tcPr>
          <w:p w14:paraId="6D21BC0D"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25</w:t>
            </w:r>
          </w:p>
        </w:tc>
        <w:tc>
          <w:tcPr>
            <w:tcW w:w="1134" w:type="dxa"/>
            <w:tcBorders>
              <w:top w:val="nil"/>
              <w:left w:val="nil"/>
              <w:bottom w:val="single" w:sz="4" w:space="0" w:color="auto"/>
              <w:right w:val="single" w:sz="4" w:space="0" w:color="auto"/>
            </w:tcBorders>
            <w:shd w:val="clear" w:color="auto" w:fill="auto"/>
            <w:noWrap/>
            <w:vAlign w:val="center"/>
            <w:hideMark/>
          </w:tcPr>
          <w:p w14:paraId="42383C01"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14%</w:t>
            </w:r>
          </w:p>
        </w:tc>
        <w:tc>
          <w:tcPr>
            <w:tcW w:w="1219" w:type="dxa"/>
            <w:tcBorders>
              <w:top w:val="nil"/>
              <w:left w:val="nil"/>
              <w:bottom w:val="single" w:sz="4" w:space="0" w:color="auto"/>
              <w:right w:val="single" w:sz="4" w:space="0" w:color="auto"/>
            </w:tcBorders>
            <w:shd w:val="clear" w:color="auto" w:fill="auto"/>
            <w:noWrap/>
            <w:vAlign w:val="center"/>
            <w:hideMark/>
          </w:tcPr>
          <w:p w14:paraId="0262C0D1"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2%</w:t>
            </w:r>
          </w:p>
        </w:tc>
      </w:tr>
      <w:tr w:rsidR="00B13890" w:rsidRPr="00902214" w14:paraId="7006DC22" w14:textId="77777777" w:rsidTr="00883C11">
        <w:trPr>
          <w:trHeight w:val="28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B266654" w14:textId="77777777" w:rsidR="00B13890" w:rsidRPr="00902214" w:rsidRDefault="00B13890" w:rsidP="00883C11">
            <w:pPr>
              <w:spacing w:after="0"/>
              <w:ind w:firstLine="34"/>
              <w:jc w:val="left"/>
              <w:rPr>
                <w:rFonts w:eastAsia="Times New Roman"/>
                <w:color w:val="000000"/>
                <w:sz w:val="18"/>
                <w:szCs w:val="18"/>
              </w:rPr>
            </w:pPr>
            <w:r w:rsidRPr="00902214">
              <w:rPr>
                <w:rFonts w:eastAsia="Times New Roman"/>
                <w:color w:val="000000"/>
                <w:sz w:val="18"/>
                <w:szCs w:val="18"/>
              </w:rPr>
              <w:t>Papīrs, kartons un poligrāfijas izstrādājumi</w:t>
            </w:r>
          </w:p>
        </w:tc>
        <w:tc>
          <w:tcPr>
            <w:tcW w:w="1276" w:type="dxa"/>
            <w:tcBorders>
              <w:top w:val="nil"/>
              <w:left w:val="nil"/>
              <w:bottom w:val="single" w:sz="4" w:space="0" w:color="auto"/>
              <w:right w:val="single" w:sz="4" w:space="0" w:color="auto"/>
            </w:tcBorders>
            <w:shd w:val="clear" w:color="auto" w:fill="auto"/>
            <w:noWrap/>
            <w:vAlign w:val="center"/>
            <w:hideMark/>
          </w:tcPr>
          <w:p w14:paraId="5B3050CC"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149</w:t>
            </w:r>
          </w:p>
        </w:tc>
        <w:tc>
          <w:tcPr>
            <w:tcW w:w="1276" w:type="dxa"/>
            <w:tcBorders>
              <w:top w:val="nil"/>
              <w:left w:val="nil"/>
              <w:bottom w:val="single" w:sz="4" w:space="0" w:color="auto"/>
              <w:right w:val="single" w:sz="4" w:space="0" w:color="auto"/>
            </w:tcBorders>
            <w:shd w:val="clear" w:color="auto" w:fill="auto"/>
            <w:noWrap/>
            <w:vAlign w:val="center"/>
            <w:hideMark/>
          </w:tcPr>
          <w:p w14:paraId="6798895C"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182</w:t>
            </w:r>
          </w:p>
        </w:tc>
        <w:tc>
          <w:tcPr>
            <w:tcW w:w="1134" w:type="dxa"/>
            <w:tcBorders>
              <w:top w:val="nil"/>
              <w:left w:val="nil"/>
              <w:bottom w:val="single" w:sz="4" w:space="0" w:color="auto"/>
              <w:right w:val="single" w:sz="4" w:space="0" w:color="auto"/>
            </w:tcBorders>
            <w:shd w:val="clear" w:color="auto" w:fill="auto"/>
            <w:noWrap/>
            <w:vAlign w:val="center"/>
            <w:hideMark/>
          </w:tcPr>
          <w:p w14:paraId="61DA73CC"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33</w:t>
            </w:r>
          </w:p>
        </w:tc>
        <w:tc>
          <w:tcPr>
            <w:tcW w:w="1134" w:type="dxa"/>
            <w:tcBorders>
              <w:top w:val="nil"/>
              <w:left w:val="nil"/>
              <w:bottom w:val="single" w:sz="4" w:space="0" w:color="auto"/>
              <w:right w:val="single" w:sz="4" w:space="0" w:color="auto"/>
            </w:tcBorders>
            <w:shd w:val="clear" w:color="auto" w:fill="auto"/>
            <w:noWrap/>
            <w:vAlign w:val="center"/>
            <w:hideMark/>
          </w:tcPr>
          <w:p w14:paraId="14995019"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22%</w:t>
            </w:r>
          </w:p>
        </w:tc>
        <w:tc>
          <w:tcPr>
            <w:tcW w:w="1219" w:type="dxa"/>
            <w:tcBorders>
              <w:top w:val="nil"/>
              <w:left w:val="nil"/>
              <w:bottom w:val="single" w:sz="4" w:space="0" w:color="auto"/>
              <w:right w:val="single" w:sz="4" w:space="0" w:color="auto"/>
            </w:tcBorders>
            <w:shd w:val="clear" w:color="auto" w:fill="auto"/>
            <w:noWrap/>
            <w:vAlign w:val="center"/>
            <w:hideMark/>
          </w:tcPr>
          <w:p w14:paraId="58A293A4" w14:textId="77777777" w:rsidR="00B13890" w:rsidRPr="00902214" w:rsidRDefault="00B13890" w:rsidP="00883C11">
            <w:pPr>
              <w:spacing w:after="0"/>
              <w:ind w:firstLine="34"/>
              <w:jc w:val="center"/>
              <w:rPr>
                <w:rFonts w:eastAsia="Times New Roman"/>
                <w:color w:val="000000"/>
                <w:sz w:val="18"/>
                <w:szCs w:val="18"/>
              </w:rPr>
            </w:pPr>
            <w:r w:rsidRPr="00902214">
              <w:rPr>
                <w:rFonts w:eastAsia="Times New Roman"/>
                <w:color w:val="000000"/>
                <w:sz w:val="18"/>
                <w:szCs w:val="18"/>
              </w:rPr>
              <w:t>2%</w:t>
            </w:r>
          </w:p>
        </w:tc>
      </w:tr>
      <w:tr w:rsidR="00B13890" w:rsidRPr="00902214" w14:paraId="7A41752B" w14:textId="77777777" w:rsidTr="00883C11">
        <w:trPr>
          <w:trHeight w:val="28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237F139" w14:textId="77777777" w:rsidR="00B13890" w:rsidRPr="00902214" w:rsidRDefault="00B13890" w:rsidP="00883C11">
            <w:pPr>
              <w:spacing w:after="0"/>
              <w:ind w:firstLine="34"/>
              <w:jc w:val="left"/>
              <w:rPr>
                <w:rFonts w:eastAsia="Times New Roman"/>
                <w:b/>
                <w:color w:val="000000"/>
                <w:sz w:val="18"/>
                <w:szCs w:val="18"/>
              </w:rPr>
            </w:pPr>
            <w:r w:rsidRPr="00902214">
              <w:rPr>
                <w:rFonts w:eastAsia="Times New Roman"/>
                <w:b/>
                <w:color w:val="000000"/>
                <w:sz w:val="18"/>
                <w:szCs w:val="18"/>
              </w:rPr>
              <w:t>Pavisam</w:t>
            </w:r>
          </w:p>
        </w:tc>
        <w:tc>
          <w:tcPr>
            <w:tcW w:w="1276" w:type="dxa"/>
            <w:tcBorders>
              <w:top w:val="nil"/>
              <w:left w:val="nil"/>
              <w:bottom w:val="single" w:sz="4" w:space="0" w:color="auto"/>
              <w:right w:val="single" w:sz="4" w:space="0" w:color="auto"/>
            </w:tcBorders>
            <w:shd w:val="clear" w:color="auto" w:fill="auto"/>
            <w:noWrap/>
            <w:vAlign w:val="center"/>
            <w:hideMark/>
          </w:tcPr>
          <w:p w14:paraId="472DEEB3" w14:textId="77777777" w:rsidR="00B13890" w:rsidRPr="00902214" w:rsidRDefault="00B13890" w:rsidP="00883C11">
            <w:pPr>
              <w:spacing w:after="0"/>
              <w:ind w:firstLine="34"/>
              <w:jc w:val="center"/>
              <w:rPr>
                <w:rFonts w:eastAsia="Times New Roman"/>
                <w:b/>
                <w:color w:val="000000"/>
                <w:sz w:val="18"/>
                <w:szCs w:val="18"/>
              </w:rPr>
            </w:pPr>
            <w:r w:rsidRPr="00902214">
              <w:rPr>
                <w:rFonts w:eastAsia="Times New Roman"/>
                <w:b/>
                <w:color w:val="000000"/>
                <w:sz w:val="18"/>
                <w:szCs w:val="18"/>
              </w:rPr>
              <w:t>7168</w:t>
            </w:r>
          </w:p>
        </w:tc>
        <w:tc>
          <w:tcPr>
            <w:tcW w:w="1276" w:type="dxa"/>
            <w:tcBorders>
              <w:top w:val="nil"/>
              <w:left w:val="nil"/>
              <w:bottom w:val="single" w:sz="4" w:space="0" w:color="auto"/>
              <w:right w:val="single" w:sz="4" w:space="0" w:color="auto"/>
            </w:tcBorders>
            <w:shd w:val="clear" w:color="auto" w:fill="auto"/>
            <w:noWrap/>
            <w:vAlign w:val="center"/>
            <w:hideMark/>
          </w:tcPr>
          <w:p w14:paraId="482B1E72" w14:textId="77777777" w:rsidR="00B13890" w:rsidRPr="00902214" w:rsidRDefault="00B13890" w:rsidP="00883C11">
            <w:pPr>
              <w:spacing w:after="0"/>
              <w:ind w:firstLine="34"/>
              <w:jc w:val="center"/>
              <w:rPr>
                <w:rFonts w:eastAsia="Times New Roman"/>
                <w:b/>
                <w:color w:val="000000"/>
                <w:sz w:val="18"/>
                <w:szCs w:val="18"/>
              </w:rPr>
            </w:pPr>
            <w:r w:rsidRPr="00902214">
              <w:rPr>
                <w:rFonts w:eastAsia="Times New Roman"/>
                <w:b/>
                <w:color w:val="000000"/>
                <w:sz w:val="18"/>
                <w:szCs w:val="18"/>
              </w:rPr>
              <w:t>8689</w:t>
            </w:r>
          </w:p>
        </w:tc>
        <w:tc>
          <w:tcPr>
            <w:tcW w:w="1134" w:type="dxa"/>
            <w:tcBorders>
              <w:top w:val="nil"/>
              <w:left w:val="nil"/>
              <w:bottom w:val="single" w:sz="4" w:space="0" w:color="auto"/>
              <w:right w:val="single" w:sz="4" w:space="0" w:color="auto"/>
            </w:tcBorders>
            <w:shd w:val="clear" w:color="auto" w:fill="auto"/>
            <w:noWrap/>
            <w:vAlign w:val="center"/>
            <w:hideMark/>
          </w:tcPr>
          <w:p w14:paraId="393BD7F4" w14:textId="77777777" w:rsidR="00B13890" w:rsidRPr="00902214" w:rsidRDefault="00B13890" w:rsidP="00883C11">
            <w:pPr>
              <w:spacing w:after="0"/>
              <w:ind w:firstLine="34"/>
              <w:jc w:val="center"/>
              <w:rPr>
                <w:rFonts w:eastAsia="Times New Roman"/>
                <w:b/>
                <w:color w:val="000000"/>
                <w:sz w:val="18"/>
                <w:szCs w:val="18"/>
              </w:rPr>
            </w:pPr>
            <w:r w:rsidRPr="00902214">
              <w:rPr>
                <w:rFonts w:eastAsia="Times New Roman"/>
                <w:b/>
                <w:color w:val="000000"/>
                <w:sz w:val="18"/>
                <w:szCs w:val="18"/>
              </w:rPr>
              <w:t>1521</w:t>
            </w:r>
          </w:p>
        </w:tc>
        <w:tc>
          <w:tcPr>
            <w:tcW w:w="1134" w:type="dxa"/>
            <w:tcBorders>
              <w:top w:val="nil"/>
              <w:left w:val="nil"/>
              <w:bottom w:val="single" w:sz="4" w:space="0" w:color="auto"/>
              <w:right w:val="single" w:sz="4" w:space="0" w:color="auto"/>
            </w:tcBorders>
            <w:shd w:val="clear" w:color="auto" w:fill="auto"/>
            <w:noWrap/>
            <w:vAlign w:val="center"/>
            <w:hideMark/>
          </w:tcPr>
          <w:p w14:paraId="47D86BA1" w14:textId="77777777" w:rsidR="00B13890" w:rsidRPr="00902214" w:rsidRDefault="00B13890" w:rsidP="00883C11">
            <w:pPr>
              <w:spacing w:after="0"/>
              <w:ind w:firstLine="34"/>
              <w:jc w:val="center"/>
              <w:rPr>
                <w:rFonts w:eastAsia="Times New Roman"/>
                <w:b/>
                <w:color w:val="000000"/>
                <w:sz w:val="18"/>
                <w:szCs w:val="18"/>
              </w:rPr>
            </w:pPr>
            <w:r w:rsidRPr="00902214">
              <w:rPr>
                <w:rFonts w:eastAsia="Times New Roman"/>
                <w:b/>
                <w:color w:val="000000"/>
                <w:sz w:val="18"/>
                <w:szCs w:val="18"/>
              </w:rPr>
              <w:t>21%</w:t>
            </w:r>
          </w:p>
        </w:tc>
        <w:tc>
          <w:tcPr>
            <w:tcW w:w="1219" w:type="dxa"/>
            <w:tcBorders>
              <w:top w:val="nil"/>
              <w:left w:val="nil"/>
              <w:bottom w:val="single" w:sz="4" w:space="0" w:color="auto"/>
              <w:right w:val="single" w:sz="4" w:space="0" w:color="auto"/>
            </w:tcBorders>
            <w:shd w:val="clear" w:color="auto" w:fill="auto"/>
            <w:noWrap/>
            <w:vAlign w:val="center"/>
            <w:hideMark/>
          </w:tcPr>
          <w:p w14:paraId="54A5DDF9" w14:textId="77777777" w:rsidR="00B13890" w:rsidRPr="00902214" w:rsidRDefault="00B13890" w:rsidP="00883C11">
            <w:pPr>
              <w:spacing w:after="0"/>
              <w:ind w:firstLine="34"/>
              <w:jc w:val="center"/>
              <w:rPr>
                <w:rFonts w:eastAsia="Times New Roman"/>
                <w:b/>
                <w:color w:val="000000"/>
                <w:sz w:val="18"/>
                <w:szCs w:val="18"/>
              </w:rPr>
            </w:pPr>
            <w:r w:rsidRPr="00902214">
              <w:rPr>
                <w:rFonts w:eastAsia="Times New Roman"/>
                <w:b/>
                <w:color w:val="000000"/>
                <w:sz w:val="18"/>
                <w:szCs w:val="18"/>
              </w:rPr>
              <w:t>100%</w:t>
            </w:r>
          </w:p>
        </w:tc>
      </w:tr>
    </w:tbl>
    <w:p w14:paraId="3267CF80" w14:textId="77777777" w:rsidR="00883C11" w:rsidRDefault="00883C11" w:rsidP="00883C11">
      <w:pPr>
        <w:spacing w:after="0"/>
        <w:ind w:firstLine="0"/>
        <w:jc w:val="center"/>
        <w:rPr>
          <w:rFonts w:eastAsia="Calibri"/>
          <w:b/>
          <w:i/>
        </w:rPr>
      </w:pPr>
    </w:p>
    <w:p w14:paraId="3C38D90C" w14:textId="3EF607D6" w:rsidR="00B13890" w:rsidRPr="00A74117" w:rsidRDefault="00B13890" w:rsidP="00883C11">
      <w:pPr>
        <w:spacing w:before="120"/>
        <w:rPr>
          <w:rFonts w:eastAsia="Calibri"/>
        </w:rPr>
      </w:pPr>
      <w:r w:rsidRPr="00A74117">
        <w:rPr>
          <w:rFonts w:eastAsia="Calibri"/>
        </w:rPr>
        <w:t>Atšķirībā no preču eksporta</w:t>
      </w:r>
      <w:r>
        <w:rPr>
          <w:rFonts w:eastAsia="Calibri"/>
        </w:rPr>
        <w:t>,</w:t>
      </w:r>
      <w:r w:rsidRPr="00A74117">
        <w:rPr>
          <w:rFonts w:eastAsia="Calibri"/>
        </w:rPr>
        <w:t xml:space="preserve"> pandēmijas negatīvā ietekme uz pakalpojumu</w:t>
      </w:r>
      <w:r w:rsidR="00FD3D18">
        <w:rPr>
          <w:rFonts w:eastAsia="Calibri"/>
        </w:rPr>
        <w:t xml:space="preserve"> eksportu joprojām ir jūtama. Šī gada pirmajos septiņos</w:t>
      </w:r>
      <w:r w:rsidRPr="00A74117">
        <w:rPr>
          <w:rFonts w:eastAsia="Calibri"/>
        </w:rPr>
        <w:t xml:space="preserve"> mēnešos kopējais pakalpojumu eksports faktiskajās cenās palielinājās par 2,0% salīdzinājumā ar attiecīgo periodu pērn. Pozitīva pakalpojumu eksporta dinamika fiksēta sākot no </w:t>
      </w:r>
      <w:r>
        <w:rPr>
          <w:rFonts w:eastAsia="Calibri"/>
        </w:rPr>
        <w:t>šā gada</w:t>
      </w:r>
      <w:r w:rsidRPr="00A74117">
        <w:rPr>
          <w:rFonts w:eastAsia="Calibri"/>
        </w:rPr>
        <w:t xml:space="preserve">. aprīļa un galvenokārt tā ir saistīta ar zemo bāzi pērn, kad pakalpojumu eksporta kritums bija ap 30%. Lai arī pēdējos mēnešos pakalpojumu eksports pieaug, tā vērtība </w:t>
      </w:r>
      <w:r>
        <w:rPr>
          <w:rFonts w:eastAsia="Calibri"/>
        </w:rPr>
        <w:t>saglabājas</w:t>
      </w:r>
      <w:r w:rsidRPr="00A74117">
        <w:rPr>
          <w:rFonts w:eastAsia="Calibri"/>
        </w:rPr>
        <w:t xml:space="preserve"> zema un aptuveni par 20% atpaliek no pirms Covid-19 līmeņa. Situācija tūrisma un aviopārvadājumu nozarēs saglabājas sarežģīta</w:t>
      </w:r>
      <w:r>
        <w:rPr>
          <w:rFonts w:eastAsia="Calibri"/>
        </w:rPr>
        <w:t>, ko ietekmē epidemioloģiskā situācija un ierobežojumi</w:t>
      </w:r>
      <w:r w:rsidRPr="00A74117">
        <w:rPr>
          <w:rFonts w:eastAsia="Calibri"/>
        </w:rPr>
        <w:t xml:space="preserve">, </w:t>
      </w:r>
      <w:r>
        <w:rPr>
          <w:rFonts w:eastAsia="Calibri"/>
        </w:rPr>
        <w:t xml:space="preserve">kavējot </w:t>
      </w:r>
      <w:r w:rsidRPr="00A74117">
        <w:rPr>
          <w:rFonts w:eastAsia="Calibri"/>
        </w:rPr>
        <w:t>attīstī</w:t>
      </w:r>
      <w:r>
        <w:rPr>
          <w:rFonts w:eastAsia="Calibri"/>
        </w:rPr>
        <w:t>bu</w:t>
      </w:r>
      <w:r w:rsidRPr="00A74117">
        <w:rPr>
          <w:rFonts w:eastAsia="Calibri"/>
        </w:rPr>
        <w:t xml:space="preserve">. </w:t>
      </w:r>
    </w:p>
    <w:p w14:paraId="03DBF837" w14:textId="77777777" w:rsidR="0099640B" w:rsidRDefault="00B13890" w:rsidP="00B13890">
      <w:pPr>
        <w:spacing w:before="120"/>
        <w:rPr>
          <w:rFonts w:eastAsia="Calibri"/>
        </w:rPr>
      </w:pPr>
      <w:r w:rsidRPr="00A74117">
        <w:rPr>
          <w:rFonts w:eastAsia="Calibri"/>
        </w:rPr>
        <w:t>Neskatoties u</w:t>
      </w:r>
      <w:r w:rsidR="00FD3D18">
        <w:rPr>
          <w:rFonts w:eastAsia="Calibri"/>
        </w:rPr>
        <w:t>z to, ka līdz vasaras nogalei Eiropas Savienībā</w:t>
      </w:r>
      <w:r w:rsidRPr="00A74117">
        <w:rPr>
          <w:rFonts w:eastAsia="Calibri"/>
        </w:rPr>
        <w:t xml:space="preserve"> vidēji bija sasnieg</w:t>
      </w:r>
      <w:r w:rsidR="00FD3D18">
        <w:rPr>
          <w:rFonts w:eastAsia="Calibri"/>
        </w:rPr>
        <w:t>t</w:t>
      </w:r>
      <w:r w:rsidRPr="00A74117">
        <w:rPr>
          <w:rFonts w:eastAsia="Calibri"/>
        </w:rPr>
        <w:t>s nozīmīgs mēr</w:t>
      </w:r>
      <w:r>
        <w:rPr>
          <w:rFonts w:eastAsia="Calibri"/>
        </w:rPr>
        <w:t>ķ</w:t>
      </w:r>
      <w:r w:rsidRPr="00A74117">
        <w:rPr>
          <w:rFonts w:eastAsia="Calibri"/>
        </w:rPr>
        <w:t>rādītājs cīņā pret pandēmiju – 70% pieaugušo iedzīv</w:t>
      </w:r>
      <w:r w:rsidR="00FD3D18">
        <w:rPr>
          <w:rFonts w:eastAsia="Calibri"/>
        </w:rPr>
        <w:t>otāju bija pilnība vakcinēti, Eiropas Savienības</w:t>
      </w:r>
      <w:r w:rsidRPr="00A74117">
        <w:rPr>
          <w:rFonts w:eastAsia="Calibri"/>
        </w:rPr>
        <w:t xml:space="preserve"> dalībvalstīs </w:t>
      </w:r>
      <w:r>
        <w:rPr>
          <w:rFonts w:eastAsia="Calibri"/>
        </w:rPr>
        <w:t xml:space="preserve">joprojām </w:t>
      </w:r>
      <w:r w:rsidRPr="00A74117">
        <w:rPr>
          <w:rFonts w:eastAsia="Calibri"/>
        </w:rPr>
        <w:t>pastā</w:t>
      </w:r>
      <w:r>
        <w:rPr>
          <w:rFonts w:eastAsia="Calibri"/>
        </w:rPr>
        <w:t>v</w:t>
      </w:r>
      <w:r w:rsidRPr="00A74117">
        <w:rPr>
          <w:rFonts w:eastAsia="Calibri"/>
        </w:rPr>
        <w:t xml:space="preserve"> cilvēku pulcēšanās ierobežojumi. Savukārt nevakcinētiem cilvēkiem ārvalstu ceļošanu sarežģī</w:t>
      </w:r>
    </w:p>
    <w:p w14:paraId="6BEB86E3" w14:textId="6D021491" w:rsidR="00B13890" w:rsidRPr="00A74117" w:rsidRDefault="00B13890" w:rsidP="00B13890">
      <w:pPr>
        <w:spacing w:before="120"/>
        <w:rPr>
          <w:rFonts w:eastAsia="Calibri"/>
        </w:rPr>
      </w:pPr>
      <w:r w:rsidRPr="00A74117">
        <w:rPr>
          <w:rFonts w:eastAsia="Calibri"/>
        </w:rPr>
        <w:t xml:space="preserve"> nepieciešamība</w:t>
      </w:r>
      <w:r>
        <w:rPr>
          <w:rFonts w:eastAsia="Calibri"/>
        </w:rPr>
        <w:t xml:space="preserve"> nodot</w:t>
      </w:r>
      <w:r w:rsidRPr="00A74117">
        <w:rPr>
          <w:rFonts w:eastAsia="Calibri"/>
        </w:rPr>
        <w:t xml:space="preserve"> Covid-19 analīzes un ievērot karantīnu. Tādējādi tūristu plūsma joprojām turpina samazināties. </w:t>
      </w:r>
      <w:r>
        <w:rPr>
          <w:rFonts w:eastAsia="Calibri"/>
        </w:rPr>
        <w:t>Šā gada</w:t>
      </w:r>
      <w:r w:rsidRPr="00A74117">
        <w:rPr>
          <w:rFonts w:eastAsia="Calibri"/>
        </w:rPr>
        <w:t xml:space="preserve"> septiņos mēnešos ārvalstu tūristu skaits Latvijā bija par </w:t>
      </w:r>
      <w:r w:rsidRPr="00A74117">
        <w:rPr>
          <w:rFonts w:eastAsia="Calibri"/>
        </w:rPr>
        <w:lastRenderedPageBreak/>
        <w:t>69% mazāks nekā pērnā gad</w:t>
      </w:r>
      <w:r>
        <w:rPr>
          <w:rFonts w:eastAsia="Calibri"/>
        </w:rPr>
        <w:t>a</w:t>
      </w:r>
      <w:r w:rsidRPr="00A74117">
        <w:rPr>
          <w:rFonts w:eastAsia="Calibri"/>
        </w:rPr>
        <w:t xml:space="preserve"> attiecīgajā periodā.</w:t>
      </w:r>
      <w:r>
        <w:rPr>
          <w:rFonts w:eastAsia="Calibri"/>
        </w:rPr>
        <w:t xml:space="preserve"> Šāds kritums ir iespaidīgs, </w:t>
      </w:r>
      <w:r w:rsidRPr="00A74117">
        <w:rPr>
          <w:rFonts w:eastAsia="Calibri"/>
        </w:rPr>
        <w:t>ņemot vērā, ka jau 2020</w:t>
      </w:r>
      <w:r>
        <w:rPr>
          <w:rFonts w:eastAsia="Calibri"/>
        </w:rPr>
        <w:t>. gada</w:t>
      </w:r>
      <w:r w:rsidRPr="00A74117">
        <w:rPr>
          <w:rFonts w:eastAsia="Calibri"/>
        </w:rPr>
        <w:t xml:space="preserve"> pirmajos septiņos mēnešos apkalpoto ārvalstu tūristu skaits Latvijas viesnīcās ir samazinājies par 56,9%. Ārvalstu tūristu izdevumi Latvijā </w:t>
      </w:r>
      <w:r>
        <w:rPr>
          <w:rFonts w:eastAsia="Calibri"/>
        </w:rPr>
        <w:t xml:space="preserve">šā gada </w:t>
      </w:r>
      <w:r w:rsidRPr="00A74117">
        <w:rPr>
          <w:rFonts w:eastAsia="Calibri"/>
        </w:rPr>
        <w:t xml:space="preserve">septiņos mēnešos bija par 56,6% mazāki nekā pērn attiecīgajā periodā. Tādējādi ārvalstu tūristu izdevumu kritums atstāja lielāko negatīvo ietekmi uz pakalpojumu eksportu. Arī Rīgas lidostā </w:t>
      </w:r>
      <w:r>
        <w:rPr>
          <w:rFonts w:eastAsia="Calibri"/>
        </w:rPr>
        <w:t>šā gada</w:t>
      </w:r>
      <w:r w:rsidRPr="00A74117">
        <w:rPr>
          <w:rFonts w:eastAsia="Calibri"/>
        </w:rPr>
        <w:t xml:space="preserve"> pirmajos septiņos mēnešos apkalpoto pasažieru skaits bija 703 tūkst. cilvēku</w:t>
      </w:r>
      <w:r>
        <w:rPr>
          <w:rFonts w:eastAsia="Calibri"/>
        </w:rPr>
        <w:t xml:space="preserve"> jeb par </w:t>
      </w:r>
      <w:r w:rsidRPr="00A74117">
        <w:rPr>
          <w:rFonts w:eastAsia="Calibri"/>
        </w:rPr>
        <w:t xml:space="preserve">53,3% </w:t>
      </w:r>
      <w:r>
        <w:rPr>
          <w:rFonts w:eastAsia="Calibri"/>
        </w:rPr>
        <w:t xml:space="preserve">mazāk </w:t>
      </w:r>
      <w:r w:rsidRPr="00A74117">
        <w:rPr>
          <w:rFonts w:eastAsia="Calibri"/>
        </w:rPr>
        <w:t xml:space="preserve">salīdzinājumā ar attiecīgo periodu pērn, kas </w:t>
      </w:r>
      <w:r>
        <w:rPr>
          <w:rFonts w:eastAsia="Calibri"/>
        </w:rPr>
        <w:t xml:space="preserve">atbilst </w:t>
      </w:r>
      <w:r w:rsidRPr="00A74117">
        <w:rPr>
          <w:rFonts w:eastAsia="Calibri"/>
        </w:rPr>
        <w:t xml:space="preserve">ārvalstu tūristu </w:t>
      </w:r>
      <w:r>
        <w:rPr>
          <w:rFonts w:eastAsia="Calibri"/>
        </w:rPr>
        <w:t>skaita kritumam</w:t>
      </w:r>
      <w:r w:rsidRPr="00A74117">
        <w:rPr>
          <w:rFonts w:eastAsia="Calibri"/>
        </w:rPr>
        <w:t>. Tikmēr apkalpoto lidmašīnu skaits ir samazinājies mazāk, kopumā par 28,6%.</w:t>
      </w:r>
    </w:p>
    <w:p w14:paraId="45A29106" w14:textId="77777777" w:rsidR="00B13890" w:rsidRPr="00A74117" w:rsidRDefault="00B13890" w:rsidP="00B13890">
      <w:pPr>
        <w:spacing w:before="120"/>
        <w:rPr>
          <w:rFonts w:eastAsia="Calibri"/>
        </w:rPr>
      </w:pPr>
      <w:r w:rsidRPr="00A74117">
        <w:rPr>
          <w:rFonts w:eastAsia="Calibri"/>
        </w:rPr>
        <w:t xml:space="preserve">Transporta pakalpojumu eksports </w:t>
      </w:r>
      <w:r>
        <w:rPr>
          <w:rFonts w:eastAsia="Calibri"/>
        </w:rPr>
        <w:t>šā gada</w:t>
      </w:r>
      <w:r w:rsidRPr="00A74117">
        <w:rPr>
          <w:rFonts w:eastAsia="Calibri"/>
        </w:rPr>
        <w:t xml:space="preserve"> septiņos mēnešos ir palielinājies par 2,4%. Detalizēti dati par transporta pakalpojumu veidiem tieši septiņos mēnešos nav pieejami, bet pirmā pusgada rezultāti liecina, ka transporta pakalpojumu eksportu veicināja sniegto autotransporta kravu pārvadājumu pakalpojumu pieaugums ārvalstīs par 9,8%, kamēr pārējo transporta pakalpojumu eksports ir samazinājies. Gaisa transporta pakalpojumu eksports bija par 41,7%, jūras transporta pakalpojumu eksports – par 8,3%, bet </w:t>
      </w:r>
      <w:r>
        <w:rPr>
          <w:rFonts w:eastAsia="Calibri"/>
        </w:rPr>
        <w:t>dzelzceļa transporta pakalpojumu eksports</w:t>
      </w:r>
      <w:r w:rsidRPr="00A74117">
        <w:rPr>
          <w:rFonts w:eastAsia="Calibri"/>
        </w:rPr>
        <w:t xml:space="preserve"> – par 6,3%</w:t>
      </w:r>
      <w:r>
        <w:rPr>
          <w:rFonts w:eastAsia="Calibri"/>
        </w:rPr>
        <w:t xml:space="preserve"> zemāks nekā pirms gada.</w:t>
      </w:r>
      <w:r w:rsidRPr="00A74117">
        <w:rPr>
          <w:rFonts w:eastAsia="Calibri"/>
        </w:rPr>
        <w:t xml:space="preserve"> </w:t>
      </w:r>
    </w:p>
    <w:p w14:paraId="08A27604" w14:textId="77777777" w:rsidR="00B13890" w:rsidRDefault="00B13890" w:rsidP="00B13890">
      <w:pPr>
        <w:spacing w:before="120"/>
        <w:rPr>
          <w:rFonts w:eastAsia="Calibri"/>
        </w:rPr>
      </w:pPr>
      <w:r w:rsidRPr="00A74117">
        <w:rPr>
          <w:rFonts w:eastAsia="Calibri"/>
        </w:rPr>
        <w:t>Pārējo pakalpojumu eksporta vērtība septiņos mēnešos ir palielinājusies par 12,6%. To veicināja informācijas un datorpakalpojumu, telesakaru pakalpojum</w:t>
      </w:r>
      <w:r>
        <w:rPr>
          <w:rFonts w:eastAsia="Calibri"/>
        </w:rPr>
        <w:t>u</w:t>
      </w:r>
      <w:r w:rsidRPr="00A74117">
        <w:rPr>
          <w:rFonts w:eastAsia="Calibri"/>
        </w:rPr>
        <w:t>, kā arī citu saimnieciskās dar</w:t>
      </w:r>
      <w:r>
        <w:rPr>
          <w:rFonts w:eastAsia="Calibri"/>
        </w:rPr>
        <w:t>bības pakalpojumu eksports. Šāds</w:t>
      </w:r>
      <w:r w:rsidRPr="00A74117">
        <w:rPr>
          <w:rFonts w:eastAsia="Calibri"/>
        </w:rPr>
        <w:t xml:space="preserve"> pārējo pakalpojumu eksporta pieaugum</w:t>
      </w:r>
      <w:r>
        <w:rPr>
          <w:rFonts w:eastAsia="Calibri"/>
        </w:rPr>
        <w:t>s</w:t>
      </w:r>
      <w:r w:rsidRPr="00A74117">
        <w:rPr>
          <w:rFonts w:eastAsia="Calibri"/>
        </w:rPr>
        <w:t xml:space="preserve"> jāvērtē pozitīvi, tomēr salīdzinājumā ar vidējo preču eksporta pieaugumu, augstākminēto pakalpojumu eksporta pieaugums būtiski atpaliek. Jāatzīmē arī to, ka pandēmijas laikā, būtiski palielinoties pieprasījumam pēc informācijas tehnoloģiju pakalpojumiem un citiem attālināto pakalpojumu veidiem, informācijas un datorpakalpojumu eksports pieauga par 10,4% un telesakaru pakal</w:t>
      </w:r>
      <w:r>
        <w:rPr>
          <w:rFonts w:eastAsia="Calibri"/>
        </w:rPr>
        <w:t>pojumu eksports – par 4,5% (1.37.</w:t>
      </w:r>
      <w:r w:rsidRPr="00A74117">
        <w:rPr>
          <w:rFonts w:eastAsia="Calibri"/>
        </w:rPr>
        <w:t xml:space="preserve"> un </w:t>
      </w:r>
      <w:r>
        <w:rPr>
          <w:rFonts w:eastAsia="Calibri"/>
        </w:rPr>
        <w:t>1.38.</w:t>
      </w:r>
      <w:r w:rsidRPr="00A74117">
        <w:rPr>
          <w:rFonts w:eastAsia="Calibri"/>
        </w:rPr>
        <w:t xml:space="preserve"> attēls)</w:t>
      </w:r>
      <w:r>
        <w:rPr>
          <w:rFonts w:eastAsia="Calibr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0"/>
        <w:gridCol w:w="4591"/>
      </w:tblGrid>
      <w:tr w:rsidR="00B13890" w:rsidRPr="00EE05FE" w14:paraId="0969DD09" w14:textId="77777777" w:rsidTr="00FD3D18">
        <w:tc>
          <w:tcPr>
            <w:tcW w:w="4480" w:type="dxa"/>
          </w:tcPr>
          <w:p w14:paraId="5B961AF8" w14:textId="46FCE76A" w:rsidR="00B13890" w:rsidRPr="00897BC0" w:rsidRDefault="00B13890" w:rsidP="00B13890">
            <w:pPr>
              <w:spacing w:before="60" w:after="60"/>
              <w:jc w:val="center"/>
              <w:rPr>
                <w:b/>
                <w:bCs/>
                <w:i/>
              </w:rPr>
            </w:pPr>
          </w:p>
        </w:tc>
        <w:tc>
          <w:tcPr>
            <w:tcW w:w="4591" w:type="dxa"/>
          </w:tcPr>
          <w:p w14:paraId="289579AE" w14:textId="7785117D" w:rsidR="00B13890" w:rsidRPr="00897BC0" w:rsidRDefault="00B13890" w:rsidP="00B13890">
            <w:pPr>
              <w:spacing w:before="60" w:after="60"/>
              <w:jc w:val="center"/>
              <w:rPr>
                <w:b/>
                <w:bCs/>
                <w:i/>
              </w:rPr>
            </w:pPr>
          </w:p>
        </w:tc>
      </w:tr>
      <w:tr w:rsidR="00B13890" w:rsidRPr="00EE05FE" w14:paraId="4D96D045" w14:textId="77777777" w:rsidTr="00FD3D18">
        <w:tc>
          <w:tcPr>
            <w:tcW w:w="4480" w:type="dxa"/>
          </w:tcPr>
          <w:p w14:paraId="3D51470F" w14:textId="77777777" w:rsidR="00B13890" w:rsidRPr="00897BC0" w:rsidRDefault="00B13890" w:rsidP="00B13890">
            <w:pPr>
              <w:spacing w:before="60" w:after="60"/>
              <w:jc w:val="center"/>
              <w:rPr>
                <w:b/>
                <w:bCs/>
                <w:i/>
              </w:rPr>
            </w:pPr>
            <w:r>
              <w:rPr>
                <w:noProof/>
              </w:rPr>
              <w:lastRenderedPageBreak/>
              <w:drawing>
                <wp:inline distT="0" distB="0" distL="0" distR="0" wp14:anchorId="2A1A6CBB" wp14:editId="52CA12EE">
                  <wp:extent cx="2475781" cy="4334510"/>
                  <wp:effectExtent l="0" t="0" r="1270" b="8890"/>
                  <wp:docPr id="31" name="Chart 31">
                    <a:extLst xmlns:a="http://schemas.openxmlformats.org/drawingml/2006/main">
                      <a:ext uri="{FF2B5EF4-FFF2-40B4-BE49-F238E27FC236}">
                        <a16:creationId xmlns:a16="http://schemas.microsoft.com/office/drawing/2014/main" id="{00000000-0008-0000-28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4591" w:type="dxa"/>
          </w:tcPr>
          <w:p w14:paraId="721FEB67" w14:textId="77777777" w:rsidR="00B13890" w:rsidRPr="00897BC0" w:rsidRDefault="00B13890" w:rsidP="00B13890">
            <w:pPr>
              <w:spacing w:before="60" w:after="60"/>
              <w:jc w:val="center"/>
              <w:rPr>
                <w:b/>
                <w:bCs/>
                <w:i/>
              </w:rPr>
            </w:pPr>
            <w:r>
              <w:rPr>
                <w:noProof/>
              </w:rPr>
              <w:drawing>
                <wp:inline distT="0" distB="0" distL="0" distR="0" wp14:anchorId="2D451BDD" wp14:editId="4F4ABA3C">
                  <wp:extent cx="2544972" cy="4334510"/>
                  <wp:effectExtent l="0" t="0" r="8255" b="889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r w:rsidR="00FD3D18" w:rsidRPr="00897BC0" w14:paraId="3B365F74" w14:textId="77777777" w:rsidTr="00FD3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80" w:type="dxa"/>
            <w:tcBorders>
              <w:top w:val="nil"/>
              <w:left w:val="nil"/>
              <w:bottom w:val="nil"/>
              <w:right w:val="nil"/>
            </w:tcBorders>
          </w:tcPr>
          <w:p w14:paraId="3A2BB312" w14:textId="596F115B" w:rsidR="00FD3D18" w:rsidRPr="00CA66D3" w:rsidRDefault="00FD3D18" w:rsidP="00FD3D18">
            <w:pPr>
              <w:spacing w:before="60" w:after="60"/>
              <w:ind w:firstLine="34"/>
              <w:jc w:val="center"/>
              <w:rPr>
                <w:b/>
                <w:bCs/>
              </w:rPr>
            </w:pPr>
            <w:r w:rsidRPr="00CA66D3">
              <w:rPr>
                <w:b/>
                <w:bCs/>
              </w:rPr>
              <w:t>1.37. attēls</w:t>
            </w:r>
            <w:r w:rsidR="00CA66D3">
              <w:rPr>
                <w:b/>
                <w:bCs/>
              </w:rPr>
              <w:t>.</w:t>
            </w:r>
            <w:r w:rsidRPr="00CA66D3">
              <w:rPr>
                <w:b/>
                <w:bCs/>
              </w:rPr>
              <w:t xml:space="preserve"> Latvijas pakalpojumu eksports faktiskajās cenās pa grupām, devumi (pp) un kopējais pieaugums (%)</w:t>
            </w:r>
          </w:p>
        </w:tc>
        <w:tc>
          <w:tcPr>
            <w:tcW w:w="4591" w:type="dxa"/>
            <w:tcBorders>
              <w:top w:val="nil"/>
              <w:left w:val="nil"/>
              <w:bottom w:val="nil"/>
              <w:right w:val="nil"/>
            </w:tcBorders>
          </w:tcPr>
          <w:p w14:paraId="398194CD" w14:textId="5F4D252B" w:rsidR="00FD3D18" w:rsidRPr="00CA66D3" w:rsidRDefault="00FD3D18" w:rsidP="00FD3D18">
            <w:pPr>
              <w:spacing w:before="60" w:after="60"/>
              <w:ind w:firstLine="0"/>
              <w:jc w:val="center"/>
              <w:rPr>
                <w:b/>
                <w:bCs/>
              </w:rPr>
            </w:pPr>
            <w:r w:rsidRPr="00CA66D3">
              <w:rPr>
                <w:b/>
                <w:bCs/>
              </w:rPr>
              <w:t>1.38. attēls</w:t>
            </w:r>
            <w:r w:rsidR="00CA66D3">
              <w:rPr>
                <w:b/>
                <w:bCs/>
              </w:rPr>
              <w:t>.</w:t>
            </w:r>
            <w:r w:rsidRPr="00CA66D3">
              <w:rPr>
                <w:b/>
                <w:bCs/>
              </w:rPr>
              <w:t xml:space="preserve"> Latvijas pakalpojumu eksports faktiskajās cenās pa grupām (milj. </w:t>
            </w:r>
            <w:r w:rsidRPr="00CA66D3">
              <w:rPr>
                <w:b/>
                <w:bCs/>
                <w:i/>
              </w:rPr>
              <w:t>euro</w:t>
            </w:r>
            <w:r w:rsidRPr="00CA66D3">
              <w:rPr>
                <w:b/>
                <w:bCs/>
              </w:rPr>
              <w:t>)</w:t>
            </w:r>
          </w:p>
        </w:tc>
      </w:tr>
    </w:tbl>
    <w:p w14:paraId="2DC0B8AA" w14:textId="0C940C09" w:rsidR="00B13890" w:rsidRPr="007517F1" w:rsidRDefault="00B13890" w:rsidP="00FD3D18">
      <w:pPr>
        <w:spacing w:before="120"/>
        <w:rPr>
          <w:rFonts w:eastAsia="Calibri"/>
        </w:rPr>
      </w:pPr>
      <w:r w:rsidRPr="007517F1">
        <w:rPr>
          <w:rFonts w:eastAsia="Calibri"/>
        </w:rPr>
        <w:t xml:space="preserve">Tāpat kā eksports, arī </w:t>
      </w:r>
      <w:r w:rsidRPr="007517F1">
        <w:rPr>
          <w:rFonts w:eastAsia="Calibri"/>
          <w:b/>
        </w:rPr>
        <w:t>preču un pakalpojumu imports</w:t>
      </w:r>
      <w:r w:rsidRPr="007517F1">
        <w:rPr>
          <w:rFonts w:eastAsia="Calibri"/>
        </w:rPr>
        <w:t xml:space="preserve"> 2020</w:t>
      </w:r>
      <w:r>
        <w:rPr>
          <w:rFonts w:eastAsia="Calibri"/>
        </w:rPr>
        <w:t>. gad</w:t>
      </w:r>
      <w:r w:rsidRPr="007517F1">
        <w:rPr>
          <w:rFonts w:eastAsia="Calibri"/>
        </w:rPr>
        <w:t>ā saruka. Mazinoties ekonomikas aktivitātei Latvijā, mazinājās arī pieprasījums pēc importa precēm, galvenokārt pēc starppatēriņa precēm, kas tiek izmantotas ražošanas procesā. Savukārt ārējā pieprasījuma kritums negatīvi ietekmēja satiksmes līdzekļu reeksporta apjomus, tādējādi mazinot kapitālpreču importu. Kopējais preču un pakalpojumu imports salīdzināmajās cenās 2020</w:t>
      </w:r>
      <w:r>
        <w:rPr>
          <w:rFonts w:eastAsia="Calibri"/>
        </w:rPr>
        <w:t>. gad</w:t>
      </w:r>
      <w:r w:rsidRPr="007517F1">
        <w:rPr>
          <w:rFonts w:eastAsia="Calibri"/>
        </w:rPr>
        <w:t>ā bija par 3,3% mazāks nekā iepriekšējā gadā. Ņemot vērā, ka importa kritums bija straujāks par eksport</w:t>
      </w:r>
      <w:r>
        <w:rPr>
          <w:rFonts w:eastAsia="Calibri"/>
        </w:rPr>
        <w:t>a</w:t>
      </w:r>
      <w:r w:rsidRPr="007517F1">
        <w:rPr>
          <w:rFonts w:eastAsia="Calibri"/>
        </w:rPr>
        <w:t xml:space="preserve"> samazinājumu, neto eksporta devums reālā iekšzemes kopprodukta pieaugumā 2020</w:t>
      </w:r>
      <w:r>
        <w:rPr>
          <w:rFonts w:eastAsia="Calibri"/>
        </w:rPr>
        <w:t>. gad</w:t>
      </w:r>
      <w:r w:rsidRPr="007517F1">
        <w:rPr>
          <w:rFonts w:eastAsia="Calibri"/>
        </w:rPr>
        <w:t>ā bija pozitīvs, proti, 0,5 procentpunkti.</w:t>
      </w:r>
    </w:p>
    <w:p w14:paraId="5579242E" w14:textId="77777777" w:rsidR="00B13890" w:rsidRPr="007517F1" w:rsidRDefault="00B13890" w:rsidP="00B13890">
      <w:pPr>
        <w:spacing w:before="120"/>
        <w:rPr>
          <w:rFonts w:eastAsia="Calibri"/>
        </w:rPr>
      </w:pPr>
      <w:r w:rsidRPr="007517F1">
        <w:rPr>
          <w:rFonts w:eastAsia="Calibri"/>
        </w:rPr>
        <w:t>2021</w:t>
      </w:r>
      <w:r>
        <w:rPr>
          <w:rFonts w:eastAsia="Calibri"/>
        </w:rPr>
        <w:t>. gad</w:t>
      </w:r>
      <w:r w:rsidRPr="007517F1">
        <w:rPr>
          <w:rFonts w:eastAsia="Calibri"/>
        </w:rPr>
        <w:t xml:space="preserve">a pirmajā ceturksnī kopējais imports bija pērnā gada līmenī. Savukārt, </w:t>
      </w:r>
      <w:r>
        <w:rPr>
          <w:rFonts w:eastAsia="Calibri"/>
        </w:rPr>
        <w:t xml:space="preserve">šā gada </w:t>
      </w:r>
      <w:r w:rsidRPr="007517F1">
        <w:rPr>
          <w:rFonts w:eastAsia="Calibri"/>
        </w:rPr>
        <w:t>otrajā ceturksnī salīdzinājumā ar pērnā gada otro ceturksni bija fiksēts ļoti straujš gan preču, gan pakalpojumu importa pieaugums, attiecīgi par 31,6% un 36,5%. Tādējādi, 2021</w:t>
      </w:r>
      <w:r>
        <w:rPr>
          <w:rFonts w:eastAsia="Calibri"/>
        </w:rPr>
        <w:t>. gad</w:t>
      </w:r>
      <w:r w:rsidRPr="007517F1">
        <w:rPr>
          <w:rFonts w:eastAsia="Calibri"/>
        </w:rPr>
        <w:t>a pirmajā pusgadā kopējais imports salīdzināmajās cenās bija par 15,0% augstāks. Zīmīgi, ka importa pieaugums bija divas reizes straujāks nekā eksporta</w:t>
      </w:r>
      <w:r>
        <w:rPr>
          <w:rFonts w:eastAsia="Calibri"/>
        </w:rPr>
        <w:t xml:space="preserve"> pieaugums</w:t>
      </w:r>
      <w:r w:rsidRPr="007517F1">
        <w:rPr>
          <w:rFonts w:eastAsia="Calibri"/>
        </w:rPr>
        <w:t xml:space="preserve">, un, atšķirībā no eksporta kāpuma, straujš importa pieaugums bija fiksēts gan precēm, gan pakalpojumiem. Straujš importa pieaugums gan </w:t>
      </w:r>
      <w:r>
        <w:rPr>
          <w:rFonts w:eastAsia="Calibri"/>
        </w:rPr>
        <w:t>šā gada</w:t>
      </w:r>
      <w:r w:rsidRPr="007517F1">
        <w:rPr>
          <w:rFonts w:eastAsia="Calibri"/>
        </w:rPr>
        <w:t xml:space="preserve"> otrajā ceturksnī, gan arī jūlija mēnesī liecina par Latvijas ekonomikas atkopšanos. Palielinoties iekšējam patēriņam un aktivizējoties būvniecībai, pieprasījums pēc importa patēriņa un kapitāla precēm arī pieaug. Kopumā, kapitālpreču imports </w:t>
      </w:r>
      <w:r>
        <w:rPr>
          <w:rFonts w:eastAsia="Calibri"/>
        </w:rPr>
        <w:t>gada</w:t>
      </w:r>
      <w:r w:rsidRPr="007517F1">
        <w:rPr>
          <w:rFonts w:eastAsia="Calibri"/>
        </w:rPr>
        <w:t xml:space="preserve"> pirmajā pusē palielinājās par 33,0%, bet starppatēriņa preču </w:t>
      </w:r>
      <w:r>
        <w:rPr>
          <w:rFonts w:eastAsia="Calibri"/>
        </w:rPr>
        <w:t xml:space="preserve">imports </w:t>
      </w:r>
      <w:r w:rsidRPr="007517F1">
        <w:rPr>
          <w:rFonts w:eastAsia="Calibri"/>
        </w:rPr>
        <w:t xml:space="preserve">– par 25,1%.  </w:t>
      </w:r>
    </w:p>
    <w:p w14:paraId="236DCB0F" w14:textId="77777777" w:rsidR="00B13890" w:rsidRPr="007517F1" w:rsidRDefault="00B13890" w:rsidP="00B13890">
      <w:pPr>
        <w:spacing w:before="120"/>
        <w:rPr>
          <w:rFonts w:eastAsia="Calibri"/>
        </w:rPr>
      </w:pPr>
      <w:r>
        <w:rPr>
          <w:rFonts w:eastAsia="Calibri"/>
        </w:rPr>
        <w:lastRenderedPageBreak/>
        <w:t xml:space="preserve">Mēnešu dati </w:t>
      </w:r>
      <w:r w:rsidRPr="007517F1">
        <w:rPr>
          <w:rFonts w:eastAsia="Calibri"/>
        </w:rPr>
        <w:t xml:space="preserve">rāda, ka preču imports </w:t>
      </w:r>
      <w:r>
        <w:rPr>
          <w:rFonts w:eastAsia="Calibri"/>
        </w:rPr>
        <w:t xml:space="preserve">2021. gadā </w:t>
      </w:r>
      <w:r w:rsidRPr="007517F1">
        <w:rPr>
          <w:rFonts w:eastAsia="Calibri"/>
        </w:rPr>
        <w:t xml:space="preserve">ir palielinājies visās preču grupās. </w:t>
      </w:r>
      <w:r>
        <w:rPr>
          <w:rFonts w:eastAsia="Calibri"/>
        </w:rPr>
        <w:t>Šā gada</w:t>
      </w:r>
      <w:r w:rsidRPr="007517F1">
        <w:rPr>
          <w:rFonts w:eastAsia="Calibri"/>
        </w:rPr>
        <w:t xml:space="preserve"> pirmajos septiņos mēnešos preču importa vērtība palielinājās par 25,7%. Būtiskāko devumu preču importa pieaugumā nodrošināja mehānisko ierīču un elektroiekārtu, satiksmes līdzekļu, metālu un to izstrādājumu, k</w:t>
      </w:r>
      <w:r>
        <w:rPr>
          <w:rFonts w:eastAsia="Calibri"/>
        </w:rPr>
        <w:t>ā</w:t>
      </w:r>
      <w:r w:rsidRPr="007517F1">
        <w:rPr>
          <w:rFonts w:eastAsia="Calibri"/>
        </w:rPr>
        <w:t xml:space="preserve"> arī minerālproduktu imports (1.</w:t>
      </w:r>
      <w:r>
        <w:rPr>
          <w:rFonts w:eastAsia="Calibri"/>
        </w:rPr>
        <w:t>4</w:t>
      </w:r>
      <w:r w:rsidRPr="007517F1">
        <w:rPr>
          <w:rFonts w:eastAsia="Calibri"/>
        </w:rPr>
        <w:t>. tabul</w:t>
      </w:r>
      <w:r>
        <w:rPr>
          <w:rFonts w:eastAsia="Calibri"/>
        </w:rPr>
        <w:t>a</w:t>
      </w:r>
      <w:r w:rsidRPr="007517F1">
        <w:rPr>
          <w:rFonts w:eastAsia="Calibri"/>
        </w:rPr>
        <w:t>)</w:t>
      </w:r>
      <w:r>
        <w:rPr>
          <w:rFonts w:eastAsia="Calibri"/>
        </w:rPr>
        <w:t>.</w:t>
      </w:r>
      <w:r w:rsidRPr="007517F1">
        <w:rPr>
          <w:rFonts w:eastAsia="Calibri"/>
        </w:rPr>
        <w:t xml:space="preserve">  </w:t>
      </w:r>
    </w:p>
    <w:p w14:paraId="4613C9D4" w14:textId="77777777" w:rsidR="00B13890" w:rsidRPr="00FD3D18" w:rsidRDefault="00B13890" w:rsidP="00FD3D18">
      <w:pPr>
        <w:keepNext/>
        <w:jc w:val="right"/>
        <w:rPr>
          <w:rFonts w:eastAsia="Calibri"/>
          <w:i/>
        </w:rPr>
      </w:pPr>
      <w:r w:rsidRPr="00FD3D18">
        <w:rPr>
          <w:rFonts w:eastAsia="Calibri"/>
          <w:b/>
          <w:i/>
        </w:rPr>
        <w:t>1.4. tabula Preču importa vērtība 2020. gada un 2021. gada pirmajos septiņos mēnešos (izmaiņas un preču grupu īpatsvars 2021. gada septiņos mēnešos)</w:t>
      </w:r>
    </w:p>
    <w:tbl>
      <w:tblPr>
        <w:tblW w:w="8302" w:type="dxa"/>
        <w:jc w:val="center"/>
        <w:tblLook w:val="04A0" w:firstRow="1" w:lastRow="0" w:firstColumn="1" w:lastColumn="0" w:noHBand="0" w:noVBand="1"/>
      </w:tblPr>
      <w:tblGrid>
        <w:gridCol w:w="2170"/>
        <w:gridCol w:w="1228"/>
        <w:gridCol w:w="1417"/>
        <w:gridCol w:w="1134"/>
        <w:gridCol w:w="1134"/>
        <w:gridCol w:w="1219"/>
      </w:tblGrid>
      <w:tr w:rsidR="00B13890" w:rsidRPr="00FD3D18" w14:paraId="774A3DE6" w14:textId="77777777" w:rsidTr="00FD3D18">
        <w:trPr>
          <w:trHeight w:val="312"/>
          <w:jc w:val="center"/>
        </w:trPr>
        <w:tc>
          <w:tcPr>
            <w:tcW w:w="217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00329985" w14:textId="77777777" w:rsidR="00B13890" w:rsidRPr="00FD3D18" w:rsidRDefault="00B13890" w:rsidP="00FD3D18">
            <w:pPr>
              <w:spacing w:after="0"/>
              <w:ind w:firstLine="0"/>
              <w:jc w:val="left"/>
              <w:rPr>
                <w:rFonts w:eastAsia="Times New Roman" w:cs="Times New Roman"/>
                <w:b/>
                <w:color w:val="000000"/>
                <w:sz w:val="18"/>
                <w:szCs w:val="18"/>
              </w:rPr>
            </w:pPr>
            <w:r w:rsidRPr="00FD3D18">
              <w:rPr>
                <w:rFonts w:eastAsia="Times New Roman" w:cs="Times New Roman"/>
                <w:b/>
                <w:color w:val="000000"/>
                <w:sz w:val="18"/>
                <w:szCs w:val="18"/>
              </w:rPr>
              <w:t>Preču grupa</w:t>
            </w:r>
          </w:p>
        </w:tc>
        <w:tc>
          <w:tcPr>
            <w:tcW w:w="1228"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30382C14" w14:textId="77777777" w:rsidR="00B13890" w:rsidRPr="00FD3D18" w:rsidRDefault="00B13890" w:rsidP="00FD3D18">
            <w:pPr>
              <w:spacing w:after="0"/>
              <w:ind w:firstLine="108"/>
              <w:jc w:val="center"/>
              <w:rPr>
                <w:rFonts w:eastAsia="Times New Roman" w:cs="Times New Roman"/>
                <w:b/>
                <w:color w:val="000000"/>
                <w:sz w:val="18"/>
                <w:szCs w:val="18"/>
              </w:rPr>
            </w:pPr>
            <w:r w:rsidRPr="00FD3D18">
              <w:rPr>
                <w:rFonts w:eastAsia="Times New Roman" w:cs="Times New Roman"/>
                <w:b/>
                <w:color w:val="000000"/>
                <w:sz w:val="18"/>
                <w:szCs w:val="18"/>
              </w:rPr>
              <w:t xml:space="preserve">I-VII 2020 milj. </w:t>
            </w:r>
            <w:r w:rsidRPr="00FD3D18">
              <w:rPr>
                <w:rFonts w:eastAsia="Times New Roman" w:cs="Times New Roman"/>
                <w:b/>
                <w:i/>
                <w:color w:val="000000"/>
                <w:sz w:val="18"/>
                <w:szCs w:val="18"/>
              </w:rPr>
              <w:t>euro</w:t>
            </w:r>
          </w:p>
        </w:tc>
        <w:tc>
          <w:tcPr>
            <w:tcW w:w="1417"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5FFCDE9" w14:textId="77777777" w:rsidR="00B13890" w:rsidRPr="00FD3D18" w:rsidRDefault="00B13890" w:rsidP="00FD3D18">
            <w:pPr>
              <w:spacing w:after="0"/>
              <w:ind w:firstLine="108"/>
              <w:jc w:val="center"/>
              <w:rPr>
                <w:rFonts w:eastAsia="Times New Roman" w:cs="Times New Roman"/>
                <w:b/>
                <w:color w:val="000000"/>
                <w:sz w:val="18"/>
                <w:szCs w:val="18"/>
              </w:rPr>
            </w:pPr>
            <w:r w:rsidRPr="00FD3D18">
              <w:rPr>
                <w:rFonts w:eastAsia="Times New Roman" w:cs="Times New Roman"/>
                <w:b/>
                <w:color w:val="000000"/>
                <w:sz w:val="18"/>
                <w:szCs w:val="18"/>
              </w:rPr>
              <w:t xml:space="preserve">I-VII 2021 milj. </w:t>
            </w:r>
            <w:r w:rsidRPr="00FD3D18">
              <w:rPr>
                <w:rFonts w:eastAsia="Times New Roman" w:cs="Times New Roman"/>
                <w:b/>
                <w:i/>
                <w:color w:val="000000"/>
                <w:sz w:val="18"/>
                <w:szCs w:val="18"/>
              </w:rPr>
              <w:t>euro</w:t>
            </w:r>
          </w:p>
        </w:tc>
        <w:tc>
          <w:tcPr>
            <w:tcW w:w="1134"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18B5947" w14:textId="77777777" w:rsidR="00B13890" w:rsidRPr="00FD3D18" w:rsidRDefault="00B13890" w:rsidP="00FD3D18">
            <w:pPr>
              <w:spacing w:after="0"/>
              <w:ind w:firstLine="108"/>
              <w:jc w:val="center"/>
              <w:rPr>
                <w:rFonts w:eastAsia="Times New Roman" w:cs="Times New Roman"/>
                <w:b/>
                <w:color w:val="000000"/>
                <w:sz w:val="18"/>
                <w:szCs w:val="18"/>
              </w:rPr>
            </w:pPr>
            <w:r w:rsidRPr="00FD3D18">
              <w:rPr>
                <w:rFonts w:eastAsia="Times New Roman" w:cs="Times New Roman"/>
                <w:b/>
                <w:color w:val="000000"/>
                <w:sz w:val="18"/>
                <w:szCs w:val="18"/>
              </w:rPr>
              <w:t xml:space="preserve">Izmaiņas, milj. </w:t>
            </w:r>
            <w:r w:rsidRPr="00FD3D18">
              <w:rPr>
                <w:rFonts w:eastAsia="Times New Roman" w:cs="Times New Roman"/>
                <w:b/>
                <w:i/>
                <w:color w:val="000000"/>
                <w:sz w:val="18"/>
                <w:szCs w:val="18"/>
              </w:rPr>
              <w:t>euro</w:t>
            </w:r>
          </w:p>
        </w:tc>
        <w:tc>
          <w:tcPr>
            <w:tcW w:w="1134"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09ECFFE4" w14:textId="77777777" w:rsidR="00B13890" w:rsidRPr="00FD3D18" w:rsidRDefault="00B13890" w:rsidP="00FD3D18">
            <w:pPr>
              <w:spacing w:after="0"/>
              <w:ind w:firstLine="108"/>
              <w:jc w:val="center"/>
              <w:rPr>
                <w:rFonts w:eastAsia="Times New Roman" w:cs="Times New Roman"/>
                <w:b/>
                <w:color w:val="000000"/>
                <w:sz w:val="18"/>
                <w:szCs w:val="18"/>
              </w:rPr>
            </w:pPr>
            <w:r w:rsidRPr="00FD3D18">
              <w:rPr>
                <w:rFonts w:eastAsia="Times New Roman" w:cs="Times New Roman"/>
                <w:b/>
                <w:color w:val="000000"/>
                <w:sz w:val="18"/>
                <w:szCs w:val="18"/>
              </w:rPr>
              <w:t>Izmaiņas</w:t>
            </w:r>
          </w:p>
        </w:tc>
        <w:tc>
          <w:tcPr>
            <w:tcW w:w="1219"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6421947C" w14:textId="77777777" w:rsidR="00B13890" w:rsidRPr="00FD3D18" w:rsidRDefault="00B13890" w:rsidP="00FD3D18">
            <w:pPr>
              <w:spacing w:after="0"/>
              <w:ind w:firstLine="108"/>
              <w:jc w:val="center"/>
              <w:rPr>
                <w:rFonts w:eastAsia="Times New Roman" w:cs="Times New Roman"/>
                <w:b/>
                <w:color w:val="000000"/>
                <w:sz w:val="18"/>
                <w:szCs w:val="18"/>
              </w:rPr>
            </w:pPr>
            <w:r w:rsidRPr="00FD3D18">
              <w:rPr>
                <w:rFonts w:eastAsia="Times New Roman" w:cs="Times New Roman"/>
                <w:b/>
                <w:color w:val="000000"/>
                <w:sz w:val="18"/>
                <w:szCs w:val="18"/>
              </w:rPr>
              <w:t>Preču grupu īpatsvars</w:t>
            </w:r>
          </w:p>
        </w:tc>
      </w:tr>
      <w:tr w:rsidR="00B13890" w:rsidRPr="00FD3D18" w14:paraId="418E1D34" w14:textId="77777777" w:rsidTr="00FD3D18">
        <w:trPr>
          <w:trHeight w:val="288"/>
          <w:jc w:val="center"/>
        </w:trPr>
        <w:tc>
          <w:tcPr>
            <w:tcW w:w="2170" w:type="dxa"/>
            <w:tcBorders>
              <w:top w:val="nil"/>
              <w:left w:val="single" w:sz="4" w:space="0" w:color="auto"/>
              <w:bottom w:val="single" w:sz="4" w:space="0" w:color="auto"/>
              <w:right w:val="single" w:sz="4" w:space="0" w:color="auto"/>
            </w:tcBorders>
            <w:shd w:val="clear" w:color="auto" w:fill="auto"/>
            <w:noWrap/>
            <w:vAlign w:val="center"/>
            <w:hideMark/>
          </w:tcPr>
          <w:p w14:paraId="76358D1F" w14:textId="77777777" w:rsidR="00B13890" w:rsidRPr="00FD3D18" w:rsidRDefault="00B13890" w:rsidP="00FD3D18">
            <w:pPr>
              <w:spacing w:after="0"/>
              <w:ind w:firstLine="0"/>
              <w:jc w:val="left"/>
              <w:rPr>
                <w:rFonts w:eastAsia="Times New Roman" w:cs="Times New Roman"/>
                <w:color w:val="000000"/>
                <w:sz w:val="18"/>
                <w:szCs w:val="18"/>
              </w:rPr>
            </w:pPr>
            <w:r w:rsidRPr="00FD3D18">
              <w:rPr>
                <w:rFonts w:eastAsia="Times New Roman" w:cs="Times New Roman"/>
                <w:color w:val="000000"/>
                <w:sz w:val="18"/>
                <w:szCs w:val="18"/>
              </w:rPr>
              <w:t>Mehānismi un ierīces, t.sk. elektroierīces</w:t>
            </w:r>
          </w:p>
        </w:tc>
        <w:tc>
          <w:tcPr>
            <w:tcW w:w="1228" w:type="dxa"/>
            <w:tcBorders>
              <w:top w:val="nil"/>
              <w:left w:val="nil"/>
              <w:bottom w:val="single" w:sz="4" w:space="0" w:color="auto"/>
              <w:right w:val="single" w:sz="4" w:space="0" w:color="auto"/>
            </w:tcBorders>
            <w:shd w:val="clear" w:color="auto" w:fill="auto"/>
            <w:noWrap/>
            <w:vAlign w:val="center"/>
            <w:hideMark/>
          </w:tcPr>
          <w:p w14:paraId="7F73E61A"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1840</w:t>
            </w:r>
          </w:p>
        </w:tc>
        <w:tc>
          <w:tcPr>
            <w:tcW w:w="1417" w:type="dxa"/>
            <w:tcBorders>
              <w:top w:val="nil"/>
              <w:left w:val="nil"/>
              <w:bottom w:val="single" w:sz="4" w:space="0" w:color="auto"/>
              <w:right w:val="single" w:sz="4" w:space="0" w:color="auto"/>
            </w:tcBorders>
            <w:shd w:val="clear" w:color="auto" w:fill="auto"/>
            <w:noWrap/>
            <w:vAlign w:val="center"/>
            <w:hideMark/>
          </w:tcPr>
          <w:p w14:paraId="1C4F7FCA"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2169</w:t>
            </w:r>
          </w:p>
        </w:tc>
        <w:tc>
          <w:tcPr>
            <w:tcW w:w="1134" w:type="dxa"/>
            <w:tcBorders>
              <w:top w:val="nil"/>
              <w:left w:val="nil"/>
              <w:bottom w:val="single" w:sz="4" w:space="0" w:color="auto"/>
              <w:right w:val="single" w:sz="4" w:space="0" w:color="auto"/>
            </w:tcBorders>
            <w:shd w:val="clear" w:color="auto" w:fill="auto"/>
            <w:noWrap/>
            <w:vAlign w:val="center"/>
            <w:hideMark/>
          </w:tcPr>
          <w:p w14:paraId="30E6241A"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328</w:t>
            </w:r>
          </w:p>
        </w:tc>
        <w:tc>
          <w:tcPr>
            <w:tcW w:w="1134" w:type="dxa"/>
            <w:tcBorders>
              <w:top w:val="nil"/>
              <w:left w:val="nil"/>
              <w:bottom w:val="single" w:sz="4" w:space="0" w:color="auto"/>
              <w:right w:val="single" w:sz="4" w:space="0" w:color="auto"/>
            </w:tcBorders>
            <w:shd w:val="clear" w:color="auto" w:fill="auto"/>
            <w:noWrap/>
            <w:vAlign w:val="center"/>
            <w:hideMark/>
          </w:tcPr>
          <w:p w14:paraId="0803CA5F"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18%</w:t>
            </w:r>
          </w:p>
        </w:tc>
        <w:tc>
          <w:tcPr>
            <w:tcW w:w="1219" w:type="dxa"/>
            <w:tcBorders>
              <w:top w:val="nil"/>
              <w:left w:val="nil"/>
              <w:bottom w:val="single" w:sz="4" w:space="0" w:color="auto"/>
              <w:right w:val="single" w:sz="4" w:space="0" w:color="auto"/>
            </w:tcBorders>
            <w:shd w:val="clear" w:color="auto" w:fill="auto"/>
            <w:noWrap/>
            <w:vAlign w:val="center"/>
            <w:hideMark/>
          </w:tcPr>
          <w:p w14:paraId="14775896"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21%</w:t>
            </w:r>
          </w:p>
        </w:tc>
      </w:tr>
      <w:tr w:rsidR="00B13890" w:rsidRPr="00FD3D18" w14:paraId="7E26CABE" w14:textId="77777777" w:rsidTr="00FD3D18">
        <w:trPr>
          <w:trHeight w:val="735"/>
          <w:jc w:val="center"/>
        </w:trPr>
        <w:tc>
          <w:tcPr>
            <w:tcW w:w="2170" w:type="dxa"/>
            <w:tcBorders>
              <w:top w:val="nil"/>
              <w:left w:val="single" w:sz="4" w:space="0" w:color="auto"/>
              <w:bottom w:val="single" w:sz="4" w:space="0" w:color="auto"/>
              <w:right w:val="single" w:sz="4" w:space="0" w:color="auto"/>
            </w:tcBorders>
            <w:shd w:val="clear" w:color="auto" w:fill="auto"/>
            <w:noWrap/>
            <w:vAlign w:val="center"/>
            <w:hideMark/>
          </w:tcPr>
          <w:p w14:paraId="04031BE7" w14:textId="77777777" w:rsidR="00B13890" w:rsidRPr="00FD3D18" w:rsidRDefault="00B13890" w:rsidP="00FD3D18">
            <w:pPr>
              <w:spacing w:after="0"/>
              <w:ind w:firstLine="0"/>
              <w:jc w:val="left"/>
              <w:rPr>
                <w:rFonts w:eastAsia="Times New Roman" w:cs="Times New Roman"/>
                <w:color w:val="000000"/>
                <w:sz w:val="18"/>
                <w:szCs w:val="18"/>
              </w:rPr>
            </w:pPr>
            <w:r w:rsidRPr="00FD3D18">
              <w:rPr>
                <w:rFonts w:eastAsia="Times New Roman" w:cs="Times New Roman"/>
                <w:color w:val="000000"/>
                <w:sz w:val="18"/>
                <w:szCs w:val="18"/>
              </w:rPr>
              <w:t>Lauksaimniecības preces un pārtika</w:t>
            </w:r>
          </w:p>
        </w:tc>
        <w:tc>
          <w:tcPr>
            <w:tcW w:w="1228" w:type="dxa"/>
            <w:tcBorders>
              <w:top w:val="nil"/>
              <w:left w:val="nil"/>
              <w:bottom w:val="single" w:sz="4" w:space="0" w:color="auto"/>
              <w:right w:val="single" w:sz="4" w:space="0" w:color="auto"/>
            </w:tcBorders>
            <w:shd w:val="clear" w:color="auto" w:fill="auto"/>
            <w:noWrap/>
            <w:vAlign w:val="center"/>
            <w:hideMark/>
          </w:tcPr>
          <w:p w14:paraId="06520F64"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1534</w:t>
            </w:r>
          </w:p>
        </w:tc>
        <w:tc>
          <w:tcPr>
            <w:tcW w:w="1417" w:type="dxa"/>
            <w:tcBorders>
              <w:top w:val="nil"/>
              <w:left w:val="nil"/>
              <w:bottom w:val="single" w:sz="4" w:space="0" w:color="auto"/>
              <w:right w:val="single" w:sz="4" w:space="0" w:color="auto"/>
            </w:tcBorders>
            <w:shd w:val="clear" w:color="auto" w:fill="auto"/>
            <w:noWrap/>
            <w:vAlign w:val="center"/>
            <w:hideMark/>
          </w:tcPr>
          <w:p w14:paraId="152511B9"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1568</w:t>
            </w:r>
          </w:p>
        </w:tc>
        <w:tc>
          <w:tcPr>
            <w:tcW w:w="1134" w:type="dxa"/>
            <w:tcBorders>
              <w:top w:val="nil"/>
              <w:left w:val="nil"/>
              <w:bottom w:val="single" w:sz="4" w:space="0" w:color="auto"/>
              <w:right w:val="single" w:sz="4" w:space="0" w:color="auto"/>
            </w:tcBorders>
            <w:shd w:val="clear" w:color="auto" w:fill="auto"/>
            <w:noWrap/>
            <w:vAlign w:val="center"/>
            <w:hideMark/>
          </w:tcPr>
          <w:p w14:paraId="4A25A7FE"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34</w:t>
            </w:r>
          </w:p>
        </w:tc>
        <w:tc>
          <w:tcPr>
            <w:tcW w:w="1134" w:type="dxa"/>
            <w:tcBorders>
              <w:top w:val="nil"/>
              <w:left w:val="nil"/>
              <w:bottom w:val="single" w:sz="4" w:space="0" w:color="auto"/>
              <w:right w:val="single" w:sz="4" w:space="0" w:color="auto"/>
            </w:tcBorders>
            <w:shd w:val="clear" w:color="auto" w:fill="auto"/>
            <w:noWrap/>
            <w:vAlign w:val="center"/>
            <w:hideMark/>
          </w:tcPr>
          <w:p w14:paraId="21AAA78C"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2%</w:t>
            </w:r>
          </w:p>
        </w:tc>
        <w:tc>
          <w:tcPr>
            <w:tcW w:w="1219" w:type="dxa"/>
            <w:tcBorders>
              <w:top w:val="nil"/>
              <w:left w:val="nil"/>
              <w:bottom w:val="single" w:sz="4" w:space="0" w:color="auto"/>
              <w:right w:val="single" w:sz="4" w:space="0" w:color="auto"/>
            </w:tcBorders>
            <w:shd w:val="clear" w:color="auto" w:fill="auto"/>
            <w:noWrap/>
            <w:vAlign w:val="center"/>
            <w:hideMark/>
          </w:tcPr>
          <w:p w14:paraId="2AEA6B65"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15%</w:t>
            </w:r>
          </w:p>
        </w:tc>
      </w:tr>
      <w:tr w:rsidR="00B13890" w:rsidRPr="00FD3D18" w14:paraId="1FF45E9A" w14:textId="77777777" w:rsidTr="00FD3D18">
        <w:trPr>
          <w:trHeight w:val="288"/>
          <w:jc w:val="center"/>
        </w:trPr>
        <w:tc>
          <w:tcPr>
            <w:tcW w:w="2170" w:type="dxa"/>
            <w:tcBorders>
              <w:top w:val="nil"/>
              <w:left w:val="single" w:sz="4" w:space="0" w:color="auto"/>
              <w:bottom w:val="single" w:sz="4" w:space="0" w:color="auto"/>
              <w:right w:val="single" w:sz="4" w:space="0" w:color="auto"/>
            </w:tcBorders>
            <w:shd w:val="clear" w:color="auto" w:fill="auto"/>
            <w:noWrap/>
            <w:vAlign w:val="center"/>
            <w:hideMark/>
          </w:tcPr>
          <w:p w14:paraId="313CDF0C" w14:textId="77777777" w:rsidR="00B13890" w:rsidRPr="00FD3D18" w:rsidRDefault="00B13890" w:rsidP="00FD3D18">
            <w:pPr>
              <w:spacing w:after="0"/>
              <w:ind w:firstLine="0"/>
              <w:jc w:val="left"/>
              <w:rPr>
                <w:rFonts w:eastAsia="Times New Roman" w:cs="Times New Roman"/>
                <w:color w:val="000000"/>
                <w:sz w:val="18"/>
                <w:szCs w:val="18"/>
              </w:rPr>
            </w:pPr>
            <w:r w:rsidRPr="00FD3D18">
              <w:rPr>
                <w:rFonts w:eastAsia="Times New Roman" w:cs="Times New Roman"/>
                <w:color w:val="000000"/>
                <w:sz w:val="18"/>
                <w:szCs w:val="18"/>
              </w:rPr>
              <w:t>Ķīmiskās rūpniecības ražojumi</w:t>
            </w:r>
          </w:p>
        </w:tc>
        <w:tc>
          <w:tcPr>
            <w:tcW w:w="1228" w:type="dxa"/>
            <w:tcBorders>
              <w:top w:val="nil"/>
              <w:left w:val="nil"/>
              <w:bottom w:val="single" w:sz="4" w:space="0" w:color="auto"/>
              <w:right w:val="single" w:sz="4" w:space="0" w:color="auto"/>
            </w:tcBorders>
            <w:shd w:val="clear" w:color="auto" w:fill="auto"/>
            <w:noWrap/>
            <w:vAlign w:val="center"/>
            <w:hideMark/>
          </w:tcPr>
          <w:p w14:paraId="0745AB4D"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956</w:t>
            </w:r>
          </w:p>
        </w:tc>
        <w:tc>
          <w:tcPr>
            <w:tcW w:w="1417" w:type="dxa"/>
            <w:tcBorders>
              <w:top w:val="nil"/>
              <w:left w:val="nil"/>
              <w:bottom w:val="single" w:sz="4" w:space="0" w:color="auto"/>
              <w:right w:val="single" w:sz="4" w:space="0" w:color="auto"/>
            </w:tcBorders>
            <w:shd w:val="clear" w:color="auto" w:fill="auto"/>
            <w:noWrap/>
            <w:vAlign w:val="center"/>
            <w:hideMark/>
          </w:tcPr>
          <w:p w14:paraId="16C95795"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1143</w:t>
            </w:r>
          </w:p>
        </w:tc>
        <w:tc>
          <w:tcPr>
            <w:tcW w:w="1134" w:type="dxa"/>
            <w:tcBorders>
              <w:top w:val="nil"/>
              <w:left w:val="nil"/>
              <w:bottom w:val="single" w:sz="4" w:space="0" w:color="auto"/>
              <w:right w:val="single" w:sz="4" w:space="0" w:color="auto"/>
            </w:tcBorders>
            <w:shd w:val="clear" w:color="auto" w:fill="auto"/>
            <w:noWrap/>
            <w:vAlign w:val="center"/>
            <w:hideMark/>
          </w:tcPr>
          <w:p w14:paraId="4531A1DB"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187</w:t>
            </w:r>
          </w:p>
        </w:tc>
        <w:tc>
          <w:tcPr>
            <w:tcW w:w="1134" w:type="dxa"/>
            <w:tcBorders>
              <w:top w:val="nil"/>
              <w:left w:val="nil"/>
              <w:bottom w:val="single" w:sz="4" w:space="0" w:color="auto"/>
              <w:right w:val="single" w:sz="4" w:space="0" w:color="auto"/>
            </w:tcBorders>
            <w:shd w:val="clear" w:color="auto" w:fill="auto"/>
            <w:noWrap/>
            <w:vAlign w:val="center"/>
            <w:hideMark/>
          </w:tcPr>
          <w:p w14:paraId="1C1B2747"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20%</w:t>
            </w:r>
          </w:p>
        </w:tc>
        <w:tc>
          <w:tcPr>
            <w:tcW w:w="1219" w:type="dxa"/>
            <w:tcBorders>
              <w:top w:val="nil"/>
              <w:left w:val="nil"/>
              <w:bottom w:val="single" w:sz="4" w:space="0" w:color="auto"/>
              <w:right w:val="single" w:sz="4" w:space="0" w:color="auto"/>
            </w:tcBorders>
            <w:shd w:val="clear" w:color="auto" w:fill="auto"/>
            <w:noWrap/>
            <w:vAlign w:val="center"/>
            <w:hideMark/>
          </w:tcPr>
          <w:p w14:paraId="58BE84AA"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11%</w:t>
            </w:r>
          </w:p>
        </w:tc>
      </w:tr>
      <w:tr w:rsidR="00B13890" w:rsidRPr="00FD3D18" w14:paraId="1DF15D72" w14:textId="77777777" w:rsidTr="00FD3D18">
        <w:trPr>
          <w:trHeight w:val="288"/>
          <w:jc w:val="center"/>
        </w:trPr>
        <w:tc>
          <w:tcPr>
            <w:tcW w:w="2170" w:type="dxa"/>
            <w:tcBorders>
              <w:top w:val="nil"/>
              <w:left w:val="single" w:sz="4" w:space="0" w:color="auto"/>
              <w:bottom w:val="single" w:sz="4" w:space="0" w:color="auto"/>
              <w:right w:val="single" w:sz="4" w:space="0" w:color="auto"/>
            </w:tcBorders>
            <w:shd w:val="clear" w:color="auto" w:fill="auto"/>
            <w:noWrap/>
            <w:vAlign w:val="center"/>
            <w:hideMark/>
          </w:tcPr>
          <w:p w14:paraId="7CDE028C" w14:textId="77777777" w:rsidR="00B13890" w:rsidRPr="00FD3D18" w:rsidRDefault="00B13890" w:rsidP="00FD3D18">
            <w:pPr>
              <w:spacing w:after="0"/>
              <w:ind w:firstLine="0"/>
              <w:jc w:val="left"/>
              <w:rPr>
                <w:rFonts w:eastAsia="Times New Roman" w:cs="Times New Roman"/>
                <w:color w:val="000000"/>
                <w:sz w:val="18"/>
                <w:szCs w:val="18"/>
              </w:rPr>
            </w:pPr>
            <w:r w:rsidRPr="00FD3D18">
              <w:rPr>
                <w:rFonts w:eastAsia="Times New Roman" w:cs="Times New Roman"/>
                <w:color w:val="000000"/>
                <w:sz w:val="18"/>
                <w:szCs w:val="18"/>
              </w:rPr>
              <w:t>Satiksmes līdzekļi</w:t>
            </w:r>
          </w:p>
        </w:tc>
        <w:tc>
          <w:tcPr>
            <w:tcW w:w="1228" w:type="dxa"/>
            <w:tcBorders>
              <w:top w:val="nil"/>
              <w:left w:val="nil"/>
              <w:bottom w:val="single" w:sz="4" w:space="0" w:color="auto"/>
              <w:right w:val="single" w:sz="4" w:space="0" w:color="auto"/>
            </w:tcBorders>
            <w:shd w:val="clear" w:color="auto" w:fill="auto"/>
            <w:noWrap/>
            <w:vAlign w:val="center"/>
            <w:hideMark/>
          </w:tcPr>
          <w:p w14:paraId="6C14B56F"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647</w:t>
            </w:r>
          </w:p>
        </w:tc>
        <w:tc>
          <w:tcPr>
            <w:tcW w:w="1417" w:type="dxa"/>
            <w:tcBorders>
              <w:top w:val="nil"/>
              <w:left w:val="nil"/>
              <w:bottom w:val="single" w:sz="4" w:space="0" w:color="auto"/>
              <w:right w:val="single" w:sz="4" w:space="0" w:color="auto"/>
            </w:tcBorders>
            <w:shd w:val="clear" w:color="auto" w:fill="auto"/>
            <w:noWrap/>
            <w:vAlign w:val="center"/>
            <w:hideMark/>
          </w:tcPr>
          <w:p w14:paraId="718157D6"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1057</w:t>
            </w:r>
          </w:p>
        </w:tc>
        <w:tc>
          <w:tcPr>
            <w:tcW w:w="1134" w:type="dxa"/>
            <w:tcBorders>
              <w:top w:val="nil"/>
              <w:left w:val="nil"/>
              <w:bottom w:val="single" w:sz="4" w:space="0" w:color="auto"/>
              <w:right w:val="single" w:sz="4" w:space="0" w:color="auto"/>
            </w:tcBorders>
            <w:shd w:val="clear" w:color="auto" w:fill="auto"/>
            <w:noWrap/>
            <w:vAlign w:val="center"/>
            <w:hideMark/>
          </w:tcPr>
          <w:p w14:paraId="0A1397F8"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409</w:t>
            </w:r>
          </w:p>
        </w:tc>
        <w:tc>
          <w:tcPr>
            <w:tcW w:w="1134" w:type="dxa"/>
            <w:tcBorders>
              <w:top w:val="nil"/>
              <w:left w:val="nil"/>
              <w:bottom w:val="single" w:sz="4" w:space="0" w:color="auto"/>
              <w:right w:val="single" w:sz="4" w:space="0" w:color="auto"/>
            </w:tcBorders>
            <w:shd w:val="clear" w:color="auto" w:fill="auto"/>
            <w:noWrap/>
            <w:vAlign w:val="center"/>
            <w:hideMark/>
          </w:tcPr>
          <w:p w14:paraId="2CB9B5E0"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63%</w:t>
            </w:r>
          </w:p>
        </w:tc>
        <w:tc>
          <w:tcPr>
            <w:tcW w:w="1219" w:type="dxa"/>
            <w:tcBorders>
              <w:top w:val="nil"/>
              <w:left w:val="nil"/>
              <w:bottom w:val="single" w:sz="4" w:space="0" w:color="auto"/>
              <w:right w:val="single" w:sz="4" w:space="0" w:color="auto"/>
            </w:tcBorders>
            <w:shd w:val="clear" w:color="auto" w:fill="auto"/>
            <w:noWrap/>
            <w:vAlign w:val="center"/>
            <w:hideMark/>
          </w:tcPr>
          <w:p w14:paraId="6B830F5D"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10%</w:t>
            </w:r>
          </w:p>
        </w:tc>
      </w:tr>
      <w:tr w:rsidR="00B13890" w:rsidRPr="00FD3D18" w14:paraId="09E8DD40" w14:textId="77777777" w:rsidTr="00FD3D18">
        <w:trPr>
          <w:trHeight w:val="288"/>
          <w:jc w:val="center"/>
        </w:trPr>
        <w:tc>
          <w:tcPr>
            <w:tcW w:w="2170" w:type="dxa"/>
            <w:tcBorders>
              <w:top w:val="nil"/>
              <w:left w:val="single" w:sz="4" w:space="0" w:color="auto"/>
              <w:bottom w:val="single" w:sz="4" w:space="0" w:color="auto"/>
              <w:right w:val="single" w:sz="4" w:space="0" w:color="auto"/>
            </w:tcBorders>
            <w:shd w:val="clear" w:color="auto" w:fill="auto"/>
            <w:noWrap/>
            <w:vAlign w:val="center"/>
            <w:hideMark/>
          </w:tcPr>
          <w:p w14:paraId="4F9A9F3A" w14:textId="77777777" w:rsidR="00B13890" w:rsidRPr="00FD3D18" w:rsidRDefault="00B13890" w:rsidP="00FD3D18">
            <w:pPr>
              <w:spacing w:after="0"/>
              <w:ind w:firstLine="0"/>
              <w:jc w:val="left"/>
              <w:rPr>
                <w:rFonts w:eastAsia="Times New Roman" w:cs="Times New Roman"/>
                <w:color w:val="000000"/>
                <w:sz w:val="18"/>
                <w:szCs w:val="18"/>
              </w:rPr>
            </w:pPr>
            <w:r w:rsidRPr="00FD3D18">
              <w:rPr>
                <w:rFonts w:eastAsia="Times New Roman" w:cs="Times New Roman"/>
                <w:color w:val="000000"/>
                <w:sz w:val="18"/>
                <w:szCs w:val="18"/>
              </w:rPr>
              <w:t>Metāli un to izstrādājumi</w:t>
            </w:r>
          </w:p>
        </w:tc>
        <w:tc>
          <w:tcPr>
            <w:tcW w:w="1228" w:type="dxa"/>
            <w:tcBorders>
              <w:top w:val="nil"/>
              <w:left w:val="nil"/>
              <w:bottom w:val="single" w:sz="4" w:space="0" w:color="auto"/>
              <w:right w:val="single" w:sz="4" w:space="0" w:color="auto"/>
            </w:tcBorders>
            <w:shd w:val="clear" w:color="auto" w:fill="auto"/>
            <w:noWrap/>
            <w:vAlign w:val="center"/>
            <w:hideMark/>
          </w:tcPr>
          <w:p w14:paraId="79DB527A"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704</w:t>
            </w:r>
          </w:p>
        </w:tc>
        <w:tc>
          <w:tcPr>
            <w:tcW w:w="1417" w:type="dxa"/>
            <w:tcBorders>
              <w:top w:val="nil"/>
              <w:left w:val="nil"/>
              <w:bottom w:val="single" w:sz="4" w:space="0" w:color="auto"/>
              <w:right w:val="single" w:sz="4" w:space="0" w:color="auto"/>
            </w:tcBorders>
            <w:shd w:val="clear" w:color="auto" w:fill="auto"/>
            <w:noWrap/>
            <w:vAlign w:val="center"/>
            <w:hideMark/>
          </w:tcPr>
          <w:p w14:paraId="6DF80D6D"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1027</w:t>
            </w:r>
          </w:p>
        </w:tc>
        <w:tc>
          <w:tcPr>
            <w:tcW w:w="1134" w:type="dxa"/>
            <w:tcBorders>
              <w:top w:val="nil"/>
              <w:left w:val="nil"/>
              <w:bottom w:val="single" w:sz="4" w:space="0" w:color="auto"/>
              <w:right w:val="single" w:sz="4" w:space="0" w:color="auto"/>
            </w:tcBorders>
            <w:shd w:val="clear" w:color="auto" w:fill="auto"/>
            <w:noWrap/>
            <w:vAlign w:val="center"/>
            <w:hideMark/>
          </w:tcPr>
          <w:p w14:paraId="6027F938"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323</w:t>
            </w:r>
          </w:p>
        </w:tc>
        <w:tc>
          <w:tcPr>
            <w:tcW w:w="1134" w:type="dxa"/>
            <w:tcBorders>
              <w:top w:val="nil"/>
              <w:left w:val="nil"/>
              <w:bottom w:val="single" w:sz="4" w:space="0" w:color="auto"/>
              <w:right w:val="single" w:sz="4" w:space="0" w:color="auto"/>
            </w:tcBorders>
            <w:shd w:val="clear" w:color="auto" w:fill="auto"/>
            <w:noWrap/>
            <w:vAlign w:val="center"/>
            <w:hideMark/>
          </w:tcPr>
          <w:p w14:paraId="7890C576"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46%</w:t>
            </w:r>
          </w:p>
        </w:tc>
        <w:tc>
          <w:tcPr>
            <w:tcW w:w="1219" w:type="dxa"/>
            <w:tcBorders>
              <w:top w:val="nil"/>
              <w:left w:val="nil"/>
              <w:bottom w:val="single" w:sz="4" w:space="0" w:color="auto"/>
              <w:right w:val="single" w:sz="4" w:space="0" w:color="auto"/>
            </w:tcBorders>
            <w:shd w:val="clear" w:color="auto" w:fill="auto"/>
            <w:noWrap/>
            <w:vAlign w:val="center"/>
            <w:hideMark/>
          </w:tcPr>
          <w:p w14:paraId="64F44430"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10%</w:t>
            </w:r>
          </w:p>
        </w:tc>
      </w:tr>
      <w:tr w:rsidR="00B13890" w:rsidRPr="00FD3D18" w14:paraId="3656423C" w14:textId="77777777" w:rsidTr="00FD3D18">
        <w:trPr>
          <w:trHeight w:val="288"/>
          <w:jc w:val="center"/>
        </w:trPr>
        <w:tc>
          <w:tcPr>
            <w:tcW w:w="2170" w:type="dxa"/>
            <w:tcBorders>
              <w:top w:val="nil"/>
              <w:left w:val="single" w:sz="4" w:space="0" w:color="auto"/>
              <w:bottom w:val="single" w:sz="4" w:space="0" w:color="auto"/>
              <w:right w:val="single" w:sz="4" w:space="0" w:color="auto"/>
            </w:tcBorders>
            <w:shd w:val="clear" w:color="auto" w:fill="auto"/>
            <w:noWrap/>
            <w:vAlign w:val="center"/>
            <w:hideMark/>
          </w:tcPr>
          <w:p w14:paraId="457CA4BC" w14:textId="77777777" w:rsidR="00B13890" w:rsidRPr="00FD3D18" w:rsidRDefault="00B13890" w:rsidP="00FD3D18">
            <w:pPr>
              <w:spacing w:after="0"/>
              <w:ind w:firstLine="0"/>
              <w:jc w:val="left"/>
              <w:rPr>
                <w:rFonts w:eastAsia="Times New Roman" w:cs="Times New Roman"/>
                <w:color w:val="000000"/>
                <w:sz w:val="18"/>
                <w:szCs w:val="18"/>
              </w:rPr>
            </w:pPr>
            <w:r w:rsidRPr="00FD3D18">
              <w:rPr>
                <w:rFonts w:eastAsia="Times New Roman" w:cs="Times New Roman"/>
                <w:color w:val="000000"/>
                <w:sz w:val="18"/>
                <w:szCs w:val="18"/>
              </w:rPr>
              <w:t>Minerālprodukti</w:t>
            </w:r>
          </w:p>
        </w:tc>
        <w:tc>
          <w:tcPr>
            <w:tcW w:w="1228" w:type="dxa"/>
            <w:tcBorders>
              <w:top w:val="nil"/>
              <w:left w:val="nil"/>
              <w:bottom w:val="single" w:sz="4" w:space="0" w:color="auto"/>
              <w:right w:val="single" w:sz="4" w:space="0" w:color="auto"/>
            </w:tcBorders>
            <w:shd w:val="clear" w:color="auto" w:fill="auto"/>
            <w:noWrap/>
            <w:vAlign w:val="center"/>
            <w:hideMark/>
          </w:tcPr>
          <w:p w14:paraId="59C89AE2"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554</w:t>
            </w:r>
          </w:p>
        </w:tc>
        <w:tc>
          <w:tcPr>
            <w:tcW w:w="1417" w:type="dxa"/>
            <w:tcBorders>
              <w:top w:val="nil"/>
              <w:left w:val="nil"/>
              <w:bottom w:val="single" w:sz="4" w:space="0" w:color="auto"/>
              <w:right w:val="single" w:sz="4" w:space="0" w:color="auto"/>
            </w:tcBorders>
            <w:shd w:val="clear" w:color="auto" w:fill="auto"/>
            <w:noWrap/>
            <w:vAlign w:val="center"/>
            <w:hideMark/>
          </w:tcPr>
          <w:p w14:paraId="7FEAC117"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903</w:t>
            </w:r>
          </w:p>
        </w:tc>
        <w:tc>
          <w:tcPr>
            <w:tcW w:w="1134" w:type="dxa"/>
            <w:tcBorders>
              <w:top w:val="nil"/>
              <w:left w:val="nil"/>
              <w:bottom w:val="single" w:sz="4" w:space="0" w:color="auto"/>
              <w:right w:val="single" w:sz="4" w:space="0" w:color="auto"/>
            </w:tcBorders>
            <w:shd w:val="clear" w:color="auto" w:fill="auto"/>
            <w:noWrap/>
            <w:vAlign w:val="center"/>
            <w:hideMark/>
          </w:tcPr>
          <w:p w14:paraId="6BFE8C42"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350</w:t>
            </w:r>
          </w:p>
        </w:tc>
        <w:tc>
          <w:tcPr>
            <w:tcW w:w="1134" w:type="dxa"/>
            <w:tcBorders>
              <w:top w:val="nil"/>
              <w:left w:val="nil"/>
              <w:bottom w:val="single" w:sz="4" w:space="0" w:color="auto"/>
              <w:right w:val="single" w:sz="4" w:space="0" w:color="auto"/>
            </w:tcBorders>
            <w:shd w:val="clear" w:color="auto" w:fill="auto"/>
            <w:noWrap/>
            <w:vAlign w:val="center"/>
            <w:hideMark/>
          </w:tcPr>
          <w:p w14:paraId="1F57B863"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63%</w:t>
            </w:r>
          </w:p>
        </w:tc>
        <w:tc>
          <w:tcPr>
            <w:tcW w:w="1219" w:type="dxa"/>
            <w:tcBorders>
              <w:top w:val="nil"/>
              <w:left w:val="nil"/>
              <w:bottom w:val="single" w:sz="4" w:space="0" w:color="auto"/>
              <w:right w:val="single" w:sz="4" w:space="0" w:color="auto"/>
            </w:tcBorders>
            <w:shd w:val="clear" w:color="auto" w:fill="auto"/>
            <w:noWrap/>
            <w:vAlign w:val="center"/>
            <w:hideMark/>
          </w:tcPr>
          <w:p w14:paraId="034983E9"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9%</w:t>
            </w:r>
          </w:p>
        </w:tc>
      </w:tr>
      <w:tr w:rsidR="00B13890" w:rsidRPr="00FD3D18" w14:paraId="12408BC6" w14:textId="77777777" w:rsidTr="00FD3D18">
        <w:trPr>
          <w:trHeight w:val="288"/>
          <w:jc w:val="center"/>
        </w:trPr>
        <w:tc>
          <w:tcPr>
            <w:tcW w:w="2170" w:type="dxa"/>
            <w:tcBorders>
              <w:top w:val="nil"/>
              <w:left w:val="single" w:sz="4" w:space="0" w:color="auto"/>
              <w:bottom w:val="single" w:sz="4" w:space="0" w:color="auto"/>
              <w:right w:val="single" w:sz="4" w:space="0" w:color="auto"/>
            </w:tcBorders>
            <w:shd w:val="clear" w:color="auto" w:fill="auto"/>
            <w:noWrap/>
            <w:vAlign w:val="center"/>
            <w:hideMark/>
          </w:tcPr>
          <w:p w14:paraId="2637C14E" w14:textId="77777777" w:rsidR="00B13890" w:rsidRPr="00FD3D18" w:rsidRDefault="00B13890" w:rsidP="00FD3D18">
            <w:pPr>
              <w:spacing w:after="0"/>
              <w:ind w:firstLine="0"/>
              <w:jc w:val="left"/>
              <w:rPr>
                <w:rFonts w:eastAsia="Times New Roman" w:cs="Times New Roman"/>
                <w:color w:val="000000"/>
                <w:sz w:val="18"/>
                <w:szCs w:val="18"/>
              </w:rPr>
            </w:pPr>
            <w:r w:rsidRPr="00FD3D18">
              <w:rPr>
                <w:rFonts w:eastAsia="Times New Roman" w:cs="Times New Roman"/>
                <w:color w:val="000000"/>
                <w:sz w:val="18"/>
                <w:szCs w:val="18"/>
              </w:rPr>
              <w:t>Pārējās preces</w:t>
            </w:r>
          </w:p>
        </w:tc>
        <w:tc>
          <w:tcPr>
            <w:tcW w:w="1228" w:type="dxa"/>
            <w:tcBorders>
              <w:top w:val="nil"/>
              <w:left w:val="nil"/>
              <w:bottom w:val="single" w:sz="4" w:space="0" w:color="auto"/>
              <w:right w:val="single" w:sz="4" w:space="0" w:color="auto"/>
            </w:tcBorders>
            <w:shd w:val="clear" w:color="auto" w:fill="auto"/>
            <w:noWrap/>
            <w:vAlign w:val="center"/>
            <w:hideMark/>
          </w:tcPr>
          <w:p w14:paraId="43FF9F15"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597</w:t>
            </w:r>
          </w:p>
        </w:tc>
        <w:tc>
          <w:tcPr>
            <w:tcW w:w="1417" w:type="dxa"/>
            <w:tcBorders>
              <w:top w:val="nil"/>
              <w:left w:val="nil"/>
              <w:bottom w:val="single" w:sz="4" w:space="0" w:color="auto"/>
              <w:right w:val="single" w:sz="4" w:space="0" w:color="auto"/>
            </w:tcBorders>
            <w:shd w:val="clear" w:color="auto" w:fill="auto"/>
            <w:noWrap/>
            <w:vAlign w:val="center"/>
            <w:hideMark/>
          </w:tcPr>
          <w:p w14:paraId="4086C8FD"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715</w:t>
            </w:r>
          </w:p>
        </w:tc>
        <w:tc>
          <w:tcPr>
            <w:tcW w:w="1134" w:type="dxa"/>
            <w:tcBorders>
              <w:top w:val="nil"/>
              <w:left w:val="nil"/>
              <w:bottom w:val="single" w:sz="4" w:space="0" w:color="auto"/>
              <w:right w:val="single" w:sz="4" w:space="0" w:color="auto"/>
            </w:tcBorders>
            <w:shd w:val="clear" w:color="auto" w:fill="auto"/>
            <w:noWrap/>
            <w:vAlign w:val="center"/>
            <w:hideMark/>
          </w:tcPr>
          <w:p w14:paraId="0DD95C05"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119</w:t>
            </w:r>
          </w:p>
        </w:tc>
        <w:tc>
          <w:tcPr>
            <w:tcW w:w="1134" w:type="dxa"/>
            <w:tcBorders>
              <w:top w:val="nil"/>
              <w:left w:val="nil"/>
              <w:bottom w:val="single" w:sz="4" w:space="0" w:color="auto"/>
              <w:right w:val="single" w:sz="4" w:space="0" w:color="auto"/>
            </w:tcBorders>
            <w:shd w:val="clear" w:color="auto" w:fill="auto"/>
            <w:noWrap/>
            <w:vAlign w:val="center"/>
            <w:hideMark/>
          </w:tcPr>
          <w:p w14:paraId="66ABD194"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20%</w:t>
            </w:r>
          </w:p>
        </w:tc>
        <w:tc>
          <w:tcPr>
            <w:tcW w:w="1219" w:type="dxa"/>
            <w:tcBorders>
              <w:top w:val="nil"/>
              <w:left w:val="nil"/>
              <w:bottom w:val="single" w:sz="4" w:space="0" w:color="auto"/>
              <w:right w:val="single" w:sz="4" w:space="0" w:color="auto"/>
            </w:tcBorders>
            <w:shd w:val="clear" w:color="auto" w:fill="auto"/>
            <w:noWrap/>
            <w:vAlign w:val="center"/>
            <w:hideMark/>
          </w:tcPr>
          <w:p w14:paraId="68940995"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7%</w:t>
            </w:r>
          </w:p>
        </w:tc>
      </w:tr>
      <w:tr w:rsidR="00B13890" w:rsidRPr="00FD3D18" w14:paraId="01450981" w14:textId="77777777" w:rsidTr="00FD3D18">
        <w:trPr>
          <w:trHeight w:val="288"/>
          <w:jc w:val="center"/>
        </w:trPr>
        <w:tc>
          <w:tcPr>
            <w:tcW w:w="2170" w:type="dxa"/>
            <w:tcBorders>
              <w:top w:val="nil"/>
              <w:left w:val="single" w:sz="4" w:space="0" w:color="auto"/>
              <w:bottom w:val="single" w:sz="4" w:space="0" w:color="auto"/>
              <w:right w:val="single" w:sz="4" w:space="0" w:color="auto"/>
            </w:tcBorders>
            <w:shd w:val="clear" w:color="auto" w:fill="auto"/>
            <w:noWrap/>
            <w:vAlign w:val="center"/>
            <w:hideMark/>
          </w:tcPr>
          <w:p w14:paraId="513EDAF5" w14:textId="77777777" w:rsidR="00B13890" w:rsidRPr="00FD3D18" w:rsidRDefault="00B13890" w:rsidP="00FD3D18">
            <w:pPr>
              <w:spacing w:after="0"/>
              <w:ind w:firstLine="0"/>
              <w:jc w:val="left"/>
              <w:rPr>
                <w:rFonts w:eastAsia="Times New Roman" w:cs="Times New Roman"/>
                <w:color w:val="000000"/>
                <w:sz w:val="18"/>
                <w:szCs w:val="18"/>
              </w:rPr>
            </w:pPr>
            <w:r w:rsidRPr="00FD3D18">
              <w:rPr>
                <w:rFonts w:eastAsia="Times New Roman" w:cs="Times New Roman"/>
                <w:color w:val="000000"/>
                <w:sz w:val="18"/>
                <w:szCs w:val="18"/>
              </w:rPr>
              <w:t>Plastmasas, kaučuks un to izstrādājumi</w:t>
            </w:r>
          </w:p>
        </w:tc>
        <w:tc>
          <w:tcPr>
            <w:tcW w:w="1228" w:type="dxa"/>
            <w:tcBorders>
              <w:top w:val="nil"/>
              <w:left w:val="nil"/>
              <w:bottom w:val="single" w:sz="4" w:space="0" w:color="auto"/>
              <w:right w:val="single" w:sz="4" w:space="0" w:color="auto"/>
            </w:tcBorders>
            <w:shd w:val="clear" w:color="auto" w:fill="auto"/>
            <w:noWrap/>
            <w:vAlign w:val="center"/>
            <w:hideMark/>
          </w:tcPr>
          <w:p w14:paraId="7362D366"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499</w:t>
            </w:r>
          </w:p>
        </w:tc>
        <w:tc>
          <w:tcPr>
            <w:tcW w:w="1417" w:type="dxa"/>
            <w:tcBorders>
              <w:top w:val="nil"/>
              <w:left w:val="nil"/>
              <w:bottom w:val="single" w:sz="4" w:space="0" w:color="auto"/>
              <w:right w:val="single" w:sz="4" w:space="0" w:color="auto"/>
            </w:tcBorders>
            <w:shd w:val="clear" w:color="auto" w:fill="auto"/>
            <w:noWrap/>
            <w:vAlign w:val="center"/>
            <w:hideMark/>
          </w:tcPr>
          <w:p w14:paraId="3154ED90"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601</w:t>
            </w:r>
          </w:p>
        </w:tc>
        <w:tc>
          <w:tcPr>
            <w:tcW w:w="1134" w:type="dxa"/>
            <w:tcBorders>
              <w:top w:val="nil"/>
              <w:left w:val="nil"/>
              <w:bottom w:val="single" w:sz="4" w:space="0" w:color="auto"/>
              <w:right w:val="single" w:sz="4" w:space="0" w:color="auto"/>
            </w:tcBorders>
            <w:shd w:val="clear" w:color="auto" w:fill="auto"/>
            <w:noWrap/>
            <w:vAlign w:val="center"/>
            <w:hideMark/>
          </w:tcPr>
          <w:p w14:paraId="222A6A62"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103</w:t>
            </w:r>
          </w:p>
        </w:tc>
        <w:tc>
          <w:tcPr>
            <w:tcW w:w="1134" w:type="dxa"/>
            <w:tcBorders>
              <w:top w:val="nil"/>
              <w:left w:val="nil"/>
              <w:bottom w:val="single" w:sz="4" w:space="0" w:color="auto"/>
              <w:right w:val="single" w:sz="4" w:space="0" w:color="auto"/>
            </w:tcBorders>
            <w:shd w:val="clear" w:color="auto" w:fill="auto"/>
            <w:noWrap/>
            <w:vAlign w:val="center"/>
            <w:hideMark/>
          </w:tcPr>
          <w:p w14:paraId="503FE680"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21%</w:t>
            </w:r>
          </w:p>
        </w:tc>
        <w:tc>
          <w:tcPr>
            <w:tcW w:w="1219" w:type="dxa"/>
            <w:tcBorders>
              <w:top w:val="nil"/>
              <w:left w:val="nil"/>
              <w:bottom w:val="single" w:sz="4" w:space="0" w:color="auto"/>
              <w:right w:val="single" w:sz="4" w:space="0" w:color="auto"/>
            </w:tcBorders>
            <w:shd w:val="clear" w:color="auto" w:fill="auto"/>
            <w:noWrap/>
            <w:vAlign w:val="center"/>
            <w:hideMark/>
          </w:tcPr>
          <w:p w14:paraId="3E7A9F7B"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6%</w:t>
            </w:r>
          </w:p>
        </w:tc>
      </w:tr>
      <w:tr w:rsidR="00B13890" w:rsidRPr="00FD3D18" w14:paraId="07A1F3EF" w14:textId="77777777" w:rsidTr="00FD3D18">
        <w:trPr>
          <w:trHeight w:val="288"/>
          <w:jc w:val="center"/>
        </w:trPr>
        <w:tc>
          <w:tcPr>
            <w:tcW w:w="2170" w:type="dxa"/>
            <w:tcBorders>
              <w:top w:val="nil"/>
              <w:left w:val="single" w:sz="4" w:space="0" w:color="auto"/>
              <w:bottom w:val="single" w:sz="4" w:space="0" w:color="auto"/>
              <w:right w:val="single" w:sz="4" w:space="0" w:color="auto"/>
            </w:tcBorders>
            <w:shd w:val="clear" w:color="auto" w:fill="auto"/>
            <w:noWrap/>
            <w:vAlign w:val="center"/>
            <w:hideMark/>
          </w:tcPr>
          <w:p w14:paraId="508A48D8" w14:textId="77777777" w:rsidR="00B13890" w:rsidRPr="00FD3D18" w:rsidRDefault="00B13890" w:rsidP="00FD3D18">
            <w:pPr>
              <w:spacing w:after="0"/>
              <w:ind w:firstLine="0"/>
              <w:jc w:val="left"/>
              <w:rPr>
                <w:rFonts w:eastAsia="Times New Roman" w:cs="Times New Roman"/>
                <w:color w:val="000000"/>
                <w:sz w:val="18"/>
                <w:szCs w:val="18"/>
              </w:rPr>
            </w:pPr>
            <w:r w:rsidRPr="00FD3D18">
              <w:rPr>
                <w:rFonts w:eastAsia="Times New Roman" w:cs="Times New Roman"/>
                <w:color w:val="000000"/>
                <w:sz w:val="18"/>
                <w:szCs w:val="18"/>
              </w:rPr>
              <w:t>Koks un koka izstrādājumi</w:t>
            </w:r>
          </w:p>
        </w:tc>
        <w:tc>
          <w:tcPr>
            <w:tcW w:w="1228" w:type="dxa"/>
            <w:tcBorders>
              <w:top w:val="nil"/>
              <w:left w:val="nil"/>
              <w:bottom w:val="single" w:sz="4" w:space="0" w:color="auto"/>
              <w:right w:val="single" w:sz="4" w:space="0" w:color="auto"/>
            </w:tcBorders>
            <w:shd w:val="clear" w:color="auto" w:fill="auto"/>
            <w:noWrap/>
            <w:vAlign w:val="center"/>
            <w:hideMark/>
          </w:tcPr>
          <w:p w14:paraId="64195C09"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314</w:t>
            </w:r>
          </w:p>
        </w:tc>
        <w:tc>
          <w:tcPr>
            <w:tcW w:w="1417" w:type="dxa"/>
            <w:tcBorders>
              <w:top w:val="nil"/>
              <w:left w:val="nil"/>
              <w:bottom w:val="single" w:sz="4" w:space="0" w:color="auto"/>
              <w:right w:val="single" w:sz="4" w:space="0" w:color="auto"/>
            </w:tcBorders>
            <w:shd w:val="clear" w:color="auto" w:fill="auto"/>
            <w:noWrap/>
            <w:vAlign w:val="center"/>
            <w:hideMark/>
          </w:tcPr>
          <w:p w14:paraId="3BECBB35"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534</w:t>
            </w:r>
          </w:p>
        </w:tc>
        <w:tc>
          <w:tcPr>
            <w:tcW w:w="1134" w:type="dxa"/>
            <w:tcBorders>
              <w:top w:val="nil"/>
              <w:left w:val="nil"/>
              <w:bottom w:val="single" w:sz="4" w:space="0" w:color="auto"/>
              <w:right w:val="single" w:sz="4" w:space="0" w:color="auto"/>
            </w:tcBorders>
            <w:shd w:val="clear" w:color="auto" w:fill="auto"/>
            <w:noWrap/>
            <w:vAlign w:val="center"/>
            <w:hideMark/>
          </w:tcPr>
          <w:p w14:paraId="03D6B65A"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221</w:t>
            </w:r>
          </w:p>
        </w:tc>
        <w:tc>
          <w:tcPr>
            <w:tcW w:w="1134" w:type="dxa"/>
            <w:tcBorders>
              <w:top w:val="nil"/>
              <w:left w:val="nil"/>
              <w:bottom w:val="single" w:sz="4" w:space="0" w:color="auto"/>
              <w:right w:val="single" w:sz="4" w:space="0" w:color="auto"/>
            </w:tcBorders>
            <w:shd w:val="clear" w:color="auto" w:fill="auto"/>
            <w:noWrap/>
            <w:vAlign w:val="center"/>
            <w:hideMark/>
          </w:tcPr>
          <w:p w14:paraId="5F1E42DB"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70%</w:t>
            </w:r>
          </w:p>
        </w:tc>
        <w:tc>
          <w:tcPr>
            <w:tcW w:w="1219" w:type="dxa"/>
            <w:tcBorders>
              <w:top w:val="nil"/>
              <w:left w:val="nil"/>
              <w:bottom w:val="single" w:sz="4" w:space="0" w:color="auto"/>
              <w:right w:val="single" w:sz="4" w:space="0" w:color="auto"/>
            </w:tcBorders>
            <w:shd w:val="clear" w:color="auto" w:fill="auto"/>
            <w:noWrap/>
            <w:vAlign w:val="center"/>
            <w:hideMark/>
          </w:tcPr>
          <w:p w14:paraId="26F7B330"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5%</w:t>
            </w:r>
          </w:p>
        </w:tc>
      </w:tr>
      <w:tr w:rsidR="00B13890" w:rsidRPr="00FD3D18" w14:paraId="40930460" w14:textId="77777777" w:rsidTr="00FD3D18">
        <w:trPr>
          <w:trHeight w:val="288"/>
          <w:jc w:val="center"/>
        </w:trPr>
        <w:tc>
          <w:tcPr>
            <w:tcW w:w="2170" w:type="dxa"/>
            <w:tcBorders>
              <w:top w:val="nil"/>
              <w:left w:val="single" w:sz="4" w:space="0" w:color="auto"/>
              <w:bottom w:val="single" w:sz="4" w:space="0" w:color="auto"/>
              <w:right w:val="single" w:sz="4" w:space="0" w:color="auto"/>
            </w:tcBorders>
            <w:shd w:val="clear" w:color="auto" w:fill="auto"/>
            <w:noWrap/>
            <w:vAlign w:val="center"/>
            <w:hideMark/>
          </w:tcPr>
          <w:p w14:paraId="6B17D3D7" w14:textId="77777777" w:rsidR="00B13890" w:rsidRPr="00FD3D18" w:rsidRDefault="00B13890" w:rsidP="00FD3D18">
            <w:pPr>
              <w:spacing w:after="0"/>
              <w:ind w:firstLine="0"/>
              <w:jc w:val="left"/>
              <w:rPr>
                <w:rFonts w:eastAsia="Times New Roman" w:cs="Times New Roman"/>
                <w:color w:val="000000"/>
                <w:sz w:val="18"/>
                <w:szCs w:val="18"/>
              </w:rPr>
            </w:pPr>
            <w:r w:rsidRPr="00FD3D18">
              <w:rPr>
                <w:rFonts w:eastAsia="Times New Roman" w:cs="Times New Roman"/>
                <w:color w:val="000000"/>
                <w:sz w:val="18"/>
                <w:szCs w:val="18"/>
              </w:rPr>
              <w:t>Tekstilmateriāli un tekstilizstrādājumi</w:t>
            </w:r>
          </w:p>
        </w:tc>
        <w:tc>
          <w:tcPr>
            <w:tcW w:w="1228" w:type="dxa"/>
            <w:tcBorders>
              <w:top w:val="nil"/>
              <w:left w:val="nil"/>
              <w:bottom w:val="single" w:sz="4" w:space="0" w:color="auto"/>
              <w:right w:val="single" w:sz="4" w:space="0" w:color="auto"/>
            </w:tcBorders>
            <w:shd w:val="clear" w:color="auto" w:fill="auto"/>
            <w:noWrap/>
            <w:vAlign w:val="center"/>
            <w:hideMark/>
          </w:tcPr>
          <w:p w14:paraId="0C26CBE8"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326</w:t>
            </w:r>
          </w:p>
        </w:tc>
        <w:tc>
          <w:tcPr>
            <w:tcW w:w="1417" w:type="dxa"/>
            <w:tcBorders>
              <w:top w:val="nil"/>
              <w:left w:val="nil"/>
              <w:bottom w:val="single" w:sz="4" w:space="0" w:color="auto"/>
              <w:right w:val="single" w:sz="4" w:space="0" w:color="auto"/>
            </w:tcBorders>
            <w:shd w:val="clear" w:color="auto" w:fill="auto"/>
            <w:noWrap/>
            <w:vAlign w:val="center"/>
            <w:hideMark/>
          </w:tcPr>
          <w:p w14:paraId="47692CDE"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351</w:t>
            </w:r>
          </w:p>
        </w:tc>
        <w:tc>
          <w:tcPr>
            <w:tcW w:w="1134" w:type="dxa"/>
            <w:tcBorders>
              <w:top w:val="nil"/>
              <w:left w:val="nil"/>
              <w:bottom w:val="single" w:sz="4" w:space="0" w:color="auto"/>
              <w:right w:val="single" w:sz="4" w:space="0" w:color="auto"/>
            </w:tcBorders>
            <w:shd w:val="clear" w:color="auto" w:fill="auto"/>
            <w:noWrap/>
            <w:vAlign w:val="center"/>
            <w:hideMark/>
          </w:tcPr>
          <w:p w14:paraId="28EB1339"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25</w:t>
            </w:r>
          </w:p>
        </w:tc>
        <w:tc>
          <w:tcPr>
            <w:tcW w:w="1134" w:type="dxa"/>
            <w:tcBorders>
              <w:top w:val="nil"/>
              <w:left w:val="nil"/>
              <w:bottom w:val="single" w:sz="4" w:space="0" w:color="auto"/>
              <w:right w:val="single" w:sz="4" w:space="0" w:color="auto"/>
            </w:tcBorders>
            <w:shd w:val="clear" w:color="auto" w:fill="auto"/>
            <w:noWrap/>
            <w:vAlign w:val="center"/>
            <w:hideMark/>
          </w:tcPr>
          <w:p w14:paraId="5D4D2BA0"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8%</w:t>
            </w:r>
          </w:p>
        </w:tc>
        <w:tc>
          <w:tcPr>
            <w:tcW w:w="1219" w:type="dxa"/>
            <w:tcBorders>
              <w:top w:val="nil"/>
              <w:left w:val="nil"/>
              <w:bottom w:val="single" w:sz="4" w:space="0" w:color="auto"/>
              <w:right w:val="single" w:sz="4" w:space="0" w:color="auto"/>
            </w:tcBorders>
            <w:shd w:val="clear" w:color="auto" w:fill="auto"/>
            <w:noWrap/>
            <w:vAlign w:val="center"/>
            <w:hideMark/>
          </w:tcPr>
          <w:p w14:paraId="748F829F"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3%</w:t>
            </w:r>
          </w:p>
        </w:tc>
      </w:tr>
      <w:tr w:rsidR="00B13890" w:rsidRPr="00FD3D18" w14:paraId="050DD5AB" w14:textId="77777777" w:rsidTr="00FD3D18">
        <w:trPr>
          <w:trHeight w:val="288"/>
          <w:jc w:val="center"/>
        </w:trPr>
        <w:tc>
          <w:tcPr>
            <w:tcW w:w="2170" w:type="dxa"/>
            <w:tcBorders>
              <w:top w:val="nil"/>
              <w:left w:val="single" w:sz="4" w:space="0" w:color="auto"/>
              <w:bottom w:val="single" w:sz="4" w:space="0" w:color="auto"/>
              <w:right w:val="single" w:sz="4" w:space="0" w:color="auto"/>
            </w:tcBorders>
            <w:shd w:val="clear" w:color="auto" w:fill="auto"/>
            <w:noWrap/>
            <w:vAlign w:val="center"/>
            <w:hideMark/>
          </w:tcPr>
          <w:p w14:paraId="631B9F07" w14:textId="77777777" w:rsidR="00B13890" w:rsidRPr="00FD3D18" w:rsidRDefault="00B13890" w:rsidP="00FD3D18">
            <w:pPr>
              <w:spacing w:after="0"/>
              <w:ind w:firstLine="0"/>
              <w:jc w:val="left"/>
              <w:rPr>
                <w:rFonts w:eastAsia="Times New Roman" w:cs="Times New Roman"/>
                <w:color w:val="000000"/>
                <w:sz w:val="18"/>
                <w:szCs w:val="18"/>
              </w:rPr>
            </w:pPr>
            <w:r w:rsidRPr="00FD3D18">
              <w:rPr>
                <w:rFonts w:eastAsia="Times New Roman" w:cs="Times New Roman"/>
                <w:color w:val="000000"/>
                <w:sz w:val="18"/>
                <w:szCs w:val="18"/>
              </w:rPr>
              <w:t>Papīrs, kartons un poligrāfijas izstrādājumi</w:t>
            </w:r>
          </w:p>
        </w:tc>
        <w:tc>
          <w:tcPr>
            <w:tcW w:w="1228" w:type="dxa"/>
            <w:tcBorders>
              <w:top w:val="nil"/>
              <w:left w:val="nil"/>
              <w:bottom w:val="single" w:sz="4" w:space="0" w:color="auto"/>
              <w:right w:val="single" w:sz="4" w:space="0" w:color="auto"/>
            </w:tcBorders>
            <w:shd w:val="clear" w:color="auto" w:fill="auto"/>
            <w:noWrap/>
            <w:vAlign w:val="center"/>
            <w:hideMark/>
          </w:tcPr>
          <w:p w14:paraId="35B0CCAD"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174</w:t>
            </w:r>
          </w:p>
        </w:tc>
        <w:tc>
          <w:tcPr>
            <w:tcW w:w="1417" w:type="dxa"/>
            <w:tcBorders>
              <w:top w:val="nil"/>
              <w:left w:val="nil"/>
              <w:bottom w:val="single" w:sz="4" w:space="0" w:color="auto"/>
              <w:right w:val="single" w:sz="4" w:space="0" w:color="auto"/>
            </w:tcBorders>
            <w:shd w:val="clear" w:color="auto" w:fill="auto"/>
            <w:noWrap/>
            <w:vAlign w:val="center"/>
            <w:hideMark/>
          </w:tcPr>
          <w:p w14:paraId="5AA8C95C"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192</w:t>
            </w:r>
          </w:p>
        </w:tc>
        <w:tc>
          <w:tcPr>
            <w:tcW w:w="1134" w:type="dxa"/>
            <w:tcBorders>
              <w:top w:val="nil"/>
              <w:left w:val="nil"/>
              <w:bottom w:val="single" w:sz="4" w:space="0" w:color="auto"/>
              <w:right w:val="single" w:sz="4" w:space="0" w:color="auto"/>
            </w:tcBorders>
            <w:shd w:val="clear" w:color="auto" w:fill="auto"/>
            <w:noWrap/>
            <w:vAlign w:val="center"/>
            <w:hideMark/>
          </w:tcPr>
          <w:p w14:paraId="1841B753"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18</w:t>
            </w:r>
          </w:p>
        </w:tc>
        <w:tc>
          <w:tcPr>
            <w:tcW w:w="1134" w:type="dxa"/>
            <w:tcBorders>
              <w:top w:val="nil"/>
              <w:left w:val="nil"/>
              <w:bottom w:val="single" w:sz="4" w:space="0" w:color="auto"/>
              <w:right w:val="single" w:sz="4" w:space="0" w:color="auto"/>
            </w:tcBorders>
            <w:shd w:val="clear" w:color="auto" w:fill="auto"/>
            <w:noWrap/>
            <w:vAlign w:val="center"/>
            <w:hideMark/>
          </w:tcPr>
          <w:p w14:paraId="2C22AA05"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10%</w:t>
            </w:r>
          </w:p>
        </w:tc>
        <w:tc>
          <w:tcPr>
            <w:tcW w:w="1219" w:type="dxa"/>
            <w:tcBorders>
              <w:top w:val="nil"/>
              <w:left w:val="nil"/>
              <w:bottom w:val="single" w:sz="4" w:space="0" w:color="auto"/>
              <w:right w:val="single" w:sz="4" w:space="0" w:color="auto"/>
            </w:tcBorders>
            <w:shd w:val="clear" w:color="auto" w:fill="auto"/>
            <w:noWrap/>
            <w:vAlign w:val="center"/>
            <w:hideMark/>
          </w:tcPr>
          <w:p w14:paraId="48E14481"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2%</w:t>
            </w:r>
          </w:p>
        </w:tc>
      </w:tr>
      <w:tr w:rsidR="00B13890" w:rsidRPr="00FD3D18" w14:paraId="3D02A0EC" w14:textId="77777777" w:rsidTr="00FD3D18">
        <w:trPr>
          <w:trHeight w:val="300"/>
          <w:jc w:val="center"/>
        </w:trPr>
        <w:tc>
          <w:tcPr>
            <w:tcW w:w="2170" w:type="dxa"/>
            <w:tcBorders>
              <w:top w:val="nil"/>
              <w:left w:val="single" w:sz="4" w:space="0" w:color="auto"/>
              <w:bottom w:val="single" w:sz="4" w:space="0" w:color="auto"/>
              <w:right w:val="single" w:sz="4" w:space="0" w:color="auto"/>
            </w:tcBorders>
            <w:shd w:val="clear" w:color="auto" w:fill="auto"/>
            <w:noWrap/>
            <w:vAlign w:val="center"/>
            <w:hideMark/>
          </w:tcPr>
          <w:p w14:paraId="7ECABB90" w14:textId="77777777" w:rsidR="00B13890" w:rsidRPr="00FD3D18" w:rsidRDefault="00B13890" w:rsidP="00FD3D18">
            <w:pPr>
              <w:spacing w:after="0"/>
              <w:ind w:firstLine="0"/>
              <w:jc w:val="left"/>
              <w:rPr>
                <w:rFonts w:eastAsia="Times New Roman" w:cs="Times New Roman"/>
                <w:color w:val="000000"/>
                <w:sz w:val="18"/>
                <w:szCs w:val="18"/>
              </w:rPr>
            </w:pPr>
            <w:r w:rsidRPr="00FD3D18">
              <w:rPr>
                <w:rFonts w:eastAsia="Times New Roman" w:cs="Times New Roman"/>
                <w:color w:val="000000"/>
                <w:sz w:val="18"/>
                <w:szCs w:val="18"/>
              </w:rPr>
              <w:t>Būvniecības izstrādājumi</w:t>
            </w:r>
          </w:p>
        </w:tc>
        <w:tc>
          <w:tcPr>
            <w:tcW w:w="1228" w:type="dxa"/>
            <w:tcBorders>
              <w:top w:val="nil"/>
              <w:left w:val="nil"/>
              <w:bottom w:val="single" w:sz="4" w:space="0" w:color="auto"/>
              <w:right w:val="single" w:sz="4" w:space="0" w:color="auto"/>
            </w:tcBorders>
            <w:shd w:val="clear" w:color="auto" w:fill="auto"/>
            <w:noWrap/>
            <w:vAlign w:val="center"/>
            <w:hideMark/>
          </w:tcPr>
          <w:p w14:paraId="428A773A"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146</w:t>
            </w:r>
          </w:p>
        </w:tc>
        <w:tc>
          <w:tcPr>
            <w:tcW w:w="1417" w:type="dxa"/>
            <w:tcBorders>
              <w:top w:val="nil"/>
              <w:left w:val="nil"/>
              <w:bottom w:val="single" w:sz="4" w:space="0" w:color="auto"/>
              <w:right w:val="single" w:sz="4" w:space="0" w:color="auto"/>
            </w:tcBorders>
            <w:shd w:val="clear" w:color="auto" w:fill="auto"/>
            <w:noWrap/>
            <w:vAlign w:val="center"/>
            <w:hideMark/>
          </w:tcPr>
          <w:p w14:paraId="550CC5E9"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160</w:t>
            </w:r>
          </w:p>
        </w:tc>
        <w:tc>
          <w:tcPr>
            <w:tcW w:w="1134" w:type="dxa"/>
            <w:tcBorders>
              <w:top w:val="nil"/>
              <w:left w:val="nil"/>
              <w:bottom w:val="single" w:sz="4" w:space="0" w:color="auto"/>
              <w:right w:val="single" w:sz="4" w:space="0" w:color="auto"/>
            </w:tcBorders>
            <w:shd w:val="clear" w:color="auto" w:fill="auto"/>
            <w:noWrap/>
            <w:vAlign w:val="center"/>
            <w:hideMark/>
          </w:tcPr>
          <w:p w14:paraId="66114D50"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14</w:t>
            </w:r>
          </w:p>
        </w:tc>
        <w:tc>
          <w:tcPr>
            <w:tcW w:w="1134" w:type="dxa"/>
            <w:tcBorders>
              <w:top w:val="nil"/>
              <w:left w:val="nil"/>
              <w:bottom w:val="single" w:sz="4" w:space="0" w:color="auto"/>
              <w:right w:val="single" w:sz="4" w:space="0" w:color="auto"/>
            </w:tcBorders>
            <w:shd w:val="clear" w:color="auto" w:fill="auto"/>
            <w:noWrap/>
            <w:vAlign w:val="center"/>
            <w:hideMark/>
          </w:tcPr>
          <w:p w14:paraId="40CFF5D1"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9%</w:t>
            </w:r>
          </w:p>
        </w:tc>
        <w:tc>
          <w:tcPr>
            <w:tcW w:w="1219" w:type="dxa"/>
            <w:tcBorders>
              <w:top w:val="nil"/>
              <w:left w:val="nil"/>
              <w:bottom w:val="single" w:sz="4" w:space="0" w:color="auto"/>
              <w:right w:val="single" w:sz="4" w:space="0" w:color="auto"/>
            </w:tcBorders>
            <w:shd w:val="clear" w:color="auto" w:fill="auto"/>
            <w:noWrap/>
            <w:vAlign w:val="center"/>
            <w:hideMark/>
          </w:tcPr>
          <w:p w14:paraId="05162128" w14:textId="77777777" w:rsidR="00B13890" w:rsidRPr="00FD3D18" w:rsidRDefault="00B13890" w:rsidP="00FD3D18">
            <w:pPr>
              <w:spacing w:after="0"/>
              <w:ind w:firstLine="108"/>
              <w:jc w:val="center"/>
              <w:rPr>
                <w:rFonts w:eastAsia="Times New Roman" w:cs="Times New Roman"/>
                <w:color w:val="000000"/>
                <w:sz w:val="18"/>
                <w:szCs w:val="18"/>
              </w:rPr>
            </w:pPr>
            <w:r w:rsidRPr="00FD3D18">
              <w:rPr>
                <w:rFonts w:eastAsia="Times New Roman" w:cs="Times New Roman"/>
                <w:color w:val="000000"/>
                <w:sz w:val="18"/>
                <w:szCs w:val="18"/>
              </w:rPr>
              <w:t>2%</w:t>
            </w:r>
          </w:p>
        </w:tc>
      </w:tr>
      <w:tr w:rsidR="00B13890" w:rsidRPr="00FD3D18" w14:paraId="62A72906" w14:textId="77777777" w:rsidTr="00FD3D18">
        <w:trPr>
          <w:trHeight w:val="288"/>
          <w:jc w:val="center"/>
        </w:trPr>
        <w:tc>
          <w:tcPr>
            <w:tcW w:w="2170" w:type="dxa"/>
            <w:tcBorders>
              <w:top w:val="nil"/>
              <w:left w:val="single" w:sz="4" w:space="0" w:color="auto"/>
              <w:bottom w:val="single" w:sz="4" w:space="0" w:color="auto"/>
              <w:right w:val="single" w:sz="4" w:space="0" w:color="auto"/>
            </w:tcBorders>
            <w:shd w:val="clear" w:color="auto" w:fill="auto"/>
            <w:noWrap/>
            <w:vAlign w:val="center"/>
            <w:hideMark/>
          </w:tcPr>
          <w:p w14:paraId="28E449B7" w14:textId="77777777" w:rsidR="00B13890" w:rsidRPr="00FD3D18" w:rsidRDefault="00B13890" w:rsidP="00FD3D18">
            <w:pPr>
              <w:spacing w:after="0"/>
              <w:ind w:firstLine="0"/>
              <w:jc w:val="left"/>
              <w:rPr>
                <w:rFonts w:eastAsia="Times New Roman" w:cs="Times New Roman"/>
                <w:b/>
                <w:color w:val="000000"/>
                <w:sz w:val="18"/>
                <w:szCs w:val="18"/>
              </w:rPr>
            </w:pPr>
            <w:r w:rsidRPr="00FD3D18">
              <w:rPr>
                <w:rFonts w:eastAsia="Times New Roman" w:cs="Times New Roman"/>
                <w:b/>
                <w:color w:val="000000"/>
                <w:sz w:val="18"/>
                <w:szCs w:val="18"/>
              </w:rPr>
              <w:t>Pavisam</w:t>
            </w:r>
          </w:p>
        </w:tc>
        <w:tc>
          <w:tcPr>
            <w:tcW w:w="1228" w:type="dxa"/>
            <w:tcBorders>
              <w:top w:val="nil"/>
              <w:left w:val="nil"/>
              <w:bottom w:val="single" w:sz="4" w:space="0" w:color="auto"/>
              <w:right w:val="single" w:sz="4" w:space="0" w:color="auto"/>
            </w:tcBorders>
            <w:shd w:val="clear" w:color="auto" w:fill="auto"/>
            <w:noWrap/>
            <w:vAlign w:val="center"/>
            <w:hideMark/>
          </w:tcPr>
          <w:p w14:paraId="58ECAC00" w14:textId="77777777" w:rsidR="00B13890" w:rsidRPr="00FD3D18" w:rsidRDefault="00B13890" w:rsidP="00FD3D18">
            <w:pPr>
              <w:spacing w:after="0"/>
              <w:ind w:firstLine="108"/>
              <w:jc w:val="center"/>
              <w:rPr>
                <w:rFonts w:eastAsia="Times New Roman" w:cs="Times New Roman"/>
                <w:b/>
                <w:color w:val="000000"/>
                <w:sz w:val="18"/>
                <w:szCs w:val="18"/>
              </w:rPr>
            </w:pPr>
            <w:r w:rsidRPr="00FD3D18">
              <w:rPr>
                <w:rFonts w:eastAsia="Times New Roman" w:cs="Times New Roman"/>
                <w:b/>
                <w:color w:val="000000"/>
                <w:sz w:val="18"/>
                <w:szCs w:val="18"/>
              </w:rPr>
              <w:t>8291</w:t>
            </w:r>
          </w:p>
        </w:tc>
        <w:tc>
          <w:tcPr>
            <w:tcW w:w="1417" w:type="dxa"/>
            <w:tcBorders>
              <w:top w:val="nil"/>
              <w:left w:val="nil"/>
              <w:bottom w:val="single" w:sz="4" w:space="0" w:color="auto"/>
              <w:right w:val="single" w:sz="4" w:space="0" w:color="auto"/>
            </w:tcBorders>
            <w:shd w:val="clear" w:color="auto" w:fill="auto"/>
            <w:noWrap/>
            <w:vAlign w:val="center"/>
            <w:hideMark/>
          </w:tcPr>
          <w:p w14:paraId="0A8F5086" w14:textId="77777777" w:rsidR="00B13890" w:rsidRPr="00FD3D18" w:rsidRDefault="00B13890" w:rsidP="00FD3D18">
            <w:pPr>
              <w:spacing w:after="0"/>
              <w:ind w:firstLine="108"/>
              <w:jc w:val="center"/>
              <w:rPr>
                <w:rFonts w:eastAsia="Times New Roman" w:cs="Times New Roman"/>
                <w:b/>
                <w:color w:val="000000"/>
                <w:sz w:val="18"/>
                <w:szCs w:val="18"/>
              </w:rPr>
            </w:pPr>
            <w:r w:rsidRPr="00FD3D18">
              <w:rPr>
                <w:rFonts w:eastAsia="Times New Roman" w:cs="Times New Roman"/>
                <w:b/>
                <w:color w:val="000000"/>
                <w:sz w:val="18"/>
                <w:szCs w:val="18"/>
              </w:rPr>
              <w:t>10421</w:t>
            </w:r>
          </w:p>
        </w:tc>
        <w:tc>
          <w:tcPr>
            <w:tcW w:w="1134" w:type="dxa"/>
            <w:tcBorders>
              <w:top w:val="nil"/>
              <w:left w:val="nil"/>
              <w:bottom w:val="single" w:sz="4" w:space="0" w:color="auto"/>
              <w:right w:val="single" w:sz="4" w:space="0" w:color="auto"/>
            </w:tcBorders>
            <w:shd w:val="clear" w:color="auto" w:fill="auto"/>
            <w:noWrap/>
            <w:vAlign w:val="center"/>
            <w:hideMark/>
          </w:tcPr>
          <w:p w14:paraId="3710D3F6" w14:textId="77777777" w:rsidR="00B13890" w:rsidRPr="00FD3D18" w:rsidRDefault="00B13890" w:rsidP="00FD3D18">
            <w:pPr>
              <w:spacing w:after="0"/>
              <w:ind w:firstLine="108"/>
              <w:jc w:val="center"/>
              <w:rPr>
                <w:rFonts w:eastAsia="Times New Roman" w:cs="Times New Roman"/>
                <w:b/>
                <w:color w:val="000000"/>
                <w:sz w:val="18"/>
                <w:szCs w:val="18"/>
              </w:rPr>
            </w:pPr>
            <w:r w:rsidRPr="00FD3D18">
              <w:rPr>
                <w:rFonts w:eastAsia="Times New Roman" w:cs="Times New Roman"/>
                <w:b/>
                <w:color w:val="000000"/>
                <w:sz w:val="18"/>
                <w:szCs w:val="18"/>
              </w:rPr>
              <w:t>2130</w:t>
            </w:r>
          </w:p>
        </w:tc>
        <w:tc>
          <w:tcPr>
            <w:tcW w:w="1134" w:type="dxa"/>
            <w:tcBorders>
              <w:top w:val="nil"/>
              <w:left w:val="nil"/>
              <w:bottom w:val="single" w:sz="4" w:space="0" w:color="auto"/>
              <w:right w:val="single" w:sz="4" w:space="0" w:color="auto"/>
            </w:tcBorders>
            <w:shd w:val="clear" w:color="auto" w:fill="auto"/>
            <w:noWrap/>
            <w:vAlign w:val="center"/>
            <w:hideMark/>
          </w:tcPr>
          <w:p w14:paraId="1BA04F73" w14:textId="77777777" w:rsidR="00B13890" w:rsidRPr="00FD3D18" w:rsidRDefault="00B13890" w:rsidP="00FD3D18">
            <w:pPr>
              <w:spacing w:after="0"/>
              <w:ind w:firstLine="108"/>
              <w:jc w:val="center"/>
              <w:rPr>
                <w:rFonts w:eastAsia="Times New Roman" w:cs="Times New Roman"/>
                <w:b/>
                <w:color w:val="000000"/>
                <w:sz w:val="18"/>
                <w:szCs w:val="18"/>
              </w:rPr>
            </w:pPr>
            <w:r w:rsidRPr="00FD3D18">
              <w:rPr>
                <w:rFonts w:eastAsia="Times New Roman" w:cs="Times New Roman"/>
                <w:b/>
                <w:color w:val="000000"/>
                <w:sz w:val="18"/>
                <w:szCs w:val="18"/>
              </w:rPr>
              <w:t>26%</w:t>
            </w:r>
          </w:p>
        </w:tc>
        <w:tc>
          <w:tcPr>
            <w:tcW w:w="1219" w:type="dxa"/>
            <w:tcBorders>
              <w:top w:val="nil"/>
              <w:left w:val="nil"/>
              <w:bottom w:val="single" w:sz="4" w:space="0" w:color="auto"/>
              <w:right w:val="single" w:sz="4" w:space="0" w:color="auto"/>
            </w:tcBorders>
            <w:shd w:val="clear" w:color="auto" w:fill="auto"/>
            <w:noWrap/>
            <w:vAlign w:val="center"/>
            <w:hideMark/>
          </w:tcPr>
          <w:p w14:paraId="7014A266" w14:textId="77777777" w:rsidR="00B13890" w:rsidRPr="00FD3D18" w:rsidRDefault="00B13890" w:rsidP="00FD3D18">
            <w:pPr>
              <w:spacing w:after="0"/>
              <w:ind w:firstLine="108"/>
              <w:jc w:val="center"/>
              <w:rPr>
                <w:rFonts w:eastAsia="Times New Roman" w:cs="Times New Roman"/>
                <w:b/>
                <w:color w:val="000000"/>
                <w:sz w:val="18"/>
                <w:szCs w:val="18"/>
              </w:rPr>
            </w:pPr>
            <w:r w:rsidRPr="00FD3D18">
              <w:rPr>
                <w:rFonts w:eastAsia="Times New Roman" w:cs="Times New Roman"/>
                <w:b/>
                <w:color w:val="000000"/>
                <w:sz w:val="18"/>
                <w:szCs w:val="18"/>
              </w:rPr>
              <w:t>100%</w:t>
            </w:r>
          </w:p>
        </w:tc>
      </w:tr>
    </w:tbl>
    <w:p w14:paraId="41DDC2B1" w14:textId="77777777" w:rsidR="00B13890" w:rsidRPr="000F1086" w:rsidRDefault="00B13890" w:rsidP="00B13890">
      <w:pPr>
        <w:spacing w:before="120"/>
        <w:rPr>
          <w:rFonts w:eastAsia="Calibri"/>
        </w:rPr>
      </w:pPr>
      <w:r w:rsidRPr="000F1086">
        <w:rPr>
          <w:rFonts w:eastAsia="Calibri"/>
        </w:rPr>
        <w:t>Pakalpojumu importa vērtība 2021</w:t>
      </w:r>
      <w:r>
        <w:rPr>
          <w:rFonts w:eastAsia="Calibri"/>
        </w:rPr>
        <w:t>. gad</w:t>
      </w:r>
      <w:r w:rsidRPr="000F1086">
        <w:rPr>
          <w:rFonts w:eastAsia="Calibri"/>
        </w:rPr>
        <w:t xml:space="preserve">a pirmajos septiņos mēnešos palielinājās par 13,8%, ko veicināja transporta pakalpojumu, kā arī pārējo pakalpojumu imports. Transporta pakalpojumu imports pieauga visos transporta veidos, izņemot gaisa transportu. Tikmēr informācijas un datorpakalpojumu imports pieauga par 19,5%. Vienlaicīgi Latvijas iedzīvotāju izdevumi ārvalstīs samazinājās par 54,6% salīdzinājumā ar pērnā gada pirmajiem septiņiem mēnešiem. </w:t>
      </w:r>
    </w:p>
    <w:p w14:paraId="7382CF46" w14:textId="77777777" w:rsidR="00B13890" w:rsidRDefault="00B13890" w:rsidP="00B13890">
      <w:pPr>
        <w:spacing w:before="120"/>
        <w:rPr>
          <w:rFonts w:eastAsia="Calibri"/>
        </w:rPr>
      </w:pPr>
      <w:r w:rsidRPr="000F1086">
        <w:rPr>
          <w:rFonts w:eastAsia="Calibri"/>
        </w:rPr>
        <w:t>Ārējās tirdzniecības apgrozījuma straujais pieaugums būtiski ietekmēja Latvijas maksājumu bilances tekošo kontu (1.</w:t>
      </w:r>
      <w:r>
        <w:rPr>
          <w:rFonts w:eastAsia="Calibri"/>
        </w:rPr>
        <w:t>39</w:t>
      </w:r>
      <w:r w:rsidRPr="000F1086">
        <w:rPr>
          <w:rFonts w:eastAsia="Calibri"/>
        </w:rPr>
        <w:t>.</w:t>
      </w:r>
      <w:r>
        <w:rPr>
          <w:rFonts w:eastAsia="Calibri"/>
        </w:rPr>
        <w:t xml:space="preserve"> </w:t>
      </w:r>
      <w:r w:rsidRPr="000F1086">
        <w:rPr>
          <w:rFonts w:eastAsia="Calibri"/>
        </w:rPr>
        <w:t>attēls). 2021</w:t>
      </w:r>
      <w:r>
        <w:rPr>
          <w:rFonts w:eastAsia="Calibri"/>
        </w:rPr>
        <w:t>. gad</w:t>
      </w:r>
      <w:r w:rsidRPr="000F1086">
        <w:rPr>
          <w:rFonts w:eastAsia="Calibri"/>
        </w:rPr>
        <w:t xml:space="preserve">a pirmajā pusgadā tekošajā kontā bija 652 milj. </w:t>
      </w:r>
      <w:r w:rsidRPr="000F1086">
        <w:rPr>
          <w:rFonts w:eastAsia="Calibri"/>
          <w:i/>
        </w:rPr>
        <w:t>euro</w:t>
      </w:r>
      <w:r w:rsidRPr="000F1086">
        <w:rPr>
          <w:rFonts w:eastAsia="Calibri"/>
        </w:rPr>
        <w:t xml:space="preserve"> deficīts pretstatā 306 milj. </w:t>
      </w:r>
      <w:r w:rsidRPr="00024598">
        <w:rPr>
          <w:rFonts w:eastAsia="Calibri"/>
          <w:i/>
        </w:rPr>
        <w:t>euro</w:t>
      </w:r>
      <w:r w:rsidRPr="000F1086">
        <w:rPr>
          <w:rFonts w:eastAsia="Calibri"/>
        </w:rPr>
        <w:t xml:space="preserve"> pārpalikumam pērnā gada attiecīgajā periodā. Pasliktinājās visas tekošā konta apakškontu bilances, tomēr noteicošā loma bija tieši ārējās tirdzniecības kontiem. Preču importam palielinoties straujāk par preču eksportu, preču konta deficīts ir palielinājies par 355 milj. </w:t>
      </w:r>
      <w:r w:rsidRPr="000F1086">
        <w:rPr>
          <w:rFonts w:eastAsia="Calibri"/>
          <w:i/>
        </w:rPr>
        <w:t>euro</w:t>
      </w:r>
      <w:r w:rsidRPr="000F1086">
        <w:rPr>
          <w:rFonts w:eastAsia="Calibri"/>
        </w:rPr>
        <w:t xml:space="preserve"> līdz 1134 </w:t>
      </w:r>
      <w:r w:rsidRPr="000F1086">
        <w:rPr>
          <w:rFonts w:eastAsia="Calibri"/>
          <w:i/>
        </w:rPr>
        <w:t>milj. euro</w:t>
      </w:r>
      <w:r w:rsidRPr="000F1086">
        <w:rPr>
          <w:rFonts w:eastAsia="Calibri"/>
        </w:rPr>
        <w:t xml:space="preserve">. Līdzīgi bija arī pakalpojumu kontā – pakalpojumu imports pieauga straujāk par eksportu, tāpēc pakalpojumu konta pārpalikums ir samazinājies par 116 milj. </w:t>
      </w:r>
      <w:r w:rsidRPr="000F1086">
        <w:rPr>
          <w:rFonts w:eastAsia="Calibri"/>
          <w:i/>
        </w:rPr>
        <w:t>euro</w:t>
      </w:r>
      <w:r w:rsidRPr="000F1086">
        <w:rPr>
          <w:rFonts w:eastAsia="Calibri"/>
        </w:rPr>
        <w:t xml:space="preserve"> līdz 817 milj. </w:t>
      </w:r>
      <w:r w:rsidRPr="000F1086">
        <w:rPr>
          <w:rFonts w:eastAsia="Calibri"/>
          <w:i/>
        </w:rPr>
        <w:t>euro</w:t>
      </w:r>
      <w:r w:rsidRPr="000F1086">
        <w:rPr>
          <w:rFonts w:eastAsia="Calibri"/>
        </w:rPr>
        <w:t>. T</w:t>
      </w:r>
      <w:r>
        <w:rPr>
          <w:rFonts w:eastAsia="Calibri"/>
        </w:rPr>
        <w:t>ādējādi</w:t>
      </w:r>
      <w:r w:rsidRPr="000F1086">
        <w:rPr>
          <w:rFonts w:eastAsia="Calibri"/>
        </w:rPr>
        <w:t xml:space="preserve"> pakalpojumu konta pārpalikums tikai daļēji nosedz preču konta deficītu.</w:t>
      </w:r>
    </w:p>
    <w:p w14:paraId="21986D12" w14:textId="77777777" w:rsidR="00B13890" w:rsidRDefault="00B13890" w:rsidP="00B13890">
      <w:pPr>
        <w:spacing w:after="0"/>
        <w:rPr>
          <w:color w:val="FF0000"/>
          <w:szCs w:val="20"/>
        </w:rPr>
      </w:pPr>
      <w:r>
        <w:rPr>
          <w:noProof/>
        </w:rPr>
        <w:lastRenderedPageBreak/>
        <w:drawing>
          <wp:inline distT="0" distB="0" distL="0" distR="0" wp14:anchorId="00D77E8C" wp14:editId="7D4AFC9C">
            <wp:extent cx="5278120" cy="3303917"/>
            <wp:effectExtent l="0" t="0" r="0" b="0"/>
            <wp:docPr id="27" name="Chart 27">
              <a:extLst xmlns:a="http://schemas.openxmlformats.org/drawingml/2006/main">
                <a:ext uri="{FF2B5EF4-FFF2-40B4-BE49-F238E27FC236}">
                  <a16:creationId xmlns:a16="http://schemas.microsoft.com/office/drawing/2014/main" id="{00000000-0008-0000-3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46FD820" w14:textId="10A7DE62" w:rsidR="00FD3D18" w:rsidRPr="00CA66D3" w:rsidRDefault="00FD3D18" w:rsidP="00CA66D3">
      <w:pPr>
        <w:keepNext/>
        <w:spacing w:before="240" w:after="240"/>
        <w:jc w:val="center"/>
        <w:rPr>
          <w:b/>
          <w:szCs w:val="20"/>
        </w:rPr>
      </w:pPr>
      <w:r w:rsidRPr="00CA66D3">
        <w:rPr>
          <w:b/>
          <w:szCs w:val="20"/>
        </w:rPr>
        <w:t>1.39. attēls</w:t>
      </w:r>
      <w:r w:rsidR="00CA66D3">
        <w:rPr>
          <w:b/>
          <w:szCs w:val="20"/>
        </w:rPr>
        <w:t>.</w:t>
      </w:r>
      <w:r w:rsidRPr="00CA66D3">
        <w:rPr>
          <w:b/>
          <w:szCs w:val="20"/>
        </w:rPr>
        <w:t xml:space="preserve"> Latvijas maksājumu bilances tekošā konta komponentes (milj. euro) </w:t>
      </w:r>
      <w:r w:rsidRPr="00CA66D3">
        <w:rPr>
          <w:b/>
          <w:szCs w:val="20"/>
        </w:rPr>
        <w:br/>
        <w:t>un tekošais konts procentos no iekšzemes kopprodukta</w:t>
      </w:r>
      <w:r w:rsidR="00CA66D3">
        <w:rPr>
          <w:b/>
          <w:szCs w:val="20"/>
        </w:rPr>
        <w:t xml:space="preserve"> (labā ass)</w:t>
      </w:r>
    </w:p>
    <w:p w14:paraId="6F9D10D8" w14:textId="78868A8F" w:rsidR="00B13890" w:rsidRPr="00521CDD" w:rsidRDefault="00B13890" w:rsidP="00B13890">
      <w:pPr>
        <w:spacing w:before="120"/>
        <w:rPr>
          <w:rFonts w:eastAsia="Calibri"/>
        </w:rPr>
      </w:pPr>
      <w:r w:rsidRPr="00521CDD">
        <w:rPr>
          <w:rFonts w:eastAsia="Calibri"/>
        </w:rPr>
        <w:t xml:space="preserve">Sākotnējo ienākuma konta deficīts ir palielinājies par 383 milj. </w:t>
      </w:r>
      <w:r w:rsidRPr="00521CDD">
        <w:rPr>
          <w:rFonts w:eastAsia="Calibri"/>
          <w:i/>
        </w:rPr>
        <w:t>euro</w:t>
      </w:r>
      <w:r w:rsidRPr="00521CDD">
        <w:rPr>
          <w:rFonts w:eastAsia="Calibri"/>
        </w:rPr>
        <w:t xml:space="preserve"> līdz 466 milj. </w:t>
      </w:r>
      <w:r w:rsidRPr="00521CDD">
        <w:rPr>
          <w:rFonts w:eastAsia="Calibri"/>
          <w:i/>
        </w:rPr>
        <w:t>euro</w:t>
      </w:r>
      <w:r w:rsidRPr="00521CDD">
        <w:rPr>
          <w:rFonts w:eastAsia="Calibri"/>
        </w:rPr>
        <w:t>, ko galvenokārt ietekmēja lielāks izmaksāto dividenžu apjoms ārvalstu investoriem. Savukārt otrreizējo ienākumu konta pārpalikums ir samazinājies par</w:t>
      </w:r>
      <w:r>
        <w:rPr>
          <w:rFonts w:eastAsia="Calibri"/>
        </w:rPr>
        <w:t xml:space="preserve"> 103 milj. </w:t>
      </w:r>
      <w:r w:rsidRPr="00521CDD">
        <w:rPr>
          <w:rFonts w:eastAsia="Calibri"/>
          <w:i/>
        </w:rPr>
        <w:t>euro</w:t>
      </w:r>
      <w:r w:rsidRPr="00521CDD">
        <w:rPr>
          <w:rFonts w:eastAsia="Calibri"/>
        </w:rPr>
        <w:t xml:space="preserve"> līdz 132 milj. </w:t>
      </w:r>
      <w:r w:rsidRPr="00521CDD">
        <w:rPr>
          <w:rFonts w:eastAsia="Calibri"/>
          <w:i/>
        </w:rPr>
        <w:t>euro</w:t>
      </w:r>
      <w:r w:rsidRPr="00521CDD">
        <w:rPr>
          <w:rFonts w:eastAsia="Calibri"/>
        </w:rPr>
        <w:t>, ko negatīvi ietekmēj</w:t>
      </w:r>
      <w:r w:rsidR="00FD3D18">
        <w:rPr>
          <w:rFonts w:eastAsia="Calibri"/>
        </w:rPr>
        <w:t>a augstākas Latvijas iemaksas Eiropas Savienī</w:t>
      </w:r>
      <w:r w:rsidR="00392966">
        <w:rPr>
          <w:rFonts w:eastAsia="Calibri"/>
        </w:rPr>
        <w:t>b</w:t>
      </w:r>
      <w:r w:rsidR="00FD3D18">
        <w:rPr>
          <w:rFonts w:eastAsia="Calibri"/>
        </w:rPr>
        <w:t>as</w:t>
      </w:r>
      <w:r w:rsidRPr="00521CDD">
        <w:rPr>
          <w:rFonts w:eastAsia="Calibri"/>
        </w:rPr>
        <w:t xml:space="preserve"> budžetā, kā arī mājsaimniecību un uzņēmumu augstāks kapitāla pārvedumu apjoms uz ārvalstīm.</w:t>
      </w:r>
    </w:p>
    <w:p w14:paraId="779C2F58" w14:textId="498B0AA6" w:rsidR="00B13890" w:rsidRPr="00521CDD" w:rsidRDefault="00B13890" w:rsidP="00B13890">
      <w:pPr>
        <w:spacing w:before="120"/>
        <w:rPr>
          <w:rFonts w:eastAsia="Calibri"/>
        </w:rPr>
      </w:pPr>
      <w:r w:rsidRPr="00521CDD">
        <w:rPr>
          <w:rFonts w:eastAsia="Calibri"/>
        </w:rPr>
        <w:t>Tekošā konta deficīts</w:t>
      </w:r>
      <w:r>
        <w:rPr>
          <w:rFonts w:eastAsia="Calibri"/>
        </w:rPr>
        <w:t xml:space="preserve"> attiecībā</w:t>
      </w:r>
      <w:r w:rsidRPr="00521CDD">
        <w:rPr>
          <w:rFonts w:eastAsia="Calibri"/>
        </w:rPr>
        <w:t xml:space="preserve"> pret iekšzemes kopproduktu </w:t>
      </w:r>
      <w:r>
        <w:rPr>
          <w:rFonts w:eastAsia="Calibri"/>
        </w:rPr>
        <w:t>šā gada</w:t>
      </w:r>
      <w:r w:rsidRPr="00521CDD">
        <w:rPr>
          <w:rFonts w:eastAsia="Calibri"/>
        </w:rPr>
        <w:t xml:space="preserve"> pirmajā pusgadā ir palielinājies līdz 4,4%</w:t>
      </w:r>
      <w:r>
        <w:rPr>
          <w:rFonts w:eastAsia="Calibri"/>
        </w:rPr>
        <w:t xml:space="preserve">. </w:t>
      </w:r>
      <w:r w:rsidRPr="00521CDD">
        <w:rPr>
          <w:rFonts w:eastAsia="Calibri"/>
        </w:rPr>
        <w:t xml:space="preserve">Sagaidāms, ka </w:t>
      </w:r>
      <w:r>
        <w:rPr>
          <w:rFonts w:eastAsia="Calibri"/>
        </w:rPr>
        <w:t>tekošā konta deficīts</w:t>
      </w:r>
      <w:r w:rsidRPr="00521CDD">
        <w:rPr>
          <w:rFonts w:eastAsia="Calibri"/>
        </w:rPr>
        <w:t xml:space="preserve"> vidēj</w:t>
      </w:r>
      <w:r>
        <w:rPr>
          <w:rFonts w:eastAsia="Calibri"/>
        </w:rPr>
        <w:t>ā</w:t>
      </w:r>
      <w:r w:rsidRPr="00521CDD">
        <w:rPr>
          <w:rFonts w:eastAsia="Calibri"/>
        </w:rPr>
        <w:t xml:space="preserve"> termiņ</w:t>
      </w:r>
      <w:r>
        <w:rPr>
          <w:rFonts w:eastAsia="Calibri"/>
        </w:rPr>
        <w:t>ā</w:t>
      </w:r>
      <w:r w:rsidRPr="00521CDD">
        <w:rPr>
          <w:rFonts w:eastAsia="Calibri"/>
        </w:rPr>
        <w:t xml:space="preserve"> mazināsies, ko noteiks pakalpojumu eksporta izaugsme un </w:t>
      </w:r>
      <w:r>
        <w:rPr>
          <w:rFonts w:eastAsia="Calibri"/>
        </w:rPr>
        <w:t xml:space="preserve">straujāka </w:t>
      </w:r>
      <w:r w:rsidR="00FD3D18">
        <w:rPr>
          <w:rFonts w:eastAsia="Calibri"/>
        </w:rPr>
        <w:t>Eiropas Savienības</w:t>
      </w:r>
      <w:r w:rsidRPr="00521CDD">
        <w:rPr>
          <w:rFonts w:eastAsia="Calibri"/>
        </w:rPr>
        <w:t xml:space="preserve"> </w:t>
      </w:r>
      <w:r>
        <w:rPr>
          <w:rFonts w:eastAsia="Calibri"/>
        </w:rPr>
        <w:t xml:space="preserve">finanšu instrumentu </w:t>
      </w:r>
      <w:r w:rsidRPr="00521CDD">
        <w:rPr>
          <w:rFonts w:eastAsia="Calibri"/>
        </w:rPr>
        <w:t>ieplūde.</w:t>
      </w:r>
    </w:p>
    <w:p w14:paraId="6E66F420" w14:textId="5375A3C3" w:rsidR="00B13890" w:rsidRPr="0066011D" w:rsidRDefault="005774F8" w:rsidP="00B13890">
      <w:pPr>
        <w:keepNext/>
        <w:keepLines/>
        <w:spacing w:before="240" w:after="240"/>
        <w:jc w:val="center"/>
        <w:outlineLvl w:val="2"/>
        <w:rPr>
          <w:rFonts w:eastAsia="Times New Roman"/>
          <w:b/>
          <w:bCs/>
          <w:sz w:val="32"/>
          <w:szCs w:val="32"/>
        </w:rPr>
      </w:pPr>
      <w:bookmarkStart w:id="9" w:name="_Toc84756392"/>
      <w:r>
        <w:rPr>
          <w:rFonts w:eastAsia="Times New Roman"/>
          <w:b/>
          <w:bCs/>
          <w:sz w:val="32"/>
          <w:szCs w:val="32"/>
        </w:rPr>
        <w:t>1.2</w:t>
      </w:r>
      <w:r w:rsidR="00B13890" w:rsidRPr="0066011D">
        <w:rPr>
          <w:rFonts w:eastAsia="Times New Roman"/>
          <w:b/>
          <w:bCs/>
          <w:sz w:val="32"/>
          <w:szCs w:val="32"/>
        </w:rPr>
        <w:t>.7. Investīcijas</w:t>
      </w:r>
      <w:bookmarkEnd w:id="9"/>
    </w:p>
    <w:p w14:paraId="7EB06E2D" w14:textId="77777777" w:rsidR="00B13890" w:rsidRPr="009F0488" w:rsidRDefault="00B13890" w:rsidP="00B13890">
      <w:pPr>
        <w:spacing w:before="120"/>
        <w:rPr>
          <w:rFonts w:eastAsia="Calibri"/>
        </w:rPr>
      </w:pPr>
      <w:r>
        <w:rPr>
          <w:rFonts w:eastAsia="Calibri"/>
        </w:rPr>
        <w:t>Neskatoties uz</w:t>
      </w:r>
      <w:r w:rsidRPr="009F0488">
        <w:rPr>
          <w:rFonts w:eastAsia="Calibri"/>
        </w:rPr>
        <w:t xml:space="preserve"> ekonomiskās aktivitātes kritum</w:t>
      </w:r>
      <w:r>
        <w:rPr>
          <w:rFonts w:eastAsia="Calibri"/>
        </w:rPr>
        <w:t>u</w:t>
      </w:r>
      <w:r w:rsidRPr="009F0488">
        <w:rPr>
          <w:rFonts w:eastAsia="Calibri"/>
        </w:rPr>
        <w:t xml:space="preserve"> 2020</w:t>
      </w:r>
      <w:r>
        <w:rPr>
          <w:rFonts w:eastAsia="Calibri"/>
        </w:rPr>
        <w:t>. gad</w:t>
      </w:r>
      <w:r w:rsidRPr="009F0488">
        <w:rPr>
          <w:rFonts w:eastAsia="Calibri"/>
        </w:rPr>
        <w:t xml:space="preserve">ā, investīciju apjoms Latvijā ir nedaudz palielinājies. Bruto pamatkapitāla veidošana pērn bija 6281 milj. </w:t>
      </w:r>
      <w:r w:rsidRPr="009F0488">
        <w:rPr>
          <w:rFonts w:eastAsia="Calibri"/>
          <w:i/>
        </w:rPr>
        <w:t>euro</w:t>
      </w:r>
      <w:r w:rsidRPr="009F0488">
        <w:rPr>
          <w:rFonts w:eastAsia="Calibri"/>
        </w:rPr>
        <w:t xml:space="preserve"> apmērā, kas salīdzināmajās cenās bija par 0,2% vairāk nekā 2019</w:t>
      </w:r>
      <w:r>
        <w:rPr>
          <w:rFonts w:eastAsia="Calibri"/>
        </w:rPr>
        <w:t>. gad</w:t>
      </w:r>
      <w:r w:rsidRPr="009F0488">
        <w:rPr>
          <w:rFonts w:eastAsia="Calibri"/>
        </w:rPr>
        <w:t>ā. Tādējādi Covid-19 krīzes negatīvā ietekme uz investīciju aktivitāti bija būtiski mazāka nekā uz privāto patēriņu vai ārējo tirdzniecību.</w:t>
      </w:r>
    </w:p>
    <w:p w14:paraId="517FAC9B" w14:textId="078871D4" w:rsidR="00B13890" w:rsidRPr="009F0488" w:rsidRDefault="00B13890" w:rsidP="00B13890">
      <w:pPr>
        <w:spacing w:before="120"/>
        <w:rPr>
          <w:rFonts w:eastAsia="Calibri"/>
        </w:rPr>
      </w:pPr>
      <w:r w:rsidRPr="009F0488">
        <w:rPr>
          <w:rFonts w:eastAsia="Calibri"/>
        </w:rPr>
        <w:t>Investīciju apjoms Latvijā 2020</w:t>
      </w:r>
      <w:r>
        <w:rPr>
          <w:rFonts w:eastAsia="Calibri"/>
        </w:rPr>
        <w:t>. gad</w:t>
      </w:r>
      <w:r w:rsidR="00FD3D18">
        <w:rPr>
          <w:rFonts w:eastAsia="Calibri"/>
        </w:rPr>
        <w:t>ā bija noturīgs arī uz Eiropas Savienības kopējā fona. Eiropas Savienības</w:t>
      </w:r>
      <w:r w:rsidRPr="009F0488">
        <w:rPr>
          <w:rFonts w:eastAsia="Calibri"/>
        </w:rPr>
        <w:t xml:space="preserve"> investīcijas pērn samazinājās vidēji par 6,5%, un tikai četrām </w:t>
      </w:r>
      <w:r w:rsidR="00417A17">
        <w:rPr>
          <w:rFonts w:eastAsia="Calibri"/>
        </w:rPr>
        <w:t>Eiropas Savienības</w:t>
      </w:r>
      <w:r w:rsidRPr="009F0488">
        <w:rPr>
          <w:rFonts w:eastAsia="Calibri"/>
        </w:rPr>
        <w:t xml:space="preserve"> dalībvalstīm, proti,  Dānijai, Igaunij</w:t>
      </w:r>
      <w:r>
        <w:rPr>
          <w:rFonts w:eastAsia="Calibri"/>
        </w:rPr>
        <w:t xml:space="preserve">ai, Rumānijai, kā arī Latvijai </w:t>
      </w:r>
      <w:r w:rsidRPr="009F0488">
        <w:rPr>
          <w:rFonts w:eastAsia="Calibri"/>
        </w:rPr>
        <w:t xml:space="preserve">investīciju apjoms bija augošs. Pandēmijas laikā investīciju vide visās </w:t>
      </w:r>
      <w:r w:rsidR="00417A17">
        <w:rPr>
          <w:rFonts w:eastAsia="Calibri"/>
        </w:rPr>
        <w:t>Eiropas Savienības</w:t>
      </w:r>
      <w:r w:rsidRPr="009F0488">
        <w:rPr>
          <w:rFonts w:eastAsia="Calibri"/>
        </w:rPr>
        <w:t xml:space="preserve"> dalībvalstīs ir būtiski pasliktinājusies, jo uzņēmēju vēlme veikt jaunas investīcijas</w:t>
      </w:r>
      <w:r>
        <w:rPr>
          <w:rFonts w:eastAsia="Calibri"/>
        </w:rPr>
        <w:t xml:space="preserve"> un</w:t>
      </w:r>
      <w:r w:rsidRPr="009F0488">
        <w:rPr>
          <w:rFonts w:eastAsia="Calibri"/>
        </w:rPr>
        <w:t xml:space="preserve"> attīstīt jaunus projektus bija zema saistībā ar nenoteiktību par ieviesto ierobežojumu ilgumu, praktiski aptur</w:t>
      </w:r>
      <w:r>
        <w:rPr>
          <w:rFonts w:eastAsia="Calibri"/>
        </w:rPr>
        <w:t>ot</w:t>
      </w:r>
      <w:r w:rsidRPr="009F0488">
        <w:rPr>
          <w:rFonts w:eastAsia="Calibri"/>
        </w:rPr>
        <w:t xml:space="preserve"> atsevišķu nozaru, kā piemēram, izmitināšanas, ēdināšanas, pasažieru pārvadājumu darbību. Šādos </w:t>
      </w:r>
      <w:r w:rsidRPr="009F0488">
        <w:rPr>
          <w:rFonts w:eastAsia="Calibri"/>
        </w:rPr>
        <w:lastRenderedPageBreak/>
        <w:t xml:space="preserve">apstākļos palielinājās valdības loma investīciju veikšanā tautsaimniecībā. Vispārējās valdības investīciju apjoms </w:t>
      </w:r>
      <w:r w:rsidR="00417A17">
        <w:rPr>
          <w:rFonts w:eastAsia="Calibri"/>
        </w:rPr>
        <w:t>Eiropas Savienībā</w:t>
      </w:r>
      <w:r w:rsidRPr="009F0488">
        <w:rPr>
          <w:rFonts w:eastAsia="Calibri"/>
        </w:rPr>
        <w:t xml:space="preserve"> 2020</w:t>
      </w:r>
      <w:r>
        <w:rPr>
          <w:rFonts w:eastAsia="Calibri"/>
        </w:rPr>
        <w:t>. gad</w:t>
      </w:r>
      <w:r w:rsidRPr="009F0488">
        <w:rPr>
          <w:rFonts w:eastAsia="Calibri"/>
        </w:rPr>
        <w:t>ā palielinājās vidēji par 4,0%. Savukārt</w:t>
      </w:r>
      <w:r>
        <w:rPr>
          <w:rFonts w:eastAsia="Calibri"/>
        </w:rPr>
        <w:t>,</w:t>
      </w:r>
      <w:r w:rsidRPr="009F0488">
        <w:rPr>
          <w:rFonts w:eastAsia="Calibri"/>
        </w:rPr>
        <w:t xml:space="preserve"> Latvijā vispārējās valdības investīcijas pieauga par 8,3%, palielinot to īpatsvaru kopējās investīcijās no 22,6% 2019</w:t>
      </w:r>
      <w:r>
        <w:rPr>
          <w:rFonts w:eastAsia="Calibri"/>
        </w:rPr>
        <w:t>. gad</w:t>
      </w:r>
      <w:r w:rsidRPr="009F0488">
        <w:rPr>
          <w:rFonts w:eastAsia="Calibri"/>
        </w:rPr>
        <w:t>ā līdz 24,1% 2020</w:t>
      </w:r>
      <w:r>
        <w:rPr>
          <w:rFonts w:eastAsia="Calibri"/>
        </w:rPr>
        <w:t>. gad</w:t>
      </w:r>
      <w:r w:rsidRPr="009F0488">
        <w:rPr>
          <w:rFonts w:eastAsia="Calibri"/>
        </w:rPr>
        <w:t>ā. Savukārt</w:t>
      </w:r>
      <w:r>
        <w:rPr>
          <w:rFonts w:eastAsia="Calibri"/>
        </w:rPr>
        <w:t>,</w:t>
      </w:r>
      <w:r w:rsidRPr="009F0488">
        <w:rPr>
          <w:rFonts w:eastAsia="Calibri"/>
        </w:rPr>
        <w:t xml:space="preserve"> kopējais investīciju </w:t>
      </w:r>
      <w:r>
        <w:rPr>
          <w:rFonts w:eastAsia="Calibri"/>
        </w:rPr>
        <w:t>īpatsvars</w:t>
      </w:r>
      <w:r w:rsidRPr="009F0488">
        <w:rPr>
          <w:rFonts w:eastAsia="Calibri"/>
        </w:rPr>
        <w:t xml:space="preserve"> iekšzemes kopproduktā 2020</w:t>
      </w:r>
      <w:r>
        <w:rPr>
          <w:rFonts w:eastAsia="Calibri"/>
        </w:rPr>
        <w:t>. gad</w:t>
      </w:r>
      <w:r w:rsidRPr="009F0488">
        <w:rPr>
          <w:rFonts w:eastAsia="Calibri"/>
        </w:rPr>
        <w:t xml:space="preserve">ā </w:t>
      </w:r>
      <w:r>
        <w:rPr>
          <w:rFonts w:eastAsia="Calibri"/>
        </w:rPr>
        <w:t xml:space="preserve">ir </w:t>
      </w:r>
      <w:r w:rsidRPr="009F0488">
        <w:rPr>
          <w:rFonts w:eastAsia="Calibri"/>
        </w:rPr>
        <w:t>palielinājies par 1 procentpunktu līdz 23,7%.</w:t>
      </w:r>
    </w:p>
    <w:p w14:paraId="2A0DA4AE" w14:textId="77777777" w:rsidR="00B13890" w:rsidRPr="009F0488" w:rsidRDefault="00B13890" w:rsidP="00B13890">
      <w:pPr>
        <w:spacing w:before="120"/>
        <w:rPr>
          <w:rFonts w:eastAsia="Calibri"/>
        </w:rPr>
      </w:pPr>
      <w:r w:rsidRPr="009F0488">
        <w:rPr>
          <w:rFonts w:eastAsia="Calibri"/>
        </w:rPr>
        <w:t>Investīciju apjoma izmaiņas 2020</w:t>
      </w:r>
      <w:r>
        <w:rPr>
          <w:rFonts w:eastAsia="Calibri"/>
        </w:rPr>
        <w:t>. gad</w:t>
      </w:r>
      <w:r w:rsidRPr="009F0488">
        <w:rPr>
          <w:rFonts w:eastAsia="Calibri"/>
        </w:rPr>
        <w:t xml:space="preserve">ā Latvijā pa ceturkšņiem ir atšķirīgas. </w:t>
      </w:r>
      <w:r>
        <w:rPr>
          <w:rFonts w:eastAsia="Calibri"/>
        </w:rPr>
        <w:t>P</w:t>
      </w:r>
      <w:r w:rsidRPr="009F0488">
        <w:rPr>
          <w:rFonts w:eastAsia="Calibri"/>
        </w:rPr>
        <w:t xml:space="preserve">ērnā gada </w:t>
      </w:r>
      <w:r>
        <w:rPr>
          <w:rFonts w:eastAsia="Calibri"/>
        </w:rPr>
        <w:t xml:space="preserve">pirmajā </w:t>
      </w:r>
      <w:r w:rsidRPr="009F0488">
        <w:rPr>
          <w:rFonts w:eastAsia="Calibri"/>
        </w:rPr>
        <w:t xml:space="preserve">ceturksnī, kad pandēmija vēl nebija skārusi Latviju, investīcijas salīdzinājumā ar iepriekšējā gada attiecīgo </w:t>
      </w:r>
      <w:r>
        <w:rPr>
          <w:rFonts w:eastAsia="Calibri"/>
        </w:rPr>
        <w:t>periodu palielinājās par 4,6%, bet</w:t>
      </w:r>
      <w:r w:rsidRPr="009F0488">
        <w:rPr>
          <w:rFonts w:eastAsia="Calibri"/>
        </w:rPr>
        <w:t xml:space="preserve"> jau 2020</w:t>
      </w:r>
      <w:r>
        <w:rPr>
          <w:rFonts w:eastAsia="Calibri"/>
        </w:rPr>
        <w:t>. gada otrajā ceturksnī –</w:t>
      </w:r>
      <w:r w:rsidRPr="009F0488">
        <w:rPr>
          <w:rFonts w:eastAsia="Calibri"/>
        </w:rPr>
        <w:t xml:space="preserve"> pa</w:t>
      </w:r>
      <w:r>
        <w:rPr>
          <w:rFonts w:eastAsia="Calibri"/>
        </w:rPr>
        <w:t xml:space="preserve">ndēmijas sākumā, </w:t>
      </w:r>
      <w:r w:rsidRPr="009F0488">
        <w:rPr>
          <w:rFonts w:eastAsia="Calibri"/>
        </w:rPr>
        <w:t>kad, pastāvot lielai nenoteiktībai, būtiski pasliktinājās uzņēmumu noskaņojums, tika fiksēts investīciju kritums par 4,8%. Situācijai stabilizējoties un mēreni palielinoties ekonomiskajai aktivitātei, trešajā ceturksnī investīcijas samazinājās vien par 0,9%, bet jau ceturtajā ceturksnī atsākās investīciju kāpums, un bruto pamatkapitāla veidošanas apjoms bija par 2,6% lielāks nekā 2019</w:t>
      </w:r>
      <w:r>
        <w:rPr>
          <w:rFonts w:eastAsia="Calibri"/>
        </w:rPr>
        <w:t>. gad</w:t>
      </w:r>
      <w:r w:rsidRPr="009F0488">
        <w:rPr>
          <w:rFonts w:eastAsia="Calibri"/>
        </w:rPr>
        <w:t>a ceturtajā ceturksnī.</w:t>
      </w:r>
    </w:p>
    <w:p w14:paraId="6873700A" w14:textId="77777777" w:rsidR="00B13890" w:rsidRPr="009F0488" w:rsidRDefault="00B13890" w:rsidP="00B13890">
      <w:pPr>
        <w:spacing w:before="120"/>
        <w:rPr>
          <w:rFonts w:eastAsia="Calibri"/>
        </w:rPr>
      </w:pPr>
      <w:r w:rsidRPr="009F0488">
        <w:rPr>
          <w:rFonts w:eastAsia="Calibri"/>
        </w:rPr>
        <w:t>2021</w:t>
      </w:r>
      <w:r>
        <w:rPr>
          <w:rFonts w:eastAsia="Calibri"/>
        </w:rPr>
        <w:t>. gad</w:t>
      </w:r>
      <w:r w:rsidRPr="009F0488">
        <w:rPr>
          <w:rFonts w:eastAsia="Calibri"/>
        </w:rPr>
        <w:t xml:space="preserve">a pirmajā ceturksnī investīciju apjoms </w:t>
      </w:r>
      <w:r>
        <w:rPr>
          <w:rFonts w:eastAsia="Calibri"/>
        </w:rPr>
        <w:t xml:space="preserve">saruka </w:t>
      </w:r>
      <w:r w:rsidRPr="009F0488">
        <w:rPr>
          <w:rFonts w:eastAsia="Calibri"/>
        </w:rPr>
        <w:t>par 4,5%, ko</w:t>
      </w:r>
      <w:r>
        <w:rPr>
          <w:rFonts w:eastAsia="Calibri"/>
        </w:rPr>
        <w:t xml:space="preserve"> noteica investīciju kritums ēkās un būvēs. Savukārt</w:t>
      </w:r>
      <w:r w:rsidRPr="009F0488">
        <w:rPr>
          <w:rFonts w:eastAsia="Calibri"/>
        </w:rPr>
        <w:t xml:space="preserve"> </w:t>
      </w:r>
      <w:r>
        <w:rPr>
          <w:rFonts w:eastAsia="Calibri"/>
        </w:rPr>
        <w:t>šā gada</w:t>
      </w:r>
      <w:r w:rsidRPr="009F0488">
        <w:rPr>
          <w:rFonts w:eastAsia="Calibri"/>
        </w:rPr>
        <w:t xml:space="preserve"> otrajā ceturksnī kopēj</w:t>
      </w:r>
      <w:r>
        <w:rPr>
          <w:rFonts w:eastAsia="Calibri"/>
        </w:rPr>
        <w:t>ā</w:t>
      </w:r>
      <w:r w:rsidRPr="009F0488">
        <w:rPr>
          <w:rFonts w:eastAsia="Calibri"/>
        </w:rPr>
        <w:t>s investīcijas gada izteiksmē palielinājās par 11,2%, ko lielā mērā veicināj</w:t>
      </w:r>
      <w:r>
        <w:rPr>
          <w:rFonts w:eastAsia="Calibri"/>
        </w:rPr>
        <w:t>a augstākas investīcijas iekārtā</w:t>
      </w:r>
      <w:r w:rsidRPr="009F0488">
        <w:rPr>
          <w:rFonts w:eastAsia="Calibri"/>
        </w:rPr>
        <w:t>s un mašīn</w:t>
      </w:r>
      <w:r>
        <w:rPr>
          <w:rFonts w:eastAsia="Calibri"/>
        </w:rPr>
        <w:t>ā</w:t>
      </w:r>
      <w:r w:rsidRPr="009F0488">
        <w:rPr>
          <w:rFonts w:eastAsia="Calibri"/>
        </w:rPr>
        <w:t>s, kā arī intelektuālajā īpašumā. Kopumā 2021</w:t>
      </w:r>
      <w:r>
        <w:rPr>
          <w:rFonts w:eastAsia="Calibri"/>
        </w:rPr>
        <w:t>. gada</w:t>
      </w:r>
      <w:r w:rsidRPr="009F0488">
        <w:rPr>
          <w:rFonts w:eastAsia="Calibri"/>
        </w:rPr>
        <w:t xml:space="preserve"> p</w:t>
      </w:r>
      <w:r>
        <w:rPr>
          <w:rFonts w:eastAsia="Calibri"/>
        </w:rPr>
        <w:t>irmajā pusē investīcijas</w:t>
      </w:r>
      <w:r w:rsidRPr="009F0488">
        <w:rPr>
          <w:rFonts w:eastAsia="Calibri"/>
        </w:rPr>
        <w:t xml:space="preserve"> veidoja 2733 milj. </w:t>
      </w:r>
      <w:r w:rsidRPr="002427FE">
        <w:rPr>
          <w:rFonts w:eastAsia="Calibri"/>
          <w:i/>
        </w:rPr>
        <w:t>euro</w:t>
      </w:r>
      <w:r w:rsidRPr="009F0488">
        <w:rPr>
          <w:rFonts w:eastAsia="Calibri"/>
        </w:rPr>
        <w:t xml:space="preserve"> </w:t>
      </w:r>
      <w:r>
        <w:rPr>
          <w:rFonts w:eastAsia="Calibri"/>
        </w:rPr>
        <w:t xml:space="preserve">jeb </w:t>
      </w:r>
      <w:r w:rsidRPr="009F0488">
        <w:rPr>
          <w:rFonts w:eastAsia="Calibri"/>
        </w:rPr>
        <w:t>par 4,0% vairāk nekā pērnā gada attiecīgajā periodā.</w:t>
      </w:r>
    </w:p>
    <w:p w14:paraId="2F9E1EC1" w14:textId="77777777" w:rsidR="00B13890" w:rsidRDefault="00B13890" w:rsidP="00B13890">
      <w:pPr>
        <w:spacing w:before="120"/>
        <w:rPr>
          <w:rFonts w:eastAsia="Calibri"/>
        </w:rPr>
      </w:pPr>
      <w:r w:rsidRPr="009F0488">
        <w:rPr>
          <w:rFonts w:eastAsia="Calibri"/>
        </w:rPr>
        <w:t>Investīcijām ie</w:t>
      </w:r>
      <w:r>
        <w:rPr>
          <w:rFonts w:eastAsia="Calibri"/>
        </w:rPr>
        <w:t>kārtās un mašīnās bija noteicošā</w:t>
      </w:r>
      <w:r w:rsidRPr="009F0488">
        <w:rPr>
          <w:rFonts w:eastAsia="Calibri"/>
        </w:rPr>
        <w:t xml:space="preserve"> lomā kopējo investīciju pieaugumā </w:t>
      </w:r>
      <w:r>
        <w:rPr>
          <w:rFonts w:eastAsia="Calibri"/>
        </w:rPr>
        <w:t>šā gada</w:t>
      </w:r>
      <w:r w:rsidRPr="009F0488">
        <w:rPr>
          <w:rFonts w:eastAsia="Calibri"/>
        </w:rPr>
        <w:t xml:space="preserve"> pirmajā pusgadā. </w:t>
      </w:r>
      <w:r>
        <w:rPr>
          <w:rFonts w:eastAsia="Calibri"/>
        </w:rPr>
        <w:t>Šo investīciju apjoms palielinājā</w:t>
      </w:r>
      <w:r w:rsidRPr="009F0488">
        <w:rPr>
          <w:rFonts w:eastAsia="Calibri"/>
        </w:rPr>
        <w:t>s par 16,4% un veidoja 42,3% no kopējām investīcijām. Samērā straujais pieaugums ir atspoguļojies arī importa datos, jo kapitālpreču importa vērtība, kas atspoguļo ieguldījumus iekārt</w:t>
      </w:r>
      <w:r>
        <w:rPr>
          <w:rFonts w:eastAsia="Calibri"/>
        </w:rPr>
        <w:t>ā</w:t>
      </w:r>
      <w:r w:rsidRPr="009F0488">
        <w:rPr>
          <w:rFonts w:eastAsia="Calibri"/>
        </w:rPr>
        <w:t>s un mašīnās, attiecīgajā laik</w:t>
      </w:r>
      <w:r>
        <w:rPr>
          <w:rFonts w:eastAsia="Calibri"/>
        </w:rPr>
        <w:t>a</w:t>
      </w:r>
      <w:r w:rsidRPr="009F0488">
        <w:rPr>
          <w:rFonts w:eastAsia="Calibri"/>
        </w:rPr>
        <w:t xml:space="preserve"> periodā </w:t>
      </w:r>
      <w:r>
        <w:rPr>
          <w:rFonts w:eastAsia="Calibri"/>
        </w:rPr>
        <w:t>arī strauji palielinājās</w:t>
      </w:r>
      <w:r w:rsidRPr="009F0488">
        <w:rPr>
          <w:rFonts w:eastAsia="Calibri"/>
        </w:rPr>
        <w:t xml:space="preserve">, pieaugot par 33,0% faktiskajās cenās. Jāatzīmē, ka pirms pandēmijas investīciju apjoms šajos pamatlīdzekļos bija augošs, tomēr </w:t>
      </w:r>
      <w:r>
        <w:rPr>
          <w:rFonts w:eastAsia="Calibri"/>
        </w:rPr>
        <w:t>ne</w:t>
      </w:r>
      <w:r w:rsidRPr="009F0488">
        <w:rPr>
          <w:rFonts w:eastAsia="Calibri"/>
        </w:rPr>
        <w:t>pietiekošs, lai spētu būtiski veicināt un nodrošināt produktivitātes pieaugumu un inovāciju ieviešanu. Tād</w:t>
      </w:r>
      <w:r>
        <w:rPr>
          <w:rFonts w:eastAsia="Calibri"/>
        </w:rPr>
        <w:t>ējādi, pozitīvi ir vērtējams</w:t>
      </w:r>
      <w:r w:rsidRPr="009F0488">
        <w:rPr>
          <w:rFonts w:eastAsia="Calibri"/>
        </w:rPr>
        <w:t xml:space="preserve"> fakts, ka </w:t>
      </w:r>
      <w:r>
        <w:rPr>
          <w:rFonts w:eastAsia="Calibri"/>
        </w:rPr>
        <w:t>tieši ieguldījumiem iekārtās un mašīnās bija galvenā</w:t>
      </w:r>
      <w:r w:rsidRPr="009F0488">
        <w:rPr>
          <w:rFonts w:eastAsia="Calibri"/>
        </w:rPr>
        <w:t xml:space="preserve"> lom</w:t>
      </w:r>
      <w:r>
        <w:rPr>
          <w:rFonts w:eastAsia="Calibri"/>
        </w:rPr>
        <w:t>a</w:t>
      </w:r>
      <w:r w:rsidRPr="009F0488">
        <w:rPr>
          <w:rFonts w:eastAsia="Calibri"/>
        </w:rPr>
        <w:t xml:space="preserve"> investīciju kāpumā.</w:t>
      </w:r>
    </w:p>
    <w:p w14:paraId="600E93E6" w14:textId="77777777" w:rsidR="00B13890" w:rsidRPr="009F0488" w:rsidRDefault="00B13890" w:rsidP="00B13890">
      <w:pPr>
        <w:spacing w:before="120"/>
        <w:rPr>
          <w:rFonts w:eastAsia="Calibri"/>
        </w:rPr>
      </w:pPr>
      <w:r w:rsidRPr="009F0488">
        <w:rPr>
          <w:rFonts w:eastAsia="Calibri"/>
        </w:rPr>
        <w:t>Vienlaicīgi, aktuālākie apstrādes rūpniecības nozarē strādājošo uzņēmēju aptaujas dati par investīcijas ietekmējošiem faktoriem rāda, ka 56% no plānotajām investīcijām 2021</w:t>
      </w:r>
      <w:r>
        <w:rPr>
          <w:rFonts w:eastAsia="Calibri"/>
        </w:rPr>
        <w:t>. gad</w:t>
      </w:r>
      <w:r w:rsidRPr="009F0488">
        <w:rPr>
          <w:rFonts w:eastAsia="Calibri"/>
        </w:rPr>
        <w:t xml:space="preserve">ā būs vērstas uz veco iekārtu aizvietošanu un ražošanas procesu optimizāciju, un tikai 30% uz ražošanas paplašināšanu. Visticamāk, ka pandēmijas dēļ uzņēmumi joprojām ir piesardzīgi </w:t>
      </w:r>
      <w:r>
        <w:rPr>
          <w:rFonts w:eastAsia="Calibri"/>
        </w:rPr>
        <w:t xml:space="preserve">attiecībā uz </w:t>
      </w:r>
      <w:r w:rsidRPr="009F0488">
        <w:rPr>
          <w:rFonts w:eastAsia="Calibri"/>
        </w:rPr>
        <w:t xml:space="preserve">jaunu projektu īstenošanu, tāpēc </w:t>
      </w:r>
      <w:r>
        <w:rPr>
          <w:rFonts w:eastAsia="Calibri"/>
        </w:rPr>
        <w:t xml:space="preserve">ražošanas </w:t>
      </w:r>
      <w:r w:rsidRPr="009F0488">
        <w:rPr>
          <w:rFonts w:eastAsia="Calibri"/>
        </w:rPr>
        <w:t>paplašināšanai atvēl mazāk nekā trešo daļu no plānotajām investīcijām.</w:t>
      </w:r>
    </w:p>
    <w:p w14:paraId="2A4CCAD4" w14:textId="2C6864E3" w:rsidR="00B13890" w:rsidRDefault="00B13890" w:rsidP="00B13890">
      <w:pPr>
        <w:spacing w:before="120"/>
        <w:rPr>
          <w:rFonts w:eastAsia="Calibri"/>
        </w:rPr>
      </w:pPr>
      <w:r w:rsidRPr="009F0488">
        <w:rPr>
          <w:rFonts w:eastAsia="Calibri"/>
        </w:rPr>
        <w:t>Neskatoties uz to, ka investīcijas biroju, mājokļu, noliktavu un citu ēku būvniecībā, kā arī jau esošo ēku un būvju renovācijā 2021</w:t>
      </w:r>
      <w:r>
        <w:rPr>
          <w:rFonts w:eastAsia="Calibri"/>
        </w:rPr>
        <w:t>. gad</w:t>
      </w:r>
      <w:r w:rsidRPr="009F0488">
        <w:rPr>
          <w:rFonts w:eastAsia="Calibri"/>
        </w:rPr>
        <w:t xml:space="preserve">a pirmajā </w:t>
      </w:r>
      <w:r>
        <w:rPr>
          <w:rFonts w:eastAsia="Calibri"/>
        </w:rPr>
        <w:t>pusgadā samazinājās par 5,6%, tā</w:t>
      </w:r>
      <w:r w:rsidRPr="009F0488">
        <w:rPr>
          <w:rFonts w:eastAsia="Calibri"/>
        </w:rPr>
        <w:t xml:space="preserve">s joprojām saglabājas kā galvenais investīciju veids. </w:t>
      </w:r>
      <w:r>
        <w:rPr>
          <w:rFonts w:eastAsia="Calibri"/>
        </w:rPr>
        <w:t>Šā gada</w:t>
      </w:r>
      <w:r w:rsidRPr="009F0488">
        <w:rPr>
          <w:rFonts w:eastAsia="Calibri"/>
        </w:rPr>
        <w:t xml:space="preserve"> pirmajā pusē investīcijas ēkās un būvēs veidoja 1288 milj. </w:t>
      </w:r>
      <w:r w:rsidRPr="00FE4D0A">
        <w:rPr>
          <w:rFonts w:eastAsia="Calibri"/>
          <w:i/>
        </w:rPr>
        <w:t>euro</w:t>
      </w:r>
      <w:r>
        <w:rPr>
          <w:rFonts w:eastAsia="Calibri"/>
        </w:rPr>
        <w:t xml:space="preserve"> </w:t>
      </w:r>
      <w:r w:rsidRPr="009F0488">
        <w:rPr>
          <w:rFonts w:eastAsia="Calibri"/>
        </w:rPr>
        <w:t xml:space="preserve">jeb 47,1% no kopējām investīcijām. Investīciju kritumu noteica mazāka aktivitāte būvniecības nozarē. Būvniecības produkcijas apjoms </w:t>
      </w:r>
      <w:r>
        <w:rPr>
          <w:rFonts w:eastAsia="Calibri"/>
        </w:rPr>
        <w:t>salīdzināmās cenās šā gada</w:t>
      </w:r>
      <w:r w:rsidRPr="009F0488">
        <w:rPr>
          <w:rFonts w:eastAsia="Calibri"/>
        </w:rPr>
        <w:t xml:space="preserve"> pirmajā pusē samazinājās par </w:t>
      </w:r>
      <w:r>
        <w:rPr>
          <w:rFonts w:eastAsia="Calibri"/>
        </w:rPr>
        <w:t>4,7</w:t>
      </w:r>
      <w:r w:rsidRPr="009F0488">
        <w:rPr>
          <w:rFonts w:eastAsia="Calibri"/>
        </w:rPr>
        <w:t>% salīdzinājumā ar iepriekšējā gada attiecīgo periodu. Ceturkšņ</w:t>
      </w:r>
      <w:r>
        <w:rPr>
          <w:rFonts w:eastAsia="Calibri"/>
        </w:rPr>
        <w:t>u</w:t>
      </w:r>
      <w:r w:rsidRPr="009F0488">
        <w:rPr>
          <w:rFonts w:eastAsia="Calibri"/>
        </w:rPr>
        <w:t xml:space="preserve"> dati liecina, ka būvniecības produkcijas apjoms pirmajā ceturksnī </w:t>
      </w:r>
      <w:r>
        <w:rPr>
          <w:rFonts w:eastAsia="Calibri"/>
        </w:rPr>
        <w:t xml:space="preserve">ir </w:t>
      </w:r>
      <w:r w:rsidRPr="009F0488">
        <w:rPr>
          <w:rFonts w:eastAsia="Calibri"/>
        </w:rPr>
        <w:t>samazināji</w:t>
      </w:r>
      <w:r>
        <w:rPr>
          <w:rFonts w:eastAsia="Calibri"/>
        </w:rPr>
        <w:t>es par 12,3</w:t>
      </w:r>
      <w:r w:rsidRPr="009F0488">
        <w:rPr>
          <w:rFonts w:eastAsia="Calibri"/>
        </w:rPr>
        <w:t xml:space="preserve">%, ko galvenokārt ietekmēja būvniecības darbiem nelabvēlīgie laika apstākli. Savukārt </w:t>
      </w:r>
      <w:r>
        <w:rPr>
          <w:rFonts w:eastAsia="Calibri"/>
        </w:rPr>
        <w:t>šā gada</w:t>
      </w:r>
      <w:r w:rsidRPr="009F0488">
        <w:rPr>
          <w:rFonts w:eastAsia="Calibri"/>
        </w:rPr>
        <w:t xml:space="preserve"> otrajā ceturksnī būvniecības produkc</w:t>
      </w:r>
      <w:r>
        <w:rPr>
          <w:rFonts w:eastAsia="Calibri"/>
        </w:rPr>
        <w:t>ijas apjoms palielinājās par 1,0</w:t>
      </w:r>
      <w:r w:rsidRPr="009F0488">
        <w:rPr>
          <w:rFonts w:eastAsia="Calibri"/>
        </w:rPr>
        <w:t>% salīdzinājumā ar pērnā gada attiecīgo periodu. Investīciju izmaiņas pa darbības veidiem un t</w:t>
      </w:r>
      <w:r>
        <w:rPr>
          <w:rFonts w:eastAsia="Calibri"/>
        </w:rPr>
        <w:t>o</w:t>
      </w:r>
      <w:r w:rsidRPr="009F0488">
        <w:rPr>
          <w:rFonts w:eastAsia="Calibri"/>
        </w:rPr>
        <w:t xml:space="preserve"> apjoms ir atspoguļots attiecīgi </w:t>
      </w:r>
      <w:r>
        <w:rPr>
          <w:rFonts w:eastAsia="Calibri"/>
        </w:rPr>
        <w:t>1.40</w:t>
      </w:r>
      <w:r w:rsidR="00417A17">
        <w:rPr>
          <w:rFonts w:eastAsia="Calibri"/>
        </w:rPr>
        <w:t>.</w:t>
      </w:r>
      <w:r w:rsidRPr="009F0488">
        <w:rPr>
          <w:rFonts w:eastAsia="Calibri"/>
        </w:rPr>
        <w:t xml:space="preserve"> un </w:t>
      </w:r>
      <w:r>
        <w:rPr>
          <w:rFonts w:eastAsia="Calibri"/>
        </w:rPr>
        <w:t>1.41. attēlā.</w:t>
      </w:r>
    </w:p>
    <w:p w14:paraId="5F0DEC8C" w14:textId="77777777" w:rsidR="00B13890" w:rsidRDefault="00B13890" w:rsidP="00B13890">
      <w:pPr>
        <w:spacing w:before="120"/>
        <w:rPr>
          <w:rFonts w:eastAsia="Calibri"/>
        </w:rPr>
      </w:pPr>
    </w:p>
    <w:tbl>
      <w:tblPr>
        <w:tblStyle w:val="TableGrid"/>
        <w:tblW w:w="5083" w:type="pct"/>
        <w:tblInd w:w="-5" w:type="dxa"/>
        <w:tblLayout w:type="fixed"/>
        <w:tblCellMar>
          <w:left w:w="0" w:type="dxa"/>
          <w:right w:w="0" w:type="dxa"/>
        </w:tblCellMar>
        <w:tblLook w:val="04A0" w:firstRow="1" w:lastRow="0" w:firstColumn="1" w:lastColumn="0" w:noHBand="0" w:noVBand="1"/>
      </w:tblPr>
      <w:tblGrid>
        <w:gridCol w:w="4683"/>
        <w:gridCol w:w="4539"/>
      </w:tblGrid>
      <w:tr w:rsidR="00B13890" w14:paraId="1CD670EE" w14:textId="77777777" w:rsidTr="00CA66D3">
        <w:tc>
          <w:tcPr>
            <w:tcW w:w="4683" w:type="dxa"/>
            <w:tcBorders>
              <w:top w:val="nil"/>
              <w:left w:val="nil"/>
              <w:bottom w:val="nil"/>
              <w:right w:val="nil"/>
            </w:tcBorders>
            <w:vAlign w:val="center"/>
          </w:tcPr>
          <w:p w14:paraId="3438A647" w14:textId="775E04C1" w:rsidR="00B13890" w:rsidRPr="00B656FD" w:rsidRDefault="00B13890" w:rsidP="00B13890">
            <w:pPr>
              <w:jc w:val="center"/>
              <w:rPr>
                <w:rFonts w:eastAsia="Calibri"/>
                <w:b/>
                <w:i/>
              </w:rPr>
            </w:pPr>
          </w:p>
        </w:tc>
        <w:tc>
          <w:tcPr>
            <w:tcW w:w="4539" w:type="dxa"/>
            <w:tcBorders>
              <w:top w:val="nil"/>
              <w:left w:val="nil"/>
              <w:bottom w:val="nil"/>
              <w:right w:val="nil"/>
            </w:tcBorders>
            <w:vAlign w:val="center"/>
          </w:tcPr>
          <w:p w14:paraId="7C4FCF73" w14:textId="79CAE271" w:rsidR="00B13890" w:rsidRPr="00B656FD" w:rsidRDefault="00B13890" w:rsidP="00B13890">
            <w:pPr>
              <w:jc w:val="center"/>
              <w:rPr>
                <w:rFonts w:eastAsia="Calibri"/>
                <w:b/>
                <w:i/>
              </w:rPr>
            </w:pPr>
          </w:p>
        </w:tc>
      </w:tr>
      <w:tr w:rsidR="00B13890" w14:paraId="6DF90DAA" w14:textId="77777777" w:rsidTr="00CA66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83" w:type="dxa"/>
            <w:vAlign w:val="center"/>
          </w:tcPr>
          <w:p w14:paraId="69B72191" w14:textId="77777777" w:rsidR="00B13890" w:rsidRDefault="00B13890" w:rsidP="00B13890">
            <w:pPr>
              <w:jc w:val="center"/>
              <w:rPr>
                <w:szCs w:val="20"/>
              </w:rPr>
            </w:pPr>
            <w:r>
              <w:rPr>
                <w:noProof/>
              </w:rPr>
              <w:drawing>
                <wp:inline distT="0" distB="0" distL="0" distR="0" wp14:anchorId="42B1E622" wp14:editId="3DD66D3C">
                  <wp:extent cx="2639683" cy="2992755"/>
                  <wp:effectExtent l="0" t="0" r="8890" b="0"/>
                  <wp:docPr id="29" name="Chart 29">
                    <a:extLst xmlns:a="http://schemas.openxmlformats.org/drawingml/2006/main">
                      <a:ext uri="{FF2B5EF4-FFF2-40B4-BE49-F238E27FC236}">
                        <a16:creationId xmlns:a16="http://schemas.microsoft.com/office/drawing/2014/main" id="{00000000-0008-0000-2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c>
          <w:tcPr>
            <w:tcW w:w="4539" w:type="dxa"/>
            <w:vAlign w:val="center"/>
          </w:tcPr>
          <w:p w14:paraId="318F9FFA" w14:textId="77777777" w:rsidR="00B13890" w:rsidRDefault="00B13890" w:rsidP="00B13890">
            <w:pPr>
              <w:jc w:val="center"/>
              <w:rPr>
                <w:szCs w:val="20"/>
              </w:rPr>
            </w:pPr>
            <w:r>
              <w:rPr>
                <w:noProof/>
              </w:rPr>
              <w:drawing>
                <wp:inline distT="0" distB="0" distL="0" distR="0" wp14:anchorId="66296A31" wp14:editId="5DDBBA02">
                  <wp:extent cx="2491955" cy="2992755"/>
                  <wp:effectExtent l="0" t="0" r="3810" b="0"/>
                  <wp:docPr id="30" name="Chart 30">
                    <a:extLst xmlns:a="http://schemas.openxmlformats.org/drawingml/2006/main">
                      <a:ext uri="{FF2B5EF4-FFF2-40B4-BE49-F238E27FC236}">
                        <a16:creationId xmlns:a16="http://schemas.microsoft.com/office/drawing/2014/main" id="{00000000-0008-0000-2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r>
      <w:tr w:rsidR="00417A17" w:rsidRPr="00B656FD" w14:paraId="774BE75A" w14:textId="77777777" w:rsidTr="00CA66D3">
        <w:tblPrEx>
          <w:tblCellMar>
            <w:left w:w="108" w:type="dxa"/>
            <w:right w:w="108" w:type="dxa"/>
          </w:tblCellMar>
        </w:tblPrEx>
        <w:tc>
          <w:tcPr>
            <w:tcW w:w="4683" w:type="dxa"/>
            <w:tcBorders>
              <w:top w:val="nil"/>
              <w:left w:val="nil"/>
              <w:bottom w:val="nil"/>
              <w:right w:val="nil"/>
            </w:tcBorders>
          </w:tcPr>
          <w:p w14:paraId="2526ED3F" w14:textId="06E7C566" w:rsidR="00417A17" w:rsidRPr="00CA66D3" w:rsidRDefault="00417A17" w:rsidP="00417A17">
            <w:pPr>
              <w:ind w:firstLine="0"/>
              <w:jc w:val="center"/>
              <w:rPr>
                <w:rFonts w:eastAsia="Calibri"/>
                <w:b/>
              </w:rPr>
            </w:pPr>
            <w:r w:rsidRPr="00CA66D3">
              <w:rPr>
                <w:rFonts w:eastAsia="Calibri"/>
                <w:b/>
              </w:rPr>
              <w:t>1.40. attēls. Bruto kapitālieguldījumu izmaiņas pa darbības veidiem</w:t>
            </w:r>
            <w:r w:rsidRPr="00CA66D3">
              <w:rPr>
                <w:rFonts w:eastAsia="Calibri"/>
                <w:b/>
              </w:rPr>
              <w:br/>
              <w:t xml:space="preserve">(milj. </w:t>
            </w:r>
            <w:r w:rsidRPr="00CA66D3">
              <w:rPr>
                <w:rFonts w:eastAsia="Calibri"/>
                <w:b/>
                <w:i/>
              </w:rPr>
              <w:t>euro</w:t>
            </w:r>
            <w:r w:rsidRPr="00CA66D3">
              <w:rPr>
                <w:rFonts w:eastAsia="Calibri"/>
                <w:b/>
              </w:rPr>
              <w:t>, salīdzināmajās cenās)</w:t>
            </w:r>
          </w:p>
        </w:tc>
        <w:tc>
          <w:tcPr>
            <w:tcW w:w="4539" w:type="dxa"/>
            <w:tcBorders>
              <w:top w:val="nil"/>
              <w:left w:val="nil"/>
              <w:bottom w:val="nil"/>
              <w:right w:val="nil"/>
            </w:tcBorders>
          </w:tcPr>
          <w:p w14:paraId="61683F29" w14:textId="0234A813" w:rsidR="00417A17" w:rsidRPr="00CA66D3" w:rsidRDefault="00417A17" w:rsidP="00417A17">
            <w:pPr>
              <w:ind w:firstLine="0"/>
              <w:jc w:val="center"/>
              <w:rPr>
                <w:rFonts w:eastAsia="Calibri"/>
                <w:b/>
              </w:rPr>
            </w:pPr>
            <w:r w:rsidRPr="00CA66D3">
              <w:rPr>
                <w:rFonts w:eastAsia="Calibri"/>
                <w:b/>
              </w:rPr>
              <w:t>1.41. attēls. Bruto kapitālieguldījumi</w:t>
            </w:r>
            <w:r w:rsidRPr="00CA66D3">
              <w:rPr>
                <w:rFonts w:eastAsia="Calibri"/>
                <w:b/>
              </w:rPr>
              <w:br/>
              <w:t>pa darbības veidiem</w:t>
            </w:r>
            <w:r w:rsidRPr="00CA66D3">
              <w:rPr>
                <w:rFonts w:eastAsia="Calibri"/>
                <w:b/>
              </w:rPr>
              <w:br/>
              <w:t xml:space="preserve">(milj. </w:t>
            </w:r>
            <w:r w:rsidRPr="00CA66D3">
              <w:rPr>
                <w:rFonts w:eastAsia="Calibri"/>
                <w:b/>
                <w:i/>
              </w:rPr>
              <w:t>euro</w:t>
            </w:r>
            <w:r w:rsidRPr="00CA66D3">
              <w:rPr>
                <w:rFonts w:eastAsia="Calibri"/>
                <w:b/>
              </w:rPr>
              <w:t>, salīdzināmajās cenās)</w:t>
            </w:r>
          </w:p>
        </w:tc>
      </w:tr>
    </w:tbl>
    <w:p w14:paraId="13FEAA77" w14:textId="5F24285F" w:rsidR="00B13890" w:rsidRDefault="00B13890" w:rsidP="00CA66D3">
      <w:pPr>
        <w:spacing w:before="120"/>
        <w:rPr>
          <w:rFonts w:eastAsia="Calibri"/>
        </w:rPr>
      </w:pPr>
      <w:r w:rsidRPr="009F0488">
        <w:rPr>
          <w:rFonts w:eastAsia="Calibri"/>
        </w:rPr>
        <w:t>Balstoties uz uzņēmumu aptaujas datiem, darb</w:t>
      </w:r>
      <w:r>
        <w:rPr>
          <w:rFonts w:eastAsia="Calibri"/>
        </w:rPr>
        <w:t>u</w:t>
      </w:r>
      <w:r w:rsidRPr="009F0488">
        <w:rPr>
          <w:rFonts w:eastAsia="Calibri"/>
        </w:rPr>
        <w:t xml:space="preserve"> apjoms būvniecības nozarē </w:t>
      </w:r>
      <w:r>
        <w:rPr>
          <w:rFonts w:eastAsia="Calibri"/>
        </w:rPr>
        <w:t>šā gada</w:t>
      </w:r>
      <w:r w:rsidRPr="009F0488">
        <w:rPr>
          <w:rFonts w:eastAsia="Calibri"/>
        </w:rPr>
        <w:t xml:space="preserve"> trešajā ceturksnī pieaugs, atgriežoties pirmspandēmijas līmenī. Tādējādi augošā konfidence būvniecības nozarē un dati par pasūtījumu apjomu liecina, ka investīciju kritums ēkās un būvēs 2021</w:t>
      </w:r>
      <w:r>
        <w:rPr>
          <w:rFonts w:eastAsia="Calibri"/>
        </w:rPr>
        <w:t>. gad</w:t>
      </w:r>
      <w:r w:rsidRPr="009F0488">
        <w:rPr>
          <w:rFonts w:eastAsia="Calibri"/>
        </w:rPr>
        <w:t>a sākumā bija īslaicīgs. Tomēr pastāv vairāki būtiski faktori, kas varētu kavēt jauno būvobjektu realizēšanu, līdz ar to arī investīciju apjomu.</w:t>
      </w:r>
    </w:p>
    <w:p w14:paraId="2BDE556C" w14:textId="77777777" w:rsidR="00B13890" w:rsidRDefault="00B13890" w:rsidP="00B13890">
      <w:pPr>
        <w:spacing w:before="120"/>
        <w:rPr>
          <w:rFonts w:eastAsia="Calibri"/>
        </w:rPr>
      </w:pPr>
      <w:r w:rsidRPr="009F0488">
        <w:rPr>
          <w:rFonts w:eastAsia="Calibri"/>
        </w:rPr>
        <w:t>Pirmkārt, pandēmijas dēļ tādās nozarēs kā izmitināšana, ēdināšana, izklaide un kultūra, kā arī transports būtiski ir samazinājies apgrozījums un pasliktinājušies peļņas rādītāji. Visticamāk šīs nozares atteiksies no jauniem kredītiem un investīcij</w:t>
      </w:r>
      <w:r>
        <w:rPr>
          <w:rFonts w:eastAsia="Calibri"/>
        </w:rPr>
        <w:t>ām</w:t>
      </w:r>
      <w:r w:rsidRPr="009F0488">
        <w:rPr>
          <w:rFonts w:eastAsia="Calibri"/>
        </w:rPr>
        <w:t xml:space="preserve"> vidējā termiņā. Savukārt, darba organizācijas ieradumu maiņa un masveidīga attālinātā darba prakses ieviešana varētu mazināt pieprasījumu pēc birojiem, kas negatīvi i</w:t>
      </w:r>
      <w:r>
        <w:rPr>
          <w:rFonts w:eastAsia="Calibri"/>
        </w:rPr>
        <w:t>etekmēs investīciju aktivitāti.</w:t>
      </w:r>
    </w:p>
    <w:p w14:paraId="0B7FE0F0" w14:textId="77777777" w:rsidR="00B13890" w:rsidRPr="009F0488" w:rsidRDefault="00B13890" w:rsidP="00B13890">
      <w:pPr>
        <w:spacing w:before="120"/>
        <w:rPr>
          <w:rFonts w:eastAsia="Calibri"/>
        </w:rPr>
      </w:pPr>
      <w:r w:rsidRPr="009F0488">
        <w:rPr>
          <w:rFonts w:eastAsia="Calibri"/>
        </w:rPr>
        <w:t>Otrkārt, izejvielu cenu pieaugums, tajā skaitā koksnes un metāla cenu kāpums, kā arī ierobežots darbaspēks šajā nozarē, kas stimulē algu kāpumu</w:t>
      </w:r>
      <w:r>
        <w:rPr>
          <w:rFonts w:eastAsia="Calibri"/>
        </w:rPr>
        <w:t>, ra</w:t>
      </w:r>
      <w:r w:rsidRPr="009F0488">
        <w:rPr>
          <w:rFonts w:eastAsia="Calibri"/>
        </w:rPr>
        <w:t xml:space="preserve">da spiedienu uz būvniecības izmaksām. </w:t>
      </w:r>
      <w:r>
        <w:rPr>
          <w:rFonts w:eastAsia="Calibri"/>
        </w:rPr>
        <w:t>Šā gada</w:t>
      </w:r>
      <w:r w:rsidRPr="009F0488">
        <w:rPr>
          <w:rFonts w:eastAsia="Calibri"/>
        </w:rPr>
        <w:t xml:space="preserve"> pirmajā ceturksnī būvniecības izmaksas pieauga par 1,3%, bet </w:t>
      </w:r>
      <w:r w:rsidRPr="000E22FF">
        <w:rPr>
          <w:rFonts w:eastAsia="Calibri"/>
        </w:rPr>
        <w:t>otrajā ceturksnī par 4,7%,</w:t>
      </w:r>
      <w:r w:rsidRPr="009F0488">
        <w:rPr>
          <w:rFonts w:eastAsia="Calibri"/>
        </w:rPr>
        <w:t xml:space="preserve"> kas kopumā atbilst pirmspandēmijas izmaksu kāpumam. Tomēr turpmākajos</w:t>
      </w:r>
      <w:r>
        <w:rPr>
          <w:rFonts w:eastAsia="Calibri"/>
        </w:rPr>
        <w:t xml:space="preserve"> ceturkšņos būvniecības izmaksu</w:t>
      </w:r>
      <w:r w:rsidRPr="009F0488">
        <w:rPr>
          <w:rFonts w:eastAsia="Calibri"/>
        </w:rPr>
        <w:t xml:space="preserve"> pieaugums var paātrināties. </w:t>
      </w:r>
    </w:p>
    <w:p w14:paraId="72D89FF4" w14:textId="61969FAC" w:rsidR="00A50F71" w:rsidRPr="00D61E0C" w:rsidRDefault="00B13890" w:rsidP="00417A17">
      <w:r w:rsidRPr="009F0488">
        <w:rPr>
          <w:rFonts w:eastAsia="Calibri"/>
        </w:rPr>
        <w:t>Covid-19 krīzes pārvarēšanā būtiska loma ir valdības īstenotajiem ekonomikas atbalsta un izaugsmes veicināšanas pasākumiem. Salīdzinājumā ar iepriekšējo ekonomikas krīzi šobrīd Latvijas finanšu stāvoklis ir labāks un pieejamie finanšu resursi ir ievērojami plašāki. Valsts atbalsts uzņēmumiem, izmaksājot dīkstāves pabalstus un piešķirot grantus apgrozāmo līdzekļu plūsmas nodrošināšanai, palīdz mazināt Covid-19 krīzes negatīvo ietekmi uz uzņēmumu darbību. Savukārt vidējā t</w:t>
      </w:r>
      <w:r w:rsidR="00417A17">
        <w:rPr>
          <w:rFonts w:eastAsia="Calibri"/>
        </w:rPr>
        <w:t>ermiņā Latvijai būs pieejamas Eiropas Savienības</w:t>
      </w:r>
      <w:r w:rsidRPr="009F0488">
        <w:rPr>
          <w:rFonts w:eastAsia="Calibri"/>
        </w:rPr>
        <w:t xml:space="preserve"> struktūrfondu investīcijas, Atveseļošanas un noturības mehānisma līdzekļi, kā arī investīcijas </w:t>
      </w:r>
      <w:r w:rsidRPr="007C2E86">
        <w:rPr>
          <w:rFonts w:eastAsia="Calibri"/>
          <w:i/>
        </w:rPr>
        <w:t>RailBaltica</w:t>
      </w:r>
      <w:r w:rsidRPr="009F0488">
        <w:rPr>
          <w:rFonts w:eastAsia="Calibri"/>
        </w:rPr>
        <w:t xml:space="preserve"> </w:t>
      </w:r>
      <w:r w:rsidRPr="009F0488">
        <w:rPr>
          <w:rFonts w:eastAsia="Calibri"/>
        </w:rPr>
        <w:lastRenderedPageBreak/>
        <w:t>projekta realizācijai. Būtiska loma Covid-19 krīzes seku pārvarēšanā būs jaunajam ES fondu investī</w:t>
      </w:r>
      <w:r>
        <w:rPr>
          <w:rFonts w:eastAsia="Calibri"/>
        </w:rPr>
        <w:t>ciju plānošanas periodam 2021</w:t>
      </w:r>
      <w:r w:rsidR="00417A17">
        <w:rPr>
          <w:rFonts w:eastAsia="Calibri"/>
        </w:rPr>
        <w:t>.</w:t>
      </w:r>
      <w:r>
        <w:rPr>
          <w:rFonts w:eastAsia="Calibri"/>
        </w:rPr>
        <w:noBreakHyphen/>
      </w:r>
      <w:r w:rsidRPr="009F0488">
        <w:rPr>
          <w:rFonts w:eastAsia="Calibri"/>
        </w:rPr>
        <w:t>2027</w:t>
      </w:r>
      <w:r>
        <w:rPr>
          <w:rFonts w:eastAsia="Calibri"/>
        </w:rPr>
        <w:t>. gad</w:t>
      </w:r>
      <w:r w:rsidRPr="009F0488">
        <w:rPr>
          <w:rFonts w:eastAsia="Calibri"/>
        </w:rPr>
        <w:t>am. Tomēr ir svarīgi, lai struktūrfondu investīciju</w:t>
      </w:r>
      <w:r>
        <w:rPr>
          <w:rFonts w:eastAsia="Calibri"/>
        </w:rPr>
        <w:t xml:space="preserve"> plūsma pa gadiem būtu vienmērīga, lai nera</w:t>
      </w:r>
      <w:r w:rsidRPr="009F0488">
        <w:rPr>
          <w:rFonts w:eastAsia="Calibri"/>
        </w:rPr>
        <w:t xml:space="preserve">dītu </w:t>
      </w:r>
      <w:r>
        <w:rPr>
          <w:rFonts w:eastAsia="Calibri"/>
        </w:rPr>
        <w:t xml:space="preserve">pārkašanu </w:t>
      </w:r>
      <w:r w:rsidRPr="009F0488">
        <w:rPr>
          <w:rFonts w:eastAsia="Calibri"/>
        </w:rPr>
        <w:t>būvniecības nozarē.</w:t>
      </w:r>
    </w:p>
    <w:p w14:paraId="02AA95FA" w14:textId="324B25D3" w:rsidR="00D61E0C" w:rsidRDefault="000548A5" w:rsidP="00F70213">
      <w:pPr>
        <w:pStyle w:val="Heading2"/>
        <w:numPr>
          <w:ilvl w:val="1"/>
          <w:numId w:val="9"/>
        </w:numPr>
        <w:spacing w:before="240" w:after="240"/>
        <w:ind w:left="0" w:firstLine="0"/>
        <w:jc w:val="center"/>
      </w:pPr>
      <w:bookmarkStart w:id="10" w:name="_Toc84756393"/>
      <w:r w:rsidRPr="00092745">
        <w:t>Makroekonomis</w:t>
      </w:r>
      <w:r w:rsidR="00092745">
        <w:t>ko nelīdzsvarotību uzraudzība Eiropas Savienī</w:t>
      </w:r>
      <w:r w:rsidR="00D61E0C">
        <w:t>bā</w:t>
      </w:r>
      <w:bookmarkEnd w:id="10"/>
    </w:p>
    <w:p w14:paraId="22DC1437" w14:textId="776C3478" w:rsidR="00D61E0C" w:rsidRPr="00D61E0C" w:rsidRDefault="007E74B0" w:rsidP="00D61E0C">
      <w:pPr>
        <w:rPr>
          <w:bCs/>
        </w:rPr>
      </w:pPr>
      <w:r>
        <w:t>Viens no Eiropas Savienības</w:t>
      </w:r>
      <w:r w:rsidR="00D61E0C" w:rsidRPr="00871AC9">
        <w:t xml:space="preserve"> pamatmērķiem ir dalībvalstu ilgtspējīgas ekonomiskās izaugsmes veicināšana. Lai nodrošinātu savlaicīgu makroekonomisko risku identificēšanu un pārvaldi 2011</w:t>
      </w:r>
      <w:r w:rsidR="00D61E0C">
        <w:t>. gad</w:t>
      </w:r>
      <w:r w:rsidR="00D61E0C" w:rsidRPr="00871AC9">
        <w:t>a 16.</w:t>
      </w:r>
      <w:r w:rsidR="00D61E0C">
        <w:t> </w:t>
      </w:r>
      <w:r w:rsidR="00D61E0C" w:rsidRPr="00871AC9">
        <w:t>novembrī Eiropas Parlaments un Eiropas</w:t>
      </w:r>
      <w:r>
        <w:t xml:space="preserve"> Savienības</w:t>
      </w:r>
      <w:r w:rsidR="00D61E0C" w:rsidRPr="00871AC9">
        <w:t xml:space="preserve"> Padome pieņēma divas regulas – par to, kā novērst un koriģēt makroekonomisko nelīdzsvarotību (regula Nr.1176/2011), un regulu par izpildes pasākumiem pārmērīgas makroekonomiskās n</w:t>
      </w:r>
      <w:r>
        <w:t xml:space="preserve">elīdzsvarotības koriģēšanai </w:t>
      </w:r>
      <w:r w:rsidRPr="007E74B0">
        <w:rPr>
          <w:i/>
        </w:rPr>
        <w:t>Euro</w:t>
      </w:r>
      <w:r>
        <w:t xml:space="preserve"> </w:t>
      </w:r>
      <w:r w:rsidR="00D61E0C" w:rsidRPr="00871AC9">
        <w:t>zonā (Nr.1174/2011</w:t>
      </w:r>
      <w:r w:rsidR="00D61E0C" w:rsidRPr="00D61E0C">
        <w:rPr>
          <w:bCs/>
        </w:rPr>
        <w:t>).</w:t>
      </w:r>
      <w:r w:rsidR="00D61E0C" w:rsidRPr="00871AC9">
        <w:rPr>
          <w:bCs/>
          <w:vertAlign w:val="superscript"/>
        </w:rPr>
        <w:footnoteReference w:id="2"/>
      </w:r>
      <w:r w:rsidR="00D61E0C" w:rsidRPr="00D61E0C">
        <w:rPr>
          <w:bCs/>
        </w:rPr>
        <w:t xml:space="preserve"> </w:t>
      </w:r>
    </w:p>
    <w:p w14:paraId="7000396D" w14:textId="17E2E469" w:rsidR="00D61E0C" w:rsidRPr="00871AC9" w:rsidRDefault="00D61E0C" w:rsidP="00D61E0C">
      <w:r w:rsidRPr="00871AC9">
        <w:t xml:space="preserve">Procedūras izstrādes mērķis bija ne tikai stiprināt Stabilitātes un izaugsmes pakta funkcionēšanu, bet papildus budžeta uzraudzībai, paplašināt fiskālo un makroekonomisko nelīdzsvarotību uzraudzību </w:t>
      </w:r>
      <w:r w:rsidR="007E74B0">
        <w:t>un īstenot to efektīvu vadību Eiropas Savienības</w:t>
      </w:r>
      <w:r w:rsidRPr="00871AC9">
        <w:t xml:space="preserve"> dalībvalstīs. Regulu ietvaros tika atrunāta makroekonomikas uzraudzības un nesabalansētību identificēšanas kārtība, kā arī iespējamo finanšu sankciju kārtība, kas varētu tikt piemērota dalībvalstīm, kurās makroekonomiskā disciplīna netiek ievērota.</w:t>
      </w:r>
    </w:p>
    <w:p w14:paraId="5356F80B" w14:textId="71C0BFEB" w:rsidR="00D61E0C" w:rsidRPr="00D61E0C" w:rsidRDefault="00D61E0C" w:rsidP="007E74B0">
      <w:r w:rsidRPr="00871AC9">
        <w:t xml:space="preserve">Finanšu sankcijas paredz noteiktu ikgadēju soda naudu vai procentus nesošu depozītu, kas ir 0,1% no attiecīgās </w:t>
      </w:r>
      <w:r w:rsidR="007E74B0">
        <w:t>dalībvalsts iepriekšējā gada iekšzemes kopprodukta</w:t>
      </w:r>
      <w:r w:rsidRPr="00871AC9">
        <w:t>. Neraugoties uz to, ka makroekonomiskās nesabalansētības procedūras ietvaros ir atrunātas iespējamās finanšu sankcijas, praksē nevienai no dalībvalstīm tās līdz šim netika piemērotas.</w:t>
      </w:r>
    </w:p>
    <w:p w14:paraId="14B9F0DB" w14:textId="77777777" w:rsidR="00380144" w:rsidRPr="00380144" w:rsidRDefault="00380144" w:rsidP="00F70213">
      <w:pPr>
        <w:pStyle w:val="ListParagraph"/>
        <w:keepNext/>
        <w:keepLines/>
        <w:numPr>
          <w:ilvl w:val="1"/>
          <w:numId w:val="1"/>
        </w:numPr>
        <w:contextualSpacing w:val="0"/>
        <w:jc w:val="center"/>
        <w:outlineLvl w:val="2"/>
        <w:rPr>
          <w:rFonts w:eastAsia="Calibri" w:cs="Times New Roman"/>
          <w:b/>
          <w:bCs/>
          <w:vanish/>
          <w:color w:val="000000" w:themeColor="text1"/>
          <w:sz w:val="28"/>
          <w:szCs w:val="28"/>
        </w:rPr>
      </w:pPr>
      <w:bookmarkStart w:id="11" w:name="_Toc53054932"/>
      <w:bookmarkStart w:id="12" w:name="_Toc53058971"/>
      <w:bookmarkStart w:id="13" w:name="_Toc53075479"/>
      <w:bookmarkStart w:id="14" w:name="_Toc53153495"/>
      <w:bookmarkStart w:id="15" w:name="_Toc53153704"/>
      <w:bookmarkStart w:id="16" w:name="_Toc53153758"/>
      <w:bookmarkStart w:id="17" w:name="_Toc53154085"/>
      <w:bookmarkStart w:id="18" w:name="_Toc83978310"/>
      <w:bookmarkStart w:id="19" w:name="_Toc84756394"/>
      <w:bookmarkEnd w:id="11"/>
      <w:bookmarkEnd w:id="12"/>
      <w:bookmarkEnd w:id="13"/>
      <w:bookmarkEnd w:id="14"/>
      <w:bookmarkEnd w:id="15"/>
      <w:bookmarkEnd w:id="16"/>
      <w:bookmarkEnd w:id="17"/>
      <w:bookmarkEnd w:id="18"/>
      <w:bookmarkEnd w:id="19"/>
    </w:p>
    <w:p w14:paraId="4FB1D7CC" w14:textId="0E995D2A" w:rsidR="003F3FCD" w:rsidRDefault="00361D9C" w:rsidP="007E74B0">
      <w:pPr>
        <w:pStyle w:val="Heading3"/>
        <w:numPr>
          <w:ilvl w:val="0"/>
          <w:numId w:val="0"/>
        </w:numPr>
        <w:spacing w:before="240" w:after="240"/>
        <w:ind w:left="720"/>
      </w:pPr>
      <w:bookmarkStart w:id="20" w:name="_Toc84756395"/>
      <w:r>
        <w:t xml:space="preserve">1.3.1. </w:t>
      </w:r>
      <w:r w:rsidR="000548A5" w:rsidRPr="000368AE">
        <w:t>Makroekonomikas nesabalansētību identificēšanas un pārvaldes posmi</w:t>
      </w:r>
      <w:bookmarkEnd w:id="20"/>
    </w:p>
    <w:p w14:paraId="6307D537" w14:textId="5EDF164C" w:rsidR="000368AE" w:rsidRPr="00871AC9" w:rsidRDefault="000368AE" w:rsidP="000368AE">
      <w:pPr>
        <w:spacing w:before="60" w:after="60"/>
      </w:pPr>
      <w:r w:rsidRPr="00871AC9">
        <w:t>Agrās brīdināšanas mehānisma ziņojums tiek publicēts tekošā gada beigās, kas ir arī sākums jaunam makroekonomiskās nesabalansētības uzraudzības ciklam. Tādējādi šobrīd, sagatavojot 2022</w:t>
      </w:r>
      <w:r>
        <w:t>. gad</w:t>
      </w:r>
      <w:r w:rsidRPr="00871AC9">
        <w:t>a budžeta paskaidrojumus, tiek izmantots “Agrās brīdināšanas mehānisma ziņojums 2021” (</w:t>
      </w:r>
      <w:r w:rsidRPr="00871AC9">
        <w:rPr>
          <w:i/>
        </w:rPr>
        <w:t>Alert Mechanism Report</w:t>
      </w:r>
      <w:r w:rsidRPr="00871AC9">
        <w:t xml:space="preserve"> </w:t>
      </w:r>
      <w:r w:rsidRPr="007E74B0">
        <w:rPr>
          <w:i/>
        </w:rPr>
        <w:t>2021</w:t>
      </w:r>
      <w:r w:rsidRPr="00871AC9">
        <w:t>), kurš tika publicēts 2020</w:t>
      </w:r>
      <w:r>
        <w:t>. gad</w:t>
      </w:r>
      <w:r w:rsidR="007E74B0">
        <w:t>a 18. </w:t>
      </w:r>
      <w:r w:rsidRPr="00871AC9">
        <w:t>novembrī. Ziņojumu izstrādē tiek lietoti statistikas dati ar gandrīz divu gadu nobīdi, attiecīgi 2021</w:t>
      </w:r>
      <w:r>
        <w:t>. gad</w:t>
      </w:r>
      <w:r w:rsidRPr="00871AC9">
        <w:t>a Agrās brīdināšanas mehānisma ziņojums balstās uz 2019</w:t>
      </w:r>
      <w:r>
        <w:t>. gad</w:t>
      </w:r>
      <w:r w:rsidRPr="00871AC9">
        <w:t>a statistikas datiem. Lai gan nākamais “Agrās brīdināšanas mehānisma ziņojums 2022” (</w:t>
      </w:r>
      <w:r w:rsidR="007E74B0">
        <w:t xml:space="preserve">angļu val. - </w:t>
      </w:r>
      <w:r w:rsidRPr="00871AC9">
        <w:rPr>
          <w:i/>
        </w:rPr>
        <w:t>Alert Mechanism Report</w:t>
      </w:r>
      <w:r w:rsidRPr="00871AC9">
        <w:t xml:space="preserve">  </w:t>
      </w:r>
      <w:r w:rsidRPr="007E74B0">
        <w:rPr>
          <w:i/>
        </w:rPr>
        <w:t>2022</w:t>
      </w:r>
      <w:r w:rsidRPr="00871AC9">
        <w:t>) tiks publicēts tikai š</w:t>
      </w:r>
      <w:r>
        <w:t>ā</w:t>
      </w:r>
      <w:r w:rsidRPr="00871AC9">
        <w:t xml:space="preserve"> gada nogalē, jau šobrīd ir zināmi gandrīz visi pamata rādītāji par Latviju</w:t>
      </w:r>
      <w:r>
        <w:t xml:space="preserve"> (</w:t>
      </w:r>
      <w:r w:rsidRPr="00871AC9">
        <w:t>1.6.</w:t>
      </w:r>
      <w:r>
        <w:t xml:space="preserve"> tabula).</w:t>
      </w:r>
      <w:r w:rsidRPr="00871AC9">
        <w:t xml:space="preserve"> </w:t>
      </w:r>
    </w:p>
    <w:p w14:paraId="3E8B91B2" w14:textId="7C3D3991" w:rsidR="000368AE" w:rsidRPr="00871AC9" w:rsidRDefault="000368AE" w:rsidP="000368AE">
      <w:pPr>
        <w:spacing w:before="60" w:after="60"/>
      </w:pPr>
      <w:r w:rsidRPr="00871AC9">
        <w:t>Ziņojuma pamatā ir divas rādītāju grupas – 14 pamata rādītāji un 28 papildinoši rādītāji. Pamata rādītājiem ir definēti mērķlīmeņi jeb pieļaujamās robež</w:t>
      </w:r>
      <w:r>
        <w:t>vērtības</w:t>
      </w:r>
      <w:r w:rsidRPr="00871AC9">
        <w:t>, kuru pārsniegšana var iniciēt Padziļinātās izpētes ziņojuma (</w:t>
      </w:r>
      <w:r w:rsidR="007E74B0">
        <w:t xml:space="preserve">angļu val. - </w:t>
      </w:r>
      <w:r w:rsidR="007E74B0">
        <w:rPr>
          <w:i/>
        </w:rPr>
        <w:t>I</w:t>
      </w:r>
      <w:r w:rsidR="007E74B0" w:rsidRPr="007E74B0">
        <w:rPr>
          <w:i/>
        </w:rPr>
        <w:t xml:space="preserve">n-depth review, </w:t>
      </w:r>
      <w:r w:rsidRPr="007E74B0">
        <w:rPr>
          <w:i/>
        </w:rPr>
        <w:t>IDR</w:t>
      </w:r>
      <w:r w:rsidRPr="00871AC9">
        <w:t xml:space="preserve">) izstrādi par attiecīgo dalībvalsti. Lēmums par attiecīgās valsts ekonomikas padziļinātās izpētes procedūras </w:t>
      </w:r>
      <w:r w:rsidRPr="00871AC9">
        <w:lastRenderedPageBreak/>
        <w:t>uzsākšanu var tikt pieņemts pamatojoties uz izvērstu, fundamentālu ekonomiskās situācijas un saistīto risku analīzi, kā arī ņemot vērā rādītāju sagaidāmo dinamiku. Automātiska padziļinātās izpētes procedūras uzsākšana, pamatojoties vienīgi uz tehnisku dažu rādītāju noteikto robežvērtību pārsniegšanu, netiek praktizēta. Pamata rādītāju tabula (</w:t>
      </w:r>
      <w:r w:rsidRPr="00871AC9">
        <w:rPr>
          <w:i/>
        </w:rPr>
        <w:t>scoreboard</w:t>
      </w:r>
      <w:r w:rsidRPr="00871AC9">
        <w:t>) ietver šādus rādītājus:</w:t>
      </w:r>
    </w:p>
    <w:p w14:paraId="0B613707" w14:textId="024DBD2C" w:rsidR="000368AE" w:rsidRPr="00871AC9" w:rsidRDefault="007E74B0" w:rsidP="00F70213">
      <w:pPr>
        <w:numPr>
          <w:ilvl w:val="0"/>
          <w:numId w:val="8"/>
        </w:numPr>
        <w:spacing w:before="60" w:after="60"/>
        <w:ind w:left="993" w:hanging="426"/>
        <w:contextualSpacing/>
        <w:jc w:val="left"/>
      </w:pPr>
      <w:r>
        <w:t>Tekošā konta bilance, % no iekšzemes kopprodukta</w:t>
      </w:r>
      <w:r w:rsidR="000368AE" w:rsidRPr="00871AC9">
        <w:t>, 3 gadu vidējais rādītājs;</w:t>
      </w:r>
    </w:p>
    <w:p w14:paraId="2B88C775" w14:textId="3ECD1C44" w:rsidR="000368AE" w:rsidRPr="00871AC9" w:rsidRDefault="000368AE" w:rsidP="00F70213">
      <w:pPr>
        <w:numPr>
          <w:ilvl w:val="0"/>
          <w:numId w:val="8"/>
        </w:numPr>
        <w:spacing w:before="60" w:after="60"/>
        <w:ind w:left="993" w:hanging="426"/>
        <w:contextualSpacing/>
        <w:jc w:val="left"/>
      </w:pPr>
      <w:r w:rsidRPr="00871AC9">
        <w:t xml:space="preserve">Neto starptautisko investīciju pozīcija, % no </w:t>
      </w:r>
      <w:r w:rsidR="007E74B0">
        <w:t>iekšzemes kopprodukta</w:t>
      </w:r>
      <w:r w:rsidRPr="00871AC9">
        <w:t>;</w:t>
      </w:r>
    </w:p>
    <w:p w14:paraId="3958AB05" w14:textId="77777777" w:rsidR="000368AE" w:rsidRPr="00871AC9" w:rsidRDefault="000368AE" w:rsidP="00F70213">
      <w:pPr>
        <w:numPr>
          <w:ilvl w:val="0"/>
          <w:numId w:val="8"/>
        </w:numPr>
        <w:spacing w:before="60" w:after="60"/>
        <w:ind w:left="993" w:hanging="426"/>
        <w:contextualSpacing/>
        <w:jc w:val="left"/>
      </w:pPr>
      <w:r w:rsidRPr="00871AC9">
        <w:t>Reālais efektīvais valūtas kurss (HICP deflators), 3 gadu % izmaiņas;</w:t>
      </w:r>
    </w:p>
    <w:p w14:paraId="19A5BEA7" w14:textId="77777777" w:rsidR="000368AE" w:rsidRPr="00871AC9" w:rsidRDefault="000368AE" w:rsidP="00F70213">
      <w:pPr>
        <w:numPr>
          <w:ilvl w:val="0"/>
          <w:numId w:val="8"/>
        </w:numPr>
        <w:spacing w:before="60" w:after="60"/>
        <w:ind w:left="993" w:hanging="426"/>
        <w:contextualSpacing/>
        <w:jc w:val="left"/>
      </w:pPr>
      <w:r w:rsidRPr="00871AC9">
        <w:t>Eksporta tirgus daļa, % no pasaules eksporta, 5 gadu % izmaiņas;</w:t>
      </w:r>
    </w:p>
    <w:p w14:paraId="068FCC5C" w14:textId="77777777" w:rsidR="000368AE" w:rsidRPr="00871AC9" w:rsidRDefault="000368AE" w:rsidP="00F70213">
      <w:pPr>
        <w:numPr>
          <w:ilvl w:val="0"/>
          <w:numId w:val="8"/>
        </w:numPr>
        <w:spacing w:before="60" w:after="60"/>
        <w:ind w:left="993" w:hanging="426"/>
        <w:contextualSpacing/>
        <w:jc w:val="left"/>
      </w:pPr>
      <w:r w:rsidRPr="00871AC9">
        <w:t>Nominālo vienības darbaspēka izmaksu indekss,</w:t>
      </w:r>
      <w:r w:rsidRPr="00871AC9">
        <w:rPr>
          <w:rStyle w:val="FootnoteReference"/>
        </w:rPr>
        <w:footnoteReference w:id="3"/>
      </w:r>
      <w:r w:rsidRPr="00871AC9">
        <w:t xml:space="preserve"> 3 gadu % izmaiņas, (2010=100);</w:t>
      </w:r>
    </w:p>
    <w:p w14:paraId="559FA808" w14:textId="77777777" w:rsidR="000368AE" w:rsidRPr="00871AC9" w:rsidRDefault="000368AE" w:rsidP="00F70213">
      <w:pPr>
        <w:numPr>
          <w:ilvl w:val="0"/>
          <w:numId w:val="8"/>
        </w:numPr>
        <w:spacing w:before="60" w:after="60"/>
        <w:ind w:left="993" w:hanging="426"/>
        <w:contextualSpacing/>
        <w:jc w:val="left"/>
      </w:pPr>
      <w:r w:rsidRPr="00871AC9">
        <w:t>Mājokļu cenu indekss (2010=100), gada % izmaiņas;</w:t>
      </w:r>
    </w:p>
    <w:p w14:paraId="68FE271A" w14:textId="51DA70B1" w:rsidR="000368AE" w:rsidRPr="00871AC9" w:rsidRDefault="000368AE" w:rsidP="00F70213">
      <w:pPr>
        <w:numPr>
          <w:ilvl w:val="0"/>
          <w:numId w:val="8"/>
        </w:numPr>
        <w:spacing w:before="60" w:after="60"/>
        <w:ind w:left="993" w:hanging="426"/>
        <w:contextualSpacing/>
        <w:jc w:val="left"/>
      </w:pPr>
      <w:r w:rsidRPr="00871AC9">
        <w:t xml:space="preserve">Privātā sektora konsolidētā kredītplūsma, % no </w:t>
      </w:r>
      <w:r w:rsidR="007E74B0">
        <w:t>iekšzemes kopprodukta</w:t>
      </w:r>
      <w:r w:rsidRPr="00871AC9">
        <w:t>;</w:t>
      </w:r>
    </w:p>
    <w:p w14:paraId="792EF55F" w14:textId="5EC68794" w:rsidR="000368AE" w:rsidRPr="00871AC9" w:rsidRDefault="000368AE" w:rsidP="00F70213">
      <w:pPr>
        <w:numPr>
          <w:ilvl w:val="0"/>
          <w:numId w:val="8"/>
        </w:numPr>
        <w:spacing w:before="60" w:after="60"/>
        <w:ind w:left="993" w:hanging="426"/>
        <w:contextualSpacing/>
        <w:jc w:val="left"/>
      </w:pPr>
      <w:r w:rsidRPr="00871AC9">
        <w:t xml:space="preserve">Privātā sektora konsolidētais parāds, % no </w:t>
      </w:r>
      <w:r w:rsidR="007E74B0">
        <w:t>iekšzemes kopprodukta</w:t>
      </w:r>
      <w:r w:rsidRPr="00871AC9">
        <w:t>;</w:t>
      </w:r>
    </w:p>
    <w:p w14:paraId="1988310E" w14:textId="64B4929F" w:rsidR="000368AE" w:rsidRPr="00871AC9" w:rsidRDefault="000368AE" w:rsidP="00F70213">
      <w:pPr>
        <w:numPr>
          <w:ilvl w:val="0"/>
          <w:numId w:val="8"/>
        </w:numPr>
        <w:spacing w:before="60" w:after="60"/>
        <w:ind w:left="993" w:hanging="426"/>
        <w:contextualSpacing/>
        <w:jc w:val="left"/>
      </w:pPr>
      <w:r w:rsidRPr="00871AC9">
        <w:t xml:space="preserve">Vispārējās valdības sektora parāds, % no </w:t>
      </w:r>
      <w:r w:rsidR="007E74B0">
        <w:t>iekšzemes kopprodukta</w:t>
      </w:r>
      <w:r w:rsidRPr="00871AC9">
        <w:t>;</w:t>
      </w:r>
    </w:p>
    <w:p w14:paraId="18CE9D29" w14:textId="77777777" w:rsidR="000368AE" w:rsidRPr="00871AC9" w:rsidRDefault="000368AE" w:rsidP="00F70213">
      <w:pPr>
        <w:numPr>
          <w:ilvl w:val="0"/>
          <w:numId w:val="8"/>
        </w:numPr>
        <w:spacing w:before="60" w:after="60"/>
        <w:ind w:left="993" w:hanging="426"/>
        <w:contextualSpacing/>
        <w:jc w:val="left"/>
      </w:pPr>
      <w:r w:rsidRPr="00871AC9">
        <w:t>Bezdarba līmenis, 3 gadu vidējais;</w:t>
      </w:r>
    </w:p>
    <w:p w14:paraId="496FF4C7" w14:textId="77777777" w:rsidR="000368AE" w:rsidRPr="00871AC9" w:rsidRDefault="000368AE" w:rsidP="00F70213">
      <w:pPr>
        <w:numPr>
          <w:ilvl w:val="0"/>
          <w:numId w:val="8"/>
        </w:numPr>
        <w:spacing w:before="60" w:after="60"/>
        <w:ind w:left="993" w:hanging="426"/>
        <w:contextualSpacing/>
        <w:jc w:val="left"/>
      </w:pPr>
      <w:r w:rsidRPr="00871AC9">
        <w:t>Finanšu sektora nekonsolidētās saistības, 1 gada % izmaiņas;</w:t>
      </w:r>
    </w:p>
    <w:p w14:paraId="670E49B0" w14:textId="77777777" w:rsidR="000368AE" w:rsidRPr="00871AC9" w:rsidRDefault="000368AE" w:rsidP="00F70213">
      <w:pPr>
        <w:numPr>
          <w:ilvl w:val="0"/>
          <w:numId w:val="8"/>
        </w:numPr>
        <w:spacing w:before="60" w:after="60"/>
        <w:ind w:left="993" w:hanging="426"/>
        <w:contextualSpacing/>
        <w:jc w:val="left"/>
      </w:pPr>
      <w:r w:rsidRPr="00871AC9">
        <w:t>Iedzīvotāju ekonomiskās aktivitātes līmenis – 3 gadu izmaiņas procentu punktos no visiem iedzīvotājiem vecuma grupā no 15 līdz 64 gadiem;</w:t>
      </w:r>
    </w:p>
    <w:p w14:paraId="2A2DC526" w14:textId="77777777" w:rsidR="000368AE" w:rsidRPr="00871AC9" w:rsidRDefault="000368AE" w:rsidP="00F70213">
      <w:pPr>
        <w:numPr>
          <w:ilvl w:val="0"/>
          <w:numId w:val="8"/>
        </w:numPr>
        <w:spacing w:before="60" w:after="60"/>
        <w:ind w:left="993" w:hanging="426"/>
        <w:contextualSpacing/>
        <w:jc w:val="left"/>
      </w:pPr>
      <w:r w:rsidRPr="00871AC9">
        <w:t>Ilgtermiņa bezdarba līmenis – 3 gadu izmaiņas procentu punktos no ekonomiski aktīvajiem iedzīvotājiem vecuma grupā no 15 līdz 74 gadiem;</w:t>
      </w:r>
    </w:p>
    <w:p w14:paraId="38F0FEF9" w14:textId="77777777" w:rsidR="000368AE" w:rsidRPr="00871AC9" w:rsidRDefault="000368AE" w:rsidP="00F70213">
      <w:pPr>
        <w:numPr>
          <w:ilvl w:val="0"/>
          <w:numId w:val="8"/>
        </w:numPr>
        <w:spacing w:before="60" w:after="60"/>
        <w:ind w:left="993" w:hanging="426"/>
        <w:contextualSpacing/>
        <w:jc w:val="left"/>
      </w:pPr>
      <w:r w:rsidRPr="00871AC9">
        <w:t>Jauniešu bezdarba līmenis – 3 gadu izmaiņas procentu punktos no ekonomiski aktīvajiem iedzīvotājiem vecuma grupā no 15 līdz 24 gadiem.</w:t>
      </w:r>
    </w:p>
    <w:p w14:paraId="3FF704A9" w14:textId="10726AD4" w:rsidR="000368AE" w:rsidRPr="000368AE" w:rsidRDefault="000368AE" w:rsidP="007E74B0">
      <w:pPr>
        <w:ind w:firstLine="567"/>
      </w:pPr>
      <w:r w:rsidRPr="00871AC9">
        <w:t>Līdzīgi kā pamata rādītāju tehniskā neievērošana, arī jaunieviesto sociālo rādītāju robežvērtību tehniska neievērošana nevar kalpot par makroekonomiskās nesabalansētības fakta atzīšanu kādā no dalībvalstīm – šāds lēmums vienmēr tiek balstīts uz padziļinātu, vispārēju situācijas analīzi, ņemot vērā rādītāju dinamiku un attīstības perspektīvas.</w:t>
      </w:r>
    </w:p>
    <w:p w14:paraId="5F78B18F" w14:textId="588591CA" w:rsidR="003F3FCD" w:rsidRDefault="00361D9C" w:rsidP="007E74B0">
      <w:pPr>
        <w:pStyle w:val="Heading3"/>
        <w:numPr>
          <w:ilvl w:val="0"/>
          <w:numId w:val="0"/>
        </w:numPr>
        <w:spacing w:before="240" w:after="240"/>
        <w:ind w:left="720"/>
      </w:pPr>
      <w:bookmarkStart w:id="21" w:name="_Toc84756396"/>
      <w:r>
        <w:t xml:space="preserve">1.3.2. </w:t>
      </w:r>
      <w:r w:rsidR="000548A5" w:rsidRPr="00361D9C">
        <w:t>Pārmērīga makroekonomiskā nesabalansētība un Padziļināto izpētes ziņojumu izstrāde</w:t>
      </w:r>
      <w:bookmarkEnd w:id="21"/>
    </w:p>
    <w:p w14:paraId="4E6A9F2E" w14:textId="36575362" w:rsidR="00361D9C" w:rsidRDefault="00361D9C" w:rsidP="00361D9C">
      <w:pPr>
        <w:spacing w:before="60" w:after="60"/>
        <w:ind w:firstLine="567"/>
      </w:pPr>
      <w:r w:rsidRPr="00871AC9">
        <w:t>2021</w:t>
      </w:r>
      <w:r>
        <w:t>. gad</w:t>
      </w:r>
      <w:r w:rsidRPr="00871AC9">
        <w:t xml:space="preserve">a Agrās </w:t>
      </w:r>
      <w:r>
        <w:t>b</w:t>
      </w:r>
      <w:r w:rsidRPr="00871AC9">
        <w:t>rīdināšanas mehānisma ziņojumā 12 dalībvalst</w:t>
      </w:r>
      <w:r>
        <w:t>īm</w:t>
      </w:r>
      <w:r w:rsidRPr="00871AC9">
        <w:t xml:space="preserve"> konst</w:t>
      </w:r>
      <w:r w:rsidR="007E74B0">
        <w:t>atētas nesabalansētības, t.sk. trim</w:t>
      </w:r>
      <w:r w:rsidRPr="00871AC9">
        <w:t xml:space="preserve"> dalībvalst</w:t>
      </w:r>
      <w:r>
        <w:t>īm</w:t>
      </w:r>
      <w:r w:rsidRPr="00871AC9">
        <w:t xml:space="preserve"> pārmērīg</w:t>
      </w:r>
      <w:r>
        <w:t>as</w:t>
      </w:r>
      <w:r w:rsidRPr="00871AC9">
        <w:t xml:space="preserve"> nesabalansētīb</w:t>
      </w:r>
      <w:r>
        <w:t>as. Tādējādi pandēmijas gadā par vienu</w:t>
      </w:r>
      <w:r w:rsidRPr="00871AC9">
        <w:t xml:space="preserve"> valsti  (Bulgāriju) ir samazinājies kopējais </w:t>
      </w:r>
      <w:r>
        <w:t xml:space="preserve">padziļināti </w:t>
      </w:r>
      <w:r w:rsidRPr="00871AC9">
        <w:t>analizējamo valstu skaits. Pārējo valstu sastāvs ar konstatē</w:t>
      </w:r>
      <w:r>
        <w:t>ta</w:t>
      </w:r>
      <w:r w:rsidRPr="00871AC9">
        <w:t xml:space="preserve">jām nesabalansētībām un pārmērīgajām nesabalansētībām nav mainījies.  </w:t>
      </w:r>
    </w:p>
    <w:p w14:paraId="6B698811" w14:textId="77777777" w:rsidR="00361D9C" w:rsidRDefault="00361D9C" w:rsidP="00361D9C">
      <w:pPr>
        <w:spacing w:before="60" w:after="60"/>
        <w:ind w:firstLine="567"/>
      </w:pPr>
      <w:r>
        <w:t>Latvijā tāpat kā līdz šim makroekonomiskās nesabalansētības nav konstatētas un nav ierosināts sākt padziļināto izpēti.</w:t>
      </w:r>
    </w:p>
    <w:p w14:paraId="651806A2" w14:textId="77777777" w:rsidR="00D04420" w:rsidRDefault="00D04420" w:rsidP="00361D9C">
      <w:pPr>
        <w:spacing w:before="60" w:after="60"/>
        <w:rPr>
          <w:sz w:val="28"/>
          <w:szCs w:val="28"/>
        </w:rPr>
      </w:pPr>
    </w:p>
    <w:p w14:paraId="033769E0" w14:textId="77777777" w:rsidR="00D04420" w:rsidRDefault="00D04420" w:rsidP="00361D9C">
      <w:pPr>
        <w:spacing w:before="60" w:after="60"/>
        <w:rPr>
          <w:sz w:val="28"/>
          <w:szCs w:val="28"/>
        </w:rPr>
      </w:pPr>
    </w:p>
    <w:p w14:paraId="73715A24" w14:textId="73B5096C" w:rsidR="00361D9C" w:rsidRPr="0056738D" w:rsidRDefault="00361D9C" w:rsidP="00D04420">
      <w:pPr>
        <w:spacing w:before="60" w:after="60"/>
        <w:ind w:firstLine="0"/>
        <w:jc w:val="center"/>
        <w:rPr>
          <w:sz w:val="28"/>
          <w:szCs w:val="28"/>
        </w:rPr>
      </w:pPr>
      <w:r>
        <w:rPr>
          <w:noProof/>
        </w:rPr>
        <w:lastRenderedPageBreak/>
        <w:drawing>
          <wp:inline distT="0" distB="0" distL="0" distR="0" wp14:anchorId="4BA82CD0" wp14:editId="0DCC173F">
            <wp:extent cx="5274310" cy="3745230"/>
            <wp:effectExtent l="0" t="0" r="2540" b="7620"/>
            <wp:docPr id="1" name="Chart 1">
              <a:extLst xmlns:a="http://schemas.openxmlformats.org/drawingml/2006/main">
                <a:ext uri="{FF2B5EF4-FFF2-40B4-BE49-F238E27FC236}">
                  <a16:creationId xmlns:a16="http://schemas.microsoft.com/office/drawing/2014/main" id="{0E88124D-4D46-43D9-90EF-F946BB9A62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84BC343" w14:textId="77777777" w:rsidR="00D04420" w:rsidRPr="00D04420" w:rsidRDefault="00D04420" w:rsidP="00D04420">
      <w:pPr>
        <w:keepNext/>
        <w:spacing w:after="0"/>
        <w:ind w:firstLine="0"/>
        <w:jc w:val="center"/>
        <w:rPr>
          <w:rFonts w:eastAsia="Calibri"/>
          <w:b/>
        </w:rPr>
      </w:pPr>
      <w:r w:rsidRPr="00D04420">
        <w:rPr>
          <w:rFonts w:eastAsia="Calibri"/>
          <w:b/>
        </w:rPr>
        <w:t xml:space="preserve">1.42. attēls. Valstu skaits, kurās pārsniegts </w:t>
      </w:r>
      <w:r w:rsidRPr="00D04420">
        <w:rPr>
          <w:b/>
        </w:rPr>
        <w:t xml:space="preserve">Agrās brīdināšanas mehānisma rādītāju </w:t>
      </w:r>
      <w:r w:rsidRPr="00D04420">
        <w:rPr>
          <w:rFonts w:eastAsia="Calibri"/>
          <w:b/>
        </w:rPr>
        <w:t>noteiktais robežslieksnis (pa rādītājiem)</w:t>
      </w:r>
    </w:p>
    <w:p w14:paraId="44B39913" w14:textId="77777777" w:rsidR="00D04420" w:rsidRDefault="00D04420" w:rsidP="00361D9C">
      <w:pPr>
        <w:spacing w:before="60" w:after="60"/>
        <w:ind w:firstLine="567"/>
      </w:pPr>
    </w:p>
    <w:p w14:paraId="23A668CE" w14:textId="209A3EBE" w:rsidR="00361D9C" w:rsidRPr="00FF60D3" w:rsidRDefault="00361D9C" w:rsidP="00D04420">
      <w:pPr>
        <w:spacing w:before="60" w:after="60"/>
        <w:ind w:firstLine="567"/>
      </w:pPr>
      <w:r w:rsidRPr="00FF60D3">
        <w:t>Saskaņā ar 2021</w:t>
      </w:r>
      <w:r>
        <w:t>.</w:t>
      </w:r>
      <w:r w:rsidRPr="00FF60D3">
        <w:t xml:space="preserve"> gada Agrās brīdināšanas mehānisma ziņojumu padziļinātā izpētes procedūra ir uzsākta 12 valstīm –</w:t>
      </w:r>
      <w:r>
        <w:t xml:space="preserve"> </w:t>
      </w:r>
      <w:r w:rsidRPr="00FF60D3">
        <w:t>Horvātijai, Francijai, Vācijai, Īrijai, Nīderlandei, Portugālei, Rumānijai, Spānijai un Zviedrijai, kā arī Kiprai, Grieķijai un Itālijai, kurās ir konstatē</w:t>
      </w:r>
      <w:r>
        <w:t>tas pārmērīgas nesabalansētības (1.5. tabula).</w:t>
      </w:r>
    </w:p>
    <w:p w14:paraId="420F7D9A" w14:textId="171C00EC" w:rsidR="00361D9C" w:rsidRPr="007E74B0" w:rsidRDefault="00361D9C" w:rsidP="00D04420">
      <w:pPr>
        <w:keepNext/>
        <w:spacing w:before="120"/>
        <w:ind w:firstLine="3402"/>
        <w:jc w:val="right"/>
        <w:rPr>
          <w:b/>
          <w:i/>
        </w:rPr>
      </w:pPr>
      <w:r w:rsidRPr="007E74B0">
        <w:rPr>
          <w:b/>
          <w:i/>
        </w:rPr>
        <w:t>1.5. tabula</w:t>
      </w:r>
      <w:r w:rsidR="00CA66D3">
        <w:rPr>
          <w:b/>
          <w:i/>
        </w:rPr>
        <w:t>.</w:t>
      </w:r>
      <w:r w:rsidRPr="007E74B0">
        <w:rPr>
          <w:b/>
          <w:i/>
        </w:rPr>
        <w:t xml:space="preserve"> 2021. gada Agrās brīdināšanas mehānisma ziņojuma rezultāts</w:t>
      </w:r>
      <w:r w:rsidRPr="007E74B0">
        <w:rPr>
          <w:b/>
          <w:i/>
          <w:vertAlign w:val="superscript"/>
        </w:rPr>
        <w:footnoteReference w:id="4"/>
      </w:r>
    </w:p>
    <w:tbl>
      <w:tblPr>
        <w:tblStyle w:val="ListTable2-Accent1"/>
        <w:tblW w:w="9074" w:type="dxa"/>
        <w:jc w:val="center"/>
        <w:tblLook w:val="04A0" w:firstRow="1" w:lastRow="0" w:firstColumn="1" w:lastColumn="0" w:noHBand="0" w:noVBand="1"/>
      </w:tblPr>
      <w:tblGrid>
        <w:gridCol w:w="4124"/>
        <w:gridCol w:w="4950"/>
      </w:tblGrid>
      <w:tr w:rsidR="00361D9C" w:rsidRPr="00F2768F" w14:paraId="60600EAA" w14:textId="77777777" w:rsidTr="00CA66D3">
        <w:trPr>
          <w:cnfStyle w:val="100000000000" w:firstRow="1" w:lastRow="0" w:firstColumn="0" w:lastColumn="0" w:oddVBand="0" w:evenVBand="0" w:oddHBand="0" w:evenHBand="0" w:firstRowFirstColumn="0" w:firstRowLastColumn="0" w:lastRowFirstColumn="0" w:lastRowLastColumn="0"/>
          <w:trHeight w:val="477"/>
          <w:jc w:val="center"/>
        </w:trPr>
        <w:tc>
          <w:tcPr>
            <w:cnfStyle w:val="001000000000" w:firstRow="0" w:lastRow="0" w:firstColumn="1" w:lastColumn="0" w:oddVBand="0" w:evenVBand="0" w:oddHBand="0" w:evenHBand="0" w:firstRowFirstColumn="0" w:firstRowLastColumn="0" w:lastRowFirstColumn="0" w:lastRowLastColumn="0"/>
            <w:tcW w:w="4124" w:type="dxa"/>
          </w:tcPr>
          <w:p w14:paraId="675263D2" w14:textId="77777777" w:rsidR="00361D9C" w:rsidRPr="00295023" w:rsidRDefault="00361D9C" w:rsidP="00F70213">
            <w:pPr>
              <w:numPr>
                <w:ilvl w:val="0"/>
                <w:numId w:val="5"/>
              </w:numPr>
              <w:spacing w:before="60" w:after="60"/>
              <w:contextualSpacing/>
              <w:jc w:val="left"/>
              <w:rPr>
                <w:rFonts w:cs="Times New Roman"/>
                <w:bCs w:val="0"/>
                <w:sz w:val="18"/>
                <w:szCs w:val="18"/>
              </w:rPr>
            </w:pPr>
            <w:r w:rsidRPr="00295023">
              <w:rPr>
                <w:rFonts w:cs="Times New Roman"/>
                <w:sz w:val="18"/>
                <w:szCs w:val="18"/>
              </w:rPr>
              <w:t xml:space="preserve">Nesabalansētības netika konstatētas un netiek iniciēta Padziļinātā izpētes ziņojuma izstrāde </w:t>
            </w:r>
          </w:p>
        </w:tc>
        <w:tc>
          <w:tcPr>
            <w:tcW w:w="4950" w:type="dxa"/>
          </w:tcPr>
          <w:p w14:paraId="5ECC5830" w14:textId="77777777" w:rsidR="00361D9C" w:rsidRPr="00295023" w:rsidRDefault="00361D9C" w:rsidP="00D04420">
            <w:pPr>
              <w:spacing w:before="60" w:after="60"/>
              <w:ind w:firstLine="0"/>
              <w:cnfStyle w:val="100000000000" w:firstRow="1" w:lastRow="0" w:firstColumn="0" w:lastColumn="0" w:oddVBand="0" w:evenVBand="0" w:oddHBand="0" w:evenHBand="0" w:firstRowFirstColumn="0" w:firstRowLastColumn="0" w:lastRowFirstColumn="0" w:lastRowLastColumn="0"/>
              <w:rPr>
                <w:rFonts w:cs="Times New Roman"/>
                <w:b w:val="0"/>
                <w:bCs w:val="0"/>
                <w:sz w:val="18"/>
                <w:szCs w:val="18"/>
              </w:rPr>
            </w:pPr>
            <w:r w:rsidRPr="00295023">
              <w:rPr>
                <w:rFonts w:cs="Times New Roman"/>
                <w:b w:val="0"/>
                <w:sz w:val="18"/>
                <w:szCs w:val="18"/>
              </w:rPr>
              <w:t xml:space="preserve">Austrija, Beļģija, Igaunija, Ungārija,  Čehija, Dānija, </w:t>
            </w:r>
            <w:r w:rsidRPr="00295023">
              <w:rPr>
                <w:rFonts w:cs="Times New Roman"/>
                <w:sz w:val="18"/>
                <w:szCs w:val="18"/>
              </w:rPr>
              <w:t>Latvija</w:t>
            </w:r>
            <w:r w:rsidRPr="00295023">
              <w:rPr>
                <w:rFonts w:cs="Times New Roman"/>
                <w:b w:val="0"/>
                <w:sz w:val="18"/>
                <w:szCs w:val="18"/>
              </w:rPr>
              <w:t>, Lietuva, Luksemburga, Malta, Slovākija, Polija, Slovēnija, Somija</w:t>
            </w:r>
          </w:p>
        </w:tc>
      </w:tr>
      <w:tr w:rsidR="00361D9C" w:rsidRPr="00F2768F" w14:paraId="377162CF" w14:textId="77777777" w:rsidTr="00CA66D3">
        <w:trPr>
          <w:cnfStyle w:val="000000100000" w:firstRow="0" w:lastRow="0" w:firstColumn="0" w:lastColumn="0" w:oddVBand="0" w:evenVBand="0" w:oddHBand="1" w:evenHBand="0" w:firstRowFirstColumn="0" w:firstRowLastColumn="0" w:lastRowFirstColumn="0" w:lastRowLastColumn="0"/>
          <w:trHeight w:val="477"/>
          <w:jc w:val="center"/>
        </w:trPr>
        <w:tc>
          <w:tcPr>
            <w:cnfStyle w:val="001000000000" w:firstRow="0" w:lastRow="0" w:firstColumn="1" w:lastColumn="0" w:oddVBand="0" w:evenVBand="0" w:oddHBand="0" w:evenHBand="0" w:firstRowFirstColumn="0" w:firstRowLastColumn="0" w:lastRowFirstColumn="0" w:lastRowLastColumn="0"/>
            <w:tcW w:w="4124" w:type="dxa"/>
          </w:tcPr>
          <w:p w14:paraId="601F78CE" w14:textId="77777777" w:rsidR="00361D9C" w:rsidRPr="00295023" w:rsidRDefault="00361D9C" w:rsidP="00F70213">
            <w:pPr>
              <w:numPr>
                <w:ilvl w:val="0"/>
                <w:numId w:val="5"/>
              </w:numPr>
              <w:spacing w:before="60" w:after="60"/>
              <w:contextualSpacing/>
              <w:jc w:val="left"/>
              <w:rPr>
                <w:rFonts w:cs="Times New Roman"/>
                <w:b w:val="0"/>
                <w:bCs w:val="0"/>
                <w:sz w:val="18"/>
                <w:szCs w:val="18"/>
              </w:rPr>
            </w:pPr>
            <w:r w:rsidRPr="00295023">
              <w:rPr>
                <w:rFonts w:cs="Times New Roman"/>
                <w:b w:val="0"/>
                <w:sz w:val="18"/>
                <w:szCs w:val="18"/>
              </w:rPr>
              <w:t>Pastāv makroekonomiskās nesabalansētības</w:t>
            </w:r>
          </w:p>
        </w:tc>
        <w:tc>
          <w:tcPr>
            <w:tcW w:w="4950" w:type="dxa"/>
          </w:tcPr>
          <w:p w14:paraId="326A6A00" w14:textId="77777777" w:rsidR="00361D9C" w:rsidRPr="00E505AC" w:rsidRDefault="00361D9C" w:rsidP="00D04420">
            <w:pPr>
              <w:spacing w:before="60" w:after="60"/>
              <w:ind w:firstLin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E505AC">
              <w:rPr>
                <w:rFonts w:cs="Times New Roman"/>
                <w:sz w:val="18"/>
                <w:szCs w:val="18"/>
              </w:rPr>
              <w:t>Horvātija, Francija, Vācija, Īrija, Nīderlande, Portugāle, Rumānija, Spānija un Zviedrija</w:t>
            </w:r>
          </w:p>
        </w:tc>
      </w:tr>
      <w:tr w:rsidR="00361D9C" w:rsidRPr="00F2768F" w14:paraId="741221A7" w14:textId="77777777" w:rsidTr="00CA66D3">
        <w:trPr>
          <w:trHeight w:val="477"/>
          <w:jc w:val="center"/>
        </w:trPr>
        <w:tc>
          <w:tcPr>
            <w:cnfStyle w:val="001000000000" w:firstRow="0" w:lastRow="0" w:firstColumn="1" w:lastColumn="0" w:oddVBand="0" w:evenVBand="0" w:oddHBand="0" w:evenHBand="0" w:firstRowFirstColumn="0" w:firstRowLastColumn="0" w:lastRowFirstColumn="0" w:lastRowLastColumn="0"/>
            <w:tcW w:w="4124" w:type="dxa"/>
          </w:tcPr>
          <w:p w14:paraId="13E86CC1" w14:textId="77777777" w:rsidR="00361D9C" w:rsidRPr="00295023" w:rsidRDefault="00361D9C" w:rsidP="00F70213">
            <w:pPr>
              <w:numPr>
                <w:ilvl w:val="0"/>
                <w:numId w:val="5"/>
              </w:numPr>
              <w:spacing w:before="60" w:after="60"/>
              <w:contextualSpacing/>
              <w:jc w:val="left"/>
              <w:rPr>
                <w:rFonts w:cs="Times New Roman"/>
                <w:b w:val="0"/>
                <w:bCs w:val="0"/>
                <w:sz w:val="18"/>
                <w:szCs w:val="18"/>
              </w:rPr>
            </w:pPr>
            <w:r w:rsidRPr="00295023">
              <w:rPr>
                <w:rFonts w:cs="Times New Roman"/>
                <w:b w:val="0"/>
                <w:sz w:val="18"/>
                <w:szCs w:val="18"/>
              </w:rPr>
              <w:t>Pastāv pārmērīgas makroekonomiskās nesabalansētības</w:t>
            </w:r>
          </w:p>
        </w:tc>
        <w:tc>
          <w:tcPr>
            <w:tcW w:w="4950" w:type="dxa"/>
          </w:tcPr>
          <w:p w14:paraId="56A0DB83" w14:textId="77777777" w:rsidR="00361D9C" w:rsidRPr="00E505AC" w:rsidRDefault="00361D9C" w:rsidP="00D04420">
            <w:pPr>
              <w:spacing w:before="60" w:after="60"/>
              <w:ind w:firstLine="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E505AC">
              <w:rPr>
                <w:rFonts w:cs="Times New Roman"/>
                <w:sz w:val="18"/>
                <w:szCs w:val="18"/>
              </w:rPr>
              <w:t>Kipra, Grieķija un Itālija</w:t>
            </w:r>
          </w:p>
        </w:tc>
      </w:tr>
      <w:tr w:rsidR="00361D9C" w:rsidRPr="00F2768F" w14:paraId="71C07EAE" w14:textId="77777777" w:rsidTr="00CA66D3">
        <w:trPr>
          <w:cnfStyle w:val="000000100000" w:firstRow="0" w:lastRow="0" w:firstColumn="0" w:lastColumn="0" w:oddVBand="0" w:evenVBand="0" w:oddHBand="1" w:evenHBand="0" w:firstRowFirstColumn="0" w:firstRowLastColumn="0" w:lastRowFirstColumn="0" w:lastRowLastColumn="0"/>
          <w:trHeight w:val="477"/>
          <w:jc w:val="center"/>
        </w:trPr>
        <w:tc>
          <w:tcPr>
            <w:cnfStyle w:val="001000000000" w:firstRow="0" w:lastRow="0" w:firstColumn="1" w:lastColumn="0" w:oddVBand="0" w:evenVBand="0" w:oddHBand="0" w:evenHBand="0" w:firstRowFirstColumn="0" w:firstRowLastColumn="0" w:lastRowFirstColumn="0" w:lastRowLastColumn="0"/>
            <w:tcW w:w="4124" w:type="dxa"/>
          </w:tcPr>
          <w:p w14:paraId="76A2078A" w14:textId="06D01619" w:rsidR="00361D9C" w:rsidRPr="00295023" w:rsidRDefault="00991C53" w:rsidP="00F70213">
            <w:pPr>
              <w:numPr>
                <w:ilvl w:val="0"/>
                <w:numId w:val="5"/>
              </w:numPr>
              <w:spacing w:before="60" w:after="60"/>
              <w:contextualSpacing/>
              <w:jc w:val="left"/>
              <w:rPr>
                <w:rFonts w:cs="Times New Roman"/>
                <w:b w:val="0"/>
                <w:bCs w:val="0"/>
                <w:sz w:val="18"/>
                <w:szCs w:val="18"/>
              </w:rPr>
            </w:pPr>
            <w:r>
              <w:rPr>
                <w:rFonts w:cs="Times New Roman"/>
                <w:b w:val="0"/>
                <w:sz w:val="18"/>
                <w:szCs w:val="18"/>
              </w:rPr>
              <w:t>Kopā, no 27 Eiropas Savienības</w:t>
            </w:r>
            <w:r w:rsidR="00361D9C" w:rsidRPr="00295023">
              <w:rPr>
                <w:rFonts w:cs="Times New Roman"/>
                <w:b w:val="0"/>
                <w:sz w:val="18"/>
                <w:szCs w:val="18"/>
              </w:rPr>
              <w:t xml:space="preserve"> dalībvalstīm Padziļinātās izpētes ziņojumi izstrādāti</w:t>
            </w:r>
          </w:p>
        </w:tc>
        <w:tc>
          <w:tcPr>
            <w:tcW w:w="4950" w:type="dxa"/>
          </w:tcPr>
          <w:p w14:paraId="41082D59" w14:textId="77777777" w:rsidR="00361D9C" w:rsidRPr="00E505AC" w:rsidRDefault="00361D9C" w:rsidP="00D04420">
            <w:pPr>
              <w:spacing w:before="60" w:after="60"/>
              <w:ind w:firstLin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E505AC">
              <w:rPr>
                <w:rFonts w:cs="Times New Roman"/>
                <w:sz w:val="18"/>
                <w:szCs w:val="18"/>
              </w:rPr>
              <w:t>12 dalībvalstīs</w:t>
            </w:r>
          </w:p>
        </w:tc>
      </w:tr>
    </w:tbl>
    <w:p w14:paraId="76618533" w14:textId="77777777" w:rsidR="00D04420" w:rsidRDefault="00D04420" w:rsidP="00361D9C">
      <w:pPr>
        <w:ind w:firstLine="567"/>
        <w:rPr>
          <w:rFonts w:eastAsia="Calibri"/>
        </w:rPr>
      </w:pPr>
    </w:p>
    <w:p w14:paraId="00C8C0C4" w14:textId="250237DD" w:rsidR="00361D9C" w:rsidRPr="00DF1711" w:rsidRDefault="00361D9C" w:rsidP="00361D9C">
      <w:pPr>
        <w:ind w:firstLine="567"/>
        <w:rPr>
          <w:rFonts w:eastAsia="Calibri"/>
        </w:rPr>
      </w:pPr>
      <w:r w:rsidRPr="00DF1711">
        <w:rPr>
          <w:rFonts w:eastAsia="Calibri"/>
        </w:rPr>
        <w:t xml:space="preserve">Kopumā ziņojumā norādīts, ka </w:t>
      </w:r>
      <w:r>
        <w:rPr>
          <w:rFonts w:eastAsia="Calibri"/>
        </w:rPr>
        <w:t>Covid</w:t>
      </w:r>
      <w:r>
        <w:rPr>
          <w:rFonts w:eastAsia="Calibri"/>
        </w:rPr>
        <w:noBreakHyphen/>
        <w:t>19</w:t>
      </w:r>
      <w:r w:rsidRPr="00DF1711">
        <w:rPr>
          <w:rFonts w:eastAsia="Calibri"/>
        </w:rPr>
        <w:t xml:space="preserve"> krīze ir  pastiprinājusi vairākas esošās makroekonomiskās nelīdzsvarotības un var rasties jauni riski, jo īpaši pieaugot  valdības un privātā se</w:t>
      </w:r>
      <w:r w:rsidR="00D04420">
        <w:rPr>
          <w:rFonts w:eastAsia="Calibri"/>
        </w:rPr>
        <w:t>ktora parāda attiecībai pret iekšzemes kopproduktu</w:t>
      </w:r>
      <w:r w:rsidRPr="00DF1711">
        <w:rPr>
          <w:rFonts w:eastAsia="Calibri"/>
        </w:rPr>
        <w:t>.</w:t>
      </w:r>
    </w:p>
    <w:p w14:paraId="1736DD88" w14:textId="7B57A9D0" w:rsidR="00361D9C" w:rsidRPr="00D04420" w:rsidRDefault="00361D9C" w:rsidP="00D04420">
      <w:pPr>
        <w:ind w:firstLine="567"/>
        <w:rPr>
          <w:rFonts w:eastAsia="Calibri"/>
        </w:rPr>
      </w:pPr>
      <w:r w:rsidRPr="00DF1711">
        <w:rPr>
          <w:rFonts w:eastAsia="Calibri"/>
        </w:rPr>
        <w:lastRenderedPageBreak/>
        <w:t>Raugoties nākotnē</w:t>
      </w:r>
      <w:r>
        <w:rPr>
          <w:rFonts w:eastAsia="Calibri"/>
        </w:rPr>
        <w:t>,</w:t>
      </w:r>
      <w:r w:rsidRPr="00DF1711">
        <w:rPr>
          <w:rFonts w:eastAsia="Calibri"/>
        </w:rPr>
        <w:t xml:space="preserve"> turpmāko privātā sektora parāda samazinājumu varētu kavēt vāja ekonomikas attīstība, iespējamie bankroti un vājš darba tirgu</w:t>
      </w:r>
      <w:r>
        <w:rPr>
          <w:rFonts w:eastAsia="Calibri"/>
        </w:rPr>
        <w:t>s</w:t>
      </w:r>
      <w:r w:rsidRPr="00DF1711">
        <w:rPr>
          <w:rFonts w:eastAsia="Calibri"/>
        </w:rPr>
        <w:t>. Šāds privāto parādu samazinājumu scenārijs ietekmētu banku bilances un vēl vairāk pasliktinātu to rentabilitāti. Tajā pašā laikā pārmērīgi strauj</w:t>
      </w:r>
      <w:r>
        <w:rPr>
          <w:rFonts w:eastAsia="Calibri"/>
        </w:rPr>
        <w:t>š</w:t>
      </w:r>
      <w:r w:rsidRPr="00DF1711">
        <w:rPr>
          <w:rFonts w:eastAsia="Calibri"/>
        </w:rPr>
        <w:t xml:space="preserve"> darbaspēka izmaksu kāpums un mājokļu cen</w:t>
      </w:r>
      <w:r>
        <w:rPr>
          <w:rFonts w:eastAsia="Calibri"/>
        </w:rPr>
        <w:t>u</w:t>
      </w:r>
      <w:r w:rsidRPr="00DF1711">
        <w:rPr>
          <w:rFonts w:eastAsia="Calibri"/>
        </w:rPr>
        <w:t xml:space="preserve"> </w:t>
      </w:r>
      <w:r>
        <w:rPr>
          <w:rFonts w:eastAsia="Calibri"/>
        </w:rPr>
        <w:t>pieaugums</w:t>
      </w:r>
      <w:r w:rsidRPr="00DF1711">
        <w:rPr>
          <w:rFonts w:eastAsia="Calibri"/>
        </w:rPr>
        <w:t xml:space="preserve">, kas raksturoja neseno pagātni, izzudīs, taču, var rasties arī bažas, ka korekcija pārvēršas par pārmērīgām lejupvērstām korekcijām, jo īpaši attiecībā uz mājokļu cenām dalībvalstīs ar jau tagad augstu mājsaimniecību parāda līmeni. Tādējādi </w:t>
      </w:r>
      <w:r>
        <w:rPr>
          <w:rFonts w:eastAsia="Calibri"/>
        </w:rPr>
        <w:t>Covid</w:t>
      </w:r>
      <w:r>
        <w:rPr>
          <w:rFonts w:eastAsia="Calibri"/>
        </w:rPr>
        <w:noBreakHyphen/>
        <w:t>19</w:t>
      </w:r>
      <w:r w:rsidRPr="00DF1711">
        <w:rPr>
          <w:rFonts w:eastAsia="Calibri"/>
        </w:rPr>
        <w:t xml:space="preserve"> šoks, kas ir pastiprinā</w:t>
      </w:r>
      <w:r>
        <w:rPr>
          <w:rFonts w:eastAsia="Calibri"/>
        </w:rPr>
        <w:t>jis</w:t>
      </w:r>
      <w:r w:rsidR="00D04420">
        <w:rPr>
          <w:rFonts w:eastAsia="Calibri"/>
        </w:rPr>
        <w:t xml:space="preserve"> pašreizējo nelīdzsvarotību </w:t>
      </w:r>
      <w:r w:rsidR="00D04420" w:rsidRPr="00D04420">
        <w:rPr>
          <w:rFonts w:eastAsia="Calibri"/>
          <w:i/>
        </w:rPr>
        <w:t>Euro</w:t>
      </w:r>
      <w:r w:rsidR="00D04420">
        <w:rPr>
          <w:rFonts w:eastAsia="Calibri"/>
        </w:rPr>
        <w:t xml:space="preserve"> </w:t>
      </w:r>
      <w:r w:rsidRPr="00DF1711">
        <w:rPr>
          <w:rFonts w:eastAsia="Calibri"/>
        </w:rPr>
        <w:t>zonā</w:t>
      </w:r>
      <w:r>
        <w:rPr>
          <w:rFonts w:eastAsia="Calibri"/>
        </w:rPr>
        <w:t>,</w:t>
      </w:r>
      <w:r w:rsidRPr="00DF1711">
        <w:rPr>
          <w:rFonts w:eastAsia="Calibri"/>
        </w:rPr>
        <w:t xml:space="preserve"> nosaka nepieciešamīb</w:t>
      </w:r>
      <w:r w:rsidR="00D04420">
        <w:rPr>
          <w:rFonts w:eastAsia="Calibri"/>
        </w:rPr>
        <w:t>u pēc iespējas</w:t>
      </w:r>
      <w:r w:rsidR="00991C53">
        <w:rPr>
          <w:rFonts w:eastAsia="Calibri"/>
        </w:rPr>
        <w:t xml:space="preserve"> labāk izmantot Eiropas Savienīb</w:t>
      </w:r>
      <w:r w:rsidR="00D04420">
        <w:rPr>
          <w:rFonts w:eastAsia="Calibri"/>
        </w:rPr>
        <w:t>as atbalsta mehānismus.</w:t>
      </w:r>
    </w:p>
    <w:p w14:paraId="2FFA1421" w14:textId="4DD87991" w:rsidR="003F3FCD" w:rsidRPr="00361D9C" w:rsidRDefault="00361D9C" w:rsidP="00D04420">
      <w:pPr>
        <w:pStyle w:val="Heading3"/>
        <w:numPr>
          <w:ilvl w:val="0"/>
          <w:numId w:val="0"/>
        </w:numPr>
        <w:spacing w:before="240" w:after="240"/>
        <w:ind w:left="1225" w:hanging="505"/>
      </w:pPr>
      <w:bookmarkStart w:id="22" w:name="_Toc84756397"/>
      <w:r w:rsidRPr="00361D9C">
        <w:t xml:space="preserve">1.3.3. </w:t>
      </w:r>
      <w:r w:rsidR="00983CAA" w:rsidRPr="00361D9C">
        <w:t>Latvijas ekonomi</w:t>
      </w:r>
      <w:r w:rsidRPr="00361D9C">
        <w:t>skās situācijas novērtējums 2021</w:t>
      </w:r>
      <w:r w:rsidR="00983CAA" w:rsidRPr="00361D9C">
        <w:t>.</w:t>
      </w:r>
      <w:r w:rsidRPr="00361D9C">
        <w:t xml:space="preserve"> </w:t>
      </w:r>
      <w:r w:rsidR="00983CAA" w:rsidRPr="00361D9C">
        <w:t xml:space="preserve">gada </w:t>
      </w:r>
      <w:r w:rsidR="00D04420" w:rsidRPr="00D04420">
        <w:t>Agrās brīdināšanas mehānisma</w:t>
      </w:r>
      <w:r w:rsidR="00983CAA" w:rsidRPr="00361D9C">
        <w:t xml:space="preserve"> ziņoj</w:t>
      </w:r>
      <w:r w:rsidRPr="00361D9C">
        <w:t>umā un iespējamās tendences 2022</w:t>
      </w:r>
      <w:r w:rsidR="00983CAA" w:rsidRPr="00361D9C">
        <w:t>.</w:t>
      </w:r>
      <w:r w:rsidRPr="00361D9C">
        <w:t xml:space="preserve"> </w:t>
      </w:r>
      <w:r w:rsidR="00983CAA" w:rsidRPr="00361D9C">
        <w:t>gada ziņojumā</w:t>
      </w:r>
      <w:bookmarkEnd w:id="22"/>
    </w:p>
    <w:p w14:paraId="1A8591E6" w14:textId="702BEFBF" w:rsidR="00361D9C" w:rsidRDefault="00361D9C" w:rsidP="00361D9C">
      <w:pPr>
        <w:ind w:firstLine="567"/>
        <w:rPr>
          <w:rFonts w:eastAsia="Calibri"/>
        </w:rPr>
      </w:pPr>
      <w:r>
        <w:rPr>
          <w:rFonts w:eastAsia="Calibri"/>
        </w:rPr>
        <w:t>S</w:t>
      </w:r>
      <w:r w:rsidRPr="00DF1711">
        <w:rPr>
          <w:rFonts w:eastAsia="Calibri"/>
        </w:rPr>
        <w:t>agatavojot 2021</w:t>
      </w:r>
      <w:r>
        <w:rPr>
          <w:rFonts w:eastAsia="Calibri"/>
        </w:rPr>
        <w:t>. gad</w:t>
      </w:r>
      <w:r w:rsidRPr="00DF1711">
        <w:rPr>
          <w:rFonts w:eastAsia="Calibri"/>
        </w:rPr>
        <w:t>a</w:t>
      </w:r>
      <w:r>
        <w:rPr>
          <w:rFonts w:eastAsia="Calibri"/>
        </w:rPr>
        <w:t xml:space="preserve"> Agrās b</w:t>
      </w:r>
      <w:r w:rsidRPr="007609DB">
        <w:rPr>
          <w:rFonts w:eastAsia="Calibri"/>
        </w:rPr>
        <w:t>rīdināšanas mehānisma</w:t>
      </w:r>
      <w:r w:rsidRPr="00DF1711">
        <w:rPr>
          <w:rFonts w:eastAsia="Calibri"/>
        </w:rPr>
        <w:t xml:space="preserve"> ziņojumu ir izmantoti 2019</w:t>
      </w:r>
      <w:r>
        <w:rPr>
          <w:rFonts w:eastAsia="Calibri"/>
        </w:rPr>
        <w:t>. gad</w:t>
      </w:r>
      <w:r w:rsidRPr="00DF1711">
        <w:rPr>
          <w:rFonts w:eastAsia="Calibri"/>
        </w:rPr>
        <w:t xml:space="preserve">a dati, kad pandēmijas ietekme vēl nebija izteikta. </w:t>
      </w:r>
      <w:r w:rsidRPr="00F71D02">
        <w:rPr>
          <w:rFonts w:eastAsia="Calibri"/>
        </w:rPr>
        <w:t>Neskatoties uz to</w:t>
      </w:r>
      <w:r>
        <w:rPr>
          <w:rFonts w:eastAsia="Calibri"/>
        </w:rPr>
        <w:t>,</w:t>
      </w:r>
      <w:r w:rsidRPr="00F71D02">
        <w:rPr>
          <w:rFonts w:eastAsia="Calibri"/>
        </w:rPr>
        <w:t xml:space="preserve"> ziņojumā ir analizēta iespējamā Covid</w:t>
      </w:r>
      <w:r w:rsidRPr="00F71D02">
        <w:rPr>
          <w:rFonts w:eastAsia="Calibri"/>
        </w:rPr>
        <w:noBreakHyphen/>
        <w:t>19 pandēmijas negatīvā ietekme uz ne</w:t>
      </w:r>
      <w:r>
        <w:rPr>
          <w:rFonts w:eastAsia="Calibri"/>
        </w:rPr>
        <w:t>sabalansētība</w:t>
      </w:r>
      <w:r w:rsidRPr="00F71D02">
        <w:rPr>
          <w:rFonts w:eastAsia="Calibri"/>
        </w:rPr>
        <w:t xml:space="preserve">s rādītājiem 2020. gadā, kas Latvijas gadījumā nav pasliktinājis rezultātu. </w:t>
      </w:r>
    </w:p>
    <w:p w14:paraId="113AE047" w14:textId="68C9250E" w:rsidR="00361D9C" w:rsidRDefault="00361D9C" w:rsidP="00361D9C">
      <w:pPr>
        <w:ind w:firstLine="567"/>
        <w:rPr>
          <w:rFonts w:eastAsia="Calibri"/>
        </w:rPr>
      </w:pPr>
      <w:r w:rsidRPr="00F71D02">
        <w:rPr>
          <w:rFonts w:eastAsia="Calibri"/>
        </w:rPr>
        <w:t xml:space="preserve">Ja 2020. gada ziņojumā </w:t>
      </w:r>
      <w:r>
        <w:rPr>
          <w:rFonts w:eastAsia="Calibri"/>
        </w:rPr>
        <w:t>trīs</w:t>
      </w:r>
      <w:r w:rsidRPr="00F71D02">
        <w:rPr>
          <w:rFonts w:eastAsia="Calibri"/>
        </w:rPr>
        <w:t xml:space="preserve"> Latvijas rādītāji pārsniedza k</w:t>
      </w:r>
      <w:r w:rsidR="00D04420">
        <w:rPr>
          <w:rFonts w:eastAsia="Calibri"/>
        </w:rPr>
        <w:t>ritisko robežvērtību, tad 2021. </w:t>
      </w:r>
      <w:r w:rsidRPr="00F71D02">
        <w:rPr>
          <w:rFonts w:eastAsia="Calibri"/>
        </w:rPr>
        <w:t xml:space="preserve">gada ziņojumā </w:t>
      </w:r>
      <w:r>
        <w:rPr>
          <w:rFonts w:eastAsia="Calibri"/>
        </w:rPr>
        <w:t xml:space="preserve">vairs </w:t>
      </w:r>
      <w:r w:rsidRPr="00F71D02">
        <w:rPr>
          <w:rFonts w:eastAsia="Calibri"/>
        </w:rPr>
        <w:t>tikai divi – neto starptautiskā i</w:t>
      </w:r>
      <w:r>
        <w:rPr>
          <w:rFonts w:eastAsia="Calibri"/>
        </w:rPr>
        <w:t>nvestīciju pozīcija un nominālo</w:t>
      </w:r>
      <w:r w:rsidRPr="00F71D02">
        <w:rPr>
          <w:rFonts w:eastAsia="Calibri"/>
        </w:rPr>
        <w:t xml:space="preserve"> vienības darbaspēka </w:t>
      </w:r>
      <w:r>
        <w:rPr>
          <w:rFonts w:eastAsia="Calibri"/>
        </w:rPr>
        <w:t xml:space="preserve">izmaksu </w:t>
      </w:r>
      <w:r w:rsidRPr="00F71D02">
        <w:rPr>
          <w:rFonts w:eastAsia="Calibri"/>
        </w:rPr>
        <w:t>indekss (iepriekšējā ziņojumā bija pārsniegta arī mājokļu cenu indeksa robežvērtība). Līdz ar to var secināt, ka Latvijā ir turpinājusies pastāvošo nesabalansētību mazināšanās un Latvijā nav konstatēta makroekonomiskā nelīdzsvarotība.</w:t>
      </w:r>
    </w:p>
    <w:p w14:paraId="1ABAAE5B" w14:textId="77777777" w:rsidR="00361D9C" w:rsidRPr="00DF1711" w:rsidRDefault="00361D9C" w:rsidP="00361D9C">
      <w:pPr>
        <w:ind w:firstLine="567"/>
        <w:rPr>
          <w:rFonts w:eastAsia="Calibri"/>
        </w:rPr>
      </w:pPr>
      <w:r w:rsidRPr="007609DB">
        <w:rPr>
          <w:rFonts w:eastAsia="Calibri"/>
        </w:rPr>
        <w:t>Tāpat kā</w:t>
      </w:r>
      <w:r>
        <w:rPr>
          <w:rFonts w:eastAsia="Calibri"/>
        </w:rPr>
        <w:t xml:space="preserve"> visos iepriekšējos gados</w:t>
      </w:r>
      <w:r w:rsidRPr="007609DB">
        <w:rPr>
          <w:rFonts w:eastAsia="Calibri"/>
        </w:rPr>
        <w:t xml:space="preserve"> kopš </w:t>
      </w:r>
      <w:r>
        <w:rPr>
          <w:rFonts w:eastAsia="Calibri"/>
        </w:rPr>
        <w:t>Agrās b</w:t>
      </w:r>
      <w:r w:rsidRPr="007609DB">
        <w:rPr>
          <w:rFonts w:eastAsia="Calibri"/>
        </w:rPr>
        <w:t>rīdināšanas mehānisma</w:t>
      </w:r>
      <w:r>
        <w:rPr>
          <w:rFonts w:eastAsia="Calibri"/>
        </w:rPr>
        <w:t xml:space="preserve"> ieviešanas</w:t>
      </w:r>
      <w:r w:rsidRPr="007609DB">
        <w:rPr>
          <w:rFonts w:eastAsia="Calibri"/>
        </w:rPr>
        <w:t xml:space="preserve">, </w:t>
      </w:r>
      <w:r>
        <w:rPr>
          <w:rFonts w:eastAsia="Calibri"/>
        </w:rPr>
        <w:t xml:space="preserve">arī šajā ziņojumā </w:t>
      </w:r>
      <w:r w:rsidRPr="007609DB">
        <w:rPr>
          <w:rFonts w:eastAsia="Calibri"/>
        </w:rPr>
        <w:t>Latvijā makroekonomiskās nesabalansētības nav konstatētas un par Latviju nav tikusi veikta padziļinātā izpēte.</w:t>
      </w:r>
      <w:r w:rsidRPr="00DF1711">
        <w:rPr>
          <w:rFonts w:eastAsia="Calibri"/>
        </w:rPr>
        <w:t xml:space="preserve"> Atjau</w:t>
      </w:r>
      <w:r>
        <w:rPr>
          <w:rFonts w:eastAsia="Calibri"/>
        </w:rPr>
        <w:t>notajā</w:t>
      </w:r>
      <w:r w:rsidRPr="00DF1711">
        <w:rPr>
          <w:rFonts w:eastAsia="Calibri"/>
        </w:rPr>
        <w:t xml:space="preserve"> ziņojumā norādīts, ka rezul</w:t>
      </w:r>
      <w:r>
        <w:rPr>
          <w:rFonts w:eastAsia="Calibri"/>
        </w:rPr>
        <w:t>tātu apkopojumā, kurā iekļauti rādītāji</w:t>
      </w:r>
      <w:r w:rsidRPr="00DF1711">
        <w:rPr>
          <w:rFonts w:eastAsia="Calibri"/>
        </w:rPr>
        <w:t xml:space="preserve"> līdz 2019</w:t>
      </w:r>
      <w:r>
        <w:rPr>
          <w:rFonts w:eastAsia="Calibri"/>
        </w:rPr>
        <w:t>. gad</w:t>
      </w:r>
      <w:r w:rsidRPr="00DF1711">
        <w:rPr>
          <w:rFonts w:eastAsia="Calibri"/>
        </w:rPr>
        <w:t>am, neto starptautisko ieguldījumu pozīcija (NIIP) un vienības darbaspēka izmaksu pieauguma rādītāji pārsniedz indikatīvo robežslieksni. Tāpat attiecībā uz Latviju ziņojumā norādīts, ka vienības darbaspēka izmaksas 2019</w:t>
      </w:r>
      <w:r>
        <w:rPr>
          <w:rFonts w:eastAsia="Calibri"/>
        </w:rPr>
        <w:t>. gad</w:t>
      </w:r>
      <w:r w:rsidRPr="00DF1711">
        <w:rPr>
          <w:rFonts w:eastAsia="Calibri"/>
        </w:rPr>
        <w:t>ā turpināja augt salīdzinoši spēcīgi, ko veicināja ievērojams algu pieaugums. Tika prognozēts, ka algu pieaugums 2020</w:t>
      </w:r>
      <w:r>
        <w:rPr>
          <w:rFonts w:eastAsia="Calibri"/>
        </w:rPr>
        <w:t>. gad</w:t>
      </w:r>
      <w:r w:rsidRPr="00DF1711">
        <w:rPr>
          <w:rFonts w:eastAsia="Calibri"/>
        </w:rPr>
        <w:t xml:space="preserve">ā samazināsies, ņemot vērā </w:t>
      </w:r>
      <w:r>
        <w:rPr>
          <w:rFonts w:eastAsia="Calibri"/>
        </w:rPr>
        <w:t>Covid</w:t>
      </w:r>
      <w:r>
        <w:rPr>
          <w:rFonts w:eastAsia="Calibri"/>
        </w:rPr>
        <w:noBreakHyphen/>
        <w:t>19</w:t>
      </w:r>
      <w:r w:rsidRPr="00DF1711">
        <w:rPr>
          <w:rFonts w:eastAsia="Calibri"/>
        </w:rPr>
        <w:t xml:space="preserve"> krīzes ietekmi, taču </w:t>
      </w:r>
      <w:r w:rsidRPr="00D04420">
        <w:rPr>
          <w:rFonts w:eastAsia="Calibri"/>
          <w:i/>
        </w:rPr>
        <w:t>Eurostat</w:t>
      </w:r>
      <w:r w:rsidRPr="00DF1711">
        <w:rPr>
          <w:rFonts w:eastAsia="Calibri"/>
        </w:rPr>
        <w:t xml:space="preserve"> dati rāda, ka arī 2020</w:t>
      </w:r>
      <w:r>
        <w:rPr>
          <w:rFonts w:eastAsia="Calibri"/>
        </w:rPr>
        <w:t>. gad</w:t>
      </w:r>
      <w:r w:rsidRPr="00DF1711">
        <w:rPr>
          <w:rFonts w:eastAsia="Calibri"/>
        </w:rPr>
        <w:t>ā vienības darbaspēka izmaksas ir augušas pat straujāk kā 2019</w:t>
      </w:r>
      <w:r>
        <w:rPr>
          <w:rFonts w:eastAsia="Calibri"/>
        </w:rPr>
        <w:t>. gadā, triju gadu pieaugumam sasniedzot 1</w:t>
      </w:r>
      <w:r w:rsidRPr="00DF1711">
        <w:rPr>
          <w:rFonts w:eastAsia="Calibri"/>
        </w:rPr>
        <w:t>9</w:t>
      </w:r>
      <w:r>
        <w:rPr>
          <w:rFonts w:eastAsia="Calibri"/>
        </w:rPr>
        <w:t>,</w:t>
      </w:r>
      <w:r w:rsidRPr="00DF1711">
        <w:rPr>
          <w:rFonts w:eastAsia="Calibri"/>
        </w:rPr>
        <w:t>9% pretstatā 17% 2019</w:t>
      </w:r>
      <w:r>
        <w:rPr>
          <w:rFonts w:eastAsia="Calibri"/>
        </w:rPr>
        <w:t>. gadā. T</w:t>
      </w:r>
      <w:r w:rsidRPr="00DF1711">
        <w:rPr>
          <w:rFonts w:eastAsia="Calibri"/>
        </w:rPr>
        <w:t xml:space="preserve">ādējādi </w:t>
      </w:r>
      <w:r>
        <w:rPr>
          <w:rFonts w:eastAsia="Calibri"/>
        </w:rPr>
        <w:t xml:space="preserve">šis rādītājs </w:t>
      </w:r>
      <w:r w:rsidRPr="00DF1711">
        <w:rPr>
          <w:rFonts w:eastAsia="Calibri"/>
        </w:rPr>
        <w:t xml:space="preserve">noteikto robežvērtību 9% pārsniegs arī nākamā gada ziņojumā. Vienlaikus reālais efektīvais valūtas kurss pēc iepriekšējā gada spēcīgā pieauguma </w:t>
      </w:r>
      <w:r>
        <w:rPr>
          <w:rFonts w:eastAsia="Calibri"/>
        </w:rPr>
        <w:t xml:space="preserve">saglabājās </w:t>
      </w:r>
      <w:r w:rsidRPr="00DF1711">
        <w:rPr>
          <w:rFonts w:eastAsia="Calibri"/>
        </w:rPr>
        <w:t xml:space="preserve">nemainīgs. Eksporta tirgus daļas samazinājās pirmo reizi četru gadu laikā. </w:t>
      </w:r>
    </w:p>
    <w:p w14:paraId="1C7C0CF4" w14:textId="17CEB515" w:rsidR="005F2557" w:rsidRDefault="00361D9C" w:rsidP="005F2557">
      <w:pPr>
        <w:ind w:firstLine="567"/>
        <w:rPr>
          <w:rFonts w:eastAsia="Calibri"/>
        </w:rPr>
      </w:pPr>
      <w:r w:rsidRPr="00DF1711">
        <w:rPr>
          <w:rFonts w:eastAsia="Calibri"/>
        </w:rPr>
        <w:t>Valsts parāds 2019</w:t>
      </w:r>
      <w:r>
        <w:rPr>
          <w:rFonts w:eastAsia="Calibri"/>
        </w:rPr>
        <w:t>. gad</w:t>
      </w:r>
      <w:r w:rsidRPr="00DF1711">
        <w:rPr>
          <w:rFonts w:eastAsia="Calibri"/>
        </w:rPr>
        <w:t xml:space="preserve">ā turpināja samazināties līdz aptuveni 37% no </w:t>
      </w:r>
      <w:r w:rsidR="00D04420">
        <w:rPr>
          <w:rFonts w:eastAsia="Calibri"/>
        </w:rPr>
        <w:t>iekšzemes kopprodukta</w:t>
      </w:r>
      <w:r w:rsidRPr="00DF1711">
        <w:rPr>
          <w:rFonts w:eastAsia="Calibri"/>
        </w:rPr>
        <w:t>, bet 2020</w:t>
      </w:r>
      <w:r>
        <w:rPr>
          <w:rFonts w:eastAsia="Calibri"/>
        </w:rPr>
        <w:t>. gad</w:t>
      </w:r>
      <w:r w:rsidRPr="00DF1711">
        <w:rPr>
          <w:rFonts w:eastAsia="Calibri"/>
        </w:rPr>
        <w:t>ā</w:t>
      </w:r>
      <w:r>
        <w:rPr>
          <w:rFonts w:eastAsia="Calibri"/>
        </w:rPr>
        <w:t>,</w:t>
      </w:r>
      <w:r w:rsidRPr="00DF1711">
        <w:rPr>
          <w:rFonts w:eastAsia="Calibri"/>
        </w:rPr>
        <w:t xml:space="preserve"> veicot pasākumus pandēmijas un </w:t>
      </w:r>
      <w:r>
        <w:rPr>
          <w:rFonts w:eastAsia="Calibri"/>
        </w:rPr>
        <w:t>ekonomikas krituma</w:t>
      </w:r>
      <w:r w:rsidRPr="00DF1711">
        <w:rPr>
          <w:rFonts w:eastAsia="Calibri"/>
        </w:rPr>
        <w:t xml:space="preserve"> novēršanai</w:t>
      </w:r>
      <w:r>
        <w:rPr>
          <w:rFonts w:eastAsia="Calibri"/>
        </w:rPr>
        <w:t>,</w:t>
      </w:r>
      <w:r w:rsidRPr="00DF1711">
        <w:rPr>
          <w:rFonts w:eastAsia="Calibri"/>
        </w:rPr>
        <w:t xml:space="preserve"> tas </w:t>
      </w:r>
      <w:r>
        <w:rPr>
          <w:rFonts w:eastAsia="Calibri"/>
        </w:rPr>
        <w:t>palielinājies līdz 43,5</w:t>
      </w:r>
      <w:r w:rsidRPr="00FB2193">
        <w:rPr>
          <w:rFonts w:eastAsia="Calibri"/>
        </w:rPr>
        <w:t>%</w:t>
      </w:r>
      <w:r>
        <w:rPr>
          <w:rFonts w:eastAsia="Calibri"/>
        </w:rPr>
        <w:t xml:space="preserve"> no </w:t>
      </w:r>
      <w:r w:rsidR="00D04420">
        <w:rPr>
          <w:rFonts w:eastAsia="Calibri"/>
        </w:rPr>
        <w:t>iekšzemes kopprodukta</w:t>
      </w:r>
      <w:r>
        <w:rPr>
          <w:rFonts w:eastAsia="Calibri"/>
        </w:rPr>
        <w:t xml:space="preserve">. </w:t>
      </w:r>
      <w:r w:rsidRPr="00DF1711">
        <w:rPr>
          <w:rFonts w:eastAsia="Calibri"/>
        </w:rPr>
        <w:t xml:space="preserve">Latvija iekļuva </w:t>
      </w:r>
      <w:r>
        <w:rPr>
          <w:rFonts w:eastAsia="Calibri"/>
        </w:rPr>
        <w:t>Covid</w:t>
      </w:r>
      <w:r>
        <w:rPr>
          <w:rFonts w:eastAsia="Calibri"/>
        </w:rPr>
        <w:noBreakHyphen/>
        <w:t>19</w:t>
      </w:r>
      <w:r w:rsidRPr="00DF1711">
        <w:rPr>
          <w:rFonts w:eastAsia="Calibri"/>
        </w:rPr>
        <w:t xml:space="preserve"> krīzē bez konstatētas makroekonomiskās nelīdzsvarotības, lai gan ar darbaspēka piedāvājumu un izmaksu konkurētspēju saistītā dinamika ietvēra dažus ierobežotus riskus. Līdz ar </w:t>
      </w:r>
      <w:r>
        <w:rPr>
          <w:rFonts w:eastAsia="Calibri"/>
        </w:rPr>
        <w:t>Covid</w:t>
      </w:r>
      <w:r>
        <w:rPr>
          <w:rFonts w:eastAsia="Calibri"/>
        </w:rPr>
        <w:noBreakHyphen/>
        <w:t>19</w:t>
      </w:r>
      <w:r w:rsidRPr="00DF1711">
        <w:rPr>
          <w:rFonts w:eastAsia="Calibri"/>
        </w:rPr>
        <w:t xml:space="preserve"> krīzi darba tirgus un algu spiedienam uz laiku būtu jāmazinās. Kopumā </w:t>
      </w:r>
      <w:r>
        <w:rPr>
          <w:rFonts w:eastAsia="Calibri"/>
        </w:rPr>
        <w:t xml:space="preserve">Eiropas </w:t>
      </w:r>
      <w:r w:rsidRPr="00DF1711">
        <w:rPr>
          <w:rFonts w:eastAsia="Calibri"/>
        </w:rPr>
        <w:t xml:space="preserve">Komisija neuzskata par </w:t>
      </w:r>
      <w:r>
        <w:rPr>
          <w:rFonts w:eastAsia="Calibri"/>
        </w:rPr>
        <w:t>nepieciešamu</w:t>
      </w:r>
      <w:r w:rsidRPr="00DF1711">
        <w:rPr>
          <w:rFonts w:eastAsia="Calibri"/>
        </w:rPr>
        <w:t xml:space="preserve"> šajā posmā veikt turpmāku padziļinātu analīzi saistībā ar Makroekonomisko nelīdzsvarotības procedūru.</w:t>
      </w:r>
    </w:p>
    <w:p w14:paraId="6C7F5A26" w14:textId="77777777" w:rsidR="005F2557" w:rsidRDefault="005F2557" w:rsidP="005F2557">
      <w:pPr>
        <w:ind w:firstLine="2694"/>
        <w:jc w:val="right"/>
        <w:rPr>
          <w:b/>
          <w:i/>
        </w:rPr>
      </w:pPr>
    </w:p>
    <w:p w14:paraId="402CE4D4" w14:textId="207CBD85" w:rsidR="00322C7C" w:rsidRPr="005F2557" w:rsidRDefault="005F2557" w:rsidP="00CB1164">
      <w:pPr>
        <w:spacing w:after="0"/>
        <w:ind w:firstLine="142"/>
        <w:jc w:val="right"/>
        <w:rPr>
          <w:rFonts w:eastAsia="Calibri"/>
          <w:i/>
        </w:rPr>
      </w:pPr>
      <w:r w:rsidRPr="005F2557">
        <w:rPr>
          <w:b/>
          <w:i/>
          <w:noProof/>
        </w:rPr>
        <w:lastRenderedPageBreak/>
        <w:drawing>
          <wp:anchor distT="0" distB="0" distL="114300" distR="114300" simplePos="0" relativeHeight="251658240" behindDoc="0" locked="0" layoutInCell="1" allowOverlap="1" wp14:anchorId="02AD9D3A" wp14:editId="41088F93">
            <wp:simplePos x="0" y="0"/>
            <wp:positionH relativeFrom="column">
              <wp:posOffset>386715</wp:posOffset>
            </wp:positionH>
            <wp:positionV relativeFrom="paragraph">
              <wp:posOffset>356274</wp:posOffset>
            </wp:positionV>
            <wp:extent cx="5200494" cy="7976196"/>
            <wp:effectExtent l="0" t="0" r="635" b="6350"/>
            <wp:wrapTopAndBottom/>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06605" cy="7985568"/>
                    </a:xfrm>
                    <a:prstGeom prst="rect">
                      <a:avLst/>
                    </a:prstGeom>
                    <a:noFill/>
                    <a:ln>
                      <a:noFill/>
                    </a:ln>
                  </pic:spPr>
                </pic:pic>
              </a:graphicData>
            </a:graphic>
            <wp14:sizeRelH relativeFrom="page">
              <wp14:pctWidth>0</wp14:pctWidth>
            </wp14:sizeRelH>
            <wp14:sizeRelV relativeFrom="page">
              <wp14:pctHeight>0</wp14:pctHeight>
            </wp14:sizeRelV>
          </wp:anchor>
        </w:drawing>
      </w:r>
      <w:r w:rsidR="00361D9C" w:rsidRPr="005F2557">
        <w:rPr>
          <w:b/>
          <w:i/>
        </w:rPr>
        <w:t>1.6. tabula</w:t>
      </w:r>
      <w:r>
        <w:rPr>
          <w:b/>
          <w:i/>
        </w:rPr>
        <w:t>.</w:t>
      </w:r>
      <w:r w:rsidR="00361D9C" w:rsidRPr="005F2557">
        <w:rPr>
          <w:b/>
          <w:i/>
        </w:rPr>
        <w:t xml:space="preserve"> Agrās brīdināšanas mehānisma rādītāju dinamika Latvijā kopš nelīdzsvarotības uzraudzības sākuma </w:t>
      </w:r>
      <w:r w:rsidR="00361D9C" w:rsidRPr="005F2557">
        <w:rPr>
          <w:b/>
          <w:i/>
          <w:vertAlign w:val="superscript"/>
        </w:rPr>
        <w:footnoteReference w:id="5"/>
      </w:r>
      <w:r w:rsidR="00361D9C" w:rsidRPr="005F2557">
        <w:rPr>
          <w:b/>
          <w:i/>
          <w:vertAlign w:val="superscript"/>
        </w:rPr>
        <w:t>,</w:t>
      </w:r>
      <w:r w:rsidR="00361D9C" w:rsidRPr="005F2557">
        <w:rPr>
          <w:rStyle w:val="FootnoteReference"/>
          <w:b/>
          <w:i/>
        </w:rPr>
        <w:footnoteReference w:id="6"/>
      </w:r>
    </w:p>
    <w:p w14:paraId="686F2E43" w14:textId="38CD04D3" w:rsidR="003F3FCD" w:rsidRPr="00A50F71" w:rsidRDefault="00361D9C" w:rsidP="00D866E5">
      <w:pPr>
        <w:pStyle w:val="Heading2"/>
        <w:spacing w:before="240" w:after="240"/>
        <w:ind w:left="720"/>
        <w:jc w:val="center"/>
        <w:rPr>
          <w:rFonts w:eastAsia="Times New Roman" w:cs="Times New Roman"/>
          <w:szCs w:val="32"/>
        </w:rPr>
      </w:pPr>
      <w:bookmarkStart w:id="23" w:name="_Toc84756398"/>
      <w:r>
        <w:rPr>
          <w:rFonts w:eastAsia="Times New Roman" w:cs="Times New Roman"/>
          <w:szCs w:val="32"/>
        </w:rPr>
        <w:lastRenderedPageBreak/>
        <w:t xml:space="preserve">1.4. </w:t>
      </w:r>
      <w:r w:rsidR="000548A5" w:rsidRPr="002808B3">
        <w:rPr>
          <w:rFonts w:eastAsia="Times New Roman" w:cs="Times New Roman"/>
          <w:szCs w:val="32"/>
        </w:rPr>
        <w:t>Makroekonomiskās attīstības scenārijs</w:t>
      </w:r>
      <w:bookmarkEnd w:id="23"/>
    </w:p>
    <w:p w14:paraId="4D51F046" w14:textId="77777777" w:rsidR="00D619F1" w:rsidRPr="00D619F1" w:rsidRDefault="00D619F1" w:rsidP="00F70213">
      <w:pPr>
        <w:pStyle w:val="ListParagraph"/>
        <w:keepNext/>
        <w:keepLines/>
        <w:numPr>
          <w:ilvl w:val="1"/>
          <w:numId w:val="1"/>
        </w:numPr>
        <w:contextualSpacing w:val="0"/>
        <w:jc w:val="center"/>
        <w:outlineLvl w:val="2"/>
        <w:rPr>
          <w:rFonts w:eastAsia="Calibri" w:cs="Times New Roman"/>
          <w:b/>
          <w:bCs/>
          <w:vanish/>
          <w:color w:val="000000" w:themeColor="text1"/>
          <w:sz w:val="28"/>
          <w:szCs w:val="28"/>
        </w:rPr>
      </w:pPr>
      <w:bookmarkStart w:id="24" w:name="_Toc53058976"/>
      <w:bookmarkStart w:id="25" w:name="_Toc53075484"/>
      <w:bookmarkStart w:id="26" w:name="_Toc53153500"/>
      <w:bookmarkStart w:id="27" w:name="_Toc53153709"/>
      <w:bookmarkStart w:id="28" w:name="_Toc53153763"/>
      <w:bookmarkStart w:id="29" w:name="_Toc53154090"/>
      <w:bookmarkStart w:id="30" w:name="_Toc83978315"/>
      <w:bookmarkStart w:id="31" w:name="_Toc84756399"/>
      <w:bookmarkEnd w:id="24"/>
      <w:bookmarkEnd w:id="25"/>
      <w:bookmarkEnd w:id="26"/>
      <w:bookmarkEnd w:id="27"/>
      <w:bookmarkEnd w:id="28"/>
      <w:bookmarkEnd w:id="29"/>
      <w:bookmarkEnd w:id="30"/>
      <w:bookmarkEnd w:id="31"/>
    </w:p>
    <w:p w14:paraId="67F84FD9" w14:textId="552156F8" w:rsidR="00361D9C" w:rsidRPr="00361D9C" w:rsidRDefault="00361D9C" w:rsidP="00DB0C13">
      <w:pPr>
        <w:rPr>
          <w:rFonts w:eastAsia="Calibri"/>
        </w:rPr>
      </w:pPr>
      <w:r w:rsidRPr="00361D9C">
        <w:rPr>
          <w:rFonts w:eastAsia="Calibri"/>
        </w:rPr>
        <w:t>Vidēja termiņa makroekonomiskās attīstības scenārijs 2021.</w:t>
      </w:r>
      <w:r w:rsidRPr="00361D9C">
        <w:rPr>
          <w:rFonts w:eastAsia="Calibri"/>
        </w:rPr>
        <w:noBreakHyphen/>
        <w:t>2024. gadam izstrādāts 2021. gada jūnijā, balstoties u</w:t>
      </w:r>
      <w:r w:rsidR="00D866E5">
        <w:rPr>
          <w:rFonts w:eastAsia="Calibri"/>
        </w:rPr>
        <w:t>z 2021. gada pirmā ceturkšņa iekšzemes kopprodukta</w:t>
      </w:r>
      <w:r w:rsidRPr="00361D9C">
        <w:rPr>
          <w:rFonts w:eastAsia="Calibri"/>
        </w:rPr>
        <w:t xml:space="preserve"> datiem, kā arī līdz šā gada jūnijam pieejamo īstermiņa makroekonomisko informāciju un valdības apstiprinātajiem atbalsta pasākumiem Covid</w:t>
      </w:r>
      <w:r w:rsidRPr="00361D9C">
        <w:rPr>
          <w:rFonts w:eastAsia="Calibri"/>
        </w:rPr>
        <w:noBreakHyphen/>
        <w:t>19 izraisītās krīzes seku mazināšanai tautsaimniecībā. Izstrādājot vidēja termiņa makroekon</w:t>
      </w:r>
      <w:r w:rsidR="00D866E5">
        <w:rPr>
          <w:rFonts w:eastAsia="Calibri"/>
        </w:rPr>
        <w:t>omiskās attīstības scenāriju, Finanšu ministrija ir konsultējusies ar Starptautisko Valūtas fondu un Eiropas Komisijas</w:t>
      </w:r>
      <w:r w:rsidRPr="00361D9C">
        <w:rPr>
          <w:rFonts w:eastAsia="Calibri"/>
        </w:rPr>
        <w:t xml:space="preserve"> ekspertiem. Makroekonomisko rādītāju prognozes ir saskaņotas ar Latvijas Banku un Ekonomikas ministriju, kā arī tās 2021. gada 14. jūnijā ir apstiprinājusi Fiskālās disciplīnas padome.</w:t>
      </w:r>
    </w:p>
    <w:p w14:paraId="3C1C236E" w14:textId="01926BDD" w:rsidR="00361D9C" w:rsidRPr="00361D9C" w:rsidRDefault="00361D9C" w:rsidP="00DB0C13">
      <w:pPr>
        <w:rPr>
          <w:rFonts w:eastAsia="Calibri"/>
        </w:rPr>
      </w:pPr>
      <w:r w:rsidRPr="00361D9C">
        <w:rPr>
          <w:rFonts w:eastAsia="Calibri"/>
        </w:rPr>
        <w:t>Atbilstoši scenārijam Latvijas iekšzemes kopprodukta pieaugums 2021. gadā sasniegs 3,7% un 2022. gadā – 5,0%, kas ir attiecīgi par 0,7 procentpunktiem un 0,5 procentpunktiem straujāk nekā prognozēts šā gada februārī, sagatavojot Latvij</w:t>
      </w:r>
      <w:r w:rsidR="00D866E5">
        <w:rPr>
          <w:rFonts w:eastAsia="Calibri"/>
        </w:rPr>
        <w:t>as Stabilitātes programmu 2021.-2024. </w:t>
      </w:r>
      <w:r w:rsidRPr="00361D9C">
        <w:rPr>
          <w:rFonts w:eastAsia="Calibri"/>
        </w:rPr>
        <w:t xml:space="preserve">gadam. </w:t>
      </w:r>
      <w:r w:rsidR="00D866E5">
        <w:rPr>
          <w:rFonts w:eastAsia="Calibri"/>
        </w:rPr>
        <w:t>Savukārt 2023. un 2024. gadā iekšzemes kopprodukts</w:t>
      </w:r>
      <w:r w:rsidRPr="00361D9C">
        <w:rPr>
          <w:rFonts w:eastAsia="Calibri"/>
        </w:rPr>
        <w:t xml:space="preserve"> palielināsies attiecīgi par 3,5% un 3,4%, kas attiecīgi ir par 0,3 un 0,7 procentpunktiem vairāk nekā februāra prognozēs. Makroekonomisko prognožu uzlabošanās pamatā ir labāka ekonomikas reakcija uz pandēmijas izaicinājumiem.</w:t>
      </w:r>
    </w:p>
    <w:p w14:paraId="1E880682" w14:textId="77777777" w:rsidR="00361D9C" w:rsidRPr="00361D9C" w:rsidRDefault="00361D9C" w:rsidP="00DB0C13">
      <w:pPr>
        <w:rPr>
          <w:rFonts w:eastAsia="Calibri"/>
        </w:rPr>
      </w:pPr>
      <w:r w:rsidRPr="00361D9C">
        <w:rPr>
          <w:rFonts w:eastAsia="Calibri"/>
        </w:rPr>
        <w:t>Makroekonomiskās attīstības scenārijs balstās uz pieņēmumu, ka ekonomikas izaugsmi 2021. un 2022. gadā noteiks Covid</w:t>
      </w:r>
      <w:r w:rsidRPr="00361D9C">
        <w:rPr>
          <w:rFonts w:eastAsia="Calibri"/>
        </w:rPr>
        <w:noBreakHyphen/>
        <w:t>19 uzliesmojuma ierobežošana gan Latvijā, gan veiksmīga krīzes pārvarēšana pasaulē un galvenajās Latvijas ārējās tirdzniecības partnervalstīs, veicinot iekšējo un ārējo pieprasījumu. Līdzīgs pieņēmums ir pamatā arī visu starptautisko institūciju makroekonomikas prognozēm, balstoties uz Covid</w:t>
      </w:r>
      <w:r w:rsidRPr="00361D9C">
        <w:rPr>
          <w:rFonts w:eastAsia="Calibri"/>
        </w:rPr>
        <w:noBreakHyphen/>
        <w:t>19 izplatības dinamikas pēdējiem datiem prognožu veikšanas brīdī.</w:t>
      </w:r>
    </w:p>
    <w:p w14:paraId="636E7102" w14:textId="77777777" w:rsidR="00361D9C" w:rsidRPr="00361D9C" w:rsidRDefault="00361D9C" w:rsidP="00DB0C13">
      <w:pPr>
        <w:rPr>
          <w:rFonts w:eastAsia="Calibri"/>
        </w:rPr>
      </w:pPr>
      <w:r w:rsidRPr="00361D9C">
        <w:rPr>
          <w:rFonts w:eastAsia="Calibri"/>
        </w:rPr>
        <w:t>Atbilstoši scenārijam līdz šā gada rudenim būtu sasniegts pietiekams vakcinācijas līmenis, lai izvairītos no Covid</w:t>
      </w:r>
      <w:r w:rsidRPr="00361D9C">
        <w:rPr>
          <w:rFonts w:eastAsia="Calibri"/>
        </w:rPr>
        <w:noBreakHyphen/>
        <w:t>19 trešā viļņa, un tāpēc nav nepieciešams atjaunot ierobežojumus slimības izplatības mazināšanai. Papildus tam, ekonomiku stiprinās šogad paredzētie valsts atbalsta pasākumi un pieaugošais Eiropas Savienības finanšu līdzekļu apjoms, t.sk. no Atveseļošanās un noturības fonda. Tomēr šie atbalsta pasākumi nespēs pilnībā atjaunot krīzes smagāk skartās nozares – transportā, izmitināšanā un ēdināšanā, mākslas, izklaides un atpūtas nozarē, profesionālo pakalpojumu nozarē izlaides apjomi līdz 2021. gada beigām vēl joprojām būtiski atpaliks no 2019. gada līmeņa.</w:t>
      </w:r>
    </w:p>
    <w:p w14:paraId="1EF23404" w14:textId="77777777" w:rsidR="00361D9C" w:rsidRPr="00361D9C" w:rsidRDefault="00361D9C" w:rsidP="00DB0C13">
      <w:pPr>
        <w:rPr>
          <w:rFonts w:eastAsia="Calibri"/>
        </w:rPr>
      </w:pPr>
      <w:r w:rsidRPr="00361D9C">
        <w:rPr>
          <w:rFonts w:eastAsia="Calibri"/>
        </w:rPr>
        <w:t>Latvijas ekonomikas izaugsmes galvenais virzītājspēks šogad būs privātā patēriņa pieaugums, kas pēc ierobežojumu atcelšanas un patērētāju noskaņojuma uzlabošanās šā gada otrajā ceturksnī ir strauji atjaunojies. Tāpēc 2021. gadā kopumā privātais patēriņš varētu palielināties par 6,3%. Ņemot vērā zemo bāzi, 2022. gadā privātā patēriņa pieaugums varētu sasniegt 10,4%, tomēr patēriņš būtu tikai par 5,5% lielāks nekā 2019. gadā. 2023. un 2024. gadā privātā patēriņa pieaugumi mazināsies līdz attiecīgi 4% un 3,5%. Papildus šogad iekšzemes patēriņu balstīs sabiedriskā patēriņa pieaugums par 3,5%, ko nosaka Covid</w:t>
      </w:r>
      <w:r w:rsidRPr="00361D9C">
        <w:rPr>
          <w:rFonts w:eastAsia="Calibri"/>
        </w:rPr>
        <w:noBreakHyphen/>
        <w:t>19 atbalsta pasākumi, savukārt nākamajos gados sabiedriskā patēriņa pieaugums vidēji būs 1,4% apmērā.</w:t>
      </w:r>
    </w:p>
    <w:p w14:paraId="4CC25292" w14:textId="026E4E73" w:rsidR="00361D9C" w:rsidRPr="00361D9C" w:rsidRDefault="00361D9C" w:rsidP="00DB0C13">
      <w:pPr>
        <w:rPr>
          <w:rFonts w:eastAsia="Calibri"/>
        </w:rPr>
      </w:pPr>
      <w:r w:rsidRPr="00361D9C">
        <w:rPr>
          <w:rFonts w:eastAsia="Calibri"/>
        </w:rPr>
        <w:t xml:space="preserve">Investīciju (bruto pamatkapitāla veidošanas) apjoms šogad varētu palielināties par 4,1%, bet 2022. gadā sasniegt jau 8,5% kāpumu, kamēr vidējā termiņā pieaugums būs ap 4,5%. </w:t>
      </w:r>
      <w:r w:rsidRPr="00361D9C">
        <w:rPr>
          <w:rFonts w:eastAsia="Calibri"/>
        </w:rPr>
        <w:lastRenderedPageBreak/>
        <w:t>2022. gada relatīvi</w:t>
      </w:r>
      <w:r w:rsidR="00D866E5">
        <w:rPr>
          <w:rFonts w:eastAsia="Calibri"/>
        </w:rPr>
        <w:t xml:space="preserve"> lielāko pieaugumu nodrošinās Eiropas Savienības</w:t>
      </w:r>
      <w:r w:rsidRPr="00361D9C">
        <w:rPr>
          <w:rFonts w:eastAsia="Calibri"/>
        </w:rPr>
        <w:t xml:space="preserve"> fondu un Atveseļošanās un noturības mehānisma finansējama pieejamība, kā arī </w:t>
      </w:r>
      <w:r w:rsidRPr="00361D9C">
        <w:rPr>
          <w:rFonts w:eastAsia="Calibri"/>
          <w:i/>
        </w:rPr>
        <w:t>RailBaltica</w:t>
      </w:r>
      <w:r w:rsidRPr="00361D9C">
        <w:rPr>
          <w:rFonts w:eastAsia="Calibri"/>
        </w:rPr>
        <w:t xml:space="preserve"> projekta realizācija.</w:t>
      </w:r>
    </w:p>
    <w:p w14:paraId="55E69210" w14:textId="77777777" w:rsidR="00361D9C" w:rsidRPr="00361D9C" w:rsidRDefault="00361D9C" w:rsidP="00DB0C13">
      <w:pPr>
        <w:rPr>
          <w:rFonts w:eastAsia="Calibri"/>
        </w:rPr>
      </w:pPr>
      <w:r w:rsidRPr="00361D9C">
        <w:rPr>
          <w:rFonts w:eastAsia="Calibri"/>
        </w:rPr>
        <w:t>Eksporta pieaugums 2021. un 2022. gadā varētu attiecīgi sasniegt  attiecīgi 6,5% un 5,8%, bet turpmākajos gados samazināties līdz 4,1%. Atbilstoši Eiropas Komisijas prognozēm Latvijas ārējais pieprasījums būs spēcīgs. Turklāt šā gada otrajā pusē izzudīs pakalpojumu eksporta negatīvais devums, ko izraisīja Covid</w:t>
      </w:r>
      <w:r w:rsidRPr="00361D9C">
        <w:rPr>
          <w:rFonts w:eastAsia="Calibri"/>
        </w:rPr>
        <w:noBreakHyphen/>
        <w:t>19 ierobežojumi, kamēr preču eksportu šie ierobežojumi neskāra.</w:t>
      </w:r>
    </w:p>
    <w:p w14:paraId="097E66A7" w14:textId="5338DFCE" w:rsidR="00361D9C" w:rsidRPr="00D866E5" w:rsidRDefault="00361D9C" w:rsidP="00D866E5">
      <w:pPr>
        <w:spacing w:before="120"/>
        <w:ind w:firstLine="3260"/>
        <w:jc w:val="right"/>
        <w:rPr>
          <w:b/>
          <w:i/>
        </w:rPr>
      </w:pPr>
      <w:r w:rsidRPr="00D866E5">
        <w:rPr>
          <w:b/>
          <w:i/>
        </w:rPr>
        <w:t>1.7. tabula</w:t>
      </w:r>
      <w:r w:rsidR="00CA66D3">
        <w:rPr>
          <w:b/>
          <w:i/>
        </w:rPr>
        <w:t>.</w:t>
      </w:r>
      <w:r w:rsidRPr="00D866E5">
        <w:rPr>
          <w:b/>
          <w:i/>
        </w:rPr>
        <w:t xml:space="preserve"> Makroekonomisko prognožu kopsavilkums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2"/>
        <w:gridCol w:w="1088"/>
        <w:gridCol w:w="1088"/>
        <w:gridCol w:w="1087"/>
        <w:gridCol w:w="1088"/>
        <w:gridCol w:w="1088"/>
      </w:tblGrid>
      <w:tr w:rsidR="00361D9C" w:rsidRPr="003C4828" w14:paraId="28857A8D" w14:textId="77777777" w:rsidTr="00D866E5">
        <w:trPr>
          <w:trHeight w:val="300"/>
          <w:jc w:val="center"/>
        </w:trPr>
        <w:tc>
          <w:tcPr>
            <w:tcW w:w="3397" w:type="dxa"/>
            <w:vMerge w:val="restart"/>
            <w:shd w:val="clear" w:color="auto" w:fill="auto"/>
            <w:noWrap/>
            <w:vAlign w:val="center"/>
            <w:hideMark/>
          </w:tcPr>
          <w:p w14:paraId="5134CB4A" w14:textId="77777777" w:rsidR="00361D9C" w:rsidRPr="00A56A8F" w:rsidRDefault="00361D9C" w:rsidP="00DB0C13">
            <w:pPr>
              <w:rPr>
                <w:sz w:val="18"/>
                <w:szCs w:val="18"/>
              </w:rPr>
            </w:pPr>
          </w:p>
        </w:tc>
        <w:tc>
          <w:tcPr>
            <w:tcW w:w="1020" w:type="dxa"/>
            <w:shd w:val="clear" w:color="auto" w:fill="9CC2E5" w:themeFill="accent1" w:themeFillTint="99"/>
            <w:noWrap/>
            <w:vAlign w:val="center"/>
            <w:hideMark/>
          </w:tcPr>
          <w:p w14:paraId="7167BFAE" w14:textId="77777777" w:rsidR="00361D9C" w:rsidRPr="00A56A8F" w:rsidRDefault="00361D9C" w:rsidP="00D866E5">
            <w:pPr>
              <w:ind w:firstLine="0"/>
              <w:rPr>
                <w:b/>
                <w:sz w:val="18"/>
                <w:szCs w:val="18"/>
              </w:rPr>
            </w:pPr>
            <w:r w:rsidRPr="00A56A8F">
              <w:rPr>
                <w:b/>
                <w:sz w:val="18"/>
                <w:szCs w:val="18"/>
              </w:rPr>
              <w:t>2020</w:t>
            </w:r>
          </w:p>
        </w:tc>
        <w:tc>
          <w:tcPr>
            <w:tcW w:w="1021" w:type="dxa"/>
            <w:shd w:val="clear" w:color="auto" w:fill="9CC2E5" w:themeFill="accent1" w:themeFillTint="99"/>
            <w:noWrap/>
            <w:vAlign w:val="center"/>
          </w:tcPr>
          <w:p w14:paraId="34316255" w14:textId="77777777" w:rsidR="00361D9C" w:rsidRPr="00A56A8F" w:rsidRDefault="00361D9C" w:rsidP="00D866E5">
            <w:pPr>
              <w:ind w:firstLine="0"/>
              <w:rPr>
                <w:b/>
                <w:sz w:val="18"/>
                <w:szCs w:val="18"/>
              </w:rPr>
            </w:pPr>
            <w:r w:rsidRPr="00A56A8F">
              <w:rPr>
                <w:b/>
                <w:sz w:val="18"/>
                <w:szCs w:val="18"/>
              </w:rPr>
              <w:t>2021</w:t>
            </w:r>
          </w:p>
        </w:tc>
        <w:tc>
          <w:tcPr>
            <w:tcW w:w="1020" w:type="dxa"/>
            <w:shd w:val="clear" w:color="auto" w:fill="9CC2E5" w:themeFill="accent1" w:themeFillTint="99"/>
            <w:noWrap/>
            <w:vAlign w:val="center"/>
          </w:tcPr>
          <w:p w14:paraId="659634E9" w14:textId="77777777" w:rsidR="00361D9C" w:rsidRPr="00A56A8F" w:rsidRDefault="00361D9C" w:rsidP="00D866E5">
            <w:pPr>
              <w:ind w:firstLine="0"/>
              <w:rPr>
                <w:b/>
                <w:sz w:val="18"/>
                <w:szCs w:val="18"/>
              </w:rPr>
            </w:pPr>
            <w:r w:rsidRPr="00A56A8F">
              <w:rPr>
                <w:b/>
                <w:sz w:val="18"/>
                <w:szCs w:val="18"/>
              </w:rPr>
              <w:t>2022</w:t>
            </w:r>
          </w:p>
        </w:tc>
        <w:tc>
          <w:tcPr>
            <w:tcW w:w="1021" w:type="dxa"/>
            <w:shd w:val="clear" w:color="auto" w:fill="9CC2E5" w:themeFill="accent1" w:themeFillTint="99"/>
            <w:noWrap/>
            <w:vAlign w:val="center"/>
          </w:tcPr>
          <w:p w14:paraId="4E78CD46" w14:textId="77777777" w:rsidR="00361D9C" w:rsidRPr="00A56A8F" w:rsidRDefault="00361D9C" w:rsidP="00D866E5">
            <w:pPr>
              <w:ind w:firstLine="0"/>
              <w:rPr>
                <w:b/>
                <w:sz w:val="18"/>
                <w:szCs w:val="18"/>
              </w:rPr>
            </w:pPr>
            <w:r w:rsidRPr="00A56A8F">
              <w:rPr>
                <w:b/>
                <w:sz w:val="18"/>
                <w:szCs w:val="18"/>
              </w:rPr>
              <w:t>2023</w:t>
            </w:r>
          </w:p>
        </w:tc>
        <w:tc>
          <w:tcPr>
            <w:tcW w:w="1021" w:type="dxa"/>
            <w:shd w:val="clear" w:color="auto" w:fill="9CC2E5" w:themeFill="accent1" w:themeFillTint="99"/>
            <w:noWrap/>
            <w:vAlign w:val="center"/>
          </w:tcPr>
          <w:p w14:paraId="0B67CF39" w14:textId="77777777" w:rsidR="00361D9C" w:rsidRPr="00A56A8F" w:rsidRDefault="00361D9C" w:rsidP="00D866E5">
            <w:pPr>
              <w:ind w:firstLine="0"/>
              <w:rPr>
                <w:b/>
                <w:sz w:val="18"/>
                <w:szCs w:val="18"/>
              </w:rPr>
            </w:pPr>
            <w:r w:rsidRPr="00A56A8F">
              <w:rPr>
                <w:b/>
                <w:sz w:val="18"/>
                <w:szCs w:val="18"/>
              </w:rPr>
              <w:t>2024</w:t>
            </w:r>
          </w:p>
        </w:tc>
      </w:tr>
      <w:tr w:rsidR="00361D9C" w:rsidRPr="003C4828" w14:paraId="47B8C831" w14:textId="77777777" w:rsidTr="00D866E5">
        <w:trPr>
          <w:trHeight w:val="300"/>
          <w:jc w:val="center"/>
        </w:trPr>
        <w:tc>
          <w:tcPr>
            <w:tcW w:w="3397" w:type="dxa"/>
            <w:vMerge/>
            <w:shd w:val="clear" w:color="auto" w:fill="auto"/>
            <w:noWrap/>
            <w:vAlign w:val="center"/>
          </w:tcPr>
          <w:p w14:paraId="23BB3995" w14:textId="77777777" w:rsidR="00361D9C" w:rsidRPr="00A56A8F" w:rsidRDefault="00361D9C" w:rsidP="00DB0C13">
            <w:pPr>
              <w:rPr>
                <w:sz w:val="18"/>
                <w:szCs w:val="18"/>
              </w:rPr>
            </w:pPr>
          </w:p>
        </w:tc>
        <w:tc>
          <w:tcPr>
            <w:tcW w:w="1020" w:type="dxa"/>
            <w:shd w:val="clear" w:color="auto" w:fill="auto"/>
            <w:noWrap/>
            <w:vAlign w:val="center"/>
          </w:tcPr>
          <w:p w14:paraId="609CD21B" w14:textId="77777777" w:rsidR="00361D9C" w:rsidRPr="00A56A8F" w:rsidRDefault="00361D9C" w:rsidP="00D866E5">
            <w:pPr>
              <w:ind w:firstLine="0"/>
              <w:rPr>
                <w:sz w:val="18"/>
                <w:szCs w:val="18"/>
              </w:rPr>
            </w:pPr>
            <w:r w:rsidRPr="00A56A8F">
              <w:rPr>
                <w:sz w:val="18"/>
                <w:szCs w:val="18"/>
              </w:rPr>
              <w:t>fakts</w:t>
            </w:r>
          </w:p>
        </w:tc>
        <w:tc>
          <w:tcPr>
            <w:tcW w:w="4083" w:type="dxa"/>
            <w:gridSpan w:val="4"/>
            <w:shd w:val="clear" w:color="auto" w:fill="DEEAF6" w:themeFill="accent1" w:themeFillTint="33"/>
            <w:noWrap/>
            <w:vAlign w:val="center"/>
          </w:tcPr>
          <w:p w14:paraId="7B3552DC" w14:textId="77777777" w:rsidR="00361D9C" w:rsidRPr="00A56A8F" w:rsidRDefault="00361D9C" w:rsidP="00D866E5">
            <w:pPr>
              <w:ind w:firstLine="0"/>
              <w:rPr>
                <w:sz w:val="18"/>
                <w:szCs w:val="18"/>
              </w:rPr>
            </w:pPr>
            <w:r w:rsidRPr="00A56A8F">
              <w:rPr>
                <w:sz w:val="18"/>
                <w:szCs w:val="18"/>
              </w:rPr>
              <w:t>prognoze</w:t>
            </w:r>
          </w:p>
        </w:tc>
      </w:tr>
      <w:tr w:rsidR="00361D9C" w:rsidRPr="003C4828" w14:paraId="2FF890C0" w14:textId="77777777" w:rsidTr="00D866E5">
        <w:trPr>
          <w:trHeight w:val="300"/>
          <w:jc w:val="center"/>
        </w:trPr>
        <w:tc>
          <w:tcPr>
            <w:tcW w:w="3397" w:type="dxa"/>
            <w:shd w:val="clear" w:color="auto" w:fill="auto"/>
            <w:noWrap/>
            <w:vAlign w:val="center"/>
            <w:hideMark/>
          </w:tcPr>
          <w:p w14:paraId="16E4ECD3" w14:textId="77777777" w:rsidR="00361D9C" w:rsidRPr="00A56A8F" w:rsidRDefault="00361D9C" w:rsidP="00D866E5">
            <w:pPr>
              <w:ind w:firstLine="0"/>
              <w:rPr>
                <w:noProof/>
                <w:sz w:val="18"/>
                <w:szCs w:val="18"/>
              </w:rPr>
            </w:pPr>
            <w:r w:rsidRPr="00A56A8F">
              <w:rPr>
                <w:b/>
                <w:noProof/>
                <w:sz w:val="18"/>
                <w:szCs w:val="18"/>
              </w:rPr>
              <w:t>Iekšzemes kopprodukts</w:t>
            </w:r>
            <w:r w:rsidRPr="00A56A8F">
              <w:rPr>
                <w:noProof/>
                <w:sz w:val="18"/>
                <w:szCs w:val="18"/>
              </w:rPr>
              <w:t xml:space="preserve"> (milj. </w:t>
            </w:r>
            <w:r w:rsidRPr="00A56A8F">
              <w:rPr>
                <w:i/>
                <w:noProof/>
                <w:sz w:val="18"/>
                <w:szCs w:val="18"/>
              </w:rPr>
              <w:t>euro</w:t>
            </w:r>
            <w:r w:rsidRPr="00A56A8F">
              <w:rPr>
                <w:noProof/>
                <w:sz w:val="18"/>
                <w:szCs w:val="18"/>
              </w:rPr>
              <w:t>)</w:t>
            </w:r>
          </w:p>
        </w:tc>
        <w:tc>
          <w:tcPr>
            <w:tcW w:w="1020" w:type="dxa"/>
            <w:shd w:val="clear" w:color="auto" w:fill="auto"/>
            <w:noWrap/>
            <w:tcMar>
              <w:right w:w="170" w:type="dxa"/>
            </w:tcMar>
            <w:vAlign w:val="center"/>
          </w:tcPr>
          <w:p w14:paraId="675E1924" w14:textId="77777777" w:rsidR="00361D9C" w:rsidRPr="00A56A8F" w:rsidRDefault="00361D9C" w:rsidP="00D866E5">
            <w:pPr>
              <w:ind w:firstLine="0"/>
              <w:rPr>
                <w:sz w:val="18"/>
                <w:szCs w:val="18"/>
              </w:rPr>
            </w:pPr>
            <w:r w:rsidRPr="00A56A8F">
              <w:rPr>
                <w:sz w:val="18"/>
                <w:szCs w:val="18"/>
              </w:rPr>
              <w:t>29 334</w:t>
            </w:r>
          </w:p>
        </w:tc>
        <w:tc>
          <w:tcPr>
            <w:tcW w:w="1021" w:type="dxa"/>
            <w:shd w:val="clear" w:color="auto" w:fill="DEEAF6" w:themeFill="accent1" w:themeFillTint="33"/>
            <w:noWrap/>
            <w:tcMar>
              <w:right w:w="170" w:type="dxa"/>
            </w:tcMar>
            <w:vAlign w:val="center"/>
          </w:tcPr>
          <w:p w14:paraId="1FF766A7" w14:textId="77777777" w:rsidR="00361D9C" w:rsidRPr="00A56A8F" w:rsidRDefault="00361D9C" w:rsidP="00D866E5">
            <w:pPr>
              <w:ind w:firstLine="0"/>
              <w:rPr>
                <w:sz w:val="18"/>
                <w:szCs w:val="18"/>
              </w:rPr>
            </w:pPr>
            <w:r w:rsidRPr="00A56A8F">
              <w:rPr>
                <w:sz w:val="18"/>
                <w:szCs w:val="18"/>
              </w:rPr>
              <w:t>31 364</w:t>
            </w:r>
          </w:p>
        </w:tc>
        <w:tc>
          <w:tcPr>
            <w:tcW w:w="1020" w:type="dxa"/>
            <w:shd w:val="clear" w:color="auto" w:fill="DEEAF6" w:themeFill="accent1" w:themeFillTint="33"/>
            <w:noWrap/>
            <w:tcMar>
              <w:right w:w="170" w:type="dxa"/>
            </w:tcMar>
            <w:vAlign w:val="center"/>
          </w:tcPr>
          <w:p w14:paraId="7129CFB5" w14:textId="77777777" w:rsidR="00361D9C" w:rsidRPr="00A56A8F" w:rsidRDefault="00361D9C" w:rsidP="00D866E5">
            <w:pPr>
              <w:ind w:firstLine="0"/>
              <w:rPr>
                <w:sz w:val="18"/>
                <w:szCs w:val="18"/>
              </w:rPr>
            </w:pPr>
            <w:r w:rsidRPr="00A56A8F">
              <w:rPr>
                <w:sz w:val="18"/>
                <w:szCs w:val="18"/>
              </w:rPr>
              <w:t>34 022</w:t>
            </w:r>
          </w:p>
        </w:tc>
        <w:tc>
          <w:tcPr>
            <w:tcW w:w="1021" w:type="dxa"/>
            <w:shd w:val="clear" w:color="auto" w:fill="DEEAF6" w:themeFill="accent1" w:themeFillTint="33"/>
            <w:noWrap/>
            <w:tcMar>
              <w:right w:w="170" w:type="dxa"/>
            </w:tcMar>
            <w:vAlign w:val="center"/>
          </w:tcPr>
          <w:p w14:paraId="6C12580D" w14:textId="77777777" w:rsidR="00361D9C" w:rsidRPr="00A56A8F" w:rsidRDefault="00361D9C" w:rsidP="00D866E5">
            <w:pPr>
              <w:ind w:firstLine="0"/>
              <w:rPr>
                <w:sz w:val="18"/>
                <w:szCs w:val="18"/>
              </w:rPr>
            </w:pPr>
            <w:r w:rsidRPr="00A56A8F">
              <w:rPr>
                <w:sz w:val="18"/>
                <w:szCs w:val="18"/>
              </w:rPr>
              <w:t>36 115</w:t>
            </w:r>
          </w:p>
        </w:tc>
        <w:tc>
          <w:tcPr>
            <w:tcW w:w="1021" w:type="dxa"/>
            <w:shd w:val="clear" w:color="auto" w:fill="DEEAF6" w:themeFill="accent1" w:themeFillTint="33"/>
            <w:noWrap/>
            <w:tcMar>
              <w:right w:w="170" w:type="dxa"/>
            </w:tcMar>
            <w:vAlign w:val="center"/>
          </w:tcPr>
          <w:p w14:paraId="16C8C9F6" w14:textId="77777777" w:rsidR="00361D9C" w:rsidRPr="00A56A8F" w:rsidRDefault="00361D9C" w:rsidP="00D866E5">
            <w:pPr>
              <w:ind w:firstLine="0"/>
              <w:rPr>
                <w:sz w:val="18"/>
                <w:szCs w:val="18"/>
              </w:rPr>
            </w:pPr>
            <w:r w:rsidRPr="00A56A8F">
              <w:rPr>
                <w:sz w:val="18"/>
                <w:szCs w:val="18"/>
              </w:rPr>
              <w:t>38 033</w:t>
            </w:r>
          </w:p>
        </w:tc>
      </w:tr>
      <w:tr w:rsidR="00361D9C" w:rsidRPr="003C4828" w14:paraId="1A0BE899" w14:textId="77777777" w:rsidTr="00D866E5">
        <w:trPr>
          <w:trHeight w:val="300"/>
          <w:jc w:val="center"/>
        </w:trPr>
        <w:tc>
          <w:tcPr>
            <w:tcW w:w="3397" w:type="dxa"/>
            <w:shd w:val="clear" w:color="auto" w:fill="auto"/>
            <w:noWrap/>
            <w:vAlign w:val="center"/>
            <w:hideMark/>
          </w:tcPr>
          <w:p w14:paraId="6DD5D9EF" w14:textId="77777777" w:rsidR="00361D9C" w:rsidRPr="00A56A8F" w:rsidRDefault="00361D9C" w:rsidP="00D866E5">
            <w:pPr>
              <w:ind w:firstLine="873"/>
              <w:jc w:val="right"/>
              <w:rPr>
                <w:noProof/>
                <w:sz w:val="18"/>
                <w:szCs w:val="18"/>
              </w:rPr>
            </w:pPr>
            <w:r w:rsidRPr="00A56A8F">
              <w:rPr>
                <w:noProof/>
                <w:sz w:val="18"/>
                <w:szCs w:val="18"/>
              </w:rPr>
              <w:t>pieaugums faktiskajās cenās (%)</w:t>
            </w:r>
          </w:p>
        </w:tc>
        <w:tc>
          <w:tcPr>
            <w:tcW w:w="1020" w:type="dxa"/>
            <w:shd w:val="clear" w:color="auto" w:fill="auto"/>
            <w:noWrap/>
            <w:tcMar>
              <w:right w:w="170" w:type="dxa"/>
            </w:tcMar>
            <w:vAlign w:val="center"/>
          </w:tcPr>
          <w:p w14:paraId="40168AE7" w14:textId="77777777" w:rsidR="00361D9C" w:rsidRPr="00A56A8F" w:rsidRDefault="00361D9C" w:rsidP="00D866E5">
            <w:pPr>
              <w:ind w:firstLine="0"/>
              <w:rPr>
                <w:sz w:val="18"/>
                <w:szCs w:val="18"/>
              </w:rPr>
            </w:pPr>
            <w:r w:rsidRPr="00A56A8F">
              <w:rPr>
                <w:sz w:val="18"/>
                <w:szCs w:val="18"/>
              </w:rPr>
              <w:t>-3,6</w:t>
            </w:r>
          </w:p>
        </w:tc>
        <w:tc>
          <w:tcPr>
            <w:tcW w:w="1021" w:type="dxa"/>
            <w:shd w:val="clear" w:color="auto" w:fill="DEEAF6" w:themeFill="accent1" w:themeFillTint="33"/>
            <w:noWrap/>
            <w:tcMar>
              <w:right w:w="170" w:type="dxa"/>
            </w:tcMar>
            <w:vAlign w:val="center"/>
          </w:tcPr>
          <w:p w14:paraId="3BDB9B1B" w14:textId="77777777" w:rsidR="00361D9C" w:rsidRPr="00A56A8F" w:rsidRDefault="00361D9C" w:rsidP="00D866E5">
            <w:pPr>
              <w:ind w:firstLine="0"/>
              <w:rPr>
                <w:sz w:val="18"/>
                <w:szCs w:val="18"/>
              </w:rPr>
            </w:pPr>
            <w:r w:rsidRPr="00A56A8F">
              <w:rPr>
                <w:sz w:val="18"/>
                <w:szCs w:val="18"/>
              </w:rPr>
              <w:t>6,9</w:t>
            </w:r>
          </w:p>
        </w:tc>
        <w:tc>
          <w:tcPr>
            <w:tcW w:w="1020" w:type="dxa"/>
            <w:shd w:val="clear" w:color="auto" w:fill="DEEAF6" w:themeFill="accent1" w:themeFillTint="33"/>
            <w:noWrap/>
            <w:tcMar>
              <w:right w:w="170" w:type="dxa"/>
            </w:tcMar>
            <w:vAlign w:val="center"/>
          </w:tcPr>
          <w:p w14:paraId="72DA36D1" w14:textId="77777777" w:rsidR="00361D9C" w:rsidRPr="00A56A8F" w:rsidRDefault="00361D9C" w:rsidP="00D866E5">
            <w:pPr>
              <w:ind w:firstLine="0"/>
              <w:rPr>
                <w:sz w:val="18"/>
                <w:szCs w:val="18"/>
              </w:rPr>
            </w:pPr>
            <w:r w:rsidRPr="00A56A8F">
              <w:rPr>
                <w:sz w:val="18"/>
                <w:szCs w:val="18"/>
              </w:rPr>
              <w:t>8,5</w:t>
            </w:r>
          </w:p>
        </w:tc>
        <w:tc>
          <w:tcPr>
            <w:tcW w:w="1021" w:type="dxa"/>
            <w:shd w:val="clear" w:color="auto" w:fill="DEEAF6" w:themeFill="accent1" w:themeFillTint="33"/>
            <w:noWrap/>
            <w:tcMar>
              <w:right w:w="170" w:type="dxa"/>
            </w:tcMar>
            <w:vAlign w:val="center"/>
          </w:tcPr>
          <w:p w14:paraId="3875F23A" w14:textId="77777777" w:rsidR="00361D9C" w:rsidRPr="00A56A8F" w:rsidRDefault="00361D9C" w:rsidP="00D866E5">
            <w:pPr>
              <w:ind w:firstLine="0"/>
              <w:rPr>
                <w:sz w:val="18"/>
                <w:szCs w:val="18"/>
              </w:rPr>
            </w:pPr>
            <w:r w:rsidRPr="00A56A8F">
              <w:rPr>
                <w:sz w:val="18"/>
                <w:szCs w:val="18"/>
              </w:rPr>
              <w:t>6,2</w:t>
            </w:r>
          </w:p>
        </w:tc>
        <w:tc>
          <w:tcPr>
            <w:tcW w:w="1021" w:type="dxa"/>
            <w:shd w:val="clear" w:color="auto" w:fill="DEEAF6" w:themeFill="accent1" w:themeFillTint="33"/>
            <w:noWrap/>
            <w:tcMar>
              <w:right w:w="170" w:type="dxa"/>
            </w:tcMar>
            <w:vAlign w:val="center"/>
          </w:tcPr>
          <w:p w14:paraId="1FDA701E" w14:textId="77777777" w:rsidR="00361D9C" w:rsidRPr="00A56A8F" w:rsidRDefault="00361D9C" w:rsidP="00D866E5">
            <w:pPr>
              <w:ind w:firstLine="0"/>
              <w:rPr>
                <w:sz w:val="18"/>
                <w:szCs w:val="18"/>
              </w:rPr>
            </w:pPr>
            <w:r w:rsidRPr="00A56A8F">
              <w:rPr>
                <w:sz w:val="18"/>
                <w:szCs w:val="18"/>
              </w:rPr>
              <w:t>5,3</w:t>
            </w:r>
          </w:p>
        </w:tc>
      </w:tr>
      <w:tr w:rsidR="00361D9C" w:rsidRPr="003C4828" w14:paraId="0DDA6FE7" w14:textId="77777777" w:rsidTr="00D866E5">
        <w:trPr>
          <w:trHeight w:val="300"/>
          <w:jc w:val="center"/>
        </w:trPr>
        <w:tc>
          <w:tcPr>
            <w:tcW w:w="3397" w:type="dxa"/>
            <w:shd w:val="clear" w:color="auto" w:fill="auto"/>
            <w:noWrap/>
            <w:vAlign w:val="center"/>
            <w:hideMark/>
          </w:tcPr>
          <w:p w14:paraId="55E6E3D0" w14:textId="77777777" w:rsidR="00361D9C" w:rsidRPr="00A56A8F" w:rsidRDefault="00361D9C" w:rsidP="00D866E5">
            <w:pPr>
              <w:ind w:firstLine="873"/>
              <w:jc w:val="right"/>
              <w:rPr>
                <w:noProof/>
                <w:sz w:val="18"/>
                <w:szCs w:val="18"/>
              </w:rPr>
            </w:pPr>
            <w:r w:rsidRPr="00A56A8F">
              <w:rPr>
                <w:noProof/>
                <w:sz w:val="18"/>
                <w:szCs w:val="18"/>
              </w:rPr>
              <w:t>pieaugums salīdzināmās cenās (%)</w:t>
            </w:r>
          </w:p>
        </w:tc>
        <w:tc>
          <w:tcPr>
            <w:tcW w:w="1020" w:type="dxa"/>
            <w:shd w:val="clear" w:color="auto" w:fill="auto"/>
            <w:noWrap/>
            <w:tcMar>
              <w:right w:w="170" w:type="dxa"/>
            </w:tcMar>
            <w:vAlign w:val="center"/>
          </w:tcPr>
          <w:p w14:paraId="15BE7F2D" w14:textId="77777777" w:rsidR="00361D9C" w:rsidRPr="00A56A8F" w:rsidRDefault="00361D9C" w:rsidP="00D866E5">
            <w:pPr>
              <w:ind w:firstLine="0"/>
              <w:rPr>
                <w:sz w:val="18"/>
                <w:szCs w:val="18"/>
              </w:rPr>
            </w:pPr>
            <w:r w:rsidRPr="00A56A8F">
              <w:rPr>
                <w:sz w:val="18"/>
                <w:szCs w:val="18"/>
              </w:rPr>
              <w:t>-3,6</w:t>
            </w:r>
          </w:p>
        </w:tc>
        <w:tc>
          <w:tcPr>
            <w:tcW w:w="1021" w:type="dxa"/>
            <w:shd w:val="clear" w:color="auto" w:fill="DEEAF6" w:themeFill="accent1" w:themeFillTint="33"/>
            <w:noWrap/>
            <w:tcMar>
              <w:right w:w="170" w:type="dxa"/>
            </w:tcMar>
            <w:vAlign w:val="center"/>
          </w:tcPr>
          <w:p w14:paraId="4821A84E" w14:textId="77777777" w:rsidR="00361D9C" w:rsidRPr="00A56A8F" w:rsidRDefault="00361D9C" w:rsidP="00D866E5">
            <w:pPr>
              <w:ind w:firstLine="0"/>
              <w:rPr>
                <w:sz w:val="18"/>
                <w:szCs w:val="18"/>
              </w:rPr>
            </w:pPr>
            <w:r w:rsidRPr="00A56A8F">
              <w:rPr>
                <w:sz w:val="18"/>
                <w:szCs w:val="18"/>
              </w:rPr>
              <w:t>3,7</w:t>
            </w:r>
          </w:p>
        </w:tc>
        <w:tc>
          <w:tcPr>
            <w:tcW w:w="1020" w:type="dxa"/>
            <w:shd w:val="clear" w:color="auto" w:fill="DEEAF6" w:themeFill="accent1" w:themeFillTint="33"/>
            <w:noWrap/>
            <w:tcMar>
              <w:right w:w="170" w:type="dxa"/>
            </w:tcMar>
            <w:vAlign w:val="center"/>
          </w:tcPr>
          <w:p w14:paraId="4E4292B3" w14:textId="77777777" w:rsidR="00361D9C" w:rsidRPr="00A56A8F" w:rsidRDefault="00361D9C" w:rsidP="00D866E5">
            <w:pPr>
              <w:ind w:firstLine="0"/>
              <w:rPr>
                <w:sz w:val="18"/>
                <w:szCs w:val="18"/>
              </w:rPr>
            </w:pPr>
            <w:r w:rsidRPr="00A56A8F">
              <w:rPr>
                <w:sz w:val="18"/>
                <w:szCs w:val="18"/>
              </w:rPr>
              <w:t>5,0</w:t>
            </w:r>
          </w:p>
        </w:tc>
        <w:tc>
          <w:tcPr>
            <w:tcW w:w="1021" w:type="dxa"/>
            <w:shd w:val="clear" w:color="auto" w:fill="DEEAF6" w:themeFill="accent1" w:themeFillTint="33"/>
            <w:noWrap/>
            <w:tcMar>
              <w:right w:w="170" w:type="dxa"/>
            </w:tcMar>
            <w:vAlign w:val="center"/>
          </w:tcPr>
          <w:p w14:paraId="6B02B91D" w14:textId="77777777" w:rsidR="00361D9C" w:rsidRPr="00A56A8F" w:rsidRDefault="00361D9C" w:rsidP="00D866E5">
            <w:pPr>
              <w:ind w:firstLine="0"/>
              <w:rPr>
                <w:sz w:val="18"/>
                <w:szCs w:val="18"/>
              </w:rPr>
            </w:pPr>
            <w:r w:rsidRPr="00A56A8F">
              <w:rPr>
                <w:sz w:val="18"/>
                <w:szCs w:val="18"/>
              </w:rPr>
              <w:t>3,5</w:t>
            </w:r>
          </w:p>
        </w:tc>
        <w:tc>
          <w:tcPr>
            <w:tcW w:w="1021" w:type="dxa"/>
            <w:shd w:val="clear" w:color="auto" w:fill="DEEAF6" w:themeFill="accent1" w:themeFillTint="33"/>
            <w:noWrap/>
            <w:tcMar>
              <w:right w:w="170" w:type="dxa"/>
            </w:tcMar>
            <w:vAlign w:val="center"/>
          </w:tcPr>
          <w:p w14:paraId="62847070" w14:textId="77777777" w:rsidR="00361D9C" w:rsidRPr="00A56A8F" w:rsidRDefault="00361D9C" w:rsidP="00D866E5">
            <w:pPr>
              <w:ind w:firstLine="0"/>
              <w:rPr>
                <w:sz w:val="18"/>
                <w:szCs w:val="18"/>
              </w:rPr>
            </w:pPr>
            <w:r w:rsidRPr="00A56A8F">
              <w:rPr>
                <w:sz w:val="18"/>
                <w:szCs w:val="18"/>
              </w:rPr>
              <w:t>3,4</w:t>
            </w:r>
          </w:p>
        </w:tc>
      </w:tr>
      <w:tr w:rsidR="00361D9C" w:rsidRPr="003C4828" w14:paraId="2ED16557" w14:textId="77777777" w:rsidTr="00D866E5">
        <w:trPr>
          <w:trHeight w:val="300"/>
          <w:jc w:val="center"/>
        </w:trPr>
        <w:tc>
          <w:tcPr>
            <w:tcW w:w="3397" w:type="dxa"/>
            <w:shd w:val="clear" w:color="auto" w:fill="auto"/>
            <w:noWrap/>
            <w:vAlign w:val="center"/>
            <w:hideMark/>
          </w:tcPr>
          <w:p w14:paraId="1003A406" w14:textId="1560C5AA" w:rsidR="00361D9C" w:rsidRPr="00A56A8F" w:rsidRDefault="00D866E5" w:rsidP="00D866E5">
            <w:pPr>
              <w:ind w:firstLine="0"/>
              <w:jc w:val="left"/>
              <w:rPr>
                <w:noProof/>
                <w:sz w:val="18"/>
                <w:szCs w:val="18"/>
              </w:rPr>
            </w:pPr>
            <w:r>
              <w:rPr>
                <w:b/>
                <w:noProof/>
                <w:sz w:val="18"/>
                <w:szCs w:val="18"/>
              </w:rPr>
              <w:t>Iekšzemes kopprodukta</w:t>
            </w:r>
            <w:r w:rsidR="00361D9C" w:rsidRPr="00A56A8F">
              <w:rPr>
                <w:b/>
                <w:noProof/>
                <w:sz w:val="18"/>
                <w:szCs w:val="18"/>
              </w:rPr>
              <w:t xml:space="preserve"> deflators</w:t>
            </w:r>
            <w:r w:rsidR="00361D9C" w:rsidRPr="00A56A8F">
              <w:rPr>
                <w:noProof/>
                <w:sz w:val="18"/>
                <w:szCs w:val="18"/>
              </w:rPr>
              <w:t xml:space="preserve"> (gads pret gadu, %)</w:t>
            </w:r>
          </w:p>
        </w:tc>
        <w:tc>
          <w:tcPr>
            <w:tcW w:w="1020" w:type="dxa"/>
            <w:shd w:val="clear" w:color="auto" w:fill="auto"/>
            <w:noWrap/>
            <w:tcMar>
              <w:right w:w="170" w:type="dxa"/>
            </w:tcMar>
            <w:vAlign w:val="center"/>
          </w:tcPr>
          <w:p w14:paraId="76B82902" w14:textId="77777777" w:rsidR="00361D9C" w:rsidRPr="00A56A8F" w:rsidRDefault="00361D9C" w:rsidP="00D866E5">
            <w:pPr>
              <w:ind w:firstLine="0"/>
              <w:rPr>
                <w:sz w:val="18"/>
                <w:szCs w:val="18"/>
              </w:rPr>
            </w:pPr>
            <w:r w:rsidRPr="00A56A8F">
              <w:rPr>
                <w:sz w:val="18"/>
                <w:szCs w:val="18"/>
              </w:rPr>
              <w:t>0,1</w:t>
            </w:r>
          </w:p>
        </w:tc>
        <w:tc>
          <w:tcPr>
            <w:tcW w:w="1021" w:type="dxa"/>
            <w:shd w:val="clear" w:color="auto" w:fill="DEEAF6" w:themeFill="accent1" w:themeFillTint="33"/>
            <w:noWrap/>
            <w:tcMar>
              <w:right w:w="170" w:type="dxa"/>
            </w:tcMar>
            <w:vAlign w:val="center"/>
          </w:tcPr>
          <w:p w14:paraId="120A1FB9" w14:textId="77777777" w:rsidR="00361D9C" w:rsidRPr="00A56A8F" w:rsidRDefault="00361D9C" w:rsidP="00D866E5">
            <w:pPr>
              <w:ind w:firstLine="0"/>
              <w:rPr>
                <w:sz w:val="18"/>
                <w:szCs w:val="18"/>
              </w:rPr>
            </w:pPr>
            <w:r w:rsidRPr="00A56A8F">
              <w:rPr>
                <w:sz w:val="18"/>
                <w:szCs w:val="18"/>
              </w:rPr>
              <w:t>3,1</w:t>
            </w:r>
          </w:p>
        </w:tc>
        <w:tc>
          <w:tcPr>
            <w:tcW w:w="1020" w:type="dxa"/>
            <w:shd w:val="clear" w:color="auto" w:fill="DEEAF6" w:themeFill="accent1" w:themeFillTint="33"/>
            <w:noWrap/>
            <w:tcMar>
              <w:right w:w="170" w:type="dxa"/>
            </w:tcMar>
            <w:vAlign w:val="center"/>
          </w:tcPr>
          <w:p w14:paraId="296FC890" w14:textId="77777777" w:rsidR="00361D9C" w:rsidRPr="00A56A8F" w:rsidRDefault="00361D9C" w:rsidP="00D866E5">
            <w:pPr>
              <w:ind w:firstLine="0"/>
              <w:rPr>
                <w:sz w:val="18"/>
                <w:szCs w:val="18"/>
              </w:rPr>
            </w:pPr>
            <w:r w:rsidRPr="00A56A8F">
              <w:rPr>
                <w:sz w:val="18"/>
                <w:szCs w:val="18"/>
              </w:rPr>
              <w:t>3,3</w:t>
            </w:r>
          </w:p>
        </w:tc>
        <w:tc>
          <w:tcPr>
            <w:tcW w:w="1021" w:type="dxa"/>
            <w:shd w:val="clear" w:color="auto" w:fill="DEEAF6" w:themeFill="accent1" w:themeFillTint="33"/>
            <w:noWrap/>
            <w:tcMar>
              <w:right w:w="170" w:type="dxa"/>
            </w:tcMar>
            <w:vAlign w:val="center"/>
          </w:tcPr>
          <w:p w14:paraId="406DF34F" w14:textId="77777777" w:rsidR="00361D9C" w:rsidRPr="00A56A8F" w:rsidRDefault="00361D9C" w:rsidP="00D866E5">
            <w:pPr>
              <w:ind w:firstLine="0"/>
              <w:rPr>
                <w:sz w:val="18"/>
                <w:szCs w:val="18"/>
              </w:rPr>
            </w:pPr>
            <w:r w:rsidRPr="00A56A8F">
              <w:rPr>
                <w:sz w:val="18"/>
                <w:szCs w:val="18"/>
              </w:rPr>
              <w:t>2,6</w:t>
            </w:r>
          </w:p>
        </w:tc>
        <w:tc>
          <w:tcPr>
            <w:tcW w:w="1021" w:type="dxa"/>
            <w:shd w:val="clear" w:color="auto" w:fill="DEEAF6" w:themeFill="accent1" w:themeFillTint="33"/>
            <w:noWrap/>
            <w:tcMar>
              <w:right w:w="170" w:type="dxa"/>
            </w:tcMar>
            <w:vAlign w:val="center"/>
          </w:tcPr>
          <w:p w14:paraId="551C03FA" w14:textId="77777777" w:rsidR="00361D9C" w:rsidRPr="00A56A8F" w:rsidRDefault="00361D9C" w:rsidP="00D866E5">
            <w:pPr>
              <w:ind w:firstLine="0"/>
              <w:rPr>
                <w:sz w:val="18"/>
                <w:szCs w:val="18"/>
              </w:rPr>
            </w:pPr>
            <w:r w:rsidRPr="00A56A8F">
              <w:rPr>
                <w:sz w:val="18"/>
                <w:szCs w:val="18"/>
              </w:rPr>
              <w:t>1,9</w:t>
            </w:r>
          </w:p>
        </w:tc>
      </w:tr>
      <w:tr w:rsidR="00361D9C" w:rsidRPr="003C4828" w14:paraId="220134DC" w14:textId="77777777" w:rsidTr="00D866E5">
        <w:trPr>
          <w:trHeight w:val="301"/>
          <w:jc w:val="center"/>
        </w:trPr>
        <w:tc>
          <w:tcPr>
            <w:tcW w:w="3397" w:type="dxa"/>
            <w:shd w:val="clear" w:color="auto" w:fill="auto"/>
            <w:noWrap/>
            <w:vAlign w:val="center"/>
            <w:hideMark/>
          </w:tcPr>
          <w:p w14:paraId="32297414" w14:textId="77777777" w:rsidR="00361D9C" w:rsidRPr="00A56A8F" w:rsidRDefault="00361D9C" w:rsidP="00D866E5">
            <w:pPr>
              <w:ind w:firstLine="0"/>
              <w:rPr>
                <w:noProof/>
                <w:sz w:val="18"/>
                <w:szCs w:val="18"/>
              </w:rPr>
            </w:pPr>
            <w:r w:rsidRPr="00A56A8F">
              <w:rPr>
                <w:b/>
                <w:noProof/>
                <w:sz w:val="18"/>
                <w:szCs w:val="18"/>
              </w:rPr>
              <w:t>PCI</w:t>
            </w:r>
            <w:r w:rsidRPr="00A56A8F">
              <w:rPr>
                <w:noProof/>
                <w:sz w:val="18"/>
                <w:szCs w:val="18"/>
              </w:rPr>
              <w:t xml:space="preserve"> (gads pret gadu, %)</w:t>
            </w:r>
          </w:p>
        </w:tc>
        <w:tc>
          <w:tcPr>
            <w:tcW w:w="1020" w:type="dxa"/>
            <w:shd w:val="clear" w:color="auto" w:fill="auto"/>
            <w:noWrap/>
            <w:tcMar>
              <w:right w:w="170" w:type="dxa"/>
            </w:tcMar>
            <w:vAlign w:val="center"/>
          </w:tcPr>
          <w:p w14:paraId="7B56E2F4" w14:textId="77777777" w:rsidR="00361D9C" w:rsidRPr="00A56A8F" w:rsidRDefault="00361D9C" w:rsidP="00D866E5">
            <w:pPr>
              <w:ind w:firstLine="0"/>
              <w:rPr>
                <w:sz w:val="18"/>
                <w:szCs w:val="18"/>
              </w:rPr>
            </w:pPr>
            <w:r w:rsidRPr="00A56A8F">
              <w:rPr>
                <w:sz w:val="18"/>
                <w:szCs w:val="18"/>
              </w:rPr>
              <w:t>0,2</w:t>
            </w:r>
          </w:p>
        </w:tc>
        <w:tc>
          <w:tcPr>
            <w:tcW w:w="1021" w:type="dxa"/>
            <w:shd w:val="clear" w:color="auto" w:fill="DEEAF6" w:themeFill="accent1" w:themeFillTint="33"/>
            <w:noWrap/>
            <w:tcMar>
              <w:right w:w="170" w:type="dxa"/>
            </w:tcMar>
            <w:vAlign w:val="center"/>
          </w:tcPr>
          <w:p w14:paraId="4F4D939D" w14:textId="77777777" w:rsidR="00361D9C" w:rsidRPr="00A56A8F" w:rsidRDefault="00361D9C" w:rsidP="00D866E5">
            <w:pPr>
              <w:ind w:firstLine="0"/>
              <w:rPr>
                <w:sz w:val="18"/>
                <w:szCs w:val="18"/>
              </w:rPr>
            </w:pPr>
            <w:r w:rsidRPr="00A56A8F">
              <w:rPr>
                <w:sz w:val="18"/>
                <w:szCs w:val="18"/>
              </w:rPr>
              <w:t>2,0</w:t>
            </w:r>
          </w:p>
        </w:tc>
        <w:tc>
          <w:tcPr>
            <w:tcW w:w="1020" w:type="dxa"/>
            <w:shd w:val="clear" w:color="auto" w:fill="DEEAF6" w:themeFill="accent1" w:themeFillTint="33"/>
            <w:noWrap/>
            <w:tcMar>
              <w:right w:w="170" w:type="dxa"/>
            </w:tcMar>
            <w:vAlign w:val="center"/>
          </w:tcPr>
          <w:p w14:paraId="6E24DA4E" w14:textId="77777777" w:rsidR="00361D9C" w:rsidRPr="00A56A8F" w:rsidRDefault="00361D9C" w:rsidP="00D866E5">
            <w:pPr>
              <w:ind w:firstLine="0"/>
              <w:rPr>
                <w:sz w:val="18"/>
                <w:szCs w:val="18"/>
              </w:rPr>
            </w:pPr>
            <w:r w:rsidRPr="00A56A8F">
              <w:rPr>
                <w:sz w:val="18"/>
                <w:szCs w:val="18"/>
              </w:rPr>
              <w:t>2,4</w:t>
            </w:r>
          </w:p>
        </w:tc>
        <w:tc>
          <w:tcPr>
            <w:tcW w:w="1021" w:type="dxa"/>
            <w:shd w:val="clear" w:color="auto" w:fill="DEEAF6" w:themeFill="accent1" w:themeFillTint="33"/>
            <w:noWrap/>
            <w:tcMar>
              <w:right w:w="170" w:type="dxa"/>
            </w:tcMar>
            <w:vAlign w:val="center"/>
          </w:tcPr>
          <w:p w14:paraId="16D7CE3C" w14:textId="77777777" w:rsidR="00361D9C" w:rsidRPr="00A56A8F" w:rsidRDefault="00361D9C" w:rsidP="00D866E5">
            <w:pPr>
              <w:ind w:firstLine="0"/>
              <w:rPr>
                <w:sz w:val="18"/>
                <w:szCs w:val="18"/>
              </w:rPr>
            </w:pPr>
            <w:r w:rsidRPr="00A56A8F">
              <w:rPr>
                <w:sz w:val="18"/>
                <w:szCs w:val="18"/>
              </w:rPr>
              <w:t>2,2</w:t>
            </w:r>
          </w:p>
        </w:tc>
        <w:tc>
          <w:tcPr>
            <w:tcW w:w="1021" w:type="dxa"/>
            <w:shd w:val="clear" w:color="auto" w:fill="DEEAF6" w:themeFill="accent1" w:themeFillTint="33"/>
            <w:noWrap/>
            <w:tcMar>
              <w:right w:w="170" w:type="dxa"/>
            </w:tcMar>
            <w:vAlign w:val="center"/>
          </w:tcPr>
          <w:p w14:paraId="700F9CD9" w14:textId="77777777" w:rsidR="00361D9C" w:rsidRPr="00A56A8F" w:rsidRDefault="00361D9C" w:rsidP="00D866E5">
            <w:pPr>
              <w:ind w:firstLine="0"/>
              <w:rPr>
                <w:sz w:val="18"/>
                <w:szCs w:val="18"/>
              </w:rPr>
            </w:pPr>
            <w:r w:rsidRPr="00A56A8F">
              <w:rPr>
                <w:sz w:val="18"/>
                <w:szCs w:val="18"/>
              </w:rPr>
              <w:t>2,0</w:t>
            </w:r>
          </w:p>
        </w:tc>
      </w:tr>
      <w:tr w:rsidR="00361D9C" w:rsidRPr="003C4828" w14:paraId="61F3ED88" w14:textId="77777777" w:rsidTr="00D866E5">
        <w:trPr>
          <w:trHeight w:val="600"/>
          <w:jc w:val="center"/>
        </w:trPr>
        <w:tc>
          <w:tcPr>
            <w:tcW w:w="3397" w:type="dxa"/>
            <w:shd w:val="clear" w:color="auto" w:fill="auto"/>
            <w:noWrap/>
            <w:vAlign w:val="center"/>
            <w:hideMark/>
          </w:tcPr>
          <w:p w14:paraId="2355917F" w14:textId="77777777" w:rsidR="00361D9C" w:rsidRPr="00A56A8F" w:rsidRDefault="00361D9C" w:rsidP="00D866E5">
            <w:pPr>
              <w:ind w:firstLine="0"/>
              <w:jc w:val="left"/>
              <w:rPr>
                <w:noProof/>
                <w:sz w:val="18"/>
                <w:szCs w:val="18"/>
              </w:rPr>
            </w:pPr>
            <w:r w:rsidRPr="00A56A8F">
              <w:rPr>
                <w:b/>
                <w:noProof/>
                <w:sz w:val="18"/>
                <w:szCs w:val="18"/>
              </w:rPr>
              <w:t xml:space="preserve">Tautsaimniecībā nodarbināto mēn. </w:t>
            </w:r>
            <w:r w:rsidRPr="00A56A8F">
              <w:rPr>
                <w:b/>
                <w:noProof/>
                <w:sz w:val="18"/>
                <w:szCs w:val="18"/>
              </w:rPr>
              <w:br/>
              <w:t>vid. bruto darba samaksa</w:t>
            </w:r>
            <w:r w:rsidRPr="00A56A8F">
              <w:rPr>
                <w:noProof/>
                <w:sz w:val="18"/>
                <w:szCs w:val="18"/>
              </w:rPr>
              <w:t xml:space="preserve"> (</w:t>
            </w:r>
            <w:r w:rsidRPr="00A56A8F">
              <w:rPr>
                <w:i/>
                <w:noProof/>
                <w:sz w:val="18"/>
                <w:szCs w:val="18"/>
              </w:rPr>
              <w:t>euro</w:t>
            </w:r>
            <w:r w:rsidRPr="00A56A8F">
              <w:rPr>
                <w:noProof/>
                <w:sz w:val="18"/>
                <w:szCs w:val="18"/>
              </w:rPr>
              <w:t>)</w:t>
            </w:r>
          </w:p>
        </w:tc>
        <w:tc>
          <w:tcPr>
            <w:tcW w:w="1020" w:type="dxa"/>
            <w:shd w:val="clear" w:color="auto" w:fill="auto"/>
            <w:noWrap/>
            <w:tcMar>
              <w:right w:w="170" w:type="dxa"/>
            </w:tcMar>
            <w:vAlign w:val="center"/>
          </w:tcPr>
          <w:p w14:paraId="24BB8A1B" w14:textId="77777777" w:rsidR="00361D9C" w:rsidRPr="00A56A8F" w:rsidRDefault="00361D9C" w:rsidP="00D866E5">
            <w:pPr>
              <w:ind w:firstLine="0"/>
              <w:rPr>
                <w:sz w:val="18"/>
                <w:szCs w:val="18"/>
              </w:rPr>
            </w:pPr>
            <w:r w:rsidRPr="00A56A8F">
              <w:rPr>
                <w:sz w:val="18"/>
                <w:szCs w:val="18"/>
              </w:rPr>
              <w:t>1 143</w:t>
            </w:r>
          </w:p>
        </w:tc>
        <w:tc>
          <w:tcPr>
            <w:tcW w:w="1021" w:type="dxa"/>
            <w:shd w:val="clear" w:color="auto" w:fill="DEEAF6" w:themeFill="accent1" w:themeFillTint="33"/>
            <w:noWrap/>
            <w:tcMar>
              <w:right w:w="170" w:type="dxa"/>
            </w:tcMar>
            <w:vAlign w:val="center"/>
          </w:tcPr>
          <w:p w14:paraId="49AE06E6" w14:textId="77777777" w:rsidR="00361D9C" w:rsidRPr="00A56A8F" w:rsidRDefault="00361D9C" w:rsidP="00D866E5">
            <w:pPr>
              <w:ind w:firstLine="0"/>
              <w:rPr>
                <w:sz w:val="18"/>
                <w:szCs w:val="18"/>
              </w:rPr>
            </w:pPr>
            <w:r w:rsidRPr="00A56A8F">
              <w:rPr>
                <w:sz w:val="18"/>
                <w:szCs w:val="18"/>
              </w:rPr>
              <w:t>1 234</w:t>
            </w:r>
          </w:p>
        </w:tc>
        <w:tc>
          <w:tcPr>
            <w:tcW w:w="1020" w:type="dxa"/>
            <w:shd w:val="clear" w:color="auto" w:fill="DEEAF6" w:themeFill="accent1" w:themeFillTint="33"/>
            <w:noWrap/>
            <w:tcMar>
              <w:right w:w="170" w:type="dxa"/>
            </w:tcMar>
            <w:vAlign w:val="center"/>
          </w:tcPr>
          <w:p w14:paraId="344B7E45" w14:textId="77777777" w:rsidR="00361D9C" w:rsidRPr="00A56A8F" w:rsidRDefault="00361D9C" w:rsidP="00D866E5">
            <w:pPr>
              <w:ind w:firstLine="0"/>
              <w:rPr>
                <w:sz w:val="18"/>
                <w:szCs w:val="18"/>
              </w:rPr>
            </w:pPr>
            <w:r w:rsidRPr="00A56A8F">
              <w:rPr>
                <w:sz w:val="18"/>
                <w:szCs w:val="18"/>
              </w:rPr>
              <w:t>1 309</w:t>
            </w:r>
          </w:p>
        </w:tc>
        <w:tc>
          <w:tcPr>
            <w:tcW w:w="1021" w:type="dxa"/>
            <w:shd w:val="clear" w:color="auto" w:fill="DEEAF6" w:themeFill="accent1" w:themeFillTint="33"/>
            <w:noWrap/>
            <w:tcMar>
              <w:right w:w="170" w:type="dxa"/>
            </w:tcMar>
            <w:vAlign w:val="center"/>
          </w:tcPr>
          <w:p w14:paraId="4F37F94D" w14:textId="77777777" w:rsidR="00361D9C" w:rsidRPr="00A56A8F" w:rsidRDefault="00361D9C" w:rsidP="00D866E5">
            <w:pPr>
              <w:ind w:firstLine="0"/>
              <w:rPr>
                <w:sz w:val="18"/>
                <w:szCs w:val="18"/>
              </w:rPr>
            </w:pPr>
            <w:r w:rsidRPr="00A56A8F">
              <w:rPr>
                <w:sz w:val="18"/>
                <w:szCs w:val="18"/>
              </w:rPr>
              <w:t>1 380</w:t>
            </w:r>
          </w:p>
        </w:tc>
        <w:tc>
          <w:tcPr>
            <w:tcW w:w="1021" w:type="dxa"/>
            <w:shd w:val="clear" w:color="auto" w:fill="DEEAF6" w:themeFill="accent1" w:themeFillTint="33"/>
            <w:noWrap/>
            <w:tcMar>
              <w:right w:w="170" w:type="dxa"/>
            </w:tcMar>
            <w:vAlign w:val="center"/>
          </w:tcPr>
          <w:p w14:paraId="3163EFD1" w14:textId="77777777" w:rsidR="00361D9C" w:rsidRPr="00A56A8F" w:rsidRDefault="00361D9C" w:rsidP="00D866E5">
            <w:pPr>
              <w:ind w:firstLine="0"/>
              <w:rPr>
                <w:sz w:val="18"/>
                <w:szCs w:val="18"/>
              </w:rPr>
            </w:pPr>
            <w:r w:rsidRPr="00A56A8F">
              <w:rPr>
                <w:sz w:val="18"/>
                <w:szCs w:val="18"/>
              </w:rPr>
              <w:t>1 454</w:t>
            </w:r>
          </w:p>
        </w:tc>
      </w:tr>
      <w:tr w:rsidR="00361D9C" w:rsidRPr="003C4828" w14:paraId="047D332D" w14:textId="77777777" w:rsidTr="00D866E5">
        <w:trPr>
          <w:trHeight w:val="300"/>
          <w:jc w:val="center"/>
        </w:trPr>
        <w:tc>
          <w:tcPr>
            <w:tcW w:w="3397" w:type="dxa"/>
            <w:shd w:val="clear" w:color="auto" w:fill="auto"/>
            <w:noWrap/>
            <w:vAlign w:val="center"/>
            <w:hideMark/>
          </w:tcPr>
          <w:p w14:paraId="65EC549E" w14:textId="77777777" w:rsidR="00361D9C" w:rsidRPr="00A56A8F" w:rsidRDefault="00361D9C" w:rsidP="00D866E5">
            <w:pPr>
              <w:ind w:firstLine="873"/>
              <w:jc w:val="right"/>
              <w:rPr>
                <w:noProof/>
                <w:sz w:val="18"/>
                <w:szCs w:val="18"/>
              </w:rPr>
            </w:pPr>
            <w:r w:rsidRPr="00A56A8F">
              <w:rPr>
                <w:noProof/>
                <w:sz w:val="18"/>
                <w:szCs w:val="18"/>
              </w:rPr>
              <w:t>pieaugums faktiskajās cenās (%)</w:t>
            </w:r>
          </w:p>
        </w:tc>
        <w:tc>
          <w:tcPr>
            <w:tcW w:w="1020" w:type="dxa"/>
            <w:shd w:val="clear" w:color="auto" w:fill="auto"/>
            <w:noWrap/>
            <w:tcMar>
              <w:right w:w="170" w:type="dxa"/>
            </w:tcMar>
            <w:vAlign w:val="center"/>
          </w:tcPr>
          <w:p w14:paraId="367725EA" w14:textId="77777777" w:rsidR="00361D9C" w:rsidRPr="00A56A8F" w:rsidRDefault="00361D9C" w:rsidP="00D866E5">
            <w:pPr>
              <w:ind w:firstLine="0"/>
              <w:rPr>
                <w:sz w:val="18"/>
                <w:szCs w:val="18"/>
              </w:rPr>
            </w:pPr>
            <w:r w:rsidRPr="00A56A8F">
              <w:rPr>
                <w:sz w:val="18"/>
                <w:szCs w:val="18"/>
              </w:rPr>
              <w:t>6,2</w:t>
            </w:r>
          </w:p>
        </w:tc>
        <w:tc>
          <w:tcPr>
            <w:tcW w:w="1021" w:type="dxa"/>
            <w:shd w:val="clear" w:color="auto" w:fill="DEEAF6" w:themeFill="accent1" w:themeFillTint="33"/>
            <w:noWrap/>
            <w:tcMar>
              <w:right w:w="170" w:type="dxa"/>
            </w:tcMar>
            <w:vAlign w:val="center"/>
          </w:tcPr>
          <w:p w14:paraId="13F646CC" w14:textId="77777777" w:rsidR="00361D9C" w:rsidRPr="00A56A8F" w:rsidRDefault="00361D9C" w:rsidP="00D866E5">
            <w:pPr>
              <w:ind w:firstLine="0"/>
              <w:rPr>
                <w:sz w:val="18"/>
                <w:szCs w:val="18"/>
              </w:rPr>
            </w:pPr>
            <w:r w:rsidRPr="00A56A8F">
              <w:rPr>
                <w:sz w:val="18"/>
                <w:szCs w:val="18"/>
              </w:rPr>
              <w:t>8,0</w:t>
            </w:r>
          </w:p>
        </w:tc>
        <w:tc>
          <w:tcPr>
            <w:tcW w:w="1020" w:type="dxa"/>
            <w:shd w:val="clear" w:color="auto" w:fill="DEEAF6" w:themeFill="accent1" w:themeFillTint="33"/>
            <w:noWrap/>
            <w:tcMar>
              <w:right w:w="170" w:type="dxa"/>
            </w:tcMar>
            <w:vAlign w:val="center"/>
          </w:tcPr>
          <w:p w14:paraId="6A06A9D8" w14:textId="77777777" w:rsidR="00361D9C" w:rsidRPr="00A56A8F" w:rsidRDefault="00361D9C" w:rsidP="00D866E5">
            <w:pPr>
              <w:ind w:firstLine="0"/>
              <w:rPr>
                <w:sz w:val="18"/>
                <w:szCs w:val="18"/>
              </w:rPr>
            </w:pPr>
            <w:r w:rsidRPr="00A56A8F">
              <w:rPr>
                <w:sz w:val="18"/>
                <w:szCs w:val="18"/>
              </w:rPr>
              <w:t>6,0</w:t>
            </w:r>
          </w:p>
        </w:tc>
        <w:tc>
          <w:tcPr>
            <w:tcW w:w="1021" w:type="dxa"/>
            <w:shd w:val="clear" w:color="auto" w:fill="DEEAF6" w:themeFill="accent1" w:themeFillTint="33"/>
            <w:noWrap/>
            <w:tcMar>
              <w:right w:w="170" w:type="dxa"/>
            </w:tcMar>
            <w:vAlign w:val="center"/>
          </w:tcPr>
          <w:p w14:paraId="1CAEA3FB" w14:textId="77777777" w:rsidR="00361D9C" w:rsidRPr="00A56A8F" w:rsidRDefault="00361D9C" w:rsidP="00D866E5">
            <w:pPr>
              <w:ind w:firstLine="0"/>
              <w:rPr>
                <w:sz w:val="18"/>
                <w:szCs w:val="18"/>
              </w:rPr>
            </w:pPr>
            <w:r w:rsidRPr="00A56A8F">
              <w:rPr>
                <w:sz w:val="18"/>
                <w:szCs w:val="18"/>
              </w:rPr>
              <w:t>5,5</w:t>
            </w:r>
          </w:p>
        </w:tc>
        <w:tc>
          <w:tcPr>
            <w:tcW w:w="1021" w:type="dxa"/>
            <w:shd w:val="clear" w:color="auto" w:fill="DEEAF6" w:themeFill="accent1" w:themeFillTint="33"/>
            <w:noWrap/>
            <w:tcMar>
              <w:right w:w="170" w:type="dxa"/>
            </w:tcMar>
            <w:vAlign w:val="center"/>
          </w:tcPr>
          <w:p w14:paraId="72D585DC" w14:textId="77777777" w:rsidR="00361D9C" w:rsidRPr="00A56A8F" w:rsidRDefault="00361D9C" w:rsidP="00D866E5">
            <w:pPr>
              <w:ind w:firstLine="0"/>
              <w:rPr>
                <w:sz w:val="18"/>
                <w:szCs w:val="18"/>
              </w:rPr>
            </w:pPr>
            <w:r w:rsidRPr="00A56A8F">
              <w:rPr>
                <w:sz w:val="18"/>
                <w:szCs w:val="18"/>
              </w:rPr>
              <w:t>5,3</w:t>
            </w:r>
          </w:p>
        </w:tc>
      </w:tr>
      <w:tr w:rsidR="00361D9C" w:rsidRPr="003C4828" w14:paraId="1F00A2DF" w14:textId="77777777" w:rsidTr="00D866E5">
        <w:trPr>
          <w:trHeight w:val="300"/>
          <w:jc w:val="center"/>
        </w:trPr>
        <w:tc>
          <w:tcPr>
            <w:tcW w:w="3397" w:type="dxa"/>
            <w:shd w:val="clear" w:color="auto" w:fill="auto"/>
            <w:noWrap/>
            <w:vAlign w:val="center"/>
            <w:hideMark/>
          </w:tcPr>
          <w:p w14:paraId="5220E857" w14:textId="77777777" w:rsidR="00361D9C" w:rsidRPr="00A56A8F" w:rsidRDefault="00361D9C" w:rsidP="00D866E5">
            <w:pPr>
              <w:ind w:firstLine="873"/>
              <w:jc w:val="right"/>
              <w:rPr>
                <w:noProof/>
                <w:sz w:val="18"/>
                <w:szCs w:val="18"/>
              </w:rPr>
            </w:pPr>
            <w:r w:rsidRPr="00A56A8F">
              <w:rPr>
                <w:noProof/>
                <w:sz w:val="18"/>
                <w:szCs w:val="18"/>
              </w:rPr>
              <w:t>pieaugums salīdzināmās cenās (%)</w:t>
            </w:r>
          </w:p>
        </w:tc>
        <w:tc>
          <w:tcPr>
            <w:tcW w:w="1020" w:type="dxa"/>
            <w:shd w:val="clear" w:color="auto" w:fill="auto"/>
            <w:noWrap/>
            <w:tcMar>
              <w:right w:w="170" w:type="dxa"/>
            </w:tcMar>
            <w:vAlign w:val="center"/>
          </w:tcPr>
          <w:p w14:paraId="537E24C6" w14:textId="77777777" w:rsidR="00361D9C" w:rsidRPr="00A56A8F" w:rsidRDefault="00361D9C" w:rsidP="00D866E5">
            <w:pPr>
              <w:ind w:firstLine="0"/>
              <w:rPr>
                <w:sz w:val="18"/>
                <w:szCs w:val="18"/>
              </w:rPr>
            </w:pPr>
            <w:r w:rsidRPr="00A56A8F">
              <w:rPr>
                <w:sz w:val="18"/>
                <w:szCs w:val="18"/>
              </w:rPr>
              <w:t>6,0</w:t>
            </w:r>
          </w:p>
        </w:tc>
        <w:tc>
          <w:tcPr>
            <w:tcW w:w="1021" w:type="dxa"/>
            <w:shd w:val="clear" w:color="auto" w:fill="DEEAF6" w:themeFill="accent1" w:themeFillTint="33"/>
            <w:noWrap/>
            <w:tcMar>
              <w:right w:w="170" w:type="dxa"/>
            </w:tcMar>
            <w:vAlign w:val="center"/>
          </w:tcPr>
          <w:p w14:paraId="2955B199" w14:textId="77777777" w:rsidR="00361D9C" w:rsidRPr="00A56A8F" w:rsidRDefault="00361D9C" w:rsidP="00D866E5">
            <w:pPr>
              <w:ind w:firstLine="0"/>
              <w:rPr>
                <w:sz w:val="18"/>
                <w:szCs w:val="18"/>
              </w:rPr>
            </w:pPr>
            <w:r w:rsidRPr="00A56A8F">
              <w:rPr>
                <w:sz w:val="18"/>
                <w:szCs w:val="18"/>
              </w:rPr>
              <w:t>5,9</w:t>
            </w:r>
          </w:p>
        </w:tc>
        <w:tc>
          <w:tcPr>
            <w:tcW w:w="1020" w:type="dxa"/>
            <w:shd w:val="clear" w:color="auto" w:fill="DEEAF6" w:themeFill="accent1" w:themeFillTint="33"/>
            <w:noWrap/>
            <w:tcMar>
              <w:right w:w="170" w:type="dxa"/>
            </w:tcMar>
            <w:vAlign w:val="center"/>
          </w:tcPr>
          <w:p w14:paraId="578B031D" w14:textId="77777777" w:rsidR="00361D9C" w:rsidRPr="00A56A8F" w:rsidRDefault="00361D9C" w:rsidP="00D866E5">
            <w:pPr>
              <w:ind w:firstLine="0"/>
              <w:rPr>
                <w:sz w:val="18"/>
                <w:szCs w:val="18"/>
              </w:rPr>
            </w:pPr>
            <w:r w:rsidRPr="00A56A8F">
              <w:rPr>
                <w:sz w:val="18"/>
                <w:szCs w:val="18"/>
              </w:rPr>
              <w:t>3,5</w:t>
            </w:r>
          </w:p>
        </w:tc>
        <w:tc>
          <w:tcPr>
            <w:tcW w:w="1021" w:type="dxa"/>
            <w:shd w:val="clear" w:color="auto" w:fill="DEEAF6" w:themeFill="accent1" w:themeFillTint="33"/>
            <w:noWrap/>
            <w:tcMar>
              <w:right w:w="170" w:type="dxa"/>
            </w:tcMar>
            <w:vAlign w:val="center"/>
          </w:tcPr>
          <w:p w14:paraId="0B0342C9" w14:textId="77777777" w:rsidR="00361D9C" w:rsidRPr="00A56A8F" w:rsidRDefault="00361D9C" w:rsidP="00D866E5">
            <w:pPr>
              <w:ind w:firstLine="0"/>
              <w:rPr>
                <w:sz w:val="18"/>
                <w:szCs w:val="18"/>
              </w:rPr>
            </w:pPr>
            <w:r w:rsidRPr="00A56A8F">
              <w:rPr>
                <w:sz w:val="18"/>
                <w:szCs w:val="18"/>
              </w:rPr>
              <w:t>3,2</w:t>
            </w:r>
          </w:p>
        </w:tc>
        <w:tc>
          <w:tcPr>
            <w:tcW w:w="1021" w:type="dxa"/>
            <w:shd w:val="clear" w:color="auto" w:fill="DEEAF6" w:themeFill="accent1" w:themeFillTint="33"/>
            <w:noWrap/>
            <w:tcMar>
              <w:right w:w="170" w:type="dxa"/>
            </w:tcMar>
            <w:vAlign w:val="center"/>
          </w:tcPr>
          <w:p w14:paraId="1725C4EE" w14:textId="77777777" w:rsidR="00361D9C" w:rsidRPr="00A56A8F" w:rsidRDefault="00361D9C" w:rsidP="00D866E5">
            <w:pPr>
              <w:ind w:firstLine="0"/>
              <w:rPr>
                <w:sz w:val="18"/>
                <w:szCs w:val="18"/>
              </w:rPr>
            </w:pPr>
            <w:r w:rsidRPr="00A56A8F">
              <w:rPr>
                <w:sz w:val="18"/>
                <w:szCs w:val="18"/>
              </w:rPr>
              <w:t>3,2</w:t>
            </w:r>
          </w:p>
        </w:tc>
      </w:tr>
      <w:tr w:rsidR="00361D9C" w:rsidRPr="003C4828" w14:paraId="447CB615" w14:textId="77777777" w:rsidTr="00D866E5">
        <w:trPr>
          <w:trHeight w:val="600"/>
          <w:jc w:val="center"/>
        </w:trPr>
        <w:tc>
          <w:tcPr>
            <w:tcW w:w="3397" w:type="dxa"/>
            <w:shd w:val="clear" w:color="auto" w:fill="auto"/>
            <w:noWrap/>
            <w:vAlign w:val="center"/>
            <w:hideMark/>
          </w:tcPr>
          <w:p w14:paraId="767518A1" w14:textId="77777777" w:rsidR="00361D9C" w:rsidRPr="00A56A8F" w:rsidRDefault="00361D9C" w:rsidP="00D866E5">
            <w:pPr>
              <w:ind w:firstLine="0"/>
              <w:jc w:val="left"/>
              <w:rPr>
                <w:noProof/>
                <w:sz w:val="18"/>
                <w:szCs w:val="18"/>
              </w:rPr>
            </w:pPr>
            <w:r w:rsidRPr="00A56A8F">
              <w:rPr>
                <w:b/>
                <w:noProof/>
                <w:sz w:val="18"/>
                <w:szCs w:val="18"/>
              </w:rPr>
              <w:t>Nodarbinātība</w:t>
            </w:r>
            <w:r w:rsidRPr="00A56A8F">
              <w:rPr>
                <w:noProof/>
                <w:sz w:val="18"/>
                <w:szCs w:val="18"/>
              </w:rPr>
              <w:t xml:space="preserve"> (tūkst. iedzīvotāju</w:t>
            </w:r>
            <w:r w:rsidRPr="00A56A8F">
              <w:rPr>
                <w:noProof/>
                <w:sz w:val="18"/>
                <w:szCs w:val="18"/>
              </w:rPr>
              <w:br/>
              <w:t>atbilstoši darbaspēka apsekojumiem)</w:t>
            </w:r>
          </w:p>
        </w:tc>
        <w:tc>
          <w:tcPr>
            <w:tcW w:w="1020" w:type="dxa"/>
            <w:shd w:val="clear" w:color="auto" w:fill="auto"/>
            <w:noWrap/>
            <w:tcMar>
              <w:right w:w="170" w:type="dxa"/>
            </w:tcMar>
            <w:vAlign w:val="center"/>
          </w:tcPr>
          <w:p w14:paraId="053ECD9B" w14:textId="77777777" w:rsidR="00361D9C" w:rsidRPr="00A56A8F" w:rsidRDefault="00361D9C" w:rsidP="00D866E5">
            <w:pPr>
              <w:ind w:firstLine="0"/>
              <w:rPr>
                <w:sz w:val="18"/>
                <w:szCs w:val="18"/>
              </w:rPr>
            </w:pPr>
            <w:r w:rsidRPr="00A56A8F">
              <w:rPr>
                <w:sz w:val="18"/>
                <w:szCs w:val="18"/>
              </w:rPr>
              <w:t>893</w:t>
            </w:r>
          </w:p>
        </w:tc>
        <w:tc>
          <w:tcPr>
            <w:tcW w:w="1021" w:type="dxa"/>
            <w:shd w:val="clear" w:color="auto" w:fill="DEEAF6" w:themeFill="accent1" w:themeFillTint="33"/>
            <w:noWrap/>
            <w:tcMar>
              <w:right w:w="170" w:type="dxa"/>
            </w:tcMar>
            <w:vAlign w:val="center"/>
          </w:tcPr>
          <w:p w14:paraId="55626330" w14:textId="77777777" w:rsidR="00361D9C" w:rsidRPr="00A56A8F" w:rsidRDefault="00361D9C" w:rsidP="00D866E5">
            <w:pPr>
              <w:ind w:firstLine="0"/>
              <w:rPr>
                <w:sz w:val="18"/>
                <w:szCs w:val="18"/>
              </w:rPr>
            </w:pPr>
            <w:r w:rsidRPr="00A56A8F">
              <w:rPr>
                <w:sz w:val="18"/>
                <w:szCs w:val="18"/>
              </w:rPr>
              <w:t>883</w:t>
            </w:r>
          </w:p>
        </w:tc>
        <w:tc>
          <w:tcPr>
            <w:tcW w:w="1020" w:type="dxa"/>
            <w:shd w:val="clear" w:color="auto" w:fill="DEEAF6" w:themeFill="accent1" w:themeFillTint="33"/>
            <w:noWrap/>
            <w:tcMar>
              <w:right w:w="170" w:type="dxa"/>
            </w:tcMar>
            <w:vAlign w:val="center"/>
          </w:tcPr>
          <w:p w14:paraId="3A8404E6" w14:textId="77777777" w:rsidR="00361D9C" w:rsidRPr="00A56A8F" w:rsidRDefault="00361D9C" w:rsidP="00D866E5">
            <w:pPr>
              <w:ind w:firstLine="0"/>
              <w:rPr>
                <w:sz w:val="18"/>
                <w:szCs w:val="18"/>
              </w:rPr>
            </w:pPr>
            <w:r w:rsidRPr="00A56A8F">
              <w:rPr>
                <w:sz w:val="18"/>
                <w:szCs w:val="18"/>
              </w:rPr>
              <w:t>899</w:t>
            </w:r>
          </w:p>
        </w:tc>
        <w:tc>
          <w:tcPr>
            <w:tcW w:w="1021" w:type="dxa"/>
            <w:shd w:val="clear" w:color="auto" w:fill="DEEAF6" w:themeFill="accent1" w:themeFillTint="33"/>
            <w:noWrap/>
            <w:tcMar>
              <w:right w:w="170" w:type="dxa"/>
            </w:tcMar>
            <w:vAlign w:val="center"/>
          </w:tcPr>
          <w:p w14:paraId="75BCCAEF" w14:textId="77777777" w:rsidR="00361D9C" w:rsidRPr="00A56A8F" w:rsidRDefault="00361D9C" w:rsidP="00D866E5">
            <w:pPr>
              <w:ind w:firstLine="0"/>
              <w:rPr>
                <w:sz w:val="18"/>
                <w:szCs w:val="18"/>
              </w:rPr>
            </w:pPr>
            <w:r w:rsidRPr="00A56A8F">
              <w:rPr>
                <w:sz w:val="18"/>
                <w:szCs w:val="18"/>
              </w:rPr>
              <w:t>902</w:t>
            </w:r>
          </w:p>
        </w:tc>
        <w:tc>
          <w:tcPr>
            <w:tcW w:w="1021" w:type="dxa"/>
            <w:shd w:val="clear" w:color="auto" w:fill="DEEAF6" w:themeFill="accent1" w:themeFillTint="33"/>
            <w:noWrap/>
            <w:tcMar>
              <w:right w:w="170" w:type="dxa"/>
            </w:tcMar>
            <w:vAlign w:val="center"/>
          </w:tcPr>
          <w:p w14:paraId="66C23BCB" w14:textId="77777777" w:rsidR="00361D9C" w:rsidRPr="00A56A8F" w:rsidRDefault="00361D9C" w:rsidP="00D866E5">
            <w:pPr>
              <w:ind w:firstLine="0"/>
              <w:rPr>
                <w:sz w:val="18"/>
                <w:szCs w:val="18"/>
              </w:rPr>
            </w:pPr>
            <w:r w:rsidRPr="00A56A8F">
              <w:rPr>
                <w:sz w:val="18"/>
                <w:szCs w:val="18"/>
              </w:rPr>
              <w:t>902</w:t>
            </w:r>
          </w:p>
        </w:tc>
      </w:tr>
      <w:tr w:rsidR="00361D9C" w:rsidRPr="003C4828" w14:paraId="2C0BF1BF" w14:textId="77777777" w:rsidTr="00D866E5">
        <w:trPr>
          <w:trHeight w:val="300"/>
          <w:jc w:val="center"/>
        </w:trPr>
        <w:tc>
          <w:tcPr>
            <w:tcW w:w="3397" w:type="dxa"/>
            <w:shd w:val="clear" w:color="auto" w:fill="auto"/>
            <w:noWrap/>
            <w:vAlign w:val="center"/>
            <w:hideMark/>
          </w:tcPr>
          <w:p w14:paraId="7F622D93" w14:textId="77777777" w:rsidR="00361D9C" w:rsidRPr="00A56A8F" w:rsidRDefault="00361D9C" w:rsidP="00D866E5">
            <w:pPr>
              <w:ind w:firstLine="0"/>
              <w:jc w:val="right"/>
              <w:rPr>
                <w:noProof/>
                <w:sz w:val="18"/>
                <w:szCs w:val="18"/>
              </w:rPr>
            </w:pPr>
            <w:r w:rsidRPr="00A56A8F">
              <w:rPr>
                <w:noProof/>
                <w:sz w:val="18"/>
                <w:szCs w:val="18"/>
              </w:rPr>
              <w:t>pieaugums (%)</w:t>
            </w:r>
          </w:p>
        </w:tc>
        <w:tc>
          <w:tcPr>
            <w:tcW w:w="1020" w:type="dxa"/>
            <w:shd w:val="clear" w:color="auto" w:fill="auto"/>
            <w:noWrap/>
            <w:tcMar>
              <w:right w:w="170" w:type="dxa"/>
            </w:tcMar>
            <w:vAlign w:val="center"/>
          </w:tcPr>
          <w:p w14:paraId="747B5A75" w14:textId="77777777" w:rsidR="00361D9C" w:rsidRPr="00A56A8F" w:rsidRDefault="00361D9C" w:rsidP="00D866E5">
            <w:pPr>
              <w:ind w:firstLine="0"/>
              <w:rPr>
                <w:sz w:val="18"/>
                <w:szCs w:val="18"/>
              </w:rPr>
            </w:pPr>
            <w:r w:rsidRPr="00A56A8F">
              <w:rPr>
                <w:sz w:val="18"/>
                <w:szCs w:val="18"/>
              </w:rPr>
              <w:t>-1,9</w:t>
            </w:r>
          </w:p>
        </w:tc>
        <w:tc>
          <w:tcPr>
            <w:tcW w:w="1021" w:type="dxa"/>
            <w:shd w:val="clear" w:color="auto" w:fill="DEEAF6" w:themeFill="accent1" w:themeFillTint="33"/>
            <w:noWrap/>
            <w:tcMar>
              <w:right w:w="170" w:type="dxa"/>
            </w:tcMar>
            <w:vAlign w:val="center"/>
          </w:tcPr>
          <w:p w14:paraId="3B4A36A9" w14:textId="77777777" w:rsidR="00361D9C" w:rsidRPr="00A56A8F" w:rsidRDefault="00361D9C" w:rsidP="00D866E5">
            <w:pPr>
              <w:ind w:firstLine="0"/>
              <w:rPr>
                <w:sz w:val="18"/>
                <w:szCs w:val="18"/>
              </w:rPr>
            </w:pPr>
            <w:r w:rsidRPr="00A56A8F">
              <w:rPr>
                <w:sz w:val="18"/>
                <w:szCs w:val="18"/>
              </w:rPr>
              <w:t>-1,1</w:t>
            </w:r>
          </w:p>
        </w:tc>
        <w:tc>
          <w:tcPr>
            <w:tcW w:w="1020" w:type="dxa"/>
            <w:shd w:val="clear" w:color="auto" w:fill="DEEAF6" w:themeFill="accent1" w:themeFillTint="33"/>
            <w:noWrap/>
            <w:tcMar>
              <w:right w:w="170" w:type="dxa"/>
            </w:tcMar>
            <w:vAlign w:val="center"/>
          </w:tcPr>
          <w:p w14:paraId="291FCA7C" w14:textId="77777777" w:rsidR="00361D9C" w:rsidRPr="00A56A8F" w:rsidRDefault="00361D9C" w:rsidP="00D866E5">
            <w:pPr>
              <w:ind w:firstLine="0"/>
              <w:rPr>
                <w:sz w:val="18"/>
                <w:szCs w:val="18"/>
              </w:rPr>
            </w:pPr>
            <w:r w:rsidRPr="00A56A8F">
              <w:rPr>
                <w:sz w:val="18"/>
                <w:szCs w:val="18"/>
              </w:rPr>
              <w:t>1,8</w:t>
            </w:r>
          </w:p>
        </w:tc>
        <w:tc>
          <w:tcPr>
            <w:tcW w:w="1021" w:type="dxa"/>
            <w:shd w:val="clear" w:color="auto" w:fill="DEEAF6" w:themeFill="accent1" w:themeFillTint="33"/>
            <w:noWrap/>
            <w:tcMar>
              <w:right w:w="170" w:type="dxa"/>
            </w:tcMar>
            <w:vAlign w:val="center"/>
          </w:tcPr>
          <w:p w14:paraId="43A7CFC3" w14:textId="77777777" w:rsidR="00361D9C" w:rsidRPr="00A56A8F" w:rsidRDefault="00361D9C" w:rsidP="00D866E5">
            <w:pPr>
              <w:ind w:firstLine="0"/>
              <w:rPr>
                <w:sz w:val="18"/>
                <w:szCs w:val="18"/>
              </w:rPr>
            </w:pPr>
            <w:r w:rsidRPr="00A56A8F">
              <w:rPr>
                <w:sz w:val="18"/>
                <w:szCs w:val="18"/>
              </w:rPr>
              <w:t>0,3</w:t>
            </w:r>
          </w:p>
        </w:tc>
        <w:tc>
          <w:tcPr>
            <w:tcW w:w="1021" w:type="dxa"/>
            <w:shd w:val="clear" w:color="auto" w:fill="DEEAF6" w:themeFill="accent1" w:themeFillTint="33"/>
            <w:noWrap/>
            <w:tcMar>
              <w:right w:w="170" w:type="dxa"/>
            </w:tcMar>
            <w:vAlign w:val="center"/>
          </w:tcPr>
          <w:p w14:paraId="17DA4814" w14:textId="77777777" w:rsidR="00361D9C" w:rsidRPr="00A56A8F" w:rsidRDefault="00361D9C" w:rsidP="00D866E5">
            <w:pPr>
              <w:ind w:firstLine="0"/>
              <w:rPr>
                <w:sz w:val="18"/>
                <w:szCs w:val="18"/>
              </w:rPr>
            </w:pPr>
            <w:r w:rsidRPr="00A56A8F">
              <w:rPr>
                <w:sz w:val="18"/>
                <w:szCs w:val="18"/>
              </w:rPr>
              <w:t>0,0</w:t>
            </w:r>
          </w:p>
        </w:tc>
      </w:tr>
      <w:tr w:rsidR="00361D9C" w:rsidRPr="003C4828" w14:paraId="70362062" w14:textId="77777777" w:rsidTr="00D866E5">
        <w:trPr>
          <w:trHeight w:val="300"/>
          <w:jc w:val="center"/>
        </w:trPr>
        <w:tc>
          <w:tcPr>
            <w:tcW w:w="3397" w:type="dxa"/>
            <w:shd w:val="clear" w:color="auto" w:fill="auto"/>
            <w:noWrap/>
            <w:vAlign w:val="center"/>
            <w:hideMark/>
          </w:tcPr>
          <w:p w14:paraId="6145F4FE" w14:textId="77777777" w:rsidR="00361D9C" w:rsidRPr="00A56A8F" w:rsidRDefault="00361D9C" w:rsidP="00D866E5">
            <w:pPr>
              <w:ind w:firstLine="0"/>
              <w:jc w:val="left"/>
              <w:rPr>
                <w:noProof/>
                <w:sz w:val="18"/>
                <w:szCs w:val="18"/>
              </w:rPr>
            </w:pPr>
            <w:r w:rsidRPr="00A56A8F">
              <w:rPr>
                <w:b/>
                <w:noProof/>
                <w:sz w:val="18"/>
                <w:szCs w:val="18"/>
              </w:rPr>
              <w:t>Bezdarba līmenis</w:t>
            </w:r>
            <w:r w:rsidRPr="00A56A8F">
              <w:rPr>
                <w:noProof/>
                <w:sz w:val="18"/>
                <w:szCs w:val="18"/>
              </w:rPr>
              <w:t xml:space="preserve"> (gada vidējais, </w:t>
            </w:r>
            <w:r w:rsidRPr="00A56A8F">
              <w:rPr>
                <w:noProof/>
                <w:sz w:val="18"/>
                <w:szCs w:val="18"/>
              </w:rPr>
              <w:br/>
              <w:t>% no ekon. aktīviem iedzīv.)</w:t>
            </w:r>
          </w:p>
        </w:tc>
        <w:tc>
          <w:tcPr>
            <w:tcW w:w="1020" w:type="dxa"/>
            <w:shd w:val="clear" w:color="auto" w:fill="auto"/>
            <w:noWrap/>
            <w:tcMar>
              <w:right w:w="170" w:type="dxa"/>
            </w:tcMar>
            <w:vAlign w:val="center"/>
          </w:tcPr>
          <w:p w14:paraId="53D48E7C" w14:textId="77777777" w:rsidR="00361D9C" w:rsidRPr="00A56A8F" w:rsidRDefault="00361D9C" w:rsidP="00D866E5">
            <w:pPr>
              <w:ind w:firstLine="0"/>
              <w:rPr>
                <w:sz w:val="18"/>
                <w:szCs w:val="18"/>
              </w:rPr>
            </w:pPr>
            <w:r w:rsidRPr="00A56A8F">
              <w:rPr>
                <w:sz w:val="18"/>
                <w:szCs w:val="18"/>
              </w:rPr>
              <w:t>8,1</w:t>
            </w:r>
          </w:p>
        </w:tc>
        <w:tc>
          <w:tcPr>
            <w:tcW w:w="1021" w:type="dxa"/>
            <w:shd w:val="clear" w:color="auto" w:fill="DEEAF6" w:themeFill="accent1" w:themeFillTint="33"/>
            <w:noWrap/>
            <w:tcMar>
              <w:right w:w="170" w:type="dxa"/>
            </w:tcMar>
            <w:vAlign w:val="center"/>
          </w:tcPr>
          <w:p w14:paraId="1C6B1F90" w14:textId="77777777" w:rsidR="00361D9C" w:rsidRPr="00A56A8F" w:rsidRDefault="00361D9C" w:rsidP="00D866E5">
            <w:pPr>
              <w:ind w:firstLine="0"/>
              <w:rPr>
                <w:sz w:val="18"/>
                <w:szCs w:val="18"/>
              </w:rPr>
            </w:pPr>
            <w:r w:rsidRPr="00A56A8F">
              <w:rPr>
                <w:sz w:val="18"/>
                <w:szCs w:val="18"/>
              </w:rPr>
              <w:t>7,9</w:t>
            </w:r>
          </w:p>
        </w:tc>
        <w:tc>
          <w:tcPr>
            <w:tcW w:w="1020" w:type="dxa"/>
            <w:shd w:val="clear" w:color="auto" w:fill="DEEAF6" w:themeFill="accent1" w:themeFillTint="33"/>
            <w:noWrap/>
            <w:tcMar>
              <w:right w:w="170" w:type="dxa"/>
            </w:tcMar>
            <w:vAlign w:val="center"/>
          </w:tcPr>
          <w:p w14:paraId="54A69C19" w14:textId="77777777" w:rsidR="00361D9C" w:rsidRPr="00A56A8F" w:rsidRDefault="00361D9C" w:rsidP="00D866E5">
            <w:pPr>
              <w:ind w:firstLine="0"/>
              <w:rPr>
                <w:sz w:val="18"/>
                <w:szCs w:val="18"/>
              </w:rPr>
            </w:pPr>
            <w:r w:rsidRPr="00A56A8F">
              <w:rPr>
                <w:sz w:val="18"/>
                <w:szCs w:val="18"/>
              </w:rPr>
              <w:t>7,0</w:t>
            </w:r>
          </w:p>
        </w:tc>
        <w:tc>
          <w:tcPr>
            <w:tcW w:w="1021" w:type="dxa"/>
            <w:shd w:val="clear" w:color="auto" w:fill="DEEAF6" w:themeFill="accent1" w:themeFillTint="33"/>
            <w:noWrap/>
            <w:tcMar>
              <w:right w:w="170" w:type="dxa"/>
            </w:tcMar>
            <w:vAlign w:val="center"/>
          </w:tcPr>
          <w:p w14:paraId="16BF3B2F" w14:textId="77777777" w:rsidR="00361D9C" w:rsidRPr="00A56A8F" w:rsidRDefault="00361D9C" w:rsidP="00D866E5">
            <w:pPr>
              <w:ind w:firstLine="0"/>
              <w:rPr>
                <w:sz w:val="18"/>
                <w:szCs w:val="18"/>
              </w:rPr>
            </w:pPr>
            <w:r w:rsidRPr="00A56A8F">
              <w:rPr>
                <w:sz w:val="18"/>
                <w:szCs w:val="18"/>
              </w:rPr>
              <w:t>6,3</w:t>
            </w:r>
          </w:p>
        </w:tc>
        <w:tc>
          <w:tcPr>
            <w:tcW w:w="1021" w:type="dxa"/>
            <w:shd w:val="clear" w:color="auto" w:fill="DEEAF6" w:themeFill="accent1" w:themeFillTint="33"/>
            <w:noWrap/>
            <w:tcMar>
              <w:right w:w="170" w:type="dxa"/>
            </w:tcMar>
            <w:vAlign w:val="center"/>
          </w:tcPr>
          <w:p w14:paraId="414E3438" w14:textId="77777777" w:rsidR="00361D9C" w:rsidRPr="00A56A8F" w:rsidRDefault="00361D9C" w:rsidP="00D866E5">
            <w:pPr>
              <w:ind w:firstLine="0"/>
              <w:rPr>
                <w:sz w:val="18"/>
                <w:szCs w:val="18"/>
              </w:rPr>
            </w:pPr>
            <w:r w:rsidRPr="00A56A8F">
              <w:rPr>
                <w:sz w:val="18"/>
                <w:szCs w:val="18"/>
              </w:rPr>
              <w:t>5,9</w:t>
            </w:r>
          </w:p>
        </w:tc>
      </w:tr>
    </w:tbl>
    <w:p w14:paraId="678539D9" w14:textId="77777777" w:rsidR="00361D9C" w:rsidRDefault="00361D9C" w:rsidP="00DB0C13"/>
    <w:p w14:paraId="7D09298C" w14:textId="77777777" w:rsidR="00361D9C" w:rsidRPr="00361D9C" w:rsidRDefault="00361D9C" w:rsidP="00DB0C13">
      <w:pPr>
        <w:rPr>
          <w:rFonts w:eastAsia="Calibri"/>
        </w:rPr>
      </w:pPr>
      <w:r w:rsidRPr="00361D9C">
        <w:rPr>
          <w:rFonts w:eastAsia="Calibri"/>
        </w:rPr>
        <w:t>Gada vidējā inflācija 2021. gadā prognozēta 2,0% un 2022. gadā 2,4% līmenī. Salīdzinājumā ar februāra prognozēm inflācijas prognoze 2021. gadam ir palielināta par 0,6 procentpunktiem un 2022. gadam – par 0,4 procentpunktiem. Straujāku patēriņa cenu pieaugumu noteiks gan izejvielu preču cenu, tostarp naftas un pārtikas izejvielu cenu kāpums pasaulē, gan arī ekonomiskās izaugsmes paātrināšanās Latvijā un pakalpojumu cenu pieaugums. Savukārt turpmākajos divos gados inflācija samazināsies līdz 2% līmenim.</w:t>
      </w:r>
    </w:p>
    <w:p w14:paraId="638BD964" w14:textId="734ADC92" w:rsidR="00361D9C" w:rsidRPr="00361D9C" w:rsidRDefault="00361D9C" w:rsidP="00DB0C13">
      <w:pPr>
        <w:rPr>
          <w:rFonts w:eastAsia="Calibri"/>
        </w:rPr>
      </w:pPr>
      <w:r w:rsidRPr="00361D9C">
        <w:rPr>
          <w:rFonts w:eastAsia="Calibri"/>
        </w:rPr>
        <w:t>Līdz ar straujāku ekonomikas izaugsmi bezdarba līmenis Latvijā 2021. gadā pazemināsies līdz 7,9%, kas ir par 0,4 procentpunktiem mazāk nekā tika prognozēts šā gada februārī, jo valdības atbalsta programma mazinās nodarbinātības samazinājumu Covid</w:t>
      </w:r>
      <w:r w:rsidRPr="00361D9C">
        <w:rPr>
          <w:rFonts w:eastAsia="Calibri"/>
        </w:rPr>
        <w:noBreakHyphen/>
        <w:t>19 ietekmētajās nozarēs. 2022. gadā, turpinoties straujai ekonomikas attīstībai un samazinoties darbspējas vecuma iedzīvotāju skaitam, bezdarba līmenis pazemināsies līdz 7,0%. Nodarbināto skaits nedaudz palielināsies 2022. gadā un tam līdz 2024. ga</w:t>
      </w:r>
      <w:r w:rsidR="00D866E5">
        <w:rPr>
          <w:rFonts w:eastAsia="Calibri"/>
        </w:rPr>
        <w:t>dam stabilizējoties 900 tūkst.</w:t>
      </w:r>
      <w:r w:rsidRPr="00361D9C">
        <w:rPr>
          <w:rFonts w:eastAsia="Calibri"/>
        </w:rPr>
        <w:t xml:space="preserve"> līmenī, bezdarbs 2024. gadā jau noslīdētu līdz 5,9%.</w:t>
      </w:r>
    </w:p>
    <w:p w14:paraId="071FC326" w14:textId="77777777" w:rsidR="00361D9C" w:rsidRPr="00361D9C" w:rsidRDefault="00361D9C" w:rsidP="00DB0C13">
      <w:pPr>
        <w:rPr>
          <w:rFonts w:eastAsia="Calibri"/>
        </w:rPr>
      </w:pPr>
      <w:r w:rsidRPr="00361D9C">
        <w:rPr>
          <w:rFonts w:eastAsia="Calibri"/>
        </w:rPr>
        <w:t>Mēneša vidējās bruto darba samaksas pieaugums šogad prognozēts 8,0% apmērā, vidējai darba samaksai paaugstinoties līdz 1 234 </w:t>
      </w:r>
      <w:r w:rsidRPr="00361D9C">
        <w:rPr>
          <w:rFonts w:eastAsia="Calibri"/>
          <w:i/>
        </w:rPr>
        <w:t>euro</w:t>
      </w:r>
      <w:r w:rsidRPr="00361D9C">
        <w:rPr>
          <w:rFonts w:eastAsia="Calibri"/>
        </w:rPr>
        <w:t xml:space="preserve">. Nākamajā gadā algu pieaugums veidos </w:t>
      </w:r>
      <w:r w:rsidRPr="00361D9C">
        <w:rPr>
          <w:rFonts w:eastAsia="Calibri"/>
        </w:rPr>
        <w:lastRenderedPageBreak/>
        <w:t>6,0% un vidējā termiņā pietuvosies produktivitātes pieaugumam tautsaimniecībā, kas ir ap 3,2%.</w:t>
      </w:r>
    </w:p>
    <w:p w14:paraId="688E38E8" w14:textId="77777777" w:rsidR="00361D9C" w:rsidRPr="00361D9C" w:rsidRDefault="00361D9C" w:rsidP="00DB0C13">
      <w:pPr>
        <w:jc w:val="center"/>
        <w:rPr>
          <w:rFonts w:eastAsia="Calibri"/>
          <w:b/>
        </w:rPr>
      </w:pPr>
      <w:r w:rsidRPr="00361D9C">
        <w:rPr>
          <w:rFonts w:eastAsia="Calibri"/>
          <w:b/>
        </w:rPr>
        <w:t>Makroekonomiskās attīstības scenārija riski</w:t>
      </w:r>
    </w:p>
    <w:p w14:paraId="332A0DA6" w14:textId="77777777" w:rsidR="00361D9C" w:rsidRPr="00361D9C" w:rsidRDefault="00361D9C" w:rsidP="00DB0C13">
      <w:pPr>
        <w:rPr>
          <w:rFonts w:eastAsia="Calibri"/>
        </w:rPr>
      </w:pPr>
      <w:r w:rsidRPr="00361D9C">
        <w:rPr>
          <w:rFonts w:eastAsia="Calibri"/>
        </w:rPr>
        <w:t>Izstrādājot makroekonomisko rādītāju prognozes, Finanšu ministrija balstījās uz konservatīviem pieņēmumiem. Jāatzīmē, ka nenoteiktība ap Covid</w:t>
      </w:r>
      <w:r w:rsidRPr="00361D9C">
        <w:rPr>
          <w:rFonts w:eastAsia="Calibri"/>
        </w:rPr>
        <w:noBreakHyphen/>
        <w:t>19 izplatību saglabājas augsta un ekonomikas izaugsme var izrādīties gan straujāka, gan lēnāka, nekā paredz bāzes scenārija prognoze, tomēr prognožu riski pārsvarā ir lejupvērsti.</w:t>
      </w:r>
    </w:p>
    <w:p w14:paraId="6F5A6C53" w14:textId="77777777" w:rsidR="00361D9C" w:rsidRPr="00361D9C" w:rsidRDefault="00361D9C" w:rsidP="00DB0C13">
      <w:pPr>
        <w:rPr>
          <w:rFonts w:eastAsia="Calibri"/>
        </w:rPr>
      </w:pPr>
      <w:r w:rsidRPr="00361D9C">
        <w:rPr>
          <w:rFonts w:eastAsia="Calibri"/>
        </w:rPr>
        <w:t>Būtiskākais negatīvais risks ir Covid</w:t>
      </w:r>
      <w:r w:rsidRPr="00361D9C">
        <w:rPr>
          <w:rFonts w:eastAsia="Calibri"/>
        </w:rPr>
        <w:noBreakHyphen/>
        <w:t>19 nākamais uzliesmojums Eiropā un Latvijā, ko varētu izraisīt jaunais Indijas jeb delta vīrusa paveids. Pieaugot mirstībai, tas var radīt nepieciešamību pēc jauniem, vēl spēcīgākiem ierobežojošajiem pasākumiem. Turklāt ekonomiskās stimulēšanas ietekmē kapacitātes trūkums būvniecības nozarē var izraisīt strauju cenu kāpumu, nenodrošinot investīciju gaidīto pozitīvo devumu ekonomikas izaugsmē. Lai arī neliels, tomēr pastāv risks, kas saistīts ar politisko nestabilitāti dažās kaimiņvalstīs, un var straujāk mazināt jau tā zemos kravu tranzīta apjomus.</w:t>
      </w:r>
    </w:p>
    <w:p w14:paraId="578EB59E" w14:textId="534939B1" w:rsidR="00322C7C" w:rsidRPr="00D866E5" w:rsidRDefault="00361D9C" w:rsidP="00D866E5">
      <w:pPr>
        <w:rPr>
          <w:rFonts w:eastAsia="Calibri"/>
        </w:rPr>
      </w:pPr>
      <w:r w:rsidRPr="00361D9C">
        <w:rPr>
          <w:rFonts w:eastAsia="Calibri"/>
        </w:rPr>
        <w:t>Vienlaikus pastāv arī pozitīvie riski, kas var nodrošināt straujāku ekonomiskās izaugsmes atjaunošanos Latvijā, ja ekonomikas izaugsme pasaulē un Latvijas tirdzniecības partnervalstīs atjaunojas straujāk nekā prognozēts. E</w:t>
      </w:r>
      <w:r w:rsidR="00D866E5">
        <w:rPr>
          <w:rFonts w:eastAsia="Calibri"/>
        </w:rPr>
        <w:t>konomisko aktivitāti stimulēs Eiropas Savienības</w:t>
      </w:r>
      <w:r w:rsidRPr="00361D9C">
        <w:rPr>
          <w:rFonts w:eastAsia="Calibri"/>
        </w:rPr>
        <w:t xml:space="preserve"> fondu investīcijas 2021-2027. gada plānošanas periodā, it sevišķi Eiropas Atveseļošanas un noturības mehānisma īstenošana un </w:t>
      </w:r>
      <w:r w:rsidRPr="00361D9C">
        <w:rPr>
          <w:rFonts w:eastAsia="Calibri"/>
          <w:i/>
        </w:rPr>
        <w:t>RailBaltica</w:t>
      </w:r>
      <w:r w:rsidRPr="00361D9C">
        <w:rPr>
          <w:rFonts w:eastAsia="Calibri"/>
        </w:rPr>
        <w:t xml:space="preserve"> projekta realizācija. Tāpat iespējams arī straujāks privātā patēriņa kāpums Latvijā, ko var nodrošināt mājsaimniecību uzk</w:t>
      </w:r>
      <w:r w:rsidR="00D866E5">
        <w:rPr>
          <w:rFonts w:eastAsia="Calibri"/>
        </w:rPr>
        <w:t>rājumu pieaugums pēdējos gados.</w:t>
      </w:r>
    </w:p>
    <w:p w14:paraId="6755DA58" w14:textId="627AAB00" w:rsidR="003F3FCD" w:rsidRPr="002808B3" w:rsidRDefault="00DB0C13" w:rsidP="00D866E5">
      <w:pPr>
        <w:pStyle w:val="Heading2"/>
        <w:spacing w:before="240" w:after="240"/>
        <w:jc w:val="center"/>
        <w:rPr>
          <w:rFonts w:eastAsia="Calibri" w:cs="Times New Roman"/>
          <w:szCs w:val="32"/>
        </w:rPr>
      </w:pPr>
      <w:bookmarkStart w:id="32" w:name="_Toc84756400"/>
      <w:r>
        <w:rPr>
          <w:rFonts w:eastAsia="Times New Roman" w:cs="Times New Roman"/>
          <w:szCs w:val="32"/>
        </w:rPr>
        <w:t xml:space="preserve">1.5. </w:t>
      </w:r>
      <w:r w:rsidR="000548A5" w:rsidRPr="002808B3">
        <w:rPr>
          <w:rFonts w:eastAsia="Times New Roman" w:cs="Times New Roman"/>
          <w:szCs w:val="32"/>
        </w:rPr>
        <w:t>Jūtīguma analīze</w:t>
      </w:r>
      <w:bookmarkEnd w:id="32"/>
    </w:p>
    <w:p w14:paraId="3EE67ACD" w14:textId="77777777" w:rsidR="001E5473" w:rsidRPr="00DF1711" w:rsidRDefault="001E5473" w:rsidP="001E5473">
      <w:pPr>
        <w:spacing w:before="120"/>
        <w:ind w:firstLine="567"/>
        <w:rPr>
          <w:rFonts w:eastAsia="Calibri"/>
        </w:rPr>
      </w:pPr>
      <w:r w:rsidRPr="00DF1711">
        <w:rPr>
          <w:rFonts w:eastAsia="Calibri"/>
        </w:rPr>
        <w:t>Ņemot vērā iespējamos pozitīvos un negatīvos riskus ekonomikas izaugsmei, Finanšu ministrija ir izstrādājusi divus alternatīvus ekonomikas attīstības scenārijus laika posmam no 2021. līdz 2024</w:t>
      </w:r>
      <w:r>
        <w:rPr>
          <w:rFonts w:eastAsia="Calibri"/>
        </w:rPr>
        <w:t>. gad</w:t>
      </w:r>
      <w:r w:rsidRPr="00DF1711">
        <w:rPr>
          <w:rFonts w:eastAsia="Calibri"/>
        </w:rPr>
        <w:t>am, kad realizētos viens vai vairāki no iepriekš</w:t>
      </w:r>
      <w:r>
        <w:rPr>
          <w:rFonts w:eastAsia="Calibri"/>
        </w:rPr>
        <w:t xml:space="preserve"> </w:t>
      </w:r>
      <w:r w:rsidRPr="00DF1711">
        <w:rPr>
          <w:rFonts w:eastAsia="Calibri"/>
        </w:rPr>
        <w:t xml:space="preserve">minētajiem riskiem. Šajos scenārijos ir modelēta šo risku realizēšanās ietekme uz dažādiem makroekonomiskajiem rādītājiem un </w:t>
      </w:r>
      <w:r>
        <w:rPr>
          <w:rFonts w:eastAsia="Calibri"/>
        </w:rPr>
        <w:t xml:space="preserve">vispārējās valdības </w:t>
      </w:r>
      <w:r w:rsidRPr="00DF1711">
        <w:rPr>
          <w:rFonts w:eastAsia="Calibri"/>
        </w:rPr>
        <w:t>budžet</w:t>
      </w:r>
      <w:r>
        <w:rPr>
          <w:rFonts w:eastAsia="Calibri"/>
        </w:rPr>
        <w:t>u un parādu</w:t>
      </w:r>
      <w:r w:rsidRPr="00DF1711">
        <w:rPr>
          <w:rFonts w:eastAsia="Calibri"/>
        </w:rPr>
        <w:t>.</w:t>
      </w:r>
    </w:p>
    <w:p w14:paraId="580EB718" w14:textId="1EEBE7C1" w:rsidR="003F3FCD" w:rsidRPr="002808B3" w:rsidRDefault="000110A6" w:rsidP="00D866E5">
      <w:pPr>
        <w:pStyle w:val="Heading3"/>
        <w:numPr>
          <w:ilvl w:val="0"/>
          <w:numId w:val="0"/>
        </w:numPr>
        <w:spacing w:before="240" w:after="240"/>
      </w:pPr>
      <w:bookmarkStart w:id="33" w:name="_Toc84756401"/>
      <w:r>
        <w:t xml:space="preserve">1.5.1. </w:t>
      </w:r>
      <w:r w:rsidR="000548A5" w:rsidRPr="002808B3">
        <w:t>Optimistiskais scenārijs</w:t>
      </w:r>
      <w:bookmarkEnd w:id="33"/>
    </w:p>
    <w:p w14:paraId="50F0B1EE" w14:textId="77777777" w:rsidR="001E5473" w:rsidRPr="00DF1711" w:rsidRDefault="001E5473" w:rsidP="001E5473">
      <w:pPr>
        <w:spacing w:before="120"/>
        <w:ind w:firstLine="567"/>
        <w:rPr>
          <w:rFonts w:eastAsia="Calibri"/>
        </w:rPr>
      </w:pPr>
      <w:r w:rsidRPr="00DF1711">
        <w:rPr>
          <w:rFonts w:eastAsia="Calibri"/>
        </w:rPr>
        <w:t>Optimistiskā scenārija galvenais p</w:t>
      </w:r>
      <w:r>
        <w:rPr>
          <w:rFonts w:eastAsia="Calibri"/>
        </w:rPr>
        <w:t>amats ir straujāka</w:t>
      </w:r>
      <w:r w:rsidRPr="00DF1711">
        <w:rPr>
          <w:rFonts w:eastAsia="Calibri"/>
        </w:rPr>
        <w:t xml:space="preserve"> nekā pamata scenārijā, ekonomiskā izaugsme, pieņemot, ka līdz gada beigām nebūs vajadzības ieviest dažādos </w:t>
      </w:r>
      <w:r>
        <w:rPr>
          <w:rFonts w:eastAsia="Calibri"/>
        </w:rPr>
        <w:t>Covid</w:t>
      </w:r>
      <w:r>
        <w:rPr>
          <w:rFonts w:eastAsia="Calibri"/>
        </w:rPr>
        <w:noBreakHyphen/>
        <w:t>19</w:t>
      </w:r>
      <w:r w:rsidRPr="00DF1711">
        <w:rPr>
          <w:rFonts w:eastAsia="Calibri"/>
        </w:rPr>
        <w:t xml:space="preserve"> ierobežojumus, proti, pandēmijas gaita būs kontrolēta un neradīs papildus slogu nedz veselības sistēmai, nedz ekonomikai kopumā. Līdz ar to būtiski uzlabosies patērētāju un uzņēmēju noskaņojums, un to pieaugusī aktivitāte stimulē</w:t>
      </w:r>
      <w:r>
        <w:rPr>
          <w:rFonts w:eastAsia="Calibri"/>
        </w:rPr>
        <w:t>s</w:t>
      </w:r>
      <w:r w:rsidRPr="00DF1711">
        <w:rPr>
          <w:rFonts w:eastAsia="Calibri"/>
        </w:rPr>
        <w:t xml:space="preserve"> iekšzemes patēriņu.</w:t>
      </w:r>
    </w:p>
    <w:p w14:paraId="3CE6DDD0" w14:textId="77777777" w:rsidR="001E5473" w:rsidRPr="00DF1711" w:rsidRDefault="001E5473" w:rsidP="001E5473">
      <w:pPr>
        <w:spacing w:before="120"/>
        <w:ind w:firstLine="567"/>
        <w:rPr>
          <w:rFonts w:eastAsia="Calibri"/>
        </w:rPr>
      </w:pPr>
      <w:r w:rsidRPr="00DF1711">
        <w:rPr>
          <w:rFonts w:eastAsia="Calibri"/>
        </w:rPr>
        <w:t>Šis scenārijs paredz, ka arī situācija tirdzniecības partnervalstīs būs labāka nekā prognozēts pavasarī, dodot papildus stimulu eksportam. Turklāt tādā gadījumā straujāk attīstīsies arī ar tūrismu saistītā</w:t>
      </w:r>
      <w:r>
        <w:rPr>
          <w:rFonts w:eastAsia="Calibri"/>
        </w:rPr>
        <w:t>s nozares. A</w:t>
      </w:r>
      <w:r w:rsidRPr="00DF1711">
        <w:rPr>
          <w:rFonts w:eastAsia="Calibri"/>
        </w:rPr>
        <w:t>rī š</w:t>
      </w:r>
      <w:r>
        <w:rPr>
          <w:rFonts w:eastAsia="Calibri"/>
        </w:rPr>
        <w:t>ā</w:t>
      </w:r>
      <w:r w:rsidRPr="00DF1711">
        <w:rPr>
          <w:rFonts w:eastAsia="Calibri"/>
        </w:rPr>
        <w:t xml:space="preserve"> gada vasaras vidū novērotais izejvielu cenu pieaugums stimulēs piedāvājuma pieaugumu, cerot uz labāku peļņu; tas kopumā veicinās eksporta izaugsmi. Valdības patēriņa pieaugums 2021</w:t>
      </w:r>
      <w:r>
        <w:rPr>
          <w:rFonts w:eastAsia="Calibri"/>
        </w:rPr>
        <w:t>. gad</w:t>
      </w:r>
      <w:r w:rsidRPr="00DF1711">
        <w:rPr>
          <w:rFonts w:eastAsia="Calibri"/>
        </w:rPr>
        <w:t>a otrajā ceturksnī būtiski pārspēja prognozi, izdevumu veselībai un pabalstu dēļ, kas atstās pozitīvu bāzes efektu uz šo gadu un nedaudz arī uz 2022</w:t>
      </w:r>
      <w:r>
        <w:rPr>
          <w:rFonts w:eastAsia="Calibri"/>
        </w:rPr>
        <w:t>. gad</w:t>
      </w:r>
      <w:r w:rsidRPr="00DF1711">
        <w:rPr>
          <w:rFonts w:eastAsia="Calibri"/>
        </w:rPr>
        <w:t>u.</w:t>
      </w:r>
      <w:r>
        <w:rPr>
          <w:rFonts w:eastAsia="Calibri"/>
        </w:rPr>
        <w:t xml:space="preserve"> Savukārt 2023. un 2024. gadu ekonomikas attīstība atbilstu bāzes scenārija pieauguma tempiem.</w:t>
      </w:r>
    </w:p>
    <w:p w14:paraId="7FD8530B" w14:textId="51554CB2" w:rsidR="001E5473" w:rsidRPr="00DF1711" w:rsidRDefault="001E5473" w:rsidP="001E5473">
      <w:pPr>
        <w:spacing w:before="120"/>
        <w:ind w:firstLine="567"/>
        <w:rPr>
          <w:rFonts w:eastAsia="Calibri"/>
        </w:rPr>
      </w:pPr>
      <w:r w:rsidRPr="00DF1711">
        <w:rPr>
          <w:rFonts w:eastAsia="Calibri"/>
        </w:rPr>
        <w:lastRenderedPageBreak/>
        <w:t xml:space="preserve">Lai arī </w:t>
      </w:r>
      <w:r>
        <w:rPr>
          <w:rFonts w:eastAsia="Calibri"/>
        </w:rPr>
        <w:t xml:space="preserve">izaugsme </w:t>
      </w:r>
      <w:r w:rsidRPr="00DF1711">
        <w:rPr>
          <w:rFonts w:eastAsia="Calibri"/>
        </w:rPr>
        <w:t>bija gaidāma, tomēr 2021</w:t>
      </w:r>
      <w:r>
        <w:rPr>
          <w:rFonts w:eastAsia="Calibri"/>
        </w:rPr>
        <w:t>. gada 2. ceturksnī iekšzemes kopprodukts</w:t>
      </w:r>
      <w:r w:rsidRPr="00DF1711">
        <w:rPr>
          <w:rFonts w:eastAsia="Calibri"/>
        </w:rPr>
        <w:t xml:space="preserve"> negaidīti uzrā</w:t>
      </w:r>
      <w:r>
        <w:rPr>
          <w:rFonts w:eastAsia="Calibri"/>
        </w:rPr>
        <w:t>dīja straujāku – 11% pieaugumu gada izteiksmē</w:t>
      </w:r>
      <w:r w:rsidRPr="00DF1711">
        <w:rPr>
          <w:rFonts w:eastAsia="Calibri"/>
        </w:rPr>
        <w:t>. Tam būs pozitīvs bāzes efekts uz izaugsmes statistiku, 2021</w:t>
      </w:r>
      <w:r>
        <w:rPr>
          <w:rFonts w:eastAsia="Calibri"/>
        </w:rPr>
        <w:t>. gad</w:t>
      </w:r>
      <w:r w:rsidRPr="00DF1711">
        <w:rPr>
          <w:rFonts w:eastAsia="Calibri"/>
        </w:rPr>
        <w:t xml:space="preserve">ā nodrošinot, ka </w:t>
      </w:r>
      <w:r>
        <w:rPr>
          <w:rFonts w:eastAsia="Calibri"/>
        </w:rPr>
        <w:t>iekšzemes kopprodukta</w:t>
      </w:r>
      <w:r w:rsidRPr="00DF1711">
        <w:rPr>
          <w:rFonts w:eastAsia="Calibri"/>
        </w:rPr>
        <w:t xml:space="preserve"> pieaugums būtu 4,7% apmērā, kas ir par 1 procentpunktu vairāk nekā bāzes scenārijā, un par 0,2 procentpunktiem labāku 2022</w:t>
      </w:r>
      <w:r>
        <w:rPr>
          <w:rFonts w:eastAsia="Calibri"/>
        </w:rPr>
        <w:t>. gad</w:t>
      </w:r>
      <w:r w:rsidRPr="00DF1711">
        <w:rPr>
          <w:rFonts w:eastAsia="Calibri"/>
        </w:rPr>
        <w:t>a izaugsmi, kas sasniegtu 5,</w:t>
      </w:r>
      <w:r>
        <w:rPr>
          <w:rFonts w:eastAsia="Calibri"/>
        </w:rPr>
        <w:t>2%, turpmākajos gados atgriežoties pie potenciālā izaugsmes tempa.</w:t>
      </w:r>
    </w:p>
    <w:p w14:paraId="28F6CF13" w14:textId="77777777" w:rsidR="001E5473" w:rsidRPr="00DF1711" w:rsidRDefault="001E5473" w:rsidP="001E5473">
      <w:pPr>
        <w:spacing w:before="120"/>
        <w:ind w:firstLine="567"/>
        <w:rPr>
          <w:rFonts w:eastAsia="Calibri"/>
        </w:rPr>
      </w:pPr>
      <w:r w:rsidRPr="00DF1711">
        <w:rPr>
          <w:rFonts w:eastAsia="Calibri"/>
        </w:rPr>
        <w:t>Straujāka ekonomiskā aktivitāte atstās pozitīvu ietekmi uz darba algas pieaugumu un nodarbinātību. Paredzams, ka bezdarba līmenis varētu vēl samazināties līdz 7,7% (bāzes scenārijā 7,9%). Savukārt mēneša vidējās bruto darba samaksas pieaugums 2021. un 2022</w:t>
      </w:r>
      <w:r>
        <w:rPr>
          <w:rFonts w:eastAsia="Calibri"/>
        </w:rPr>
        <w:t>. gad</w:t>
      </w:r>
      <w:r w:rsidRPr="00DF1711">
        <w:rPr>
          <w:rFonts w:eastAsia="Calibri"/>
        </w:rPr>
        <w:t>ā attiecīgi būtu par 1</w:t>
      </w:r>
      <w:r>
        <w:rPr>
          <w:rFonts w:eastAsia="Calibri"/>
        </w:rPr>
        <w:t>,0</w:t>
      </w:r>
      <w:r w:rsidRPr="00DF1711">
        <w:rPr>
          <w:rFonts w:eastAsia="Calibri"/>
        </w:rPr>
        <w:t xml:space="preserve"> un 0,1 procentpunktu straujāks nekā bāzes scenārijā, un pieaugot par attiecīgi 9% un 6,1%. Šo faktoru ietekmē pieaugtu privātais patēriņš, bet relatīvi lielāku pieaugumu</w:t>
      </w:r>
      <w:r>
        <w:rPr>
          <w:rFonts w:eastAsia="Calibri"/>
        </w:rPr>
        <w:t xml:space="preserve"> tas</w:t>
      </w:r>
      <w:r w:rsidRPr="00DF1711">
        <w:rPr>
          <w:rFonts w:eastAsia="Calibri"/>
        </w:rPr>
        <w:t xml:space="preserve"> uzrādītu 2022</w:t>
      </w:r>
      <w:r>
        <w:rPr>
          <w:rFonts w:eastAsia="Calibri"/>
        </w:rPr>
        <w:t>. gad</w:t>
      </w:r>
      <w:r w:rsidRPr="00DF1711">
        <w:rPr>
          <w:rFonts w:eastAsia="Calibri"/>
        </w:rPr>
        <w:t xml:space="preserve">ā, kad pilnībā izzustu </w:t>
      </w:r>
      <w:r>
        <w:rPr>
          <w:rFonts w:eastAsia="Calibri"/>
        </w:rPr>
        <w:t>Covid</w:t>
      </w:r>
      <w:r>
        <w:rPr>
          <w:rFonts w:eastAsia="Calibri"/>
        </w:rPr>
        <w:noBreakHyphen/>
        <w:t>19</w:t>
      </w:r>
      <w:r w:rsidRPr="00DF1711">
        <w:rPr>
          <w:rFonts w:eastAsia="Calibri"/>
        </w:rPr>
        <w:t xml:space="preserve"> ierobežojumu psiholoģiskā ietekme. Tād</w:t>
      </w:r>
      <w:r>
        <w:rPr>
          <w:rFonts w:eastAsia="Calibri"/>
        </w:rPr>
        <w:t>ējādi</w:t>
      </w:r>
      <w:r w:rsidRPr="00DF1711">
        <w:rPr>
          <w:rFonts w:eastAsia="Calibri"/>
        </w:rPr>
        <w:t xml:space="preserve"> šajā gadā privātā patēriņa pieaugums varētu sasniegt 4%, kas ir 1,4 procentpunktu straujāk nekā bāzes scenārijā.</w:t>
      </w:r>
    </w:p>
    <w:p w14:paraId="1F72CBF8" w14:textId="42C1B067" w:rsidR="001E5473" w:rsidRDefault="001E5473" w:rsidP="00A45F1F">
      <w:pPr>
        <w:spacing w:before="120"/>
        <w:ind w:firstLine="567"/>
        <w:rPr>
          <w:rFonts w:eastAsia="Calibri"/>
        </w:rPr>
      </w:pPr>
      <w:r w:rsidRPr="00DF1711">
        <w:rPr>
          <w:rFonts w:eastAsia="Calibri"/>
        </w:rPr>
        <w:t>Sākot ar 2022</w:t>
      </w:r>
      <w:r>
        <w:rPr>
          <w:rFonts w:eastAsia="Calibri"/>
        </w:rPr>
        <w:t>. gadu ļoti nozīmīgs būs Eiropas Savienības</w:t>
      </w:r>
      <w:r w:rsidRPr="00DF1711">
        <w:rPr>
          <w:rFonts w:eastAsia="Calibri"/>
        </w:rPr>
        <w:t xml:space="preserve"> finansēto investīciju ieplūdes pieaugums. Līdz ar to gaidāms, ka bruto pamatkapitāla veidošana varētu pieaugt par 10% jeb par 1,5 procentpunktiem </w:t>
      </w:r>
      <w:r w:rsidRPr="00DF1711">
        <w:rPr>
          <w:rFonts w:eastAsia="Calibri"/>
          <w:noProof/>
        </w:rPr>
        <w:t xml:space="preserve">vairāk nekā bāzes scenārijā. To nodrošinās Eiropas Atveseļošanās un noturības mehānisma un </w:t>
      </w:r>
      <w:r w:rsidRPr="007C2E86">
        <w:rPr>
          <w:rFonts w:eastAsia="Calibri"/>
          <w:i/>
          <w:noProof/>
        </w:rPr>
        <w:t>RailBaltica</w:t>
      </w:r>
      <w:r w:rsidRPr="00DF1711">
        <w:rPr>
          <w:rFonts w:eastAsia="Calibri"/>
          <w:noProof/>
        </w:rPr>
        <w:t xml:space="preserve"> realizācijas paredzē</w:t>
      </w:r>
      <w:r>
        <w:rPr>
          <w:rFonts w:eastAsia="Calibri"/>
          <w:noProof/>
        </w:rPr>
        <w:t>tais finansējums, kas kopā ar Eiropas Savienības</w:t>
      </w:r>
      <w:r w:rsidRPr="00DF1711">
        <w:rPr>
          <w:rFonts w:eastAsia="Calibri"/>
          <w:noProof/>
        </w:rPr>
        <w:t xml:space="preserve"> struktūrfondiem nodrošinās ap</w:t>
      </w:r>
      <w:r>
        <w:rPr>
          <w:rFonts w:eastAsia="Calibri"/>
          <w:noProof/>
        </w:rPr>
        <w:t xml:space="preserve"> 1</w:t>
      </w:r>
      <w:r w:rsidRPr="00DF1711">
        <w:rPr>
          <w:rFonts w:eastAsia="Calibri"/>
          <w:noProof/>
        </w:rPr>
        <w:t>,2 miljardu</w:t>
      </w:r>
      <w:r>
        <w:rPr>
          <w:rFonts w:eastAsia="Calibri"/>
          <w:noProof/>
        </w:rPr>
        <w:t xml:space="preserve"> </w:t>
      </w:r>
      <w:r w:rsidRPr="00EA423D">
        <w:rPr>
          <w:rFonts w:eastAsia="Calibri"/>
          <w:i/>
          <w:noProof/>
        </w:rPr>
        <w:t>euro</w:t>
      </w:r>
      <w:r>
        <w:rPr>
          <w:rFonts w:eastAsia="Calibri"/>
          <w:noProof/>
        </w:rPr>
        <w:t xml:space="preserve"> investīcijas</w:t>
      </w:r>
      <w:r w:rsidRPr="00DF1711">
        <w:rPr>
          <w:rFonts w:eastAsia="Calibri"/>
          <w:noProof/>
        </w:rPr>
        <w:t>, un aptuveni 1,5 un 1,6 miljardu </w:t>
      </w:r>
      <w:r w:rsidRPr="00EA423D">
        <w:rPr>
          <w:rFonts w:eastAsia="Calibri"/>
          <w:i/>
          <w:noProof/>
        </w:rPr>
        <w:t>euro</w:t>
      </w:r>
      <w:r w:rsidRPr="00DF1711">
        <w:rPr>
          <w:rFonts w:eastAsia="Calibri"/>
          <w:noProof/>
        </w:rPr>
        <w:t xml:space="preserve"> </w:t>
      </w:r>
      <w:r>
        <w:rPr>
          <w:rFonts w:eastAsia="Calibri"/>
          <w:noProof/>
        </w:rPr>
        <w:t xml:space="preserve">investīcijas </w:t>
      </w:r>
      <w:r w:rsidRPr="00DF1711">
        <w:rPr>
          <w:rFonts w:eastAsia="Calibri"/>
          <w:noProof/>
        </w:rPr>
        <w:t>attiecīgi 2023. un 2024</w:t>
      </w:r>
      <w:r>
        <w:rPr>
          <w:rFonts w:eastAsia="Calibri"/>
          <w:noProof/>
        </w:rPr>
        <w:t>. gad</w:t>
      </w:r>
      <w:r w:rsidRPr="00DF1711">
        <w:rPr>
          <w:rFonts w:eastAsia="Calibri"/>
          <w:noProof/>
        </w:rPr>
        <w:t>ā</w:t>
      </w:r>
      <w:r w:rsidRPr="00DF1711">
        <w:rPr>
          <w:rFonts w:eastAsia="Calibri"/>
        </w:rPr>
        <w:t>.</w:t>
      </w:r>
    </w:p>
    <w:p w14:paraId="4ACBEAAA" w14:textId="593E3CAD" w:rsidR="001E5473" w:rsidRPr="001E5473" w:rsidRDefault="001E5473" w:rsidP="001E5473">
      <w:pPr>
        <w:spacing w:before="120"/>
        <w:ind w:firstLine="0"/>
        <w:jc w:val="right"/>
        <w:rPr>
          <w:rFonts w:eastAsia="Calibri"/>
          <w:b/>
          <w:i/>
          <w:szCs w:val="24"/>
        </w:rPr>
      </w:pPr>
      <w:r w:rsidRPr="001E5473">
        <w:rPr>
          <w:rFonts w:eastAsia="Calibri"/>
          <w:b/>
          <w:i/>
          <w:szCs w:val="24"/>
        </w:rPr>
        <w:t>1.8. tabula. Optimistiskais makroekonomisko rādītāju attīstības scenārijs</w:t>
      </w:r>
    </w:p>
    <w:tbl>
      <w:tblPr>
        <w:tblW w:w="9067" w:type="dxa"/>
        <w:jc w:val="center"/>
        <w:tblLayout w:type="fixed"/>
        <w:tblLook w:val="04A0" w:firstRow="1" w:lastRow="0" w:firstColumn="1" w:lastColumn="0" w:noHBand="0" w:noVBand="1"/>
      </w:tblPr>
      <w:tblGrid>
        <w:gridCol w:w="4253"/>
        <w:gridCol w:w="992"/>
        <w:gridCol w:w="921"/>
        <w:gridCol w:w="922"/>
        <w:gridCol w:w="921"/>
        <w:gridCol w:w="1058"/>
      </w:tblGrid>
      <w:tr w:rsidR="001E5473" w:rsidRPr="00ED3376" w14:paraId="7C39D8AB" w14:textId="77777777" w:rsidTr="001E5473">
        <w:trPr>
          <w:trHeight w:val="20"/>
          <w:tblHeader/>
          <w:jc w:val="center"/>
        </w:trPr>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0BF66290" w14:textId="77777777" w:rsidR="001E5473" w:rsidRPr="00ED3376" w:rsidRDefault="001E5473" w:rsidP="001E5473">
            <w:pPr>
              <w:spacing w:beforeLines="20" w:before="48" w:afterLines="20" w:after="48"/>
              <w:ind w:firstLine="0"/>
              <w:jc w:val="center"/>
              <w:rPr>
                <w:rFonts w:eastAsia="Calibri"/>
                <w:b/>
                <w:sz w:val="18"/>
                <w:szCs w:val="18"/>
              </w:rPr>
            </w:pPr>
          </w:p>
        </w:tc>
        <w:tc>
          <w:tcPr>
            <w:tcW w:w="992"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062FE9E2" w14:textId="77777777" w:rsidR="001E5473" w:rsidRPr="00ED3376" w:rsidRDefault="001E5473" w:rsidP="001E5473">
            <w:pPr>
              <w:spacing w:beforeLines="20" w:before="48" w:afterLines="20" w:after="48"/>
              <w:ind w:firstLine="0"/>
              <w:jc w:val="center"/>
              <w:rPr>
                <w:rFonts w:eastAsia="Calibri"/>
                <w:b/>
                <w:sz w:val="18"/>
                <w:szCs w:val="18"/>
              </w:rPr>
            </w:pPr>
            <w:r w:rsidRPr="00ED3376">
              <w:rPr>
                <w:b/>
                <w:sz w:val="18"/>
                <w:szCs w:val="18"/>
              </w:rPr>
              <w:t>2020</w:t>
            </w:r>
          </w:p>
        </w:tc>
        <w:tc>
          <w:tcPr>
            <w:tcW w:w="921" w:type="dxa"/>
            <w:tcBorders>
              <w:top w:val="single" w:sz="4" w:space="0" w:color="auto"/>
              <w:left w:val="nil"/>
              <w:bottom w:val="single" w:sz="4" w:space="0" w:color="auto"/>
              <w:right w:val="single" w:sz="4" w:space="0" w:color="auto"/>
            </w:tcBorders>
            <w:shd w:val="clear" w:color="auto" w:fill="D5DCE4" w:themeFill="text2" w:themeFillTint="33"/>
            <w:noWrap/>
            <w:vAlign w:val="center"/>
          </w:tcPr>
          <w:p w14:paraId="772C4616" w14:textId="77777777" w:rsidR="001E5473" w:rsidRPr="00ED3376" w:rsidRDefault="001E5473" w:rsidP="001E5473">
            <w:pPr>
              <w:spacing w:beforeLines="20" w:before="48" w:afterLines="20" w:after="48"/>
              <w:ind w:firstLine="0"/>
              <w:jc w:val="center"/>
              <w:rPr>
                <w:rFonts w:eastAsia="Calibri"/>
                <w:b/>
                <w:sz w:val="18"/>
                <w:szCs w:val="18"/>
              </w:rPr>
            </w:pPr>
            <w:r w:rsidRPr="00ED3376">
              <w:rPr>
                <w:b/>
                <w:sz w:val="18"/>
                <w:szCs w:val="18"/>
              </w:rPr>
              <w:t>2021</w:t>
            </w:r>
          </w:p>
        </w:tc>
        <w:tc>
          <w:tcPr>
            <w:tcW w:w="922" w:type="dxa"/>
            <w:tcBorders>
              <w:top w:val="single" w:sz="4" w:space="0" w:color="auto"/>
              <w:left w:val="nil"/>
              <w:bottom w:val="single" w:sz="4" w:space="0" w:color="auto"/>
              <w:right w:val="single" w:sz="4" w:space="0" w:color="auto"/>
            </w:tcBorders>
            <w:shd w:val="clear" w:color="auto" w:fill="D5DCE4" w:themeFill="text2" w:themeFillTint="33"/>
            <w:noWrap/>
            <w:vAlign w:val="center"/>
          </w:tcPr>
          <w:p w14:paraId="7889A2AA" w14:textId="77777777" w:rsidR="001E5473" w:rsidRPr="00ED3376" w:rsidRDefault="001E5473" w:rsidP="001E5473">
            <w:pPr>
              <w:spacing w:beforeLines="20" w:before="48" w:afterLines="20" w:after="48"/>
              <w:ind w:firstLine="0"/>
              <w:jc w:val="center"/>
              <w:rPr>
                <w:rFonts w:eastAsia="Calibri"/>
                <w:b/>
                <w:sz w:val="18"/>
                <w:szCs w:val="18"/>
              </w:rPr>
            </w:pPr>
            <w:r w:rsidRPr="00ED3376">
              <w:rPr>
                <w:b/>
                <w:sz w:val="18"/>
                <w:szCs w:val="18"/>
              </w:rPr>
              <w:t>2022</w:t>
            </w:r>
          </w:p>
        </w:tc>
        <w:tc>
          <w:tcPr>
            <w:tcW w:w="921" w:type="dxa"/>
            <w:tcBorders>
              <w:top w:val="single" w:sz="4" w:space="0" w:color="auto"/>
              <w:left w:val="nil"/>
              <w:bottom w:val="single" w:sz="4" w:space="0" w:color="auto"/>
              <w:right w:val="single" w:sz="4" w:space="0" w:color="auto"/>
            </w:tcBorders>
            <w:shd w:val="clear" w:color="auto" w:fill="D5DCE4" w:themeFill="text2" w:themeFillTint="33"/>
            <w:noWrap/>
            <w:vAlign w:val="center"/>
          </w:tcPr>
          <w:p w14:paraId="53324A85" w14:textId="77777777" w:rsidR="001E5473" w:rsidRPr="00ED3376" w:rsidRDefault="001E5473" w:rsidP="001E5473">
            <w:pPr>
              <w:spacing w:beforeLines="20" w:before="48" w:afterLines="20" w:after="48"/>
              <w:ind w:firstLine="0"/>
              <w:jc w:val="center"/>
              <w:rPr>
                <w:rFonts w:eastAsia="Calibri"/>
                <w:b/>
                <w:sz w:val="18"/>
                <w:szCs w:val="18"/>
              </w:rPr>
            </w:pPr>
            <w:r w:rsidRPr="00ED3376">
              <w:rPr>
                <w:b/>
                <w:sz w:val="18"/>
                <w:szCs w:val="18"/>
              </w:rPr>
              <w:t>2023</w:t>
            </w:r>
          </w:p>
        </w:tc>
        <w:tc>
          <w:tcPr>
            <w:tcW w:w="1058" w:type="dxa"/>
            <w:tcBorders>
              <w:top w:val="single" w:sz="4" w:space="0" w:color="auto"/>
              <w:left w:val="nil"/>
              <w:bottom w:val="single" w:sz="4" w:space="0" w:color="auto"/>
              <w:right w:val="single" w:sz="4" w:space="0" w:color="auto"/>
            </w:tcBorders>
            <w:shd w:val="clear" w:color="auto" w:fill="D5DCE4" w:themeFill="text2" w:themeFillTint="33"/>
            <w:noWrap/>
            <w:vAlign w:val="center"/>
          </w:tcPr>
          <w:p w14:paraId="4B61A669" w14:textId="77777777" w:rsidR="001E5473" w:rsidRPr="00ED3376" w:rsidRDefault="001E5473" w:rsidP="001E5473">
            <w:pPr>
              <w:spacing w:beforeLines="20" w:before="48" w:afterLines="20" w:after="48"/>
              <w:ind w:firstLine="0"/>
              <w:jc w:val="center"/>
              <w:rPr>
                <w:rFonts w:eastAsia="Calibri"/>
                <w:b/>
                <w:sz w:val="18"/>
                <w:szCs w:val="18"/>
              </w:rPr>
            </w:pPr>
            <w:r w:rsidRPr="00ED3376">
              <w:rPr>
                <w:b/>
                <w:sz w:val="18"/>
                <w:szCs w:val="18"/>
              </w:rPr>
              <w:t>2024</w:t>
            </w:r>
          </w:p>
        </w:tc>
      </w:tr>
      <w:tr w:rsidR="001E5473" w:rsidRPr="00ED3376" w14:paraId="7939349A" w14:textId="77777777" w:rsidTr="001E5473">
        <w:trPr>
          <w:trHeight w:val="20"/>
          <w:tblHeader/>
          <w:jc w:val="center"/>
        </w:trPr>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tcPr>
          <w:p w14:paraId="5239FFBF" w14:textId="77777777" w:rsidR="001E5473" w:rsidRPr="00ED3376" w:rsidRDefault="001E5473" w:rsidP="001E5473">
            <w:pPr>
              <w:spacing w:beforeLines="20" w:before="48" w:afterLines="20" w:after="48"/>
              <w:ind w:firstLine="0"/>
              <w:jc w:val="center"/>
              <w:rPr>
                <w:rFonts w:eastAsia="Calibri"/>
                <w:bCs/>
                <w:sz w:val="18"/>
                <w:szCs w:val="18"/>
              </w:rPr>
            </w:pPr>
          </w:p>
        </w:tc>
        <w:tc>
          <w:tcPr>
            <w:tcW w:w="992" w:type="dxa"/>
            <w:tcBorders>
              <w:top w:val="single" w:sz="4" w:space="0" w:color="auto"/>
              <w:left w:val="nil"/>
              <w:bottom w:val="single" w:sz="4" w:space="0" w:color="auto"/>
              <w:right w:val="single" w:sz="4" w:space="0" w:color="auto"/>
            </w:tcBorders>
            <w:shd w:val="clear" w:color="auto" w:fill="D5DCE4" w:themeFill="text2" w:themeFillTint="33"/>
            <w:noWrap/>
            <w:vAlign w:val="center"/>
          </w:tcPr>
          <w:p w14:paraId="16152452" w14:textId="77777777" w:rsidR="001E5473" w:rsidRPr="00ED3376" w:rsidRDefault="001E5473" w:rsidP="001E5473">
            <w:pPr>
              <w:spacing w:beforeLines="20" w:before="48" w:afterLines="20" w:after="48"/>
              <w:ind w:firstLine="0"/>
              <w:jc w:val="center"/>
              <w:rPr>
                <w:rFonts w:eastAsia="Calibri"/>
                <w:bCs/>
                <w:sz w:val="18"/>
                <w:szCs w:val="18"/>
              </w:rPr>
            </w:pPr>
            <w:r w:rsidRPr="00ED3376">
              <w:rPr>
                <w:bCs/>
                <w:sz w:val="18"/>
                <w:szCs w:val="18"/>
              </w:rPr>
              <w:t>fakts</w:t>
            </w:r>
          </w:p>
        </w:tc>
        <w:tc>
          <w:tcPr>
            <w:tcW w:w="3822" w:type="dxa"/>
            <w:gridSpan w:val="4"/>
            <w:tcBorders>
              <w:top w:val="single" w:sz="4" w:space="0" w:color="auto"/>
              <w:left w:val="nil"/>
              <w:bottom w:val="single" w:sz="4" w:space="0" w:color="auto"/>
              <w:right w:val="single" w:sz="4" w:space="0" w:color="auto"/>
            </w:tcBorders>
            <w:shd w:val="clear" w:color="auto" w:fill="D5DCE4" w:themeFill="text2" w:themeFillTint="33"/>
            <w:noWrap/>
            <w:vAlign w:val="center"/>
          </w:tcPr>
          <w:p w14:paraId="441F20C6" w14:textId="77777777" w:rsidR="001E5473" w:rsidRPr="00ED3376" w:rsidRDefault="001E5473" w:rsidP="001E5473">
            <w:pPr>
              <w:spacing w:beforeLines="20" w:before="48" w:afterLines="20" w:after="48"/>
              <w:ind w:firstLine="0"/>
              <w:jc w:val="center"/>
              <w:rPr>
                <w:rFonts w:eastAsia="Calibri"/>
                <w:bCs/>
                <w:sz w:val="18"/>
                <w:szCs w:val="18"/>
              </w:rPr>
            </w:pPr>
            <w:r w:rsidRPr="00ED3376">
              <w:rPr>
                <w:bCs/>
                <w:sz w:val="18"/>
                <w:szCs w:val="18"/>
              </w:rPr>
              <w:t>prognoze</w:t>
            </w:r>
          </w:p>
        </w:tc>
      </w:tr>
      <w:tr w:rsidR="001E5473" w:rsidRPr="00ED3376" w14:paraId="6BE7D057" w14:textId="77777777" w:rsidTr="001E5473">
        <w:trPr>
          <w:trHeight w:val="20"/>
          <w:tblHeader/>
          <w:jc w:val="center"/>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22A3EEA2" w14:textId="77777777" w:rsidR="001E5473" w:rsidRPr="00ED3376" w:rsidRDefault="001E5473" w:rsidP="001E5473">
            <w:pPr>
              <w:spacing w:beforeLines="20" w:before="48" w:afterLines="20" w:after="48"/>
              <w:ind w:firstLine="0"/>
              <w:jc w:val="left"/>
              <w:rPr>
                <w:rFonts w:eastAsia="Calibri"/>
                <w:bCs/>
                <w:noProof/>
                <w:sz w:val="18"/>
                <w:szCs w:val="18"/>
              </w:rPr>
            </w:pPr>
            <w:r w:rsidRPr="009A5751">
              <w:rPr>
                <w:rFonts w:eastAsia="Calibri"/>
                <w:b/>
                <w:noProof/>
                <w:sz w:val="18"/>
                <w:szCs w:val="18"/>
              </w:rPr>
              <w:t>Iekšzemes kopprodukts</w:t>
            </w:r>
            <w:r w:rsidRPr="00ED3376">
              <w:rPr>
                <w:rFonts w:eastAsia="Calibri"/>
                <w:bCs/>
                <w:noProof/>
                <w:sz w:val="18"/>
                <w:szCs w:val="18"/>
              </w:rPr>
              <w:t xml:space="preserve"> (milj. euro)</w:t>
            </w:r>
          </w:p>
        </w:tc>
        <w:tc>
          <w:tcPr>
            <w:tcW w:w="99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06068BE8"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29 334</w:t>
            </w:r>
          </w:p>
        </w:tc>
        <w:tc>
          <w:tcPr>
            <w:tcW w:w="921" w:type="dxa"/>
            <w:tcBorders>
              <w:top w:val="nil"/>
              <w:left w:val="nil"/>
              <w:bottom w:val="single" w:sz="4" w:space="0" w:color="auto"/>
              <w:right w:val="single" w:sz="4" w:space="0" w:color="auto"/>
            </w:tcBorders>
            <w:shd w:val="clear" w:color="auto" w:fill="auto"/>
            <w:noWrap/>
            <w:tcMar>
              <w:right w:w="170" w:type="dxa"/>
            </w:tcMar>
            <w:vAlign w:val="center"/>
          </w:tcPr>
          <w:p w14:paraId="4431E898"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31 947</w:t>
            </w:r>
          </w:p>
        </w:tc>
        <w:tc>
          <w:tcPr>
            <w:tcW w:w="922" w:type="dxa"/>
            <w:tcBorders>
              <w:top w:val="nil"/>
              <w:left w:val="nil"/>
              <w:bottom w:val="single" w:sz="4" w:space="0" w:color="auto"/>
              <w:right w:val="single" w:sz="4" w:space="0" w:color="auto"/>
            </w:tcBorders>
            <w:shd w:val="clear" w:color="auto" w:fill="auto"/>
            <w:noWrap/>
            <w:tcMar>
              <w:right w:w="170" w:type="dxa"/>
            </w:tcMar>
            <w:vAlign w:val="center"/>
          </w:tcPr>
          <w:p w14:paraId="49B4FA97"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34 841</w:t>
            </w:r>
          </w:p>
        </w:tc>
        <w:tc>
          <w:tcPr>
            <w:tcW w:w="921" w:type="dxa"/>
            <w:tcBorders>
              <w:top w:val="nil"/>
              <w:left w:val="nil"/>
              <w:bottom w:val="single" w:sz="4" w:space="0" w:color="auto"/>
              <w:right w:val="single" w:sz="4" w:space="0" w:color="auto"/>
            </w:tcBorders>
            <w:shd w:val="clear" w:color="auto" w:fill="auto"/>
            <w:noWrap/>
            <w:tcMar>
              <w:right w:w="170" w:type="dxa"/>
            </w:tcMar>
            <w:vAlign w:val="center"/>
          </w:tcPr>
          <w:p w14:paraId="3EFE57DC" w14:textId="77777777" w:rsidR="001E5473" w:rsidRPr="00ED3376" w:rsidRDefault="001E5473" w:rsidP="001E5473">
            <w:pPr>
              <w:tabs>
                <w:tab w:val="left" w:pos="376"/>
              </w:tabs>
              <w:spacing w:beforeLines="20" w:before="48" w:afterLines="20" w:after="48"/>
              <w:ind w:firstLine="0"/>
              <w:jc w:val="right"/>
              <w:rPr>
                <w:rFonts w:eastAsia="Calibri"/>
                <w:sz w:val="18"/>
                <w:szCs w:val="18"/>
              </w:rPr>
            </w:pPr>
            <w:r w:rsidRPr="00ED3376">
              <w:rPr>
                <w:sz w:val="18"/>
                <w:szCs w:val="18"/>
              </w:rPr>
              <w:t>36 972</w:t>
            </w:r>
          </w:p>
        </w:tc>
        <w:tc>
          <w:tcPr>
            <w:tcW w:w="1058" w:type="dxa"/>
            <w:tcBorders>
              <w:top w:val="nil"/>
              <w:left w:val="nil"/>
              <w:bottom w:val="single" w:sz="4" w:space="0" w:color="auto"/>
              <w:right w:val="single" w:sz="4" w:space="0" w:color="auto"/>
            </w:tcBorders>
            <w:shd w:val="clear" w:color="auto" w:fill="auto"/>
            <w:noWrap/>
            <w:tcMar>
              <w:right w:w="170" w:type="dxa"/>
            </w:tcMar>
            <w:vAlign w:val="center"/>
          </w:tcPr>
          <w:p w14:paraId="3E7D6711" w14:textId="77777777" w:rsidR="001E5473" w:rsidRPr="00ED3376" w:rsidRDefault="001E5473" w:rsidP="001E5473">
            <w:pPr>
              <w:tabs>
                <w:tab w:val="left" w:pos="376"/>
              </w:tabs>
              <w:spacing w:beforeLines="20" w:before="48" w:afterLines="20" w:after="48"/>
              <w:ind w:firstLine="0"/>
              <w:jc w:val="right"/>
              <w:rPr>
                <w:rFonts w:eastAsia="Calibri"/>
                <w:sz w:val="18"/>
                <w:szCs w:val="18"/>
              </w:rPr>
            </w:pPr>
            <w:r w:rsidRPr="00ED3376">
              <w:rPr>
                <w:sz w:val="18"/>
                <w:szCs w:val="18"/>
              </w:rPr>
              <w:t>38 919</w:t>
            </w:r>
          </w:p>
        </w:tc>
      </w:tr>
      <w:tr w:rsidR="001E5473" w:rsidRPr="00ED3376" w14:paraId="084DBD56" w14:textId="77777777" w:rsidTr="001E5473">
        <w:trPr>
          <w:trHeight w:val="20"/>
          <w:tblHeader/>
          <w:jc w:val="center"/>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3730794A" w14:textId="77777777" w:rsidR="001E5473" w:rsidRPr="00ED3376" w:rsidRDefault="001E5473" w:rsidP="001E5473">
            <w:pPr>
              <w:spacing w:beforeLines="20" w:before="48" w:afterLines="20" w:after="48"/>
              <w:ind w:left="720" w:firstLine="0"/>
              <w:jc w:val="left"/>
              <w:rPr>
                <w:rFonts w:eastAsia="Calibri"/>
                <w:bCs/>
                <w:noProof/>
                <w:sz w:val="18"/>
                <w:szCs w:val="18"/>
              </w:rPr>
            </w:pPr>
            <w:r w:rsidRPr="00ED3376">
              <w:rPr>
                <w:rFonts w:eastAsia="Calibri"/>
                <w:bCs/>
                <w:noProof/>
                <w:sz w:val="18"/>
                <w:szCs w:val="18"/>
              </w:rPr>
              <w:t>pieaugums faktiskajās cenās (%)</w:t>
            </w:r>
          </w:p>
        </w:tc>
        <w:tc>
          <w:tcPr>
            <w:tcW w:w="99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59A9E412"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-3,6</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659F7EB9"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8,9</w:t>
            </w:r>
          </w:p>
        </w:tc>
        <w:tc>
          <w:tcPr>
            <w:tcW w:w="92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32CD6689"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9,1</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0CE35BC2" w14:textId="77777777" w:rsidR="001E5473" w:rsidRPr="00ED3376" w:rsidRDefault="001E5473" w:rsidP="001E5473">
            <w:pPr>
              <w:tabs>
                <w:tab w:val="left" w:pos="376"/>
              </w:tabs>
              <w:spacing w:beforeLines="20" w:before="48" w:afterLines="20" w:after="48"/>
              <w:ind w:firstLine="0"/>
              <w:jc w:val="right"/>
              <w:rPr>
                <w:rFonts w:eastAsia="Calibri"/>
                <w:sz w:val="18"/>
                <w:szCs w:val="18"/>
              </w:rPr>
            </w:pPr>
            <w:r w:rsidRPr="00ED3376">
              <w:rPr>
                <w:sz w:val="18"/>
                <w:szCs w:val="18"/>
              </w:rPr>
              <w:t>6,1</w:t>
            </w:r>
          </w:p>
        </w:tc>
        <w:tc>
          <w:tcPr>
            <w:tcW w:w="105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0943C79E" w14:textId="77777777" w:rsidR="001E5473" w:rsidRPr="00ED3376" w:rsidRDefault="001E5473" w:rsidP="001E5473">
            <w:pPr>
              <w:tabs>
                <w:tab w:val="left" w:pos="376"/>
              </w:tabs>
              <w:spacing w:beforeLines="20" w:before="48" w:afterLines="20" w:after="48"/>
              <w:ind w:firstLine="0"/>
              <w:jc w:val="right"/>
              <w:rPr>
                <w:rFonts w:eastAsia="Calibri"/>
                <w:sz w:val="18"/>
                <w:szCs w:val="18"/>
              </w:rPr>
            </w:pPr>
            <w:r w:rsidRPr="00ED3376">
              <w:rPr>
                <w:sz w:val="18"/>
                <w:szCs w:val="18"/>
              </w:rPr>
              <w:t>5,3</w:t>
            </w:r>
          </w:p>
        </w:tc>
      </w:tr>
      <w:tr w:rsidR="001E5473" w:rsidRPr="00ED3376" w14:paraId="219DC9DE" w14:textId="77777777" w:rsidTr="001E5473">
        <w:trPr>
          <w:trHeight w:val="20"/>
          <w:tblHeader/>
          <w:jc w:val="center"/>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296543EA" w14:textId="77777777" w:rsidR="001E5473" w:rsidRPr="00ED3376" w:rsidRDefault="001E5473" w:rsidP="001E5473">
            <w:pPr>
              <w:spacing w:beforeLines="20" w:before="48" w:afterLines="20" w:after="48"/>
              <w:ind w:left="720" w:firstLine="0"/>
              <w:jc w:val="left"/>
              <w:rPr>
                <w:rFonts w:eastAsia="Calibri"/>
                <w:bCs/>
                <w:noProof/>
                <w:sz w:val="18"/>
                <w:szCs w:val="18"/>
              </w:rPr>
            </w:pPr>
            <w:r w:rsidRPr="00ED3376">
              <w:rPr>
                <w:rFonts w:eastAsia="Calibri"/>
                <w:bCs/>
                <w:noProof/>
                <w:sz w:val="18"/>
                <w:szCs w:val="18"/>
              </w:rPr>
              <w:t>pieaugums salīdzināmās cenās (%)</w:t>
            </w:r>
          </w:p>
        </w:tc>
        <w:tc>
          <w:tcPr>
            <w:tcW w:w="99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2CEB4046"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-3,6</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580D9638"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4,7</w:t>
            </w:r>
          </w:p>
        </w:tc>
        <w:tc>
          <w:tcPr>
            <w:tcW w:w="92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1C48C58D"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5,2</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2ECF7895" w14:textId="77777777" w:rsidR="001E5473" w:rsidRPr="00ED3376" w:rsidRDefault="001E5473" w:rsidP="001E5473">
            <w:pPr>
              <w:tabs>
                <w:tab w:val="left" w:pos="376"/>
              </w:tabs>
              <w:spacing w:beforeLines="20" w:before="48" w:afterLines="20" w:after="48"/>
              <w:ind w:firstLine="0"/>
              <w:jc w:val="right"/>
              <w:rPr>
                <w:rFonts w:eastAsia="Calibri"/>
                <w:sz w:val="18"/>
                <w:szCs w:val="18"/>
              </w:rPr>
            </w:pPr>
            <w:r w:rsidRPr="00ED3376">
              <w:rPr>
                <w:sz w:val="18"/>
                <w:szCs w:val="18"/>
              </w:rPr>
              <w:t>3,5</w:t>
            </w:r>
          </w:p>
        </w:tc>
        <w:tc>
          <w:tcPr>
            <w:tcW w:w="105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6851B51B" w14:textId="77777777" w:rsidR="001E5473" w:rsidRPr="00ED3376" w:rsidRDefault="001E5473" w:rsidP="001E5473">
            <w:pPr>
              <w:tabs>
                <w:tab w:val="left" w:pos="376"/>
              </w:tabs>
              <w:spacing w:beforeLines="20" w:before="48" w:afterLines="20" w:after="48"/>
              <w:ind w:firstLine="0"/>
              <w:jc w:val="right"/>
              <w:rPr>
                <w:rFonts w:eastAsia="Calibri"/>
                <w:sz w:val="18"/>
                <w:szCs w:val="18"/>
              </w:rPr>
            </w:pPr>
            <w:r w:rsidRPr="00ED3376">
              <w:rPr>
                <w:sz w:val="18"/>
                <w:szCs w:val="18"/>
              </w:rPr>
              <w:t>3,4</w:t>
            </w:r>
          </w:p>
        </w:tc>
      </w:tr>
      <w:tr w:rsidR="001E5473" w:rsidRPr="00ED3376" w14:paraId="7A138CE1" w14:textId="77777777" w:rsidTr="001E5473">
        <w:trPr>
          <w:trHeight w:val="20"/>
          <w:tblHeader/>
          <w:jc w:val="center"/>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3D560332" w14:textId="0A79CBAF" w:rsidR="001E5473" w:rsidRPr="00ED3376" w:rsidRDefault="001E5473" w:rsidP="001E5473">
            <w:pPr>
              <w:spacing w:beforeLines="20" w:before="48" w:afterLines="20" w:after="48"/>
              <w:ind w:firstLine="0"/>
              <w:jc w:val="left"/>
              <w:rPr>
                <w:rFonts w:eastAsia="Calibri"/>
                <w:bCs/>
                <w:noProof/>
                <w:sz w:val="18"/>
                <w:szCs w:val="18"/>
              </w:rPr>
            </w:pPr>
            <w:r>
              <w:rPr>
                <w:rFonts w:eastAsia="Calibri"/>
                <w:b/>
                <w:noProof/>
                <w:sz w:val="18"/>
                <w:szCs w:val="18"/>
              </w:rPr>
              <w:t>Iekšzemes kopprodukta</w:t>
            </w:r>
            <w:r w:rsidRPr="009A5751">
              <w:rPr>
                <w:rFonts w:eastAsia="Calibri"/>
                <w:b/>
                <w:noProof/>
                <w:sz w:val="18"/>
                <w:szCs w:val="18"/>
              </w:rPr>
              <w:t xml:space="preserve"> deflators</w:t>
            </w:r>
            <w:r w:rsidRPr="00ED3376">
              <w:rPr>
                <w:rFonts w:eastAsia="Calibri"/>
                <w:bCs/>
                <w:noProof/>
                <w:sz w:val="18"/>
                <w:szCs w:val="18"/>
              </w:rPr>
              <w:t xml:space="preserve"> (gads pret gadu, %)</w:t>
            </w:r>
          </w:p>
        </w:tc>
        <w:tc>
          <w:tcPr>
            <w:tcW w:w="99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27C55BD3"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0,1</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59606C24"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4,0</w:t>
            </w:r>
          </w:p>
        </w:tc>
        <w:tc>
          <w:tcPr>
            <w:tcW w:w="92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63218DA6"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3,7</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1943FAB7" w14:textId="77777777" w:rsidR="001E5473" w:rsidRPr="00ED3376" w:rsidRDefault="001E5473" w:rsidP="001E5473">
            <w:pPr>
              <w:tabs>
                <w:tab w:val="left" w:pos="376"/>
              </w:tabs>
              <w:spacing w:beforeLines="20" w:before="48" w:afterLines="20" w:after="48"/>
              <w:ind w:firstLine="0"/>
              <w:jc w:val="right"/>
              <w:rPr>
                <w:rFonts w:eastAsia="Calibri"/>
                <w:b/>
                <w:sz w:val="18"/>
                <w:szCs w:val="18"/>
              </w:rPr>
            </w:pPr>
            <w:r w:rsidRPr="00ED3376">
              <w:rPr>
                <w:sz w:val="18"/>
                <w:szCs w:val="18"/>
              </w:rPr>
              <w:t>2,6</w:t>
            </w:r>
          </w:p>
        </w:tc>
        <w:tc>
          <w:tcPr>
            <w:tcW w:w="105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5FF5F70D" w14:textId="77777777" w:rsidR="001E5473" w:rsidRPr="00ED3376" w:rsidRDefault="001E5473" w:rsidP="001E5473">
            <w:pPr>
              <w:tabs>
                <w:tab w:val="left" w:pos="376"/>
              </w:tabs>
              <w:spacing w:beforeLines="20" w:before="48" w:afterLines="20" w:after="48"/>
              <w:ind w:firstLine="0"/>
              <w:jc w:val="right"/>
              <w:rPr>
                <w:rFonts w:eastAsia="Calibri"/>
                <w:b/>
                <w:sz w:val="18"/>
                <w:szCs w:val="18"/>
              </w:rPr>
            </w:pPr>
            <w:r w:rsidRPr="00ED3376">
              <w:rPr>
                <w:sz w:val="18"/>
                <w:szCs w:val="18"/>
              </w:rPr>
              <w:t>1,8</w:t>
            </w:r>
          </w:p>
        </w:tc>
      </w:tr>
      <w:tr w:rsidR="001E5473" w:rsidRPr="00ED3376" w14:paraId="561EF4AA" w14:textId="77777777" w:rsidTr="001E5473">
        <w:trPr>
          <w:trHeight w:val="20"/>
          <w:tblHeader/>
          <w:jc w:val="center"/>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5B1087CD" w14:textId="77777777" w:rsidR="001E5473" w:rsidRPr="00ED3376" w:rsidRDefault="001E5473" w:rsidP="001E5473">
            <w:pPr>
              <w:spacing w:beforeLines="20" w:before="48" w:afterLines="20" w:after="48"/>
              <w:ind w:firstLine="0"/>
              <w:jc w:val="left"/>
              <w:rPr>
                <w:rFonts w:eastAsia="Calibri"/>
                <w:bCs/>
                <w:noProof/>
                <w:sz w:val="18"/>
                <w:szCs w:val="18"/>
              </w:rPr>
            </w:pPr>
            <w:r w:rsidRPr="009A5751">
              <w:rPr>
                <w:rFonts w:eastAsia="Calibri"/>
                <w:b/>
                <w:noProof/>
                <w:sz w:val="18"/>
                <w:szCs w:val="18"/>
              </w:rPr>
              <w:t>PCI</w:t>
            </w:r>
            <w:r w:rsidRPr="00ED3376">
              <w:rPr>
                <w:rFonts w:eastAsia="Calibri"/>
                <w:bCs/>
                <w:noProof/>
                <w:sz w:val="18"/>
                <w:szCs w:val="18"/>
              </w:rPr>
              <w:t xml:space="preserve"> (gads pret gadu, %)</w:t>
            </w:r>
          </w:p>
        </w:tc>
        <w:tc>
          <w:tcPr>
            <w:tcW w:w="99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2436AB40"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0,2</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60547FAE"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2,2</w:t>
            </w:r>
          </w:p>
        </w:tc>
        <w:tc>
          <w:tcPr>
            <w:tcW w:w="92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24B3105A"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2,5</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048713E2" w14:textId="77777777" w:rsidR="001E5473" w:rsidRPr="00ED3376" w:rsidRDefault="001E5473" w:rsidP="001E5473">
            <w:pPr>
              <w:tabs>
                <w:tab w:val="left" w:pos="376"/>
              </w:tabs>
              <w:spacing w:beforeLines="20" w:before="48" w:afterLines="20" w:after="48"/>
              <w:ind w:firstLine="0"/>
              <w:jc w:val="right"/>
              <w:rPr>
                <w:rFonts w:eastAsia="Calibri"/>
                <w:b/>
                <w:sz w:val="18"/>
                <w:szCs w:val="18"/>
              </w:rPr>
            </w:pPr>
            <w:r w:rsidRPr="00ED3376">
              <w:rPr>
                <w:sz w:val="18"/>
                <w:szCs w:val="18"/>
              </w:rPr>
              <w:t>2,2</w:t>
            </w:r>
          </w:p>
        </w:tc>
        <w:tc>
          <w:tcPr>
            <w:tcW w:w="105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4D1267A5" w14:textId="77777777" w:rsidR="001E5473" w:rsidRPr="00ED3376" w:rsidRDefault="001E5473" w:rsidP="001E5473">
            <w:pPr>
              <w:tabs>
                <w:tab w:val="left" w:pos="376"/>
              </w:tabs>
              <w:spacing w:beforeLines="20" w:before="48" w:afterLines="20" w:after="48"/>
              <w:ind w:firstLine="0"/>
              <w:jc w:val="right"/>
              <w:rPr>
                <w:rFonts w:eastAsia="Calibri"/>
                <w:b/>
                <w:sz w:val="18"/>
                <w:szCs w:val="18"/>
              </w:rPr>
            </w:pPr>
            <w:r w:rsidRPr="00ED3376">
              <w:rPr>
                <w:sz w:val="18"/>
                <w:szCs w:val="18"/>
              </w:rPr>
              <w:t>2,0</w:t>
            </w:r>
          </w:p>
        </w:tc>
      </w:tr>
      <w:tr w:rsidR="001E5473" w:rsidRPr="00ED3376" w14:paraId="5F1849EE" w14:textId="77777777" w:rsidTr="001E5473">
        <w:trPr>
          <w:trHeight w:val="20"/>
          <w:tblHeader/>
          <w:jc w:val="center"/>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7C9D01C9" w14:textId="77777777" w:rsidR="001E5473" w:rsidRPr="00ED3376" w:rsidRDefault="001E5473" w:rsidP="001E5473">
            <w:pPr>
              <w:spacing w:beforeLines="20" w:before="48" w:afterLines="20" w:after="48"/>
              <w:ind w:firstLine="0"/>
              <w:jc w:val="left"/>
              <w:rPr>
                <w:rFonts w:eastAsia="Calibri"/>
                <w:bCs/>
                <w:noProof/>
                <w:sz w:val="18"/>
                <w:szCs w:val="18"/>
              </w:rPr>
            </w:pPr>
            <w:r w:rsidRPr="009A5751">
              <w:rPr>
                <w:rFonts w:eastAsia="Calibri"/>
                <w:b/>
                <w:noProof/>
                <w:sz w:val="18"/>
                <w:szCs w:val="18"/>
              </w:rPr>
              <w:t xml:space="preserve">Tautsaimniecībā nodarbināto mēn. </w:t>
            </w:r>
            <w:r w:rsidRPr="009A5751">
              <w:rPr>
                <w:rFonts w:eastAsia="Calibri"/>
                <w:b/>
                <w:noProof/>
                <w:sz w:val="18"/>
                <w:szCs w:val="18"/>
              </w:rPr>
              <w:br/>
              <w:t>vid. bruto darba samaksa</w:t>
            </w:r>
            <w:r w:rsidRPr="00ED3376">
              <w:rPr>
                <w:rFonts w:eastAsia="Calibri"/>
                <w:bCs/>
                <w:noProof/>
                <w:sz w:val="18"/>
                <w:szCs w:val="18"/>
              </w:rPr>
              <w:t xml:space="preserve"> (euro)</w:t>
            </w:r>
          </w:p>
        </w:tc>
        <w:tc>
          <w:tcPr>
            <w:tcW w:w="99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2E5A68AB"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1 143</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5D6E2A48"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1 246</w:t>
            </w:r>
          </w:p>
        </w:tc>
        <w:tc>
          <w:tcPr>
            <w:tcW w:w="92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6658F4E7"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1 322</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7DB83F92" w14:textId="77777777" w:rsidR="001E5473" w:rsidRPr="00ED3376" w:rsidRDefault="001E5473" w:rsidP="001E5473">
            <w:pPr>
              <w:tabs>
                <w:tab w:val="left" w:pos="376"/>
              </w:tabs>
              <w:spacing w:beforeLines="20" w:before="48" w:afterLines="20" w:after="48"/>
              <w:ind w:firstLine="0"/>
              <w:jc w:val="right"/>
              <w:rPr>
                <w:rFonts w:eastAsia="Calibri"/>
                <w:b/>
                <w:sz w:val="18"/>
                <w:szCs w:val="18"/>
              </w:rPr>
            </w:pPr>
            <w:r w:rsidRPr="00ED3376">
              <w:rPr>
                <w:sz w:val="18"/>
                <w:szCs w:val="18"/>
              </w:rPr>
              <w:t>1 395</w:t>
            </w:r>
          </w:p>
        </w:tc>
        <w:tc>
          <w:tcPr>
            <w:tcW w:w="105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206BB555" w14:textId="77777777" w:rsidR="001E5473" w:rsidRPr="00ED3376" w:rsidRDefault="001E5473" w:rsidP="001E5473">
            <w:pPr>
              <w:tabs>
                <w:tab w:val="left" w:pos="376"/>
              </w:tabs>
              <w:spacing w:beforeLines="20" w:before="48" w:afterLines="20" w:after="48"/>
              <w:ind w:firstLine="0"/>
              <w:jc w:val="right"/>
              <w:rPr>
                <w:rFonts w:eastAsia="Calibri"/>
                <w:b/>
                <w:sz w:val="18"/>
                <w:szCs w:val="18"/>
              </w:rPr>
            </w:pPr>
            <w:r w:rsidRPr="00ED3376">
              <w:rPr>
                <w:sz w:val="18"/>
                <w:szCs w:val="18"/>
              </w:rPr>
              <w:t>1 468</w:t>
            </w:r>
          </w:p>
        </w:tc>
      </w:tr>
      <w:tr w:rsidR="001E5473" w:rsidRPr="00ED3376" w14:paraId="0ABCDDA7" w14:textId="77777777" w:rsidTr="001E5473">
        <w:trPr>
          <w:trHeight w:val="20"/>
          <w:tblHeader/>
          <w:jc w:val="center"/>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41D91750" w14:textId="77777777" w:rsidR="001E5473" w:rsidRPr="00ED3376" w:rsidRDefault="001E5473" w:rsidP="001E5473">
            <w:pPr>
              <w:spacing w:beforeLines="20" w:before="48" w:afterLines="20" w:after="48"/>
              <w:ind w:left="720" w:firstLine="0"/>
              <w:jc w:val="left"/>
              <w:rPr>
                <w:rFonts w:eastAsia="Calibri"/>
                <w:bCs/>
                <w:noProof/>
                <w:sz w:val="18"/>
                <w:szCs w:val="18"/>
              </w:rPr>
            </w:pPr>
            <w:r w:rsidRPr="00ED3376">
              <w:rPr>
                <w:rFonts w:eastAsia="Calibri"/>
                <w:bCs/>
                <w:noProof/>
                <w:sz w:val="18"/>
                <w:szCs w:val="18"/>
              </w:rPr>
              <w:t>pieaugums faktiskajās cenās (%)</w:t>
            </w:r>
          </w:p>
        </w:tc>
        <w:tc>
          <w:tcPr>
            <w:tcW w:w="99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40602876"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6,2</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43FD0CE3"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9,0</w:t>
            </w:r>
          </w:p>
        </w:tc>
        <w:tc>
          <w:tcPr>
            <w:tcW w:w="92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5DE42805"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6,1</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14E03391" w14:textId="77777777" w:rsidR="001E5473" w:rsidRPr="00ED3376" w:rsidRDefault="001E5473" w:rsidP="001E5473">
            <w:pPr>
              <w:tabs>
                <w:tab w:val="left" w:pos="376"/>
              </w:tabs>
              <w:spacing w:beforeLines="20" w:before="48" w:afterLines="20" w:after="48"/>
              <w:ind w:firstLine="0"/>
              <w:jc w:val="right"/>
              <w:rPr>
                <w:rFonts w:eastAsia="Calibri"/>
                <w:sz w:val="18"/>
                <w:szCs w:val="18"/>
              </w:rPr>
            </w:pPr>
            <w:r w:rsidRPr="00ED3376">
              <w:rPr>
                <w:sz w:val="18"/>
                <w:szCs w:val="18"/>
              </w:rPr>
              <w:t>5,5</w:t>
            </w:r>
          </w:p>
        </w:tc>
        <w:tc>
          <w:tcPr>
            <w:tcW w:w="105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7826FCCB" w14:textId="77777777" w:rsidR="001E5473" w:rsidRPr="00ED3376" w:rsidRDefault="001E5473" w:rsidP="001E5473">
            <w:pPr>
              <w:tabs>
                <w:tab w:val="left" w:pos="376"/>
              </w:tabs>
              <w:spacing w:beforeLines="20" w:before="48" w:afterLines="20" w:after="48"/>
              <w:ind w:firstLine="0"/>
              <w:jc w:val="right"/>
              <w:rPr>
                <w:rFonts w:eastAsia="Calibri"/>
                <w:sz w:val="18"/>
                <w:szCs w:val="18"/>
              </w:rPr>
            </w:pPr>
            <w:r w:rsidRPr="00ED3376">
              <w:rPr>
                <w:sz w:val="18"/>
                <w:szCs w:val="18"/>
              </w:rPr>
              <w:t>5,3</w:t>
            </w:r>
          </w:p>
        </w:tc>
      </w:tr>
      <w:tr w:rsidR="001E5473" w:rsidRPr="00ED3376" w14:paraId="05F66956" w14:textId="77777777" w:rsidTr="001E5473">
        <w:trPr>
          <w:trHeight w:val="20"/>
          <w:tblHeader/>
          <w:jc w:val="center"/>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0A900459" w14:textId="77777777" w:rsidR="001E5473" w:rsidRPr="00ED3376" w:rsidRDefault="001E5473" w:rsidP="001E5473">
            <w:pPr>
              <w:spacing w:beforeLines="20" w:before="48" w:afterLines="20" w:after="48"/>
              <w:ind w:left="720" w:firstLine="0"/>
              <w:jc w:val="left"/>
              <w:rPr>
                <w:rFonts w:eastAsia="Calibri"/>
                <w:bCs/>
                <w:noProof/>
                <w:sz w:val="18"/>
                <w:szCs w:val="18"/>
              </w:rPr>
            </w:pPr>
            <w:r w:rsidRPr="00ED3376">
              <w:rPr>
                <w:rFonts w:eastAsia="Calibri"/>
                <w:bCs/>
                <w:noProof/>
                <w:sz w:val="18"/>
                <w:szCs w:val="18"/>
              </w:rPr>
              <w:t>pieaugums salīdzināmās cenās (%)</w:t>
            </w:r>
          </w:p>
        </w:tc>
        <w:tc>
          <w:tcPr>
            <w:tcW w:w="99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5203720B"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6,0</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693AF42C"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6,7</w:t>
            </w:r>
          </w:p>
        </w:tc>
        <w:tc>
          <w:tcPr>
            <w:tcW w:w="92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15B63692"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3,5</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0A5838D0" w14:textId="77777777" w:rsidR="001E5473" w:rsidRPr="00ED3376" w:rsidRDefault="001E5473" w:rsidP="001E5473">
            <w:pPr>
              <w:tabs>
                <w:tab w:val="left" w:pos="376"/>
              </w:tabs>
              <w:spacing w:beforeLines="20" w:before="48" w:afterLines="20" w:after="48"/>
              <w:ind w:firstLine="0"/>
              <w:jc w:val="right"/>
              <w:rPr>
                <w:rFonts w:eastAsia="Calibri"/>
                <w:sz w:val="18"/>
                <w:szCs w:val="18"/>
              </w:rPr>
            </w:pPr>
            <w:r w:rsidRPr="00ED3376">
              <w:rPr>
                <w:sz w:val="18"/>
                <w:szCs w:val="18"/>
              </w:rPr>
              <w:t>3,2</w:t>
            </w:r>
          </w:p>
        </w:tc>
        <w:tc>
          <w:tcPr>
            <w:tcW w:w="105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758838C2" w14:textId="77777777" w:rsidR="001E5473" w:rsidRPr="00ED3376" w:rsidRDefault="001E5473" w:rsidP="001E5473">
            <w:pPr>
              <w:tabs>
                <w:tab w:val="left" w:pos="376"/>
              </w:tabs>
              <w:spacing w:beforeLines="20" w:before="48" w:afterLines="20" w:after="48"/>
              <w:ind w:firstLine="0"/>
              <w:jc w:val="right"/>
              <w:rPr>
                <w:rFonts w:eastAsia="Calibri"/>
                <w:sz w:val="18"/>
                <w:szCs w:val="18"/>
              </w:rPr>
            </w:pPr>
            <w:r w:rsidRPr="00ED3376">
              <w:rPr>
                <w:sz w:val="18"/>
                <w:szCs w:val="18"/>
              </w:rPr>
              <w:t>3,2</w:t>
            </w:r>
          </w:p>
        </w:tc>
      </w:tr>
      <w:tr w:rsidR="001E5473" w:rsidRPr="00ED3376" w14:paraId="4B0D3738" w14:textId="77777777" w:rsidTr="001E5473">
        <w:trPr>
          <w:trHeight w:val="20"/>
          <w:tblHeader/>
          <w:jc w:val="center"/>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5933A949" w14:textId="77777777" w:rsidR="001E5473" w:rsidRPr="00ED3376" w:rsidRDefault="001E5473" w:rsidP="001E5473">
            <w:pPr>
              <w:spacing w:beforeLines="20" w:before="48" w:afterLines="20" w:after="48"/>
              <w:ind w:firstLine="0"/>
              <w:jc w:val="left"/>
              <w:rPr>
                <w:rFonts w:eastAsia="Calibri"/>
                <w:bCs/>
                <w:noProof/>
                <w:sz w:val="18"/>
                <w:szCs w:val="18"/>
              </w:rPr>
            </w:pPr>
            <w:r w:rsidRPr="009A5751">
              <w:rPr>
                <w:rFonts w:eastAsia="Calibri"/>
                <w:b/>
                <w:noProof/>
                <w:sz w:val="18"/>
                <w:szCs w:val="18"/>
              </w:rPr>
              <w:t>Nodarbinātība</w:t>
            </w:r>
            <w:r w:rsidRPr="00ED3376">
              <w:rPr>
                <w:rFonts w:eastAsia="Calibri"/>
                <w:bCs/>
                <w:noProof/>
                <w:sz w:val="18"/>
                <w:szCs w:val="18"/>
              </w:rPr>
              <w:t xml:space="preserve"> (tūkst. iedzīvotāju</w:t>
            </w:r>
            <w:r w:rsidRPr="00ED3376">
              <w:rPr>
                <w:rFonts w:eastAsia="Calibri"/>
                <w:bCs/>
                <w:noProof/>
                <w:sz w:val="18"/>
                <w:szCs w:val="18"/>
              </w:rPr>
              <w:br/>
              <w:t>atbilstoši darbaspēka apsekojumiem)</w:t>
            </w:r>
          </w:p>
        </w:tc>
        <w:tc>
          <w:tcPr>
            <w:tcW w:w="99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2DF23355"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893</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3FA8073D"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884</w:t>
            </w:r>
          </w:p>
        </w:tc>
        <w:tc>
          <w:tcPr>
            <w:tcW w:w="92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2C2A9451"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902</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7888A324" w14:textId="77777777" w:rsidR="001E5473" w:rsidRPr="00ED3376" w:rsidRDefault="001E5473" w:rsidP="001E5473">
            <w:pPr>
              <w:tabs>
                <w:tab w:val="left" w:pos="376"/>
              </w:tabs>
              <w:spacing w:beforeLines="20" w:before="48" w:afterLines="20" w:after="48"/>
              <w:ind w:firstLine="0"/>
              <w:jc w:val="right"/>
              <w:rPr>
                <w:rFonts w:eastAsia="Calibri"/>
                <w:b/>
                <w:sz w:val="18"/>
                <w:szCs w:val="18"/>
              </w:rPr>
            </w:pPr>
            <w:r w:rsidRPr="00ED3376">
              <w:rPr>
                <w:sz w:val="18"/>
                <w:szCs w:val="18"/>
              </w:rPr>
              <w:t>904</w:t>
            </w:r>
          </w:p>
        </w:tc>
        <w:tc>
          <w:tcPr>
            <w:tcW w:w="105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2CE7935E" w14:textId="77777777" w:rsidR="001E5473" w:rsidRPr="00ED3376" w:rsidRDefault="001E5473" w:rsidP="001E5473">
            <w:pPr>
              <w:tabs>
                <w:tab w:val="left" w:pos="376"/>
              </w:tabs>
              <w:spacing w:beforeLines="20" w:before="48" w:afterLines="20" w:after="48"/>
              <w:ind w:firstLine="0"/>
              <w:jc w:val="right"/>
              <w:rPr>
                <w:rFonts w:eastAsia="Calibri"/>
                <w:b/>
                <w:sz w:val="18"/>
                <w:szCs w:val="18"/>
              </w:rPr>
            </w:pPr>
            <w:r w:rsidRPr="00ED3376">
              <w:rPr>
                <w:sz w:val="18"/>
                <w:szCs w:val="18"/>
              </w:rPr>
              <w:t>904</w:t>
            </w:r>
          </w:p>
        </w:tc>
      </w:tr>
      <w:tr w:rsidR="001E5473" w:rsidRPr="00ED3376" w14:paraId="5169FBC3" w14:textId="77777777" w:rsidTr="001E5473">
        <w:trPr>
          <w:trHeight w:val="20"/>
          <w:tblHeader/>
          <w:jc w:val="center"/>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550C306A" w14:textId="77777777" w:rsidR="001E5473" w:rsidRPr="00ED3376" w:rsidRDefault="001E5473" w:rsidP="001E5473">
            <w:pPr>
              <w:spacing w:beforeLines="20" w:before="48" w:afterLines="20" w:after="48"/>
              <w:ind w:left="720" w:firstLine="0"/>
              <w:jc w:val="left"/>
              <w:rPr>
                <w:rFonts w:eastAsia="Calibri"/>
                <w:bCs/>
                <w:noProof/>
                <w:sz w:val="18"/>
                <w:szCs w:val="18"/>
              </w:rPr>
            </w:pPr>
            <w:r w:rsidRPr="00ED3376">
              <w:rPr>
                <w:rFonts w:eastAsia="Calibri"/>
                <w:bCs/>
                <w:noProof/>
                <w:sz w:val="18"/>
                <w:szCs w:val="18"/>
              </w:rPr>
              <w:t>pieaugums (%)</w:t>
            </w:r>
          </w:p>
        </w:tc>
        <w:tc>
          <w:tcPr>
            <w:tcW w:w="99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4FAA40E0"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-1,9</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5187C091"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-1,0</w:t>
            </w:r>
          </w:p>
        </w:tc>
        <w:tc>
          <w:tcPr>
            <w:tcW w:w="92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5FF369CB"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2,0</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182E78E6" w14:textId="77777777" w:rsidR="001E5473" w:rsidRPr="00ED3376" w:rsidRDefault="001E5473" w:rsidP="001E5473">
            <w:pPr>
              <w:tabs>
                <w:tab w:val="left" w:pos="376"/>
              </w:tabs>
              <w:spacing w:beforeLines="20" w:before="48" w:afterLines="20" w:after="48"/>
              <w:ind w:firstLine="0"/>
              <w:jc w:val="right"/>
              <w:rPr>
                <w:rFonts w:eastAsia="Calibri"/>
                <w:sz w:val="18"/>
                <w:szCs w:val="18"/>
              </w:rPr>
            </w:pPr>
            <w:r w:rsidRPr="00ED3376">
              <w:rPr>
                <w:sz w:val="18"/>
                <w:szCs w:val="18"/>
              </w:rPr>
              <w:t>0,3</w:t>
            </w:r>
          </w:p>
        </w:tc>
        <w:tc>
          <w:tcPr>
            <w:tcW w:w="105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49E0D576" w14:textId="77777777" w:rsidR="001E5473" w:rsidRPr="00ED3376" w:rsidRDefault="001E5473" w:rsidP="001E5473">
            <w:pPr>
              <w:tabs>
                <w:tab w:val="left" w:pos="376"/>
              </w:tabs>
              <w:spacing w:beforeLines="20" w:before="48" w:afterLines="20" w:after="48"/>
              <w:ind w:firstLine="0"/>
              <w:jc w:val="right"/>
              <w:rPr>
                <w:rFonts w:eastAsia="Calibri"/>
                <w:sz w:val="18"/>
                <w:szCs w:val="18"/>
              </w:rPr>
            </w:pPr>
            <w:r w:rsidRPr="00ED3376">
              <w:rPr>
                <w:sz w:val="18"/>
                <w:szCs w:val="18"/>
              </w:rPr>
              <w:t>0,0</w:t>
            </w:r>
          </w:p>
        </w:tc>
      </w:tr>
      <w:tr w:rsidR="001E5473" w:rsidRPr="00ED3376" w14:paraId="3803DEAB" w14:textId="77777777" w:rsidTr="001E5473">
        <w:trPr>
          <w:trHeight w:val="20"/>
          <w:tblHeader/>
          <w:jc w:val="center"/>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C5742" w14:textId="77777777" w:rsidR="001E5473" w:rsidRPr="00ED3376" w:rsidRDefault="001E5473" w:rsidP="001E5473">
            <w:pPr>
              <w:spacing w:beforeLines="20" w:before="48" w:afterLines="20" w:after="48"/>
              <w:ind w:firstLine="0"/>
              <w:jc w:val="left"/>
              <w:rPr>
                <w:rFonts w:eastAsia="Calibri"/>
                <w:bCs/>
                <w:noProof/>
                <w:sz w:val="18"/>
                <w:szCs w:val="18"/>
              </w:rPr>
            </w:pPr>
            <w:r w:rsidRPr="009A5751">
              <w:rPr>
                <w:rFonts w:eastAsia="Calibri"/>
                <w:b/>
                <w:noProof/>
                <w:sz w:val="18"/>
                <w:szCs w:val="18"/>
              </w:rPr>
              <w:t>Bezdarba līmenis</w:t>
            </w:r>
            <w:r>
              <w:rPr>
                <w:rFonts w:eastAsia="Calibri"/>
                <w:bCs/>
                <w:noProof/>
                <w:sz w:val="18"/>
                <w:szCs w:val="18"/>
              </w:rPr>
              <w:br/>
            </w:r>
            <w:r w:rsidRPr="00ED3376">
              <w:rPr>
                <w:rFonts w:eastAsia="Calibri"/>
                <w:bCs/>
                <w:noProof/>
                <w:sz w:val="18"/>
                <w:szCs w:val="18"/>
              </w:rPr>
              <w:t>(gada vidējais, % no ekon. aktīviem iedzīv.)</w:t>
            </w:r>
          </w:p>
        </w:tc>
        <w:tc>
          <w:tcPr>
            <w:tcW w:w="99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2ADC5CA3"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8,1</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62DAB500"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7,7</w:t>
            </w:r>
          </w:p>
        </w:tc>
        <w:tc>
          <w:tcPr>
            <w:tcW w:w="92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7B5EAE64" w14:textId="77777777" w:rsidR="001E5473" w:rsidRPr="00ED3376" w:rsidRDefault="001E5473" w:rsidP="001E5473">
            <w:pPr>
              <w:tabs>
                <w:tab w:val="left" w:pos="376"/>
              </w:tabs>
              <w:spacing w:beforeLines="20" w:before="48" w:afterLines="20" w:after="48"/>
              <w:ind w:firstLine="0"/>
              <w:jc w:val="right"/>
              <w:rPr>
                <w:rFonts w:eastAsia="Calibri"/>
                <w:bCs/>
                <w:sz w:val="18"/>
                <w:szCs w:val="18"/>
              </w:rPr>
            </w:pPr>
            <w:r w:rsidRPr="00ED3376">
              <w:rPr>
                <w:bCs/>
                <w:sz w:val="18"/>
                <w:szCs w:val="18"/>
              </w:rPr>
              <w:t>6,9</w:t>
            </w:r>
          </w:p>
        </w:tc>
        <w:tc>
          <w:tcPr>
            <w:tcW w:w="921"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7A553A05" w14:textId="77777777" w:rsidR="001E5473" w:rsidRPr="00ED3376" w:rsidRDefault="001E5473" w:rsidP="001E5473">
            <w:pPr>
              <w:tabs>
                <w:tab w:val="left" w:pos="376"/>
              </w:tabs>
              <w:spacing w:beforeLines="20" w:before="48" w:afterLines="20" w:after="48"/>
              <w:ind w:firstLine="0"/>
              <w:jc w:val="right"/>
              <w:rPr>
                <w:rFonts w:eastAsia="Calibri"/>
                <w:b/>
                <w:sz w:val="18"/>
                <w:szCs w:val="18"/>
              </w:rPr>
            </w:pPr>
            <w:r w:rsidRPr="00ED3376">
              <w:rPr>
                <w:sz w:val="18"/>
                <w:szCs w:val="18"/>
              </w:rPr>
              <w:t>6,3</w:t>
            </w:r>
          </w:p>
        </w:tc>
        <w:tc>
          <w:tcPr>
            <w:tcW w:w="105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329FD039" w14:textId="77777777" w:rsidR="001E5473" w:rsidRPr="00ED3376" w:rsidRDefault="001E5473" w:rsidP="001E5473">
            <w:pPr>
              <w:tabs>
                <w:tab w:val="left" w:pos="376"/>
              </w:tabs>
              <w:spacing w:beforeLines="20" w:before="48" w:afterLines="20" w:after="48"/>
              <w:ind w:firstLine="0"/>
              <w:jc w:val="right"/>
              <w:rPr>
                <w:rFonts w:eastAsia="Calibri"/>
                <w:b/>
                <w:sz w:val="18"/>
                <w:szCs w:val="18"/>
              </w:rPr>
            </w:pPr>
            <w:r w:rsidRPr="00ED3376">
              <w:rPr>
                <w:sz w:val="18"/>
                <w:szCs w:val="18"/>
              </w:rPr>
              <w:t>5,9</w:t>
            </w:r>
          </w:p>
        </w:tc>
      </w:tr>
    </w:tbl>
    <w:p w14:paraId="0782164C" w14:textId="77777777" w:rsidR="001E5473" w:rsidRPr="005B5CD6" w:rsidRDefault="001E5473" w:rsidP="001E5473">
      <w:pPr>
        <w:autoSpaceDE w:val="0"/>
        <w:autoSpaceDN w:val="0"/>
        <w:adjustRightInd w:val="0"/>
        <w:spacing w:before="240"/>
        <w:ind w:firstLine="0"/>
        <w:jc w:val="center"/>
        <w:rPr>
          <w:b/>
          <w:color w:val="000000"/>
          <w:szCs w:val="28"/>
        </w:rPr>
      </w:pPr>
      <w:r w:rsidRPr="00EF1D74">
        <w:rPr>
          <w:b/>
          <w:color w:val="000000"/>
          <w:szCs w:val="28"/>
        </w:rPr>
        <w:t xml:space="preserve">Ietekme </w:t>
      </w:r>
      <w:r w:rsidRPr="005B5CD6">
        <w:rPr>
          <w:b/>
          <w:color w:val="000000"/>
          <w:szCs w:val="28"/>
        </w:rPr>
        <w:t>uz vispārējās valdības budžetu un parādu</w:t>
      </w:r>
    </w:p>
    <w:p w14:paraId="249E22B9" w14:textId="0B9B5150" w:rsidR="001E5473" w:rsidRPr="005B5CD6" w:rsidRDefault="001E5473" w:rsidP="001E5473">
      <w:pPr>
        <w:autoSpaceDE w:val="0"/>
        <w:autoSpaceDN w:val="0"/>
        <w:adjustRightInd w:val="0"/>
        <w:rPr>
          <w:noProof/>
          <w:color w:val="000000"/>
          <w:szCs w:val="28"/>
        </w:rPr>
      </w:pPr>
      <w:r w:rsidRPr="005B5CD6">
        <w:rPr>
          <w:noProof/>
          <w:color w:val="000000"/>
          <w:szCs w:val="28"/>
        </w:rPr>
        <w:t xml:space="preserve">Īstenojoties optimistiskajam scenārijam, kopbudžeta nodokļu ieņēmumi un valsts pamatbudžeta nenodokļu ieņēmumi palielinātos par 244,0 milj. </w:t>
      </w:r>
      <w:r w:rsidRPr="005B5CD6">
        <w:rPr>
          <w:i/>
          <w:noProof/>
          <w:color w:val="000000"/>
          <w:szCs w:val="28"/>
        </w:rPr>
        <w:t>euro</w:t>
      </w:r>
      <w:r w:rsidRPr="005B5CD6">
        <w:rPr>
          <w:noProof/>
          <w:color w:val="000000"/>
          <w:szCs w:val="28"/>
        </w:rPr>
        <w:t xml:space="preserve"> jeb 0,8% no </w:t>
      </w:r>
      <w:r>
        <w:rPr>
          <w:rFonts w:eastAsia="Calibri"/>
        </w:rPr>
        <w:t>iekšzemes kopprodukta</w:t>
      </w:r>
      <w:r w:rsidRPr="005B5CD6">
        <w:rPr>
          <w:noProof/>
          <w:color w:val="000000"/>
          <w:szCs w:val="28"/>
        </w:rPr>
        <w:t xml:space="preserve"> 2022. gadā salīdzinājumā ar bāzes scenāriju. Savukārt 2023. un 2024. gadā tie būtu attiecīgi par 252,9 milj. </w:t>
      </w:r>
      <w:r w:rsidRPr="005B5CD6">
        <w:rPr>
          <w:i/>
          <w:noProof/>
          <w:color w:val="000000"/>
          <w:szCs w:val="28"/>
        </w:rPr>
        <w:t>euro</w:t>
      </w:r>
      <w:r w:rsidRPr="005B5CD6">
        <w:rPr>
          <w:noProof/>
          <w:color w:val="000000"/>
          <w:szCs w:val="28"/>
        </w:rPr>
        <w:t xml:space="preserve"> jeb 0,7% no </w:t>
      </w:r>
      <w:r>
        <w:rPr>
          <w:rFonts w:eastAsia="Calibri"/>
        </w:rPr>
        <w:t>iekšzemes kopprodukta</w:t>
      </w:r>
      <w:r w:rsidRPr="005B5CD6">
        <w:rPr>
          <w:noProof/>
          <w:color w:val="000000"/>
          <w:szCs w:val="28"/>
        </w:rPr>
        <w:t xml:space="preserve"> un 259,6 milj. </w:t>
      </w:r>
      <w:r w:rsidRPr="005B5CD6">
        <w:rPr>
          <w:i/>
          <w:noProof/>
          <w:color w:val="000000"/>
          <w:szCs w:val="28"/>
        </w:rPr>
        <w:t>euro</w:t>
      </w:r>
      <w:r w:rsidRPr="005B5CD6">
        <w:rPr>
          <w:noProof/>
          <w:color w:val="000000"/>
          <w:szCs w:val="28"/>
        </w:rPr>
        <w:t xml:space="preserve"> jeb 0,7% no </w:t>
      </w:r>
      <w:r>
        <w:rPr>
          <w:rFonts w:eastAsia="Calibri"/>
        </w:rPr>
        <w:t>iekšzemes kopprodukta</w:t>
      </w:r>
      <w:r w:rsidRPr="005B5CD6">
        <w:rPr>
          <w:noProof/>
          <w:color w:val="000000"/>
          <w:szCs w:val="28"/>
        </w:rPr>
        <w:t xml:space="preserve"> augstāki nekā bāzes scenārijā.</w:t>
      </w:r>
    </w:p>
    <w:p w14:paraId="61A6E720" w14:textId="77777777" w:rsidR="001E5473" w:rsidRPr="005B5CD6" w:rsidRDefault="001E5473" w:rsidP="001E5473">
      <w:pPr>
        <w:autoSpaceDE w:val="0"/>
        <w:autoSpaceDN w:val="0"/>
        <w:adjustRightInd w:val="0"/>
        <w:rPr>
          <w:noProof/>
          <w:color w:val="000000"/>
          <w:szCs w:val="28"/>
        </w:rPr>
      </w:pPr>
      <w:r w:rsidRPr="005B5CD6">
        <w:rPr>
          <w:noProof/>
          <w:color w:val="000000"/>
          <w:szCs w:val="28"/>
        </w:rPr>
        <w:lastRenderedPageBreak/>
        <w:t>Izpildoties optimistiskajam scenārijam, aptuveni puse no kopbudžeta ieņēmum</w:t>
      </w:r>
      <w:r>
        <w:rPr>
          <w:noProof/>
          <w:color w:val="000000"/>
          <w:szCs w:val="28"/>
        </w:rPr>
        <w:t>u</w:t>
      </w:r>
      <w:r w:rsidRPr="005B5CD6">
        <w:rPr>
          <w:noProof/>
          <w:color w:val="000000"/>
          <w:szCs w:val="28"/>
        </w:rPr>
        <w:t xml:space="preserve"> pieauguma būtu attiecināma uz valsts pamatbudžetu. </w:t>
      </w:r>
      <w:r w:rsidRPr="005B5CD6">
        <w:rPr>
          <w:color w:val="000000"/>
          <w:szCs w:val="28"/>
        </w:rPr>
        <w:t>Pie šāda scenārija, pieaugot nodokļu ieņēmumiem, uzlabotos valsts budžeta finansiālā bilance, kā rezultātā samazinātos kopējā finansēšanas nepieciešamība un attiecīgi arī aizņemšanās apjoms attiecīgajā periodā, salīdzinot ar bāzes scenāriju. Mazāks aizņemšanās apjoms izraisītu nelielu ietaupījumu procentu izdevumos. Optimistiskā scenārija gadījumā procentu izdevumi 2022. gadā samazinātos par 0,8</w:t>
      </w:r>
      <w:r>
        <w:rPr>
          <w:color w:val="000000"/>
          <w:szCs w:val="28"/>
        </w:rPr>
        <w:t> </w:t>
      </w:r>
      <w:r w:rsidRPr="005B5CD6">
        <w:rPr>
          <w:color w:val="000000"/>
          <w:szCs w:val="28"/>
        </w:rPr>
        <w:t xml:space="preserve">milj. </w:t>
      </w:r>
      <w:r w:rsidRPr="005B5CD6">
        <w:rPr>
          <w:i/>
          <w:noProof/>
          <w:color w:val="000000"/>
          <w:szCs w:val="28"/>
        </w:rPr>
        <w:t>euro</w:t>
      </w:r>
      <w:r w:rsidRPr="005B5CD6">
        <w:rPr>
          <w:color w:val="000000"/>
          <w:szCs w:val="28"/>
        </w:rPr>
        <w:t>, 2023. gadā izdevumi būtu par 2,7 milj</w:t>
      </w:r>
      <w:r w:rsidRPr="005B5CD6">
        <w:rPr>
          <w:noProof/>
          <w:color w:val="000000"/>
          <w:szCs w:val="28"/>
        </w:rPr>
        <w:t xml:space="preserve">. </w:t>
      </w:r>
      <w:r w:rsidRPr="005B5CD6">
        <w:rPr>
          <w:i/>
          <w:noProof/>
          <w:color w:val="000000"/>
          <w:szCs w:val="28"/>
        </w:rPr>
        <w:t>euro</w:t>
      </w:r>
      <w:r w:rsidRPr="005B5CD6">
        <w:rPr>
          <w:noProof/>
          <w:color w:val="000000"/>
          <w:szCs w:val="28"/>
        </w:rPr>
        <w:t xml:space="preserve"> un 2024. gadā par 5,0 milj. </w:t>
      </w:r>
      <w:r w:rsidRPr="005B5CD6">
        <w:rPr>
          <w:i/>
          <w:noProof/>
          <w:color w:val="000000"/>
          <w:szCs w:val="28"/>
        </w:rPr>
        <w:t>euro</w:t>
      </w:r>
      <w:r w:rsidRPr="005B5CD6">
        <w:rPr>
          <w:noProof/>
          <w:color w:val="000000"/>
          <w:szCs w:val="28"/>
        </w:rPr>
        <w:t xml:space="preserve"> mazāki nekā bāzes scenārijā.</w:t>
      </w:r>
    </w:p>
    <w:p w14:paraId="5AFDA13F" w14:textId="1E79D9C6" w:rsidR="001E5473" w:rsidRPr="001E5473" w:rsidRDefault="001E5473" w:rsidP="001E5473">
      <w:pPr>
        <w:keepNext/>
        <w:spacing w:before="240"/>
        <w:ind w:firstLine="0"/>
        <w:jc w:val="right"/>
        <w:rPr>
          <w:rFonts w:eastAsia="Calibri"/>
          <w:b/>
          <w:i/>
          <w:szCs w:val="24"/>
        </w:rPr>
      </w:pPr>
      <w:r w:rsidRPr="001E5473">
        <w:rPr>
          <w:rFonts w:eastAsia="Calibri"/>
          <w:b/>
          <w:i/>
          <w:szCs w:val="24"/>
        </w:rPr>
        <w:t>1.9.</w:t>
      </w:r>
      <w:r w:rsidR="007F32E2">
        <w:rPr>
          <w:rFonts w:eastAsia="Calibri"/>
          <w:b/>
          <w:i/>
          <w:szCs w:val="24"/>
        </w:rPr>
        <w:t xml:space="preserve"> </w:t>
      </w:r>
      <w:r w:rsidRPr="001E5473">
        <w:rPr>
          <w:rFonts w:eastAsia="Calibri"/>
          <w:b/>
          <w:i/>
          <w:szCs w:val="24"/>
        </w:rPr>
        <w:t xml:space="preserve">tabula. Optimistiskā scenārija ietekme uz vispārējās valdības budžetu, </w:t>
      </w:r>
      <w:r w:rsidRPr="001E5473">
        <w:rPr>
          <w:rFonts w:eastAsia="Calibri"/>
          <w:b/>
          <w:i/>
          <w:noProof/>
          <w:szCs w:val="24"/>
        </w:rPr>
        <w:t>milj. euro</w:t>
      </w:r>
    </w:p>
    <w:tbl>
      <w:tblPr>
        <w:tblW w:w="9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851"/>
        <w:gridCol w:w="850"/>
        <w:gridCol w:w="851"/>
        <w:gridCol w:w="850"/>
        <w:gridCol w:w="709"/>
        <w:gridCol w:w="709"/>
        <w:gridCol w:w="709"/>
        <w:gridCol w:w="721"/>
        <w:gridCol w:w="9"/>
      </w:tblGrid>
      <w:tr w:rsidR="001E5473" w:rsidRPr="00EF1D74" w14:paraId="2D939382" w14:textId="77777777" w:rsidTr="001E5473">
        <w:trPr>
          <w:trHeight w:val="301"/>
          <w:tblHeader/>
          <w:jc w:val="center"/>
        </w:trPr>
        <w:tc>
          <w:tcPr>
            <w:tcW w:w="2830" w:type="dxa"/>
            <w:shd w:val="clear" w:color="auto" w:fill="D5DCE4" w:themeFill="text2" w:themeFillTint="33"/>
            <w:vAlign w:val="center"/>
            <w:hideMark/>
          </w:tcPr>
          <w:p w14:paraId="4F1FD9EF" w14:textId="77777777" w:rsidR="001E5473" w:rsidRPr="00EF1D74" w:rsidRDefault="001E5473" w:rsidP="001E5473">
            <w:pPr>
              <w:spacing w:after="0"/>
              <w:ind w:firstLine="0"/>
              <w:jc w:val="left"/>
              <w:rPr>
                <w:sz w:val="18"/>
                <w:szCs w:val="18"/>
              </w:rPr>
            </w:pPr>
          </w:p>
        </w:tc>
        <w:tc>
          <w:tcPr>
            <w:tcW w:w="3402" w:type="dxa"/>
            <w:gridSpan w:val="4"/>
            <w:shd w:val="clear" w:color="auto" w:fill="D5DCE4" w:themeFill="text2" w:themeFillTint="33"/>
            <w:vAlign w:val="center"/>
          </w:tcPr>
          <w:p w14:paraId="13F87CD2" w14:textId="77777777" w:rsidR="001E5473" w:rsidRPr="00EF1D74" w:rsidRDefault="001E5473" w:rsidP="001E5473">
            <w:pPr>
              <w:spacing w:after="0"/>
              <w:ind w:firstLine="0"/>
              <w:jc w:val="center"/>
              <w:rPr>
                <w:b/>
                <w:sz w:val="18"/>
                <w:szCs w:val="18"/>
              </w:rPr>
            </w:pPr>
            <w:r w:rsidRPr="00EF1D74">
              <w:rPr>
                <w:b/>
                <w:sz w:val="18"/>
                <w:szCs w:val="18"/>
              </w:rPr>
              <w:t>Optimistiskais scenārijs</w:t>
            </w:r>
          </w:p>
        </w:tc>
        <w:tc>
          <w:tcPr>
            <w:tcW w:w="2857" w:type="dxa"/>
            <w:gridSpan w:val="5"/>
            <w:shd w:val="clear" w:color="auto" w:fill="D5DCE4" w:themeFill="text2" w:themeFillTint="33"/>
            <w:vAlign w:val="center"/>
          </w:tcPr>
          <w:p w14:paraId="3ED93358" w14:textId="77777777" w:rsidR="001E5473" w:rsidRPr="00EF1D74" w:rsidRDefault="001E5473" w:rsidP="001E5473">
            <w:pPr>
              <w:spacing w:after="0"/>
              <w:ind w:firstLine="0"/>
              <w:jc w:val="center"/>
              <w:rPr>
                <w:b/>
                <w:sz w:val="18"/>
                <w:szCs w:val="18"/>
              </w:rPr>
            </w:pPr>
            <w:r w:rsidRPr="00EF1D74">
              <w:rPr>
                <w:b/>
                <w:sz w:val="18"/>
                <w:szCs w:val="18"/>
              </w:rPr>
              <w:t>Novirze no bāzes scenārija</w:t>
            </w:r>
          </w:p>
        </w:tc>
      </w:tr>
      <w:tr w:rsidR="001E5473" w:rsidRPr="00EF1D74" w14:paraId="17BEB11D" w14:textId="77777777" w:rsidTr="001E5473">
        <w:trPr>
          <w:gridAfter w:val="1"/>
          <w:wAfter w:w="9" w:type="dxa"/>
          <w:trHeight w:val="185"/>
          <w:jc w:val="center"/>
        </w:trPr>
        <w:tc>
          <w:tcPr>
            <w:tcW w:w="2830" w:type="dxa"/>
            <w:shd w:val="clear" w:color="auto" w:fill="D5DCE4" w:themeFill="text2" w:themeFillTint="33"/>
            <w:vAlign w:val="center"/>
            <w:hideMark/>
          </w:tcPr>
          <w:p w14:paraId="118EA238" w14:textId="77777777" w:rsidR="001E5473" w:rsidRPr="00EF1D74" w:rsidRDefault="001E5473" w:rsidP="001E5473">
            <w:pPr>
              <w:spacing w:after="0"/>
              <w:ind w:firstLine="0"/>
              <w:jc w:val="left"/>
              <w:rPr>
                <w:sz w:val="18"/>
                <w:szCs w:val="18"/>
              </w:rPr>
            </w:pPr>
          </w:p>
        </w:tc>
        <w:tc>
          <w:tcPr>
            <w:tcW w:w="851" w:type="dxa"/>
            <w:shd w:val="clear" w:color="auto" w:fill="D5DCE4" w:themeFill="text2" w:themeFillTint="33"/>
            <w:tcMar>
              <w:left w:w="57" w:type="dxa"/>
              <w:right w:w="57" w:type="dxa"/>
            </w:tcMar>
            <w:vAlign w:val="center"/>
          </w:tcPr>
          <w:p w14:paraId="27F1F678" w14:textId="77777777" w:rsidR="001E5473" w:rsidRPr="00EF1D74" w:rsidRDefault="001E5473" w:rsidP="001E5473">
            <w:pPr>
              <w:spacing w:after="0"/>
              <w:ind w:firstLine="0"/>
              <w:jc w:val="center"/>
              <w:rPr>
                <w:b/>
                <w:sz w:val="18"/>
                <w:szCs w:val="18"/>
              </w:rPr>
            </w:pPr>
            <w:r w:rsidRPr="00EF1D74">
              <w:rPr>
                <w:b/>
                <w:sz w:val="18"/>
                <w:szCs w:val="18"/>
              </w:rPr>
              <w:t>202</w:t>
            </w:r>
            <w:r>
              <w:rPr>
                <w:b/>
                <w:sz w:val="18"/>
                <w:szCs w:val="18"/>
              </w:rPr>
              <w:t>1</w:t>
            </w:r>
          </w:p>
        </w:tc>
        <w:tc>
          <w:tcPr>
            <w:tcW w:w="850" w:type="dxa"/>
            <w:shd w:val="clear" w:color="auto" w:fill="D5DCE4" w:themeFill="text2" w:themeFillTint="33"/>
            <w:tcMar>
              <w:left w:w="57" w:type="dxa"/>
              <w:right w:w="57" w:type="dxa"/>
            </w:tcMar>
            <w:vAlign w:val="center"/>
          </w:tcPr>
          <w:p w14:paraId="08890EF2" w14:textId="77777777" w:rsidR="001E5473" w:rsidRPr="00EF1D74" w:rsidRDefault="001E5473" w:rsidP="001E5473">
            <w:pPr>
              <w:spacing w:after="0"/>
              <w:ind w:firstLine="0"/>
              <w:jc w:val="center"/>
              <w:rPr>
                <w:b/>
                <w:sz w:val="18"/>
                <w:szCs w:val="18"/>
              </w:rPr>
            </w:pPr>
            <w:r w:rsidRPr="00EF1D74">
              <w:rPr>
                <w:b/>
                <w:sz w:val="18"/>
                <w:szCs w:val="18"/>
              </w:rPr>
              <w:t>202</w:t>
            </w:r>
            <w:r>
              <w:rPr>
                <w:b/>
                <w:sz w:val="18"/>
                <w:szCs w:val="18"/>
              </w:rPr>
              <w:t>2</w:t>
            </w:r>
          </w:p>
        </w:tc>
        <w:tc>
          <w:tcPr>
            <w:tcW w:w="851" w:type="dxa"/>
            <w:shd w:val="clear" w:color="auto" w:fill="D5DCE4" w:themeFill="text2" w:themeFillTint="33"/>
            <w:tcMar>
              <w:left w:w="57" w:type="dxa"/>
              <w:right w:w="57" w:type="dxa"/>
            </w:tcMar>
            <w:vAlign w:val="center"/>
          </w:tcPr>
          <w:p w14:paraId="0D0F19FB" w14:textId="77777777" w:rsidR="001E5473" w:rsidRPr="00EF1D74" w:rsidRDefault="001E5473" w:rsidP="001E5473">
            <w:pPr>
              <w:spacing w:after="0"/>
              <w:ind w:firstLine="0"/>
              <w:jc w:val="center"/>
              <w:rPr>
                <w:b/>
                <w:sz w:val="18"/>
                <w:szCs w:val="18"/>
              </w:rPr>
            </w:pPr>
            <w:r w:rsidRPr="00EF1D74">
              <w:rPr>
                <w:b/>
                <w:sz w:val="18"/>
                <w:szCs w:val="18"/>
              </w:rPr>
              <w:t>202</w:t>
            </w:r>
            <w:r>
              <w:rPr>
                <w:b/>
                <w:sz w:val="18"/>
                <w:szCs w:val="18"/>
              </w:rPr>
              <w:t>3</w:t>
            </w:r>
          </w:p>
        </w:tc>
        <w:tc>
          <w:tcPr>
            <w:tcW w:w="850" w:type="dxa"/>
            <w:shd w:val="clear" w:color="auto" w:fill="D5DCE4" w:themeFill="text2" w:themeFillTint="33"/>
            <w:tcMar>
              <w:left w:w="57" w:type="dxa"/>
              <w:right w:w="57" w:type="dxa"/>
            </w:tcMar>
            <w:vAlign w:val="center"/>
          </w:tcPr>
          <w:p w14:paraId="17647147" w14:textId="77777777" w:rsidR="001E5473" w:rsidRPr="00EF1D74" w:rsidRDefault="001E5473" w:rsidP="001E5473">
            <w:pPr>
              <w:spacing w:after="0"/>
              <w:ind w:firstLine="0"/>
              <w:jc w:val="center"/>
              <w:rPr>
                <w:b/>
                <w:sz w:val="18"/>
                <w:szCs w:val="18"/>
              </w:rPr>
            </w:pPr>
            <w:r w:rsidRPr="00EF1D74">
              <w:rPr>
                <w:b/>
                <w:sz w:val="18"/>
                <w:szCs w:val="18"/>
              </w:rPr>
              <w:t>202</w:t>
            </w:r>
            <w:r>
              <w:rPr>
                <w:b/>
                <w:sz w:val="18"/>
                <w:szCs w:val="18"/>
              </w:rPr>
              <w:t>4</w:t>
            </w:r>
          </w:p>
        </w:tc>
        <w:tc>
          <w:tcPr>
            <w:tcW w:w="709" w:type="dxa"/>
            <w:shd w:val="clear" w:color="auto" w:fill="D5DCE4" w:themeFill="text2" w:themeFillTint="33"/>
            <w:tcMar>
              <w:left w:w="57" w:type="dxa"/>
              <w:right w:w="57" w:type="dxa"/>
            </w:tcMar>
            <w:vAlign w:val="center"/>
            <w:hideMark/>
          </w:tcPr>
          <w:p w14:paraId="035A6206" w14:textId="77777777" w:rsidR="001E5473" w:rsidRPr="00EF1D74" w:rsidRDefault="001E5473" w:rsidP="001E5473">
            <w:pPr>
              <w:spacing w:after="0"/>
              <w:ind w:firstLine="0"/>
              <w:jc w:val="center"/>
              <w:rPr>
                <w:b/>
                <w:sz w:val="18"/>
                <w:szCs w:val="18"/>
              </w:rPr>
            </w:pPr>
            <w:r w:rsidRPr="00EF1D74">
              <w:rPr>
                <w:b/>
                <w:sz w:val="18"/>
                <w:szCs w:val="18"/>
              </w:rPr>
              <w:t>202</w:t>
            </w:r>
            <w:r>
              <w:rPr>
                <w:b/>
                <w:sz w:val="18"/>
                <w:szCs w:val="18"/>
              </w:rPr>
              <w:t>1</w:t>
            </w:r>
          </w:p>
        </w:tc>
        <w:tc>
          <w:tcPr>
            <w:tcW w:w="709" w:type="dxa"/>
            <w:shd w:val="clear" w:color="auto" w:fill="D5DCE4" w:themeFill="text2" w:themeFillTint="33"/>
            <w:tcMar>
              <w:left w:w="57" w:type="dxa"/>
              <w:right w:w="57" w:type="dxa"/>
            </w:tcMar>
            <w:vAlign w:val="center"/>
            <w:hideMark/>
          </w:tcPr>
          <w:p w14:paraId="3D6F409E" w14:textId="77777777" w:rsidR="001E5473" w:rsidRPr="00EF1D74" w:rsidRDefault="001E5473" w:rsidP="001E5473">
            <w:pPr>
              <w:spacing w:after="0"/>
              <w:ind w:firstLine="0"/>
              <w:jc w:val="center"/>
              <w:rPr>
                <w:b/>
                <w:sz w:val="18"/>
                <w:szCs w:val="18"/>
              </w:rPr>
            </w:pPr>
            <w:r w:rsidRPr="00EF1D74">
              <w:rPr>
                <w:b/>
                <w:sz w:val="18"/>
                <w:szCs w:val="18"/>
              </w:rPr>
              <w:t>202</w:t>
            </w:r>
            <w:r>
              <w:rPr>
                <w:b/>
                <w:sz w:val="18"/>
                <w:szCs w:val="18"/>
              </w:rPr>
              <w:t>2</w:t>
            </w:r>
          </w:p>
        </w:tc>
        <w:tc>
          <w:tcPr>
            <w:tcW w:w="709" w:type="dxa"/>
            <w:shd w:val="clear" w:color="auto" w:fill="D5DCE4" w:themeFill="text2" w:themeFillTint="33"/>
            <w:tcMar>
              <w:left w:w="57" w:type="dxa"/>
              <w:right w:w="57" w:type="dxa"/>
            </w:tcMar>
            <w:vAlign w:val="center"/>
          </w:tcPr>
          <w:p w14:paraId="700ECF54" w14:textId="77777777" w:rsidR="001E5473" w:rsidRPr="00EF1D74" w:rsidRDefault="001E5473" w:rsidP="001E5473">
            <w:pPr>
              <w:spacing w:after="0"/>
              <w:ind w:firstLine="0"/>
              <w:jc w:val="center"/>
              <w:rPr>
                <w:b/>
                <w:sz w:val="18"/>
                <w:szCs w:val="18"/>
              </w:rPr>
            </w:pPr>
            <w:r w:rsidRPr="00EF1D74">
              <w:rPr>
                <w:b/>
                <w:sz w:val="18"/>
                <w:szCs w:val="18"/>
              </w:rPr>
              <w:t>202</w:t>
            </w:r>
            <w:r>
              <w:rPr>
                <w:b/>
                <w:sz w:val="18"/>
                <w:szCs w:val="18"/>
              </w:rPr>
              <w:t>3</w:t>
            </w:r>
          </w:p>
        </w:tc>
        <w:tc>
          <w:tcPr>
            <w:tcW w:w="721" w:type="dxa"/>
            <w:shd w:val="clear" w:color="auto" w:fill="D5DCE4" w:themeFill="text2" w:themeFillTint="33"/>
            <w:tcMar>
              <w:left w:w="57" w:type="dxa"/>
              <w:right w:w="57" w:type="dxa"/>
            </w:tcMar>
            <w:vAlign w:val="center"/>
            <w:hideMark/>
          </w:tcPr>
          <w:p w14:paraId="0334B2DE" w14:textId="77777777" w:rsidR="001E5473" w:rsidRPr="00EF1D74" w:rsidRDefault="001E5473" w:rsidP="001E5473">
            <w:pPr>
              <w:spacing w:after="0"/>
              <w:ind w:firstLine="0"/>
              <w:jc w:val="center"/>
              <w:rPr>
                <w:b/>
                <w:sz w:val="18"/>
                <w:szCs w:val="18"/>
              </w:rPr>
            </w:pPr>
            <w:r w:rsidRPr="00EF1D74">
              <w:rPr>
                <w:b/>
                <w:sz w:val="18"/>
                <w:szCs w:val="18"/>
              </w:rPr>
              <w:t>202</w:t>
            </w:r>
            <w:r>
              <w:rPr>
                <w:b/>
                <w:sz w:val="18"/>
                <w:szCs w:val="18"/>
              </w:rPr>
              <w:t>4</w:t>
            </w:r>
          </w:p>
        </w:tc>
      </w:tr>
      <w:tr w:rsidR="001E5473" w:rsidRPr="00EF1D74" w14:paraId="5259218D" w14:textId="77777777" w:rsidTr="001E5473">
        <w:trPr>
          <w:gridAfter w:val="1"/>
          <w:wAfter w:w="9" w:type="dxa"/>
          <w:trHeight w:val="306"/>
          <w:jc w:val="center"/>
        </w:trPr>
        <w:tc>
          <w:tcPr>
            <w:tcW w:w="2830" w:type="dxa"/>
            <w:shd w:val="clear" w:color="auto" w:fill="auto"/>
            <w:vAlign w:val="center"/>
          </w:tcPr>
          <w:p w14:paraId="099D5D70" w14:textId="71C6BEFE" w:rsidR="001E5473" w:rsidRPr="00EF1D74" w:rsidRDefault="001E5473" w:rsidP="001E5473">
            <w:pPr>
              <w:spacing w:after="0"/>
              <w:ind w:firstLine="0"/>
              <w:jc w:val="left"/>
              <w:rPr>
                <w:b/>
                <w:sz w:val="18"/>
                <w:szCs w:val="18"/>
              </w:rPr>
            </w:pPr>
            <w:r w:rsidRPr="00EF1D74">
              <w:rPr>
                <w:b/>
                <w:sz w:val="18"/>
                <w:szCs w:val="18"/>
              </w:rPr>
              <w:t>Vispārējās valdības budžeta bilance</w:t>
            </w:r>
            <w:r w:rsidRPr="00EF1D74">
              <w:rPr>
                <w:b/>
                <w:sz w:val="18"/>
                <w:szCs w:val="18"/>
                <w:vertAlign w:val="superscript"/>
              </w:rPr>
              <w:footnoteReference w:id="7"/>
            </w:r>
            <w:r>
              <w:rPr>
                <w:b/>
                <w:sz w:val="18"/>
                <w:szCs w:val="18"/>
              </w:rPr>
              <w:t>, % no iekšzemes kopprodukta</w:t>
            </w:r>
          </w:p>
        </w:tc>
        <w:tc>
          <w:tcPr>
            <w:tcW w:w="851" w:type="dxa"/>
            <w:shd w:val="clear" w:color="auto" w:fill="auto"/>
            <w:tcMar>
              <w:left w:w="57" w:type="dxa"/>
              <w:right w:w="57" w:type="dxa"/>
            </w:tcMar>
            <w:vAlign w:val="center"/>
          </w:tcPr>
          <w:p w14:paraId="75164922" w14:textId="77777777" w:rsidR="001E5473" w:rsidRPr="00F21223" w:rsidRDefault="001E5473" w:rsidP="001E5473">
            <w:pPr>
              <w:spacing w:after="0"/>
              <w:ind w:firstLine="0"/>
              <w:jc w:val="right"/>
              <w:rPr>
                <w:b/>
                <w:sz w:val="18"/>
                <w:szCs w:val="18"/>
              </w:rPr>
            </w:pPr>
            <w:r w:rsidRPr="00F21223">
              <w:rPr>
                <w:b/>
                <w:sz w:val="18"/>
                <w:szCs w:val="18"/>
              </w:rPr>
              <w:t>-</w:t>
            </w:r>
            <w:r>
              <w:rPr>
                <w:b/>
                <w:sz w:val="18"/>
                <w:szCs w:val="18"/>
              </w:rPr>
              <w:t>8,6</w:t>
            </w:r>
          </w:p>
        </w:tc>
        <w:tc>
          <w:tcPr>
            <w:tcW w:w="850" w:type="dxa"/>
            <w:shd w:val="clear" w:color="auto" w:fill="auto"/>
            <w:tcMar>
              <w:left w:w="57" w:type="dxa"/>
              <w:right w:w="57" w:type="dxa"/>
            </w:tcMar>
            <w:vAlign w:val="center"/>
          </w:tcPr>
          <w:p w14:paraId="73008713" w14:textId="77777777" w:rsidR="001E5473" w:rsidRPr="00F21223" w:rsidRDefault="001E5473" w:rsidP="001E5473">
            <w:pPr>
              <w:spacing w:after="0"/>
              <w:ind w:firstLine="0"/>
              <w:jc w:val="right"/>
              <w:rPr>
                <w:b/>
                <w:sz w:val="18"/>
                <w:szCs w:val="18"/>
              </w:rPr>
            </w:pPr>
            <w:r>
              <w:rPr>
                <w:b/>
                <w:sz w:val="18"/>
                <w:szCs w:val="18"/>
              </w:rPr>
              <w:t>-3,9</w:t>
            </w:r>
          </w:p>
        </w:tc>
        <w:tc>
          <w:tcPr>
            <w:tcW w:w="851" w:type="dxa"/>
            <w:shd w:val="clear" w:color="auto" w:fill="auto"/>
            <w:tcMar>
              <w:left w:w="57" w:type="dxa"/>
              <w:right w:w="57" w:type="dxa"/>
            </w:tcMar>
            <w:vAlign w:val="center"/>
          </w:tcPr>
          <w:p w14:paraId="764AC921" w14:textId="77777777" w:rsidR="001E5473" w:rsidRPr="00F21223" w:rsidRDefault="001E5473" w:rsidP="001E5473">
            <w:pPr>
              <w:spacing w:after="0"/>
              <w:ind w:firstLine="0"/>
              <w:jc w:val="right"/>
              <w:rPr>
                <w:b/>
                <w:sz w:val="18"/>
                <w:szCs w:val="18"/>
              </w:rPr>
            </w:pPr>
            <w:r w:rsidRPr="00F21223">
              <w:rPr>
                <w:b/>
                <w:sz w:val="18"/>
                <w:szCs w:val="18"/>
              </w:rPr>
              <w:t>-</w:t>
            </w:r>
            <w:r>
              <w:rPr>
                <w:b/>
                <w:sz w:val="18"/>
                <w:szCs w:val="18"/>
              </w:rPr>
              <w:t>1,3</w:t>
            </w:r>
          </w:p>
        </w:tc>
        <w:tc>
          <w:tcPr>
            <w:tcW w:w="850" w:type="dxa"/>
            <w:shd w:val="clear" w:color="auto" w:fill="auto"/>
            <w:tcMar>
              <w:left w:w="57" w:type="dxa"/>
              <w:right w:w="57" w:type="dxa"/>
            </w:tcMar>
            <w:vAlign w:val="center"/>
          </w:tcPr>
          <w:p w14:paraId="2E12E01D" w14:textId="77777777" w:rsidR="001E5473" w:rsidRPr="00804ACF" w:rsidRDefault="001E5473" w:rsidP="001E5473">
            <w:pPr>
              <w:spacing w:after="0"/>
              <w:ind w:firstLine="0"/>
              <w:jc w:val="right"/>
              <w:rPr>
                <w:b/>
                <w:sz w:val="18"/>
                <w:szCs w:val="18"/>
              </w:rPr>
            </w:pPr>
            <w:r w:rsidRPr="00804ACF">
              <w:rPr>
                <w:b/>
                <w:sz w:val="18"/>
                <w:szCs w:val="18"/>
              </w:rPr>
              <w:t>-0,5</w:t>
            </w:r>
          </w:p>
        </w:tc>
        <w:tc>
          <w:tcPr>
            <w:tcW w:w="709" w:type="dxa"/>
            <w:shd w:val="clear" w:color="auto" w:fill="auto"/>
            <w:tcMar>
              <w:left w:w="57" w:type="dxa"/>
              <w:right w:w="57" w:type="dxa"/>
            </w:tcMar>
            <w:vAlign w:val="center"/>
          </w:tcPr>
          <w:p w14:paraId="252C8C62" w14:textId="77777777" w:rsidR="001E5473" w:rsidRPr="00804ACF" w:rsidRDefault="001E5473" w:rsidP="001E5473">
            <w:pPr>
              <w:spacing w:after="0"/>
              <w:ind w:firstLine="0"/>
              <w:jc w:val="right"/>
              <w:rPr>
                <w:b/>
                <w:sz w:val="18"/>
                <w:szCs w:val="18"/>
              </w:rPr>
            </w:pPr>
            <w:r w:rsidRPr="00804ACF">
              <w:rPr>
                <w:b/>
                <w:sz w:val="18"/>
                <w:szCs w:val="18"/>
              </w:rPr>
              <w:t>0,7</w:t>
            </w:r>
          </w:p>
        </w:tc>
        <w:tc>
          <w:tcPr>
            <w:tcW w:w="709" w:type="dxa"/>
            <w:shd w:val="clear" w:color="auto" w:fill="auto"/>
            <w:tcMar>
              <w:left w:w="57" w:type="dxa"/>
              <w:right w:w="57" w:type="dxa"/>
            </w:tcMar>
            <w:vAlign w:val="center"/>
          </w:tcPr>
          <w:p w14:paraId="391248E5" w14:textId="77777777" w:rsidR="001E5473" w:rsidRPr="00804ACF" w:rsidRDefault="001E5473" w:rsidP="001E5473">
            <w:pPr>
              <w:spacing w:after="0" w:line="259" w:lineRule="auto"/>
              <w:ind w:firstLine="0"/>
              <w:jc w:val="right"/>
              <w:rPr>
                <w:b/>
                <w:sz w:val="18"/>
                <w:szCs w:val="18"/>
              </w:rPr>
            </w:pPr>
            <w:r w:rsidRPr="00804ACF">
              <w:rPr>
                <w:b/>
                <w:sz w:val="18"/>
                <w:szCs w:val="18"/>
              </w:rPr>
              <w:t>0,8</w:t>
            </w:r>
          </w:p>
        </w:tc>
        <w:tc>
          <w:tcPr>
            <w:tcW w:w="709" w:type="dxa"/>
            <w:shd w:val="clear" w:color="auto" w:fill="auto"/>
            <w:tcMar>
              <w:left w:w="57" w:type="dxa"/>
              <w:right w:w="57" w:type="dxa"/>
            </w:tcMar>
            <w:vAlign w:val="center"/>
          </w:tcPr>
          <w:p w14:paraId="0D834300" w14:textId="77777777" w:rsidR="001E5473" w:rsidRPr="00804ACF" w:rsidRDefault="001E5473" w:rsidP="001E5473">
            <w:pPr>
              <w:spacing w:after="0" w:line="259" w:lineRule="auto"/>
              <w:ind w:firstLine="0"/>
              <w:jc w:val="right"/>
              <w:rPr>
                <w:b/>
                <w:sz w:val="18"/>
                <w:szCs w:val="18"/>
              </w:rPr>
            </w:pPr>
            <w:r w:rsidRPr="00804ACF">
              <w:rPr>
                <w:b/>
                <w:sz w:val="18"/>
                <w:szCs w:val="18"/>
              </w:rPr>
              <w:t>0,8</w:t>
            </w:r>
          </w:p>
        </w:tc>
        <w:tc>
          <w:tcPr>
            <w:tcW w:w="721" w:type="dxa"/>
            <w:shd w:val="clear" w:color="auto" w:fill="auto"/>
            <w:tcMar>
              <w:left w:w="57" w:type="dxa"/>
              <w:right w:w="57" w:type="dxa"/>
            </w:tcMar>
            <w:vAlign w:val="center"/>
          </w:tcPr>
          <w:p w14:paraId="7FAE0740" w14:textId="77777777" w:rsidR="001E5473" w:rsidRPr="00804ACF" w:rsidRDefault="001E5473" w:rsidP="001E5473">
            <w:pPr>
              <w:spacing w:after="0" w:line="259" w:lineRule="auto"/>
              <w:ind w:firstLine="0"/>
              <w:jc w:val="right"/>
              <w:rPr>
                <w:b/>
                <w:sz w:val="18"/>
                <w:szCs w:val="18"/>
              </w:rPr>
            </w:pPr>
            <w:r w:rsidRPr="00804ACF">
              <w:rPr>
                <w:b/>
                <w:sz w:val="18"/>
                <w:szCs w:val="18"/>
              </w:rPr>
              <w:t>0,7</w:t>
            </w:r>
          </w:p>
        </w:tc>
      </w:tr>
      <w:tr w:rsidR="001E5473" w:rsidRPr="00EF1D74" w14:paraId="5B8092B5" w14:textId="77777777" w:rsidTr="001E5473">
        <w:trPr>
          <w:gridAfter w:val="1"/>
          <w:wAfter w:w="9" w:type="dxa"/>
          <w:trHeight w:val="201"/>
          <w:jc w:val="center"/>
        </w:trPr>
        <w:tc>
          <w:tcPr>
            <w:tcW w:w="2830" w:type="dxa"/>
            <w:shd w:val="clear" w:color="auto" w:fill="auto"/>
            <w:vAlign w:val="center"/>
          </w:tcPr>
          <w:p w14:paraId="40690F71" w14:textId="77777777" w:rsidR="001E5473" w:rsidRPr="00EF1D74" w:rsidRDefault="001E5473" w:rsidP="001E5473">
            <w:pPr>
              <w:spacing w:after="0"/>
              <w:ind w:firstLine="0"/>
              <w:jc w:val="left"/>
              <w:rPr>
                <w:sz w:val="18"/>
                <w:szCs w:val="18"/>
              </w:rPr>
            </w:pPr>
            <w:r w:rsidRPr="00EF1D74">
              <w:rPr>
                <w:sz w:val="18"/>
                <w:szCs w:val="18"/>
              </w:rPr>
              <w:t>Vispārējās valdības budžeta bilance</w:t>
            </w:r>
          </w:p>
        </w:tc>
        <w:tc>
          <w:tcPr>
            <w:tcW w:w="851" w:type="dxa"/>
            <w:shd w:val="clear" w:color="auto" w:fill="auto"/>
            <w:tcMar>
              <w:left w:w="57" w:type="dxa"/>
              <w:right w:w="57" w:type="dxa"/>
            </w:tcMar>
            <w:vAlign w:val="center"/>
          </w:tcPr>
          <w:p w14:paraId="19822723" w14:textId="77777777" w:rsidR="001E5473" w:rsidRPr="00F21223" w:rsidRDefault="001E5473" w:rsidP="001E5473">
            <w:pPr>
              <w:spacing w:after="0"/>
              <w:ind w:firstLine="0"/>
              <w:jc w:val="right"/>
              <w:rPr>
                <w:sz w:val="18"/>
                <w:szCs w:val="18"/>
              </w:rPr>
            </w:pPr>
            <w:r w:rsidRPr="00F21223">
              <w:rPr>
                <w:sz w:val="18"/>
                <w:szCs w:val="18"/>
              </w:rPr>
              <w:t xml:space="preserve">-2 </w:t>
            </w:r>
            <w:r>
              <w:rPr>
                <w:sz w:val="18"/>
                <w:szCs w:val="18"/>
              </w:rPr>
              <w:t>757,5</w:t>
            </w:r>
          </w:p>
        </w:tc>
        <w:tc>
          <w:tcPr>
            <w:tcW w:w="850" w:type="dxa"/>
            <w:shd w:val="clear" w:color="auto" w:fill="auto"/>
            <w:tcMar>
              <w:left w:w="57" w:type="dxa"/>
              <w:right w:w="57" w:type="dxa"/>
            </w:tcMar>
            <w:vAlign w:val="center"/>
          </w:tcPr>
          <w:p w14:paraId="31242F53" w14:textId="77777777" w:rsidR="001E5473" w:rsidRPr="00F21223" w:rsidRDefault="001E5473" w:rsidP="001E5473">
            <w:pPr>
              <w:spacing w:after="0"/>
              <w:ind w:firstLine="0"/>
              <w:jc w:val="right"/>
              <w:rPr>
                <w:sz w:val="18"/>
                <w:szCs w:val="18"/>
              </w:rPr>
            </w:pPr>
            <w:r w:rsidRPr="00F21223">
              <w:rPr>
                <w:sz w:val="18"/>
                <w:szCs w:val="18"/>
              </w:rPr>
              <w:t xml:space="preserve">-1 </w:t>
            </w:r>
            <w:r>
              <w:rPr>
                <w:sz w:val="18"/>
                <w:szCs w:val="18"/>
              </w:rPr>
              <w:t>376,1</w:t>
            </w:r>
          </w:p>
        </w:tc>
        <w:tc>
          <w:tcPr>
            <w:tcW w:w="851" w:type="dxa"/>
            <w:shd w:val="clear" w:color="auto" w:fill="auto"/>
            <w:tcMar>
              <w:left w:w="57" w:type="dxa"/>
              <w:right w:w="57" w:type="dxa"/>
            </w:tcMar>
            <w:vAlign w:val="center"/>
          </w:tcPr>
          <w:p w14:paraId="5438532D" w14:textId="77777777" w:rsidR="001E5473" w:rsidRPr="00F21223" w:rsidRDefault="001E5473" w:rsidP="001E5473">
            <w:pPr>
              <w:spacing w:after="0"/>
              <w:ind w:firstLine="0"/>
              <w:jc w:val="right"/>
              <w:rPr>
                <w:sz w:val="18"/>
                <w:szCs w:val="18"/>
              </w:rPr>
            </w:pPr>
            <w:r w:rsidRPr="00F21223">
              <w:rPr>
                <w:sz w:val="18"/>
                <w:szCs w:val="18"/>
              </w:rPr>
              <w:t>-</w:t>
            </w:r>
            <w:r>
              <w:rPr>
                <w:sz w:val="18"/>
                <w:szCs w:val="18"/>
              </w:rPr>
              <w:t>492,8</w:t>
            </w:r>
          </w:p>
        </w:tc>
        <w:tc>
          <w:tcPr>
            <w:tcW w:w="850" w:type="dxa"/>
            <w:shd w:val="clear" w:color="auto" w:fill="auto"/>
            <w:tcMar>
              <w:left w:w="57" w:type="dxa"/>
              <w:right w:w="57" w:type="dxa"/>
            </w:tcMar>
            <w:vAlign w:val="center"/>
          </w:tcPr>
          <w:p w14:paraId="0FDBBEE4" w14:textId="77777777" w:rsidR="001E5473" w:rsidRPr="00804ACF" w:rsidRDefault="001E5473" w:rsidP="001E5473">
            <w:pPr>
              <w:spacing w:after="0"/>
              <w:ind w:firstLine="0"/>
              <w:jc w:val="right"/>
              <w:rPr>
                <w:sz w:val="18"/>
                <w:szCs w:val="18"/>
              </w:rPr>
            </w:pPr>
            <w:r w:rsidRPr="00804ACF">
              <w:rPr>
                <w:sz w:val="18"/>
                <w:szCs w:val="18"/>
              </w:rPr>
              <w:t>-213,6</w:t>
            </w:r>
          </w:p>
        </w:tc>
        <w:tc>
          <w:tcPr>
            <w:tcW w:w="709" w:type="dxa"/>
            <w:shd w:val="clear" w:color="auto" w:fill="auto"/>
            <w:tcMar>
              <w:left w:w="57" w:type="dxa"/>
              <w:right w:w="57" w:type="dxa"/>
            </w:tcMar>
            <w:vAlign w:val="center"/>
          </w:tcPr>
          <w:p w14:paraId="7C36E6A0" w14:textId="77777777" w:rsidR="001E5473" w:rsidRPr="00804ACF" w:rsidRDefault="001E5473" w:rsidP="001E5473">
            <w:pPr>
              <w:spacing w:after="0"/>
              <w:ind w:firstLine="0"/>
              <w:jc w:val="right"/>
              <w:rPr>
                <w:sz w:val="18"/>
                <w:szCs w:val="18"/>
              </w:rPr>
            </w:pPr>
            <w:r w:rsidRPr="00804ACF">
              <w:rPr>
                <w:sz w:val="18"/>
                <w:szCs w:val="18"/>
              </w:rPr>
              <w:t>174,3</w:t>
            </w:r>
          </w:p>
        </w:tc>
        <w:tc>
          <w:tcPr>
            <w:tcW w:w="709" w:type="dxa"/>
            <w:shd w:val="clear" w:color="auto" w:fill="auto"/>
            <w:tcMar>
              <w:left w:w="57" w:type="dxa"/>
              <w:right w:w="57" w:type="dxa"/>
            </w:tcMar>
            <w:vAlign w:val="center"/>
          </w:tcPr>
          <w:p w14:paraId="613A71FF" w14:textId="77777777" w:rsidR="001E5473" w:rsidRPr="00804ACF" w:rsidRDefault="001E5473" w:rsidP="001E5473">
            <w:pPr>
              <w:spacing w:after="0" w:line="259" w:lineRule="auto"/>
              <w:ind w:firstLine="0"/>
              <w:jc w:val="right"/>
              <w:rPr>
                <w:sz w:val="18"/>
                <w:szCs w:val="18"/>
              </w:rPr>
            </w:pPr>
            <w:r w:rsidRPr="00804ACF">
              <w:rPr>
                <w:sz w:val="18"/>
                <w:szCs w:val="18"/>
              </w:rPr>
              <w:t>244,8</w:t>
            </w:r>
          </w:p>
        </w:tc>
        <w:tc>
          <w:tcPr>
            <w:tcW w:w="709" w:type="dxa"/>
            <w:shd w:val="clear" w:color="auto" w:fill="auto"/>
            <w:tcMar>
              <w:left w:w="57" w:type="dxa"/>
              <w:right w:w="57" w:type="dxa"/>
            </w:tcMar>
            <w:vAlign w:val="center"/>
          </w:tcPr>
          <w:p w14:paraId="1A3436CE" w14:textId="77777777" w:rsidR="001E5473" w:rsidRPr="00804ACF" w:rsidRDefault="001E5473" w:rsidP="001E5473">
            <w:pPr>
              <w:spacing w:after="0" w:line="259" w:lineRule="auto"/>
              <w:ind w:firstLine="0"/>
              <w:jc w:val="right"/>
              <w:rPr>
                <w:sz w:val="18"/>
                <w:szCs w:val="18"/>
              </w:rPr>
            </w:pPr>
            <w:r w:rsidRPr="00804ACF">
              <w:rPr>
                <w:sz w:val="18"/>
                <w:szCs w:val="18"/>
              </w:rPr>
              <w:t>255,6</w:t>
            </w:r>
          </w:p>
        </w:tc>
        <w:tc>
          <w:tcPr>
            <w:tcW w:w="721" w:type="dxa"/>
            <w:shd w:val="clear" w:color="auto" w:fill="auto"/>
            <w:tcMar>
              <w:left w:w="57" w:type="dxa"/>
              <w:right w:w="57" w:type="dxa"/>
            </w:tcMar>
            <w:vAlign w:val="center"/>
          </w:tcPr>
          <w:p w14:paraId="60273747" w14:textId="77777777" w:rsidR="001E5473" w:rsidRPr="00804ACF" w:rsidRDefault="001E5473" w:rsidP="001E5473">
            <w:pPr>
              <w:spacing w:after="0" w:line="259" w:lineRule="auto"/>
              <w:ind w:firstLine="0"/>
              <w:jc w:val="right"/>
              <w:rPr>
                <w:sz w:val="18"/>
                <w:szCs w:val="18"/>
              </w:rPr>
            </w:pPr>
            <w:r w:rsidRPr="00804ACF">
              <w:rPr>
                <w:sz w:val="18"/>
                <w:szCs w:val="18"/>
              </w:rPr>
              <w:t>264,6</w:t>
            </w:r>
          </w:p>
        </w:tc>
      </w:tr>
      <w:tr w:rsidR="001E5473" w:rsidRPr="00EF1D74" w14:paraId="59E33657" w14:textId="77777777" w:rsidTr="001E5473">
        <w:trPr>
          <w:gridAfter w:val="1"/>
          <w:wAfter w:w="9" w:type="dxa"/>
          <w:trHeight w:val="247"/>
          <w:jc w:val="center"/>
        </w:trPr>
        <w:tc>
          <w:tcPr>
            <w:tcW w:w="2830" w:type="dxa"/>
            <w:shd w:val="clear" w:color="auto" w:fill="auto"/>
            <w:vAlign w:val="center"/>
          </w:tcPr>
          <w:p w14:paraId="6E890384" w14:textId="77777777" w:rsidR="001E5473" w:rsidRPr="00EF1D74" w:rsidRDefault="001E5473" w:rsidP="001E5473">
            <w:pPr>
              <w:spacing w:after="0"/>
              <w:ind w:left="166" w:firstLine="0"/>
              <w:jc w:val="left"/>
              <w:rPr>
                <w:sz w:val="18"/>
                <w:szCs w:val="18"/>
              </w:rPr>
            </w:pPr>
            <w:r w:rsidRPr="00EF1D74">
              <w:rPr>
                <w:sz w:val="18"/>
                <w:szCs w:val="18"/>
              </w:rPr>
              <w:t>Nodokļu ieņēmumi</w:t>
            </w:r>
          </w:p>
        </w:tc>
        <w:tc>
          <w:tcPr>
            <w:tcW w:w="851" w:type="dxa"/>
            <w:shd w:val="clear" w:color="auto" w:fill="auto"/>
            <w:tcMar>
              <w:left w:w="57" w:type="dxa"/>
              <w:right w:w="57" w:type="dxa"/>
            </w:tcMar>
            <w:vAlign w:val="center"/>
          </w:tcPr>
          <w:p w14:paraId="1958D006" w14:textId="77777777" w:rsidR="001E5473" w:rsidRPr="00804ACF" w:rsidRDefault="001E5473" w:rsidP="001E5473">
            <w:pPr>
              <w:spacing w:after="0"/>
              <w:ind w:firstLine="0"/>
              <w:jc w:val="right"/>
              <w:rPr>
                <w:sz w:val="18"/>
                <w:szCs w:val="18"/>
              </w:rPr>
            </w:pPr>
            <w:r w:rsidRPr="00804ACF">
              <w:rPr>
                <w:sz w:val="18"/>
                <w:szCs w:val="18"/>
              </w:rPr>
              <w:t>9 492,2</w:t>
            </w:r>
          </w:p>
        </w:tc>
        <w:tc>
          <w:tcPr>
            <w:tcW w:w="850" w:type="dxa"/>
            <w:shd w:val="clear" w:color="auto" w:fill="auto"/>
            <w:tcMar>
              <w:left w:w="57" w:type="dxa"/>
              <w:right w:w="57" w:type="dxa"/>
            </w:tcMar>
            <w:vAlign w:val="center"/>
          </w:tcPr>
          <w:p w14:paraId="7F312D66" w14:textId="77777777" w:rsidR="001E5473" w:rsidRPr="00804ACF" w:rsidRDefault="001E5473" w:rsidP="001E5473">
            <w:pPr>
              <w:spacing w:after="0"/>
              <w:ind w:firstLine="0"/>
              <w:jc w:val="right"/>
              <w:rPr>
                <w:sz w:val="18"/>
                <w:szCs w:val="18"/>
              </w:rPr>
            </w:pPr>
            <w:r w:rsidRPr="00804ACF">
              <w:rPr>
                <w:sz w:val="18"/>
                <w:szCs w:val="18"/>
              </w:rPr>
              <w:t>10 413,9</w:t>
            </w:r>
          </w:p>
        </w:tc>
        <w:tc>
          <w:tcPr>
            <w:tcW w:w="851" w:type="dxa"/>
            <w:shd w:val="clear" w:color="auto" w:fill="auto"/>
            <w:tcMar>
              <w:left w:w="57" w:type="dxa"/>
              <w:right w:w="57" w:type="dxa"/>
            </w:tcMar>
            <w:vAlign w:val="center"/>
          </w:tcPr>
          <w:p w14:paraId="1CA79D3D" w14:textId="77777777" w:rsidR="001E5473" w:rsidRPr="00804ACF" w:rsidRDefault="001E5473" w:rsidP="001E5473">
            <w:pPr>
              <w:spacing w:after="0"/>
              <w:ind w:firstLine="0"/>
              <w:jc w:val="right"/>
              <w:rPr>
                <w:sz w:val="18"/>
                <w:szCs w:val="18"/>
              </w:rPr>
            </w:pPr>
            <w:r w:rsidRPr="00804ACF">
              <w:rPr>
                <w:sz w:val="18"/>
                <w:szCs w:val="18"/>
              </w:rPr>
              <w:t>11 009,5</w:t>
            </w:r>
          </w:p>
        </w:tc>
        <w:tc>
          <w:tcPr>
            <w:tcW w:w="850" w:type="dxa"/>
            <w:shd w:val="clear" w:color="auto" w:fill="auto"/>
            <w:tcMar>
              <w:left w:w="57" w:type="dxa"/>
              <w:right w:w="57" w:type="dxa"/>
            </w:tcMar>
            <w:vAlign w:val="center"/>
          </w:tcPr>
          <w:p w14:paraId="6547F850" w14:textId="77777777" w:rsidR="001E5473" w:rsidRPr="00804ACF" w:rsidRDefault="001E5473" w:rsidP="001E5473">
            <w:pPr>
              <w:spacing w:after="0"/>
              <w:ind w:firstLine="0"/>
              <w:jc w:val="right"/>
              <w:rPr>
                <w:sz w:val="18"/>
                <w:szCs w:val="18"/>
              </w:rPr>
            </w:pPr>
            <w:r w:rsidRPr="00804ACF">
              <w:rPr>
                <w:sz w:val="18"/>
                <w:szCs w:val="18"/>
              </w:rPr>
              <w:t>11 556,4</w:t>
            </w:r>
          </w:p>
        </w:tc>
        <w:tc>
          <w:tcPr>
            <w:tcW w:w="709" w:type="dxa"/>
            <w:shd w:val="clear" w:color="auto" w:fill="auto"/>
            <w:tcMar>
              <w:left w:w="57" w:type="dxa"/>
              <w:right w:w="57" w:type="dxa"/>
            </w:tcMar>
            <w:vAlign w:val="center"/>
          </w:tcPr>
          <w:p w14:paraId="150DF606" w14:textId="77777777" w:rsidR="001E5473" w:rsidRPr="00804ACF" w:rsidRDefault="001E5473" w:rsidP="001E5473">
            <w:pPr>
              <w:spacing w:after="0"/>
              <w:ind w:firstLine="0"/>
              <w:jc w:val="right"/>
              <w:rPr>
                <w:sz w:val="18"/>
                <w:szCs w:val="18"/>
              </w:rPr>
            </w:pPr>
            <w:r w:rsidRPr="00804ACF">
              <w:rPr>
                <w:sz w:val="18"/>
                <w:szCs w:val="18"/>
              </w:rPr>
              <w:t>154,4</w:t>
            </w:r>
          </w:p>
        </w:tc>
        <w:tc>
          <w:tcPr>
            <w:tcW w:w="709" w:type="dxa"/>
            <w:shd w:val="clear" w:color="auto" w:fill="auto"/>
            <w:tcMar>
              <w:left w:w="57" w:type="dxa"/>
              <w:right w:w="57" w:type="dxa"/>
            </w:tcMar>
            <w:vAlign w:val="center"/>
          </w:tcPr>
          <w:p w14:paraId="53A3F94E" w14:textId="77777777" w:rsidR="001E5473" w:rsidRPr="00804ACF" w:rsidRDefault="001E5473" w:rsidP="001E5473">
            <w:pPr>
              <w:spacing w:after="0" w:line="259" w:lineRule="auto"/>
              <w:ind w:firstLine="0"/>
              <w:jc w:val="right"/>
              <w:rPr>
                <w:sz w:val="18"/>
                <w:szCs w:val="18"/>
              </w:rPr>
            </w:pPr>
            <w:r w:rsidRPr="00804ACF">
              <w:rPr>
                <w:sz w:val="18"/>
                <w:szCs w:val="18"/>
              </w:rPr>
              <w:t>232,7</w:t>
            </w:r>
          </w:p>
        </w:tc>
        <w:tc>
          <w:tcPr>
            <w:tcW w:w="709" w:type="dxa"/>
            <w:shd w:val="clear" w:color="auto" w:fill="auto"/>
            <w:tcMar>
              <w:left w:w="57" w:type="dxa"/>
              <w:right w:w="57" w:type="dxa"/>
            </w:tcMar>
            <w:vAlign w:val="center"/>
          </w:tcPr>
          <w:p w14:paraId="549FF6DB" w14:textId="77777777" w:rsidR="001E5473" w:rsidRPr="00804ACF" w:rsidRDefault="001E5473" w:rsidP="001E5473">
            <w:pPr>
              <w:spacing w:after="0" w:line="259" w:lineRule="auto"/>
              <w:ind w:firstLine="0"/>
              <w:jc w:val="right"/>
              <w:rPr>
                <w:sz w:val="18"/>
                <w:szCs w:val="18"/>
              </w:rPr>
            </w:pPr>
            <w:r w:rsidRPr="00804ACF">
              <w:rPr>
                <w:sz w:val="18"/>
                <w:szCs w:val="18"/>
              </w:rPr>
              <w:t>242,6</w:t>
            </w:r>
          </w:p>
        </w:tc>
        <w:tc>
          <w:tcPr>
            <w:tcW w:w="721" w:type="dxa"/>
            <w:shd w:val="clear" w:color="auto" w:fill="auto"/>
            <w:tcMar>
              <w:left w:w="57" w:type="dxa"/>
              <w:right w:w="57" w:type="dxa"/>
            </w:tcMar>
            <w:vAlign w:val="center"/>
          </w:tcPr>
          <w:p w14:paraId="17CE2161" w14:textId="77777777" w:rsidR="001E5473" w:rsidRPr="00804ACF" w:rsidRDefault="001E5473" w:rsidP="001E5473">
            <w:pPr>
              <w:spacing w:after="0" w:line="259" w:lineRule="auto"/>
              <w:ind w:firstLine="0"/>
              <w:jc w:val="right"/>
              <w:rPr>
                <w:sz w:val="18"/>
                <w:szCs w:val="18"/>
              </w:rPr>
            </w:pPr>
            <w:r w:rsidRPr="00804ACF">
              <w:rPr>
                <w:sz w:val="18"/>
                <w:szCs w:val="18"/>
              </w:rPr>
              <w:t>250,5</w:t>
            </w:r>
          </w:p>
        </w:tc>
      </w:tr>
      <w:tr w:rsidR="001E5473" w:rsidRPr="00EF1D74" w14:paraId="24967584" w14:textId="77777777" w:rsidTr="001E5473">
        <w:trPr>
          <w:gridAfter w:val="1"/>
          <w:wAfter w:w="9" w:type="dxa"/>
          <w:trHeight w:val="137"/>
          <w:jc w:val="center"/>
        </w:trPr>
        <w:tc>
          <w:tcPr>
            <w:tcW w:w="2830" w:type="dxa"/>
            <w:shd w:val="clear" w:color="auto" w:fill="auto"/>
            <w:vAlign w:val="center"/>
          </w:tcPr>
          <w:p w14:paraId="7CA898F8" w14:textId="77777777" w:rsidR="001E5473" w:rsidRPr="00EF1D74" w:rsidRDefault="001E5473" w:rsidP="001E5473">
            <w:pPr>
              <w:spacing w:after="0"/>
              <w:ind w:left="166" w:firstLine="0"/>
              <w:jc w:val="left"/>
              <w:rPr>
                <w:noProof/>
                <w:sz w:val="18"/>
                <w:szCs w:val="18"/>
              </w:rPr>
            </w:pPr>
            <w:r w:rsidRPr="00EF1D74">
              <w:rPr>
                <w:noProof/>
                <w:sz w:val="18"/>
                <w:szCs w:val="18"/>
              </w:rPr>
              <w:t>Nenodokļu ieņēmumi</w:t>
            </w:r>
          </w:p>
        </w:tc>
        <w:tc>
          <w:tcPr>
            <w:tcW w:w="851" w:type="dxa"/>
            <w:shd w:val="clear" w:color="auto" w:fill="auto"/>
            <w:tcMar>
              <w:left w:w="57" w:type="dxa"/>
              <w:right w:w="57" w:type="dxa"/>
            </w:tcMar>
            <w:vAlign w:val="center"/>
          </w:tcPr>
          <w:p w14:paraId="6B015B7A" w14:textId="77777777" w:rsidR="001E5473" w:rsidRPr="00D22107" w:rsidRDefault="001E5473" w:rsidP="001E5473">
            <w:pPr>
              <w:spacing w:after="0"/>
              <w:ind w:firstLine="0"/>
              <w:jc w:val="right"/>
              <w:rPr>
                <w:sz w:val="18"/>
                <w:szCs w:val="18"/>
              </w:rPr>
            </w:pPr>
            <w:r w:rsidRPr="00D22107">
              <w:rPr>
                <w:sz w:val="18"/>
                <w:szCs w:val="18"/>
              </w:rPr>
              <w:t>673,3</w:t>
            </w:r>
          </w:p>
        </w:tc>
        <w:tc>
          <w:tcPr>
            <w:tcW w:w="850" w:type="dxa"/>
            <w:shd w:val="clear" w:color="auto" w:fill="auto"/>
            <w:tcMar>
              <w:left w:w="57" w:type="dxa"/>
              <w:right w:w="57" w:type="dxa"/>
            </w:tcMar>
            <w:vAlign w:val="center"/>
          </w:tcPr>
          <w:p w14:paraId="2E1F3B0D" w14:textId="77777777" w:rsidR="001E5473" w:rsidRPr="00D22107" w:rsidRDefault="001E5473" w:rsidP="001E5473">
            <w:pPr>
              <w:spacing w:after="0"/>
              <w:ind w:firstLine="0"/>
              <w:jc w:val="right"/>
              <w:rPr>
                <w:sz w:val="18"/>
                <w:szCs w:val="18"/>
              </w:rPr>
            </w:pPr>
            <w:r w:rsidRPr="00D22107">
              <w:rPr>
                <w:sz w:val="18"/>
                <w:szCs w:val="18"/>
              </w:rPr>
              <w:t>606,6</w:t>
            </w:r>
          </w:p>
        </w:tc>
        <w:tc>
          <w:tcPr>
            <w:tcW w:w="851" w:type="dxa"/>
            <w:shd w:val="clear" w:color="auto" w:fill="auto"/>
            <w:tcMar>
              <w:left w:w="57" w:type="dxa"/>
              <w:right w:w="57" w:type="dxa"/>
            </w:tcMar>
            <w:vAlign w:val="center"/>
          </w:tcPr>
          <w:p w14:paraId="7F293291" w14:textId="77777777" w:rsidR="001E5473" w:rsidRPr="00D22107" w:rsidRDefault="001E5473" w:rsidP="001E5473">
            <w:pPr>
              <w:spacing w:after="0"/>
              <w:ind w:firstLine="0"/>
              <w:jc w:val="right"/>
              <w:rPr>
                <w:sz w:val="18"/>
                <w:szCs w:val="18"/>
              </w:rPr>
            </w:pPr>
            <w:r w:rsidRPr="00D22107">
              <w:rPr>
                <w:sz w:val="18"/>
                <w:szCs w:val="18"/>
              </w:rPr>
              <w:t>571,6</w:t>
            </w:r>
          </w:p>
        </w:tc>
        <w:tc>
          <w:tcPr>
            <w:tcW w:w="850" w:type="dxa"/>
            <w:shd w:val="clear" w:color="auto" w:fill="auto"/>
            <w:tcMar>
              <w:left w:w="57" w:type="dxa"/>
              <w:right w:w="57" w:type="dxa"/>
            </w:tcMar>
            <w:vAlign w:val="center"/>
          </w:tcPr>
          <w:p w14:paraId="6A85E480" w14:textId="77777777" w:rsidR="001E5473" w:rsidRPr="00D22107" w:rsidRDefault="001E5473" w:rsidP="001E5473">
            <w:pPr>
              <w:spacing w:after="0"/>
              <w:ind w:firstLine="0"/>
              <w:jc w:val="right"/>
              <w:rPr>
                <w:sz w:val="18"/>
                <w:szCs w:val="18"/>
              </w:rPr>
            </w:pPr>
            <w:r w:rsidRPr="00D22107">
              <w:rPr>
                <w:sz w:val="18"/>
                <w:szCs w:val="18"/>
              </w:rPr>
              <w:t>532,9</w:t>
            </w:r>
          </w:p>
        </w:tc>
        <w:tc>
          <w:tcPr>
            <w:tcW w:w="709" w:type="dxa"/>
            <w:shd w:val="clear" w:color="auto" w:fill="auto"/>
            <w:tcMar>
              <w:left w:w="57" w:type="dxa"/>
              <w:right w:w="57" w:type="dxa"/>
            </w:tcMar>
            <w:vAlign w:val="center"/>
          </w:tcPr>
          <w:p w14:paraId="2D9BFE35" w14:textId="77777777" w:rsidR="001E5473" w:rsidRPr="00D22107" w:rsidRDefault="001E5473" w:rsidP="001E5473">
            <w:pPr>
              <w:spacing w:after="0"/>
              <w:ind w:firstLine="0"/>
              <w:jc w:val="right"/>
              <w:rPr>
                <w:sz w:val="18"/>
                <w:szCs w:val="18"/>
              </w:rPr>
            </w:pPr>
            <w:r w:rsidRPr="00D22107">
              <w:rPr>
                <w:sz w:val="18"/>
                <w:szCs w:val="18"/>
              </w:rPr>
              <w:t>10,0</w:t>
            </w:r>
          </w:p>
        </w:tc>
        <w:tc>
          <w:tcPr>
            <w:tcW w:w="709" w:type="dxa"/>
            <w:shd w:val="clear" w:color="auto" w:fill="auto"/>
            <w:tcMar>
              <w:left w:w="57" w:type="dxa"/>
              <w:right w:w="57" w:type="dxa"/>
            </w:tcMar>
            <w:vAlign w:val="center"/>
          </w:tcPr>
          <w:p w14:paraId="54740CD2" w14:textId="77777777" w:rsidR="001E5473" w:rsidRPr="00804ACF" w:rsidRDefault="001E5473" w:rsidP="001E5473">
            <w:pPr>
              <w:spacing w:after="0" w:line="259" w:lineRule="auto"/>
              <w:ind w:firstLine="0"/>
              <w:jc w:val="right"/>
              <w:rPr>
                <w:sz w:val="18"/>
                <w:szCs w:val="18"/>
              </w:rPr>
            </w:pPr>
            <w:r w:rsidRPr="00804ACF">
              <w:rPr>
                <w:sz w:val="18"/>
                <w:szCs w:val="18"/>
              </w:rPr>
              <w:t>11,3</w:t>
            </w:r>
          </w:p>
        </w:tc>
        <w:tc>
          <w:tcPr>
            <w:tcW w:w="709" w:type="dxa"/>
            <w:shd w:val="clear" w:color="auto" w:fill="auto"/>
            <w:tcMar>
              <w:left w:w="57" w:type="dxa"/>
              <w:right w:w="57" w:type="dxa"/>
            </w:tcMar>
            <w:vAlign w:val="center"/>
          </w:tcPr>
          <w:p w14:paraId="031CBEC4" w14:textId="77777777" w:rsidR="001E5473" w:rsidRPr="00804ACF" w:rsidRDefault="001E5473" w:rsidP="001E5473">
            <w:pPr>
              <w:spacing w:after="0" w:line="259" w:lineRule="auto"/>
              <w:ind w:firstLine="0"/>
              <w:jc w:val="right"/>
              <w:rPr>
                <w:sz w:val="18"/>
                <w:szCs w:val="18"/>
              </w:rPr>
            </w:pPr>
            <w:r w:rsidRPr="00804ACF">
              <w:rPr>
                <w:sz w:val="18"/>
                <w:szCs w:val="18"/>
              </w:rPr>
              <w:t>10,2</w:t>
            </w:r>
          </w:p>
        </w:tc>
        <w:tc>
          <w:tcPr>
            <w:tcW w:w="721" w:type="dxa"/>
            <w:shd w:val="clear" w:color="auto" w:fill="auto"/>
            <w:tcMar>
              <w:left w:w="57" w:type="dxa"/>
              <w:right w:w="57" w:type="dxa"/>
            </w:tcMar>
            <w:vAlign w:val="center"/>
          </w:tcPr>
          <w:p w14:paraId="00CF1CF4" w14:textId="77777777" w:rsidR="001E5473" w:rsidRPr="00804ACF" w:rsidRDefault="001E5473" w:rsidP="001E5473">
            <w:pPr>
              <w:spacing w:after="0" w:line="259" w:lineRule="auto"/>
              <w:ind w:firstLine="0"/>
              <w:jc w:val="right"/>
              <w:rPr>
                <w:sz w:val="18"/>
                <w:szCs w:val="18"/>
              </w:rPr>
            </w:pPr>
            <w:r w:rsidRPr="00804ACF">
              <w:rPr>
                <w:sz w:val="18"/>
                <w:szCs w:val="18"/>
              </w:rPr>
              <w:t>9,1</w:t>
            </w:r>
          </w:p>
        </w:tc>
      </w:tr>
      <w:tr w:rsidR="001E5473" w:rsidRPr="00EF1D74" w14:paraId="02329E69" w14:textId="77777777" w:rsidTr="001E5473">
        <w:trPr>
          <w:gridAfter w:val="1"/>
          <w:wAfter w:w="9" w:type="dxa"/>
          <w:trHeight w:val="239"/>
          <w:jc w:val="center"/>
        </w:trPr>
        <w:tc>
          <w:tcPr>
            <w:tcW w:w="2830" w:type="dxa"/>
            <w:tcBorders>
              <w:bottom w:val="double" w:sz="4" w:space="0" w:color="auto"/>
            </w:tcBorders>
            <w:shd w:val="clear" w:color="auto" w:fill="auto"/>
            <w:vAlign w:val="center"/>
          </w:tcPr>
          <w:p w14:paraId="3B270E42" w14:textId="77777777" w:rsidR="001E5473" w:rsidRPr="00EF1D74" w:rsidRDefault="001E5473" w:rsidP="001E5473">
            <w:pPr>
              <w:spacing w:after="0"/>
              <w:ind w:left="166" w:firstLine="0"/>
              <w:jc w:val="left"/>
              <w:rPr>
                <w:noProof/>
                <w:sz w:val="18"/>
                <w:szCs w:val="18"/>
              </w:rPr>
            </w:pPr>
            <w:r w:rsidRPr="00EF1D74">
              <w:rPr>
                <w:noProof/>
                <w:sz w:val="18"/>
                <w:szCs w:val="18"/>
              </w:rPr>
              <w:t>Procentu izdevumi</w:t>
            </w:r>
          </w:p>
        </w:tc>
        <w:tc>
          <w:tcPr>
            <w:tcW w:w="851" w:type="dxa"/>
            <w:tcBorders>
              <w:bottom w:val="double" w:sz="4" w:space="0" w:color="auto"/>
            </w:tcBorders>
            <w:shd w:val="clear" w:color="auto" w:fill="auto"/>
            <w:tcMar>
              <w:left w:w="57" w:type="dxa"/>
              <w:right w:w="57" w:type="dxa"/>
            </w:tcMar>
            <w:vAlign w:val="center"/>
          </w:tcPr>
          <w:p w14:paraId="645AC158" w14:textId="77777777" w:rsidR="001E5473" w:rsidRPr="00804ACF" w:rsidRDefault="001E5473" w:rsidP="001E5473">
            <w:pPr>
              <w:spacing w:after="0"/>
              <w:ind w:firstLine="0"/>
              <w:jc w:val="right"/>
              <w:rPr>
                <w:sz w:val="18"/>
                <w:szCs w:val="18"/>
              </w:rPr>
            </w:pPr>
            <w:r w:rsidRPr="00804ACF">
              <w:rPr>
                <w:sz w:val="18"/>
                <w:szCs w:val="18"/>
              </w:rPr>
              <w:t>262,2</w:t>
            </w:r>
          </w:p>
        </w:tc>
        <w:tc>
          <w:tcPr>
            <w:tcW w:w="850" w:type="dxa"/>
            <w:tcBorders>
              <w:bottom w:val="double" w:sz="4" w:space="0" w:color="auto"/>
            </w:tcBorders>
            <w:shd w:val="clear" w:color="auto" w:fill="auto"/>
            <w:tcMar>
              <w:left w:w="57" w:type="dxa"/>
              <w:right w:w="57" w:type="dxa"/>
            </w:tcMar>
            <w:vAlign w:val="center"/>
          </w:tcPr>
          <w:p w14:paraId="08B83A85" w14:textId="77777777" w:rsidR="001E5473" w:rsidRPr="00804ACF" w:rsidRDefault="001E5473" w:rsidP="001E5473">
            <w:pPr>
              <w:spacing w:after="0"/>
              <w:ind w:firstLine="0"/>
              <w:jc w:val="right"/>
              <w:rPr>
                <w:sz w:val="18"/>
                <w:szCs w:val="18"/>
              </w:rPr>
            </w:pPr>
            <w:r w:rsidRPr="00804ACF">
              <w:rPr>
                <w:sz w:val="18"/>
                <w:szCs w:val="18"/>
              </w:rPr>
              <w:t>199,5</w:t>
            </w:r>
          </w:p>
        </w:tc>
        <w:tc>
          <w:tcPr>
            <w:tcW w:w="851" w:type="dxa"/>
            <w:tcBorders>
              <w:bottom w:val="double" w:sz="4" w:space="0" w:color="auto"/>
            </w:tcBorders>
            <w:shd w:val="clear" w:color="auto" w:fill="auto"/>
            <w:tcMar>
              <w:left w:w="57" w:type="dxa"/>
              <w:right w:w="57" w:type="dxa"/>
            </w:tcMar>
            <w:vAlign w:val="center"/>
          </w:tcPr>
          <w:p w14:paraId="1EA9A2DC" w14:textId="77777777" w:rsidR="001E5473" w:rsidRPr="00804ACF" w:rsidRDefault="001E5473" w:rsidP="001E5473">
            <w:pPr>
              <w:spacing w:after="0"/>
              <w:ind w:firstLine="0"/>
              <w:jc w:val="right"/>
              <w:rPr>
                <w:sz w:val="18"/>
                <w:szCs w:val="18"/>
              </w:rPr>
            </w:pPr>
            <w:r w:rsidRPr="00804ACF">
              <w:rPr>
                <w:sz w:val="18"/>
                <w:szCs w:val="18"/>
              </w:rPr>
              <w:t>232,7</w:t>
            </w:r>
          </w:p>
        </w:tc>
        <w:tc>
          <w:tcPr>
            <w:tcW w:w="850" w:type="dxa"/>
            <w:tcBorders>
              <w:bottom w:val="double" w:sz="4" w:space="0" w:color="auto"/>
            </w:tcBorders>
            <w:shd w:val="clear" w:color="auto" w:fill="auto"/>
            <w:tcMar>
              <w:left w:w="57" w:type="dxa"/>
              <w:right w:w="57" w:type="dxa"/>
            </w:tcMar>
            <w:vAlign w:val="center"/>
          </w:tcPr>
          <w:p w14:paraId="6CD9A1A5" w14:textId="77777777" w:rsidR="001E5473" w:rsidRPr="00804ACF" w:rsidRDefault="001E5473" w:rsidP="001E5473">
            <w:pPr>
              <w:spacing w:after="0"/>
              <w:ind w:firstLine="0"/>
              <w:jc w:val="right"/>
              <w:rPr>
                <w:sz w:val="18"/>
                <w:szCs w:val="18"/>
              </w:rPr>
            </w:pPr>
            <w:r w:rsidRPr="00804ACF">
              <w:rPr>
                <w:sz w:val="18"/>
                <w:szCs w:val="18"/>
              </w:rPr>
              <w:t>231,0</w:t>
            </w:r>
          </w:p>
        </w:tc>
        <w:tc>
          <w:tcPr>
            <w:tcW w:w="709" w:type="dxa"/>
            <w:tcBorders>
              <w:bottom w:val="double" w:sz="4" w:space="0" w:color="auto"/>
            </w:tcBorders>
            <w:shd w:val="clear" w:color="auto" w:fill="auto"/>
            <w:tcMar>
              <w:left w:w="57" w:type="dxa"/>
              <w:right w:w="57" w:type="dxa"/>
            </w:tcMar>
            <w:vAlign w:val="center"/>
          </w:tcPr>
          <w:p w14:paraId="741B1AF8" w14:textId="77777777" w:rsidR="001E5473" w:rsidRPr="00804ACF" w:rsidRDefault="001E5473" w:rsidP="001E5473">
            <w:pPr>
              <w:spacing w:after="0"/>
              <w:ind w:firstLine="0"/>
              <w:jc w:val="right"/>
              <w:rPr>
                <w:sz w:val="18"/>
                <w:szCs w:val="18"/>
              </w:rPr>
            </w:pPr>
            <w:r w:rsidRPr="00804ACF">
              <w:rPr>
                <w:sz w:val="18"/>
                <w:szCs w:val="18"/>
              </w:rPr>
              <w:t>0,0</w:t>
            </w:r>
          </w:p>
        </w:tc>
        <w:tc>
          <w:tcPr>
            <w:tcW w:w="709" w:type="dxa"/>
            <w:tcBorders>
              <w:bottom w:val="double" w:sz="4" w:space="0" w:color="auto"/>
            </w:tcBorders>
            <w:shd w:val="clear" w:color="auto" w:fill="auto"/>
            <w:tcMar>
              <w:left w:w="57" w:type="dxa"/>
              <w:right w:w="57" w:type="dxa"/>
            </w:tcMar>
            <w:vAlign w:val="center"/>
          </w:tcPr>
          <w:p w14:paraId="4EE688D0" w14:textId="77777777" w:rsidR="001E5473" w:rsidRPr="00804ACF" w:rsidRDefault="001E5473" w:rsidP="001E5473">
            <w:pPr>
              <w:spacing w:after="0" w:line="259" w:lineRule="auto"/>
              <w:ind w:firstLine="0"/>
              <w:jc w:val="right"/>
              <w:rPr>
                <w:sz w:val="18"/>
                <w:szCs w:val="18"/>
              </w:rPr>
            </w:pPr>
            <w:r w:rsidRPr="00804ACF">
              <w:rPr>
                <w:sz w:val="18"/>
                <w:szCs w:val="18"/>
              </w:rPr>
              <w:t>-0,8</w:t>
            </w:r>
          </w:p>
        </w:tc>
        <w:tc>
          <w:tcPr>
            <w:tcW w:w="709" w:type="dxa"/>
            <w:tcBorders>
              <w:bottom w:val="double" w:sz="4" w:space="0" w:color="auto"/>
            </w:tcBorders>
            <w:shd w:val="clear" w:color="auto" w:fill="auto"/>
            <w:tcMar>
              <w:left w:w="57" w:type="dxa"/>
              <w:right w:w="57" w:type="dxa"/>
            </w:tcMar>
            <w:vAlign w:val="center"/>
          </w:tcPr>
          <w:p w14:paraId="7D1B82FA" w14:textId="77777777" w:rsidR="001E5473" w:rsidRPr="00804ACF" w:rsidRDefault="001E5473" w:rsidP="001E5473">
            <w:pPr>
              <w:spacing w:after="0" w:line="259" w:lineRule="auto"/>
              <w:ind w:firstLine="0"/>
              <w:jc w:val="right"/>
              <w:rPr>
                <w:sz w:val="18"/>
                <w:szCs w:val="18"/>
              </w:rPr>
            </w:pPr>
            <w:r w:rsidRPr="00804ACF">
              <w:rPr>
                <w:sz w:val="18"/>
                <w:szCs w:val="18"/>
              </w:rPr>
              <w:t>-2,7</w:t>
            </w:r>
          </w:p>
        </w:tc>
        <w:tc>
          <w:tcPr>
            <w:tcW w:w="721" w:type="dxa"/>
            <w:tcBorders>
              <w:bottom w:val="double" w:sz="4" w:space="0" w:color="auto"/>
            </w:tcBorders>
            <w:shd w:val="clear" w:color="auto" w:fill="auto"/>
            <w:tcMar>
              <w:left w:w="57" w:type="dxa"/>
              <w:right w:w="57" w:type="dxa"/>
            </w:tcMar>
            <w:vAlign w:val="center"/>
          </w:tcPr>
          <w:p w14:paraId="237CB4D9" w14:textId="77777777" w:rsidR="001E5473" w:rsidRPr="00804ACF" w:rsidRDefault="001E5473" w:rsidP="001E5473">
            <w:pPr>
              <w:spacing w:after="0" w:line="259" w:lineRule="auto"/>
              <w:ind w:firstLine="0"/>
              <w:jc w:val="right"/>
              <w:rPr>
                <w:sz w:val="18"/>
                <w:szCs w:val="18"/>
              </w:rPr>
            </w:pPr>
            <w:r w:rsidRPr="00804ACF">
              <w:rPr>
                <w:sz w:val="18"/>
                <w:szCs w:val="18"/>
              </w:rPr>
              <w:t>-5,0</w:t>
            </w:r>
          </w:p>
        </w:tc>
      </w:tr>
      <w:tr w:rsidR="001E5473" w:rsidRPr="00EF1D74" w14:paraId="63167FCD" w14:textId="77777777" w:rsidTr="001E5473">
        <w:trPr>
          <w:gridAfter w:val="1"/>
          <w:wAfter w:w="9" w:type="dxa"/>
          <w:trHeight w:val="351"/>
          <w:jc w:val="center"/>
        </w:trPr>
        <w:tc>
          <w:tcPr>
            <w:tcW w:w="2830" w:type="dxa"/>
            <w:tcBorders>
              <w:top w:val="double" w:sz="4" w:space="0" w:color="auto"/>
              <w:left w:val="single" w:sz="4" w:space="0" w:color="auto"/>
            </w:tcBorders>
            <w:shd w:val="clear" w:color="auto" w:fill="auto"/>
            <w:vAlign w:val="center"/>
          </w:tcPr>
          <w:p w14:paraId="6AF3D0BF" w14:textId="77777777" w:rsidR="001E5473" w:rsidRPr="00EF1D74" w:rsidRDefault="001E5473" w:rsidP="001E5473">
            <w:pPr>
              <w:spacing w:after="0"/>
              <w:ind w:firstLine="0"/>
              <w:jc w:val="left"/>
              <w:rPr>
                <w:noProof/>
                <w:sz w:val="18"/>
                <w:szCs w:val="18"/>
              </w:rPr>
            </w:pPr>
            <w:r w:rsidRPr="00EF1D74">
              <w:rPr>
                <w:noProof/>
                <w:sz w:val="18"/>
                <w:szCs w:val="18"/>
              </w:rPr>
              <w:t xml:space="preserve">   Procentu izdevumi</w:t>
            </w:r>
            <w:r w:rsidRPr="00EF1D74">
              <w:rPr>
                <w:noProof/>
                <w:sz w:val="18"/>
                <w:szCs w:val="18"/>
              </w:rPr>
              <w:br/>
              <w:t xml:space="preserve">  (% likmes paliel. par 1 pp)</w:t>
            </w:r>
          </w:p>
        </w:tc>
        <w:tc>
          <w:tcPr>
            <w:tcW w:w="851" w:type="dxa"/>
            <w:tcBorders>
              <w:top w:val="double" w:sz="4" w:space="0" w:color="auto"/>
            </w:tcBorders>
            <w:shd w:val="clear" w:color="auto" w:fill="auto"/>
            <w:tcMar>
              <w:left w:w="57" w:type="dxa"/>
              <w:right w:w="57" w:type="dxa"/>
            </w:tcMar>
            <w:vAlign w:val="center"/>
          </w:tcPr>
          <w:p w14:paraId="269C2ED8" w14:textId="77777777" w:rsidR="001E5473" w:rsidRPr="00804ACF" w:rsidRDefault="001E5473" w:rsidP="001E5473">
            <w:pPr>
              <w:spacing w:after="0"/>
              <w:ind w:firstLine="0"/>
              <w:jc w:val="right"/>
              <w:rPr>
                <w:sz w:val="18"/>
                <w:szCs w:val="18"/>
              </w:rPr>
            </w:pPr>
            <w:r w:rsidRPr="00804ACF">
              <w:rPr>
                <w:sz w:val="18"/>
                <w:szCs w:val="18"/>
              </w:rPr>
              <w:t>262,2</w:t>
            </w:r>
          </w:p>
        </w:tc>
        <w:tc>
          <w:tcPr>
            <w:tcW w:w="850" w:type="dxa"/>
            <w:tcBorders>
              <w:top w:val="double" w:sz="4" w:space="0" w:color="auto"/>
            </w:tcBorders>
            <w:shd w:val="clear" w:color="auto" w:fill="auto"/>
            <w:tcMar>
              <w:left w:w="57" w:type="dxa"/>
              <w:right w:w="57" w:type="dxa"/>
            </w:tcMar>
            <w:vAlign w:val="center"/>
          </w:tcPr>
          <w:p w14:paraId="50BDDDD3" w14:textId="77777777" w:rsidR="001E5473" w:rsidRPr="00804ACF" w:rsidRDefault="001E5473" w:rsidP="001E5473">
            <w:pPr>
              <w:spacing w:after="0"/>
              <w:ind w:firstLine="0"/>
              <w:jc w:val="right"/>
              <w:rPr>
                <w:sz w:val="18"/>
                <w:szCs w:val="18"/>
              </w:rPr>
            </w:pPr>
            <w:r w:rsidRPr="00804ACF">
              <w:rPr>
                <w:sz w:val="18"/>
                <w:szCs w:val="18"/>
              </w:rPr>
              <w:t>205,2</w:t>
            </w:r>
          </w:p>
        </w:tc>
        <w:tc>
          <w:tcPr>
            <w:tcW w:w="851" w:type="dxa"/>
            <w:tcBorders>
              <w:top w:val="double" w:sz="4" w:space="0" w:color="auto"/>
            </w:tcBorders>
            <w:shd w:val="clear" w:color="auto" w:fill="auto"/>
            <w:tcMar>
              <w:left w:w="57" w:type="dxa"/>
              <w:right w:w="57" w:type="dxa"/>
            </w:tcMar>
            <w:vAlign w:val="center"/>
          </w:tcPr>
          <w:p w14:paraId="1EF3BAD3" w14:textId="77777777" w:rsidR="001E5473" w:rsidRPr="00804ACF" w:rsidRDefault="001E5473" w:rsidP="001E5473">
            <w:pPr>
              <w:spacing w:after="0"/>
              <w:ind w:firstLine="0"/>
              <w:jc w:val="right"/>
              <w:rPr>
                <w:sz w:val="18"/>
                <w:szCs w:val="18"/>
              </w:rPr>
            </w:pPr>
            <w:r w:rsidRPr="00804ACF">
              <w:rPr>
                <w:sz w:val="18"/>
                <w:szCs w:val="18"/>
              </w:rPr>
              <w:t>257,7</w:t>
            </w:r>
          </w:p>
        </w:tc>
        <w:tc>
          <w:tcPr>
            <w:tcW w:w="850" w:type="dxa"/>
            <w:tcBorders>
              <w:top w:val="double" w:sz="4" w:space="0" w:color="auto"/>
            </w:tcBorders>
            <w:shd w:val="clear" w:color="auto" w:fill="auto"/>
            <w:tcMar>
              <w:left w:w="57" w:type="dxa"/>
              <w:right w:w="57" w:type="dxa"/>
            </w:tcMar>
            <w:vAlign w:val="center"/>
          </w:tcPr>
          <w:p w14:paraId="0752FBF6" w14:textId="77777777" w:rsidR="001E5473" w:rsidRPr="00804ACF" w:rsidRDefault="001E5473" w:rsidP="001E5473">
            <w:pPr>
              <w:spacing w:after="0"/>
              <w:ind w:firstLine="0"/>
              <w:jc w:val="right"/>
              <w:rPr>
                <w:sz w:val="18"/>
                <w:szCs w:val="18"/>
              </w:rPr>
            </w:pPr>
            <w:r w:rsidRPr="00804ACF">
              <w:rPr>
                <w:sz w:val="18"/>
                <w:szCs w:val="18"/>
              </w:rPr>
              <w:t>273,7</w:t>
            </w:r>
          </w:p>
        </w:tc>
        <w:tc>
          <w:tcPr>
            <w:tcW w:w="709" w:type="dxa"/>
            <w:tcBorders>
              <w:top w:val="double" w:sz="4" w:space="0" w:color="auto"/>
            </w:tcBorders>
            <w:shd w:val="clear" w:color="auto" w:fill="auto"/>
            <w:tcMar>
              <w:left w:w="57" w:type="dxa"/>
              <w:right w:w="57" w:type="dxa"/>
            </w:tcMar>
            <w:vAlign w:val="center"/>
          </w:tcPr>
          <w:p w14:paraId="1598AE8A" w14:textId="77777777" w:rsidR="001E5473" w:rsidRPr="00804ACF" w:rsidRDefault="001E5473" w:rsidP="001E5473">
            <w:pPr>
              <w:spacing w:after="0"/>
              <w:ind w:firstLine="0"/>
              <w:jc w:val="right"/>
              <w:rPr>
                <w:sz w:val="18"/>
                <w:szCs w:val="18"/>
              </w:rPr>
            </w:pPr>
            <w:r w:rsidRPr="00804ACF">
              <w:rPr>
                <w:sz w:val="18"/>
                <w:szCs w:val="18"/>
              </w:rPr>
              <w:t>0,0</w:t>
            </w:r>
          </w:p>
        </w:tc>
        <w:tc>
          <w:tcPr>
            <w:tcW w:w="709" w:type="dxa"/>
            <w:tcBorders>
              <w:top w:val="double" w:sz="4" w:space="0" w:color="auto"/>
            </w:tcBorders>
            <w:shd w:val="clear" w:color="auto" w:fill="auto"/>
            <w:tcMar>
              <w:left w:w="57" w:type="dxa"/>
              <w:right w:w="57" w:type="dxa"/>
            </w:tcMar>
            <w:vAlign w:val="center"/>
          </w:tcPr>
          <w:p w14:paraId="1D6C9104" w14:textId="77777777" w:rsidR="001E5473" w:rsidRPr="00804ACF" w:rsidRDefault="001E5473" w:rsidP="001E5473">
            <w:pPr>
              <w:spacing w:after="0" w:line="259" w:lineRule="auto"/>
              <w:ind w:firstLine="0"/>
              <w:jc w:val="right"/>
              <w:rPr>
                <w:sz w:val="18"/>
                <w:szCs w:val="18"/>
              </w:rPr>
            </w:pPr>
            <w:r w:rsidRPr="00804ACF">
              <w:rPr>
                <w:sz w:val="18"/>
                <w:szCs w:val="18"/>
              </w:rPr>
              <w:t>5,0</w:t>
            </w:r>
          </w:p>
        </w:tc>
        <w:tc>
          <w:tcPr>
            <w:tcW w:w="709" w:type="dxa"/>
            <w:tcBorders>
              <w:top w:val="double" w:sz="4" w:space="0" w:color="auto"/>
            </w:tcBorders>
            <w:shd w:val="clear" w:color="auto" w:fill="auto"/>
            <w:tcMar>
              <w:left w:w="57" w:type="dxa"/>
              <w:right w:w="57" w:type="dxa"/>
            </w:tcMar>
            <w:vAlign w:val="center"/>
          </w:tcPr>
          <w:p w14:paraId="690418B9" w14:textId="77777777" w:rsidR="001E5473" w:rsidRPr="00804ACF" w:rsidRDefault="001E5473" w:rsidP="001E5473">
            <w:pPr>
              <w:spacing w:after="0" w:line="259" w:lineRule="auto"/>
              <w:ind w:firstLine="0"/>
              <w:jc w:val="right"/>
              <w:rPr>
                <w:sz w:val="18"/>
                <w:szCs w:val="18"/>
              </w:rPr>
            </w:pPr>
            <w:r w:rsidRPr="00804ACF">
              <w:rPr>
                <w:sz w:val="18"/>
                <w:szCs w:val="18"/>
              </w:rPr>
              <w:t>22,4</w:t>
            </w:r>
          </w:p>
        </w:tc>
        <w:tc>
          <w:tcPr>
            <w:tcW w:w="721" w:type="dxa"/>
            <w:tcBorders>
              <w:top w:val="double" w:sz="4" w:space="0" w:color="auto"/>
              <w:right w:val="single" w:sz="4" w:space="0" w:color="auto"/>
            </w:tcBorders>
            <w:shd w:val="clear" w:color="auto" w:fill="auto"/>
            <w:tcMar>
              <w:left w:w="57" w:type="dxa"/>
              <w:right w:w="57" w:type="dxa"/>
            </w:tcMar>
            <w:vAlign w:val="center"/>
          </w:tcPr>
          <w:p w14:paraId="5D355BFA" w14:textId="77777777" w:rsidR="001E5473" w:rsidRPr="00804ACF" w:rsidRDefault="001E5473" w:rsidP="001E5473">
            <w:pPr>
              <w:spacing w:after="0" w:line="259" w:lineRule="auto"/>
              <w:ind w:firstLine="0"/>
              <w:jc w:val="right"/>
              <w:rPr>
                <w:sz w:val="18"/>
                <w:szCs w:val="18"/>
              </w:rPr>
            </w:pPr>
            <w:r w:rsidRPr="00804ACF">
              <w:rPr>
                <w:sz w:val="18"/>
                <w:szCs w:val="18"/>
              </w:rPr>
              <w:t>37,8</w:t>
            </w:r>
          </w:p>
        </w:tc>
      </w:tr>
      <w:tr w:rsidR="001E5473" w:rsidRPr="00EF1D74" w14:paraId="202173A3" w14:textId="77777777" w:rsidTr="001E5473">
        <w:trPr>
          <w:gridAfter w:val="1"/>
          <w:wAfter w:w="9" w:type="dxa"/>
          <w:trHeight w:val="348"/>
          <w:jc w:val="center"/>
        </w:trPr>
        <w:tc>
          <w:tcPr>
            <w:tcW w:w="2830" w:type="dxa"/>
            <w:tcBorders>
              <w:left w:val="single" w:sz="4" w:space="0" w:color="auto"/>
              <w:bottom w:val="double" w:sz="4" w:space="0" w:color="auto"/>
            </w:tcBorders>
            <w:shd w:val="clear" w:color="auto" w:fill="auto"/>
            <w:vAlign w:val="center"/>
          </w:tcPr>
          <w:p w14:paraId="7131D095" w14:textId="77777777" w:rsidR="001E5473" w:rsidRPr="00EF1D74" w:rsidRDefault="001E5473" w:rsidP="001E5473">
            <w:pPr>
              <w:spacing w:after="0"/>
              <w:ind w:firstLine="0"/>
              <w:jc w:val="left"/>
              <w:rPr>
                <w:rFonts w:eastAsia="Calibri"/>
                <w:noProof/>
                <w:sz w:val="18"/>
                <w:szCs w:val="18"/>
              </w:rPr>
            </w:pPr>
            <w:r w:rsidRPr="00EF1D74">
              <w:rPr>
                <w:noProof/>
                <w:sz w:val="18"/>
                <w:szCs w:val="18"/>
              </w:rPr>
              <w:t xml:space="preserve">   Procentu izdevumi</w:t>
            </w:r>
            <w:r w:rsidRPr="00EF1D74">
              <w:rPr>
                <w:noProof/>
                <w:sz w:val="18"/>
                <w:szCs w:val="18"/>
              </w:rPr>
              <w:br/>
              <w:t xml:space="preserve">   (% likmes samaz. par 1 pp)</w:t>
            </w:r>
          </w:p>
        </w:tc>
        <w:tc>
          <w:tcPr>
            <w:tcW w:w="851" w:type="dxa"/>
            <w:tcBorders>
              <w:bottom w:val="double" w:sz="4" w:space="0" w:color="auto"/>
            </w:tcBorders>
            <w:shd w:val="clear" w:color="auto" w:fill="auto"/>
            <w:tcMar>
              <w:left w:w="57" w:type="dxa"/>
              <w:right w:w="57" w:type="dxa"/>
            </w:tcMar>
            <w:vAlign w:val="center"/>
          </w:tcPr>
          <w:p w14:paraId="1F1BE0A9" w14:textId="77777777" w:rsidR="001E5473" w:rsidRPr="00804ACF" w:rsidRDefault="001E5473" w:rsidP="001E5473">
            <w:pPr>
              <w:spacing w:after="0"/>
              <w:ind w:firstLine="0"/>
              <w:jc w:val="right"/>
              <w:rPr>
                <w:sz w:val="18"/>
                <w:szCs w:val="18"/>
              </w:rPr>
            </w:pPr>
            <w:r w:rsidRPr="00804ACF">
              <w:rPr>
                <w:sz w:val="18"/>
                <w:szCs w:val="18"/>
              </w:rPr>
              <w:t>262,2</w:t>
            </w:r>
          </w:p>
        </w:tc>
        <w:tc>
          <w:tcPr>
            <w:tcW w:w="850" w:type="dxa"/>
            <w:tcBorders>
              <w:bottom w:val="double" w:sz="4" w:space="0" w:color="auto"/>
            </w:tcBorders>
            <w:shd w:val="clear" w:color="auto" w:fill="auto"/>
            <w:tcMar>
              <w:left w:w="57" w:type="dxa"/>
              <w:right w:w="57" w:type="dxa"/>
            </w:tcMar>
            <w:vAlign w:val="center"/>
          </w:tcPr>
          <w:p w14:paraId="0B86890B" w14:textId="77777777" w:rsidR="001E5473" w:rsidRPr="00804ACF" w:rsidRDefault="001E5473" w:rsidP="001E5473">
            <w:pPr>
              <w:spacing w:after="0"/>
              <w:ind w:firstLine="0"/>
              <w:jc w:val="right"/>
              <w:rPr>
                <w:sz w:val="18"/>
                <w:szCs w:val="18"/>
              </w:rPr>
            </w:pPr>
            <w:r w:rsidRPr="00804ACF">
              <w:rPr>
                <w:sz w:val="18"/>
                <w:szCs w:val="18"/>
              </w:rPr>
              <w:t>19</w:t>
            </w:r>
            <w:r>
              <w:rPr>
                <w:sz w:val="18"/>
                <w:szCs w:val="18"/>
              </w:rPr>
              <w:t>7</w:t>
            </w:r>
            <w:r w:rsidRPr="00804ACF">
              <w:rPr>
                <w:sz w:val="18"/>
                <w:szCs w:val="18"/>
              </w:rPr>
              <w:t>,</w:t>
            </w:r>
            <w:r>
              <w:rPr>
                <w:sz w:val="18"/>
                <w:szCs w:val="18"/>
              </w:rPr>
              <w:t>0</w:t>
            </w:r>
          </w:p>
        </w:tc>
        <w:tc>
          <w:tcPr>
            <w:tcW w:w="851" w:type="dxa"/>
            <w:tcBorders>
              <w:bottom w:val="double" w:sz="4" w:space="0" w:color="auto"/>
            </w:tcBorders>
            <w:shd w:val="clear" w:color="auto" w:fill="auto"/>
            <w:tcMar>
              <w:left w:w="57" w:type="dxa"/>
              <w:right w:w="57" w:type="dxa"/>
            </w:tcMar>
            <w:vAlign w:val="center"/>
          </w:tcPr>
          <w:p w14:paraId="43440FB6" w14:textId="77777777" w:rsidR="001E5473" w:rsidRPr="00804ACF" w:rsidRDefault="001E5473" w:rsidP="001E5473">
            <w:pPr>
              <w:spacing w:after="0"/>
              <w:ind w:firstLine="0"/>
              <w:jc w:val="right"/>
              <w:rPr>
                <w:sz w:val="18"/>
                <w:szCs w:val="18"/>
              </w:rPr>
            </w:pPr>
            <w:r w:rsidRPr="00804ACF">
              <w:rPr>
                <w:sz w:val="18"/>
                <w:szCs w:val="18"/>
              </w:rPr>
              <w:t>2</w:t>
            </w:r>
            <w:r>
              <w:rPr>
                <w:sz w:val="18"/>
                <w:szCs w:val="18"/>
              </w:rPr>
              <w:t>15</w:t>
            </w:r>
            <w:r w:rsidRPr="00804ACF">
              <w:rPr>
                <w:sz w:val="18"/>
                <w:szCs w:val="18"/>
              </w:rPr>
              <w:t>,</w:t>
            </w:r>
            <w:r>
              <w:rPr>
                <w:sz w:val="18"/>
                <w:szCs w:val="18"/>
              </w:rPr>
              <w:t>8</w:t>
            </w:r>
          </w:p>
        </w:tc>
        <w:tc>
          <w:tcPr>
            <w:tcW w:w="850" w:type="dxa"/>
            <w:tcBorders>
              <w:bottom w:val="double" w:sz="4" w:space="0" w:color="auto"/>
            </w:tcBorders>
            <w:shd w:val="clear" w:color="auto" w:fill="auto"/>
            <w:tcMar>
              <w:left w:w="57" w:type="dxa"/>
              <w:right w:w="57" w:type="dxa"/>
            </w:tcMar>
            <w:vAlign w:val="center"/>
          </w:tcPr>
          <w:p w14:paraId="251B931C" w14:textId="77777777" w:rsidR="001E5473" w:rsidRPr="00804ACF" w:rsidRDefault="001E5473" w:rsidP="001E5473">
            <w:pPr>
              <w:spacing w:after="0"/>
              <w:ind w:firstLine="0"/>
              <w:jc w:val="right"/>
              <w:rPr>
                <w:sz w:val="18"/>
                <w:szCs w:val="18"/>
              </w:rPr>
            </w:pPr>
            <w:r w:rsidRPr="00804ACF">
              <w:rPr>
                <w:sz w:val="18"/>
                <w:szCs w:val="18"/>
              </w:rPr>
              <w:t>2</w:t>
            </w:r>
            <w:r>
              <w:rPr>
                <w:sz w:val="18"/>
                <w:szCs w:val="18"/>
              </w:rPr>
              <w:t>0</w:t>
            </w:r>
            <w:r w:rsidRPr="00804ACF">
              <w:rPr>
                <w:sz w:val="18"/>
                <w:szCs w:val="18"/>
              </w:rPr>
              <w:t>0,1</w:t>
            </w:r>
          </w:p>
        </w:tc>
        <w:tc>
          <w:tcPr>
            <w:tcW w:w="709" w:type="dxa"/>
            <w:tcBorders>
              <w:bottom w:val="double" w:sz="4" w:space="0" w:color="auto"/>
            </w:tcBorders>
            <w:shd w:val="clear" w:color="auto" w:fill="auto"/>
            <w:tcMar>
              <w:left w:w="57" w:type="dxa"/>
              <w:right w:w="57" w:type="dxa"/>
            </w:tcMar>
            <w:vAlign w:val="center"/>
          </w:tcPr>
          <w:p w14:paraId="2DE7526B" w14:textId="77777777" w:rsidR="001E5473" w:rsidRPr="00804ACF" w:rsidRDefault="001E5473" w:rsidP="001E5473">
            <w:pPr>
              <w:spacing w:after="0"/>
              <w:ind w:firstLine="0"/>
              <w:jc w:val="right"/>
              <w:rPr>
                <w:sz w:val="18"/>
                <w:szCs w:val="18"/>
              </w:rPr>
            </w:pPr>
            <w:r w:rsidRPr="00804ACF">
              <w:rPr>
                <w:sz w:val="18"/>
                <w:szCs w:val="18"/>
              </w:rPr>
              <w:t>0,0</w:t>
            </w:r>
          </w:p>
        </w:tc>
        <w:tc>
          <w:tcPr>
            <w:tcW w:w="709" w:type="dxa"/>
            <w:tcBorders>
              <w:bottom w:val="double" w:sz="4" w:space="0" w:color="auto"/>
            </w:tcBorders>
            <w:shd w:val="clear" w:color="auto" w:fill="auto"/>
            <w:tcMar>
              <w:left w:w="57" w:type="dxa"/>
              <w:right w:w="57" w:type="dxa"/>
            </w:tcMar>
            <w:vAlign w:val="center"/>
          </w:tcPr>
          <w:p w14:paraId="1E51A405" w14:textId="77777777" w:rsidR="001E5473" w:rsidRPr="00804ACF" w:rsidRDefault="001E5473" w:rsidP="001E5473">
            <w:pPr>
              <w:spacing w:after="0" w:line="259" w:lineRule="auto"/>
              <w:ind w:firstLine="0"/>
              <w:jc w:val="right"/>
              <w:rPr>
                <w:sz w:val="18"/>
                <w:szCs w:val="18"/>
              </w:rPr>
            </w:pPr>
            <w:r w:rsidRPr="00804ACF">
              <w:rPr>
                <w:sz w:val="18"/>
                <w:szCs w:val="18"/>
              </w:rPr>
              <w:t>-</w:t>
            </w:r>
            <w:r>
              <w:rPr>
                <w:sz w:val="18"/>
                <w:szCs w:val="18"/>
              </w:rPr>
              <w:t>3</w:t>
            </w:r>
            <w:r w:rsidRPr="00804ACF">
              <w:rPr>
                <w:sz w:val="18"/>
                <w:szCs w:val="18"/>
              </w:rPr>
              <w:t>,</w:t>
            </w:r>
            <w:r>
              <w:rPr>
                <w:sz w:val="18"/>
                <w:szCs w:val="18"/>
              </w:rPr>
              <w:t>3</w:t>
            </w:r>
          </w:p>
        </w:tc>
        <w:tc>
          <w:tcPr>
            <w:tcW w:w="709" w:type="dxa"/>
            <w:tcBorders>
              <w:bottom w:val="double" w:sz="4" w:space="0" w:color="auto"/>
            </w:tcBorders>
            <w:shd w:val="clear" w:color="auto" w:fill="auto"/>
            <w:tcMar>
              <w:left w:w="57" w:type="dxa"/>
              <w:right w:w="57" w:type="dxa"/>
            </w:tcMar>
            <w:vAlign w:val="center"/>
          </w:tcPr>
          <w:p w14:paraId="3D0E22CB" w14:textId="77777777" w:rsidR="001E5473" w:rsidRPr="00804ACF" w:rsidRDefault="001E5473" w:rsidP="001E5473">
            <w:pPr>
              <w:spacing w:after="0" w:line="259" w:lineRule="auto"/>
              <w:ind w:firstLine="0"/>
              <w:jc w:val="right"/>
              <w:rPr>
                <w:sz w:val="18"/>
                <w:szCs w:val="18"/>
              </w:rPr>
            </w:pPr>
            <w:r w:rsidRPr="00804ACF">
              <w:rPr>
                <w:sz w:val="18"/>
                <w:szCs w:val="18"/>
              </w:rPr>
              <w:t>-1</w:t>
            </w:r>
            <w:r>
              <w:rPr>
                <w:sz w:val="18"/>
                <w:szCs w:val="18"/>
              </w:rPr>
              <w:t>9</w:t>
            </w:r>
            <w:r w:rsidRPr="00804ACF">
              <w:rPr>
                <w:sz w:val="18"/>
                <w:szCs w:val="18"/>
              </w:rPr>
              <w:t>,</w:t>
            </w:r>
            <w:r>
              <w:rPr>
                <w:sz w:val="18"/>
                <w:szCs w:val="18"/>
              </w:rPr>
              <w:t>6</w:t>
            </w:r>
          </w:p>
        </w:tc>
        <w:tc>
          <w:tcPr>
            <w:tcW w:w="721" w:type="dxa"/>
            <w:tcBorders>
              <w:bottom w:val="double" w:sz="4" w:space="0" w:color="auto"/>
              <w:right w:val="single" w:sz="4" w:space="0" w:color="auto"/>
            </w:tcBorders>
            <w:shd w:val="clear" w:color="auto" w:fill="auto"/>
            <w:tcMar>
              <w:left w:w="57" w:type="dxa"/>
              <w:right w:w="57" w:type="dxa"/>
            </w:tcMar>
            <w:vAlign w:val="center"/>
          </w:tcPr>
          <w:p w14:paraId="62598A74" w14:textId="77777777" w:rsidR="001E5473" w:rsidRPr="00804ACF" w:rsidRDefault="001E5473" w:rsidP="001E5473">
            <w:pPr>
              <w:spacing w:after="0" w:line="259" w:lineRule="auto"/>
              <w:ind w:firstLine="0"/>
              <w:jc w:val="right"/>
              <w:rPr>
                <w:sz w:val="18"/>
                <w:szCs w:val="18"/>
              </w:rPr>
            </w:pPr>
            <w:r w:rsidRPr="00804ACF">
              <w:rPr>
                <w:sz w:val="18"/>
                <w:szCs w:val="18"/>
              </w:rPr>
              <w:t>-</w:t>
            </w:r>
            <w:r>
              <w:rPr>
                <w:sz w:val="18"/>
                <w:szCs w:val="18"/>
              </w:rPr>
              <w:t>3</w:t>
            </w:r>
            <w:r w:rsidRPr="00804ACF">
              <w:rPr>
                <w:sz w:val="18"/>
                <w:szCs w:val="18"/>
              </w:rPr>
              <w:t>5,9</w:t>
            </w:r>
          </w:p>
        </w:tc>
      </w:tr>
      <w:tr w:rsidR="001E5473" w:rsidRPr="00EF1D74" w14:paraId="382032F8" w14:textId="77777777" w:rsidTr="001E5473">
        <w:trPr>
          <w:gridAfter w:val="1"/>
          <w:wAfter w:w="9" w:type="dxa"/>
          <w:trHeight w:val="335"/>
          <w:jc w:val="center"/>
        </w:trPr>
        <w:tc>
          <w:tcPr>
            <w:tcW w:w="2830" w:type="dxa"/>
            <w:tcBorders>
              <w:top w:val="double" w:sz="4" w:space="0" w:color="auto"/>
            </w:tcBorders>
            <w:shd w:val="clear" w:color="auto" w:fill="auto"/>
            <w:vAlign w:val="center"/>
          </w:tcPr>
          <w:p w14:paraId="3E5DF27B" w14:textId="68902BBB" w:rsidR="001E5473" w:rsidRPr="00EF1D74" w:rsidRDefault="001E5473" w:rsidP="001E5473">
            <w:pPr>
              <w:spacing w:after="0"/>
              <w:ind w:firstLine="0"/>
              <w:jc w:val="left"/>
              <w:rPr>
                <w:b/>
                <w:noProof/>
                <w:sz w:val="18"/>
                <w:szCs w:val="18"/>
              </w:rPr>
            </w:pPr>
            <w:r w:rsidRPr="00EF1D74">
              <w:rPr>
                <w:b/>
                <w:noProof/>
                <w:sz w:val="18"/>
                <w:szCs w:val="18"/>
              </w:rPr>
              <w:t>Visp</w:t>
            </w:r>
            <w:r>
              <w:rPr>
                <w:b/>
                <w:noProof/>
                <w:sz w:val="18"/>
                <w:szCs w:val="18"/>
              </w:rPr>
              <w:t>ārējās valdības parāds,</w:t>
            </w:r>
            <w:r>
              <w:rPr>
                <w:b/>
                <w:noProof/>
                <w:sz w:val="18"/>
                <w:szCs w:val="18"/>
              </w:rPr>
              <w:br/>
              <w:t>% no iekšzemes kopprodukta</w:t>
            </w:r>
          </w:p>
        </w:tc>
        <w:tc>
          <w:tcPr>
            <w:tcW w:w="851" w:type="dxa"/>
            <w:tcBorders>
              <w:top w:val="double" w:sz="4" w:space="0" w:color="auto"/>
            </w:tcBorders>
            <w:shd w:val="clear" w:color="auto" w:fill="auto"/>
            <w:tcMar>
              <w:left w:w="57" w:type="dxa"/>
              <w:right w:w="57" w:type="dxa"/>
            </w:tcMar>
            <w:vAlign w:val="center"/>
          </w:tcPr>
          <w:p w14:paraId="352C305A" w14:textId="77777777" w:rsidR="001E5473" w:rsidRPr="00804ACF" w:rsidRDefault="001E5473" w:rsidP="001E5473">
            <w:pPr>
              <w:spacing w:after="0"/>
              <w:ind w:firstLine="0"/>
              <w:jc w:val="right"/>
              <w:rPr>
                <w:b/>
                <w:noProof/>
                <w:sz w:val="18"/>
                <w:szCs w:val="18"/>
              </w:rPr>
            </w:pPr>
            <w:r w:rsidRPr="00804ACF">
              <w:rPr>
                <w:b/>
                <w:noProof/>
                <w:sz w:val="18"/>
                <w:szCs w:val="18"/>
              </w:rPr>
              <w:t>47</w:t>
            </w:r>
            <w:r>
              <w:rPr>
                <w:b/>
                <w:noProof/>
                <w:sz w:val="18"/>
                <w:szCs w:val="18"/>
              </w:rPr>
              <w:t>%</w:t>
            </w:r>
          </w:p>
        </w:tc>
        <w:tc>
          <w:tcPr>
            <w:tcW w:w="850" w:type="dxa"/>
            <w:tcBorders>
              <w:top w:val="double" w:sz="4" w:space="0" w:color="auto"/>
            </w:tcBorders>
            <w:shd w:val="clear" w:color="auto" w:fill="auto"/>
            <w:tcMar>
              <w:left w:w="57" w:type="dxa"/>
              <w:right w:w="57" w:type="dxa"/>
            </w:tcMar>
            <w:vAlign w:val="center"/>
          </w:tcPr>
          <w:p w14:paraId="7B47B419" w14:textId="77777777" w:rsidR="001E5473" w:rsidRPr="00804ACF" w:rsidRDefault="001E5473" w:rsidP="001E5473">
            <w:pPr>
              <w:spacing w:after="0"/>
              <w:ind w:firstLine="0"/>
              <w:jc w:val="right"/>
              <w:rPr>
                <w:b/>
                <w:noProof/>
                <w:sz w:val="18"/>
                <w:szCs w:val="18"/>
              </w:rPr>
            </w:pPr>
            <w:r w:rsidRPr="00804ACF">
              <w:rPr>
                <w:b/>
                <w:noProof/>
                <w:sz w:val="18"/>
                <w:szCs w:val="18"/>
              </w:rPr>
              <w:t>49</w:t>
            </w:r>
            <w:r>
              <w:rPr>
                <w:b/>
                <w:noProof/>
                <w:sz w:val="18"/>
                <w:szCs w:val="18"/>
              </w:rPr>
              <w:t>%</w:t>
            </w:r>
          </w:p>
        </w:tc>
        <w:tc>
          <w:tcPr>
            <w:tcW w:w="851" w:type="dxa"/>
            <w:tcBorders>
              <w:top w:val="double" w:sz="4" w:space="0" w:color="auto"/>
            </w:tcBorders>
            <w:shd w:val="clear" w:color="auto" w:fill="auto"/>
            <w:tcMar>
              <w:left w:w="57" w:type="dxa"/>
              <w:right w:w="57" w:type="dxa"/>
            </w:tcMar>
            <w:vAlign w:val="center"/>
          </w:tcPr>
          <w:p w14:paraId="08D52742" w14:textId="77777777" w:rsidR="001E5473" w:rsidRPr="00804ACF" w:rsidRDefault="001E5473" w:rsidP="001E5473">
            <w:pPr>
              <w:spacing w:after="0"/>
              <w:ind w:firstLine="0"/>
              <w:jc w:val="right"/>
              <w:rPr>
                <w:b/>
                <w:noProof/>
                <w:sz w:val="18"/>
                <w:szCs w:val="18"/>
              </w:rPr>
            </w:pPr>
            <w:r w:rsidRPr="00804ACF">
              <w:rPr>
                <w:b/>
                <w:noProof/>
                <w:sz w:val="18"/>
                <w:szCs w:val="18"/>
              </w:rPr>
              <w:t>47</w:t>
            </w:r>
            <w:r>
              <w:rPr>
                <w:b/>
                <w:noProof/>
                <w:sz w:val="18"/>
                <w:szCs w:val="18"/>
              </w:rPr>
              <w:t>%</w:t>
            </w:r>
          </w:p>
        </w:tc>
        <w:tc>
          <w:tcPr>
            <w:tcW w:w="850" w:type="dxa"/>
            <w:tcBorders>
              <w:top w:val="double" w:sz="4" w:space="0" w:color="auto"/>
            </w:tcBorders>
            <w:shd w:val="clear" w:color="auto" w:fill="auto"/>
            <w:tcMar>
              <w:left w:w="57" w:type="dxa"/>
              <w:right w:w="57" w:type="dxa"/>
            </w:tcMar>
            <w:vAlign w:val="center"/>
          </w:tcPr>
          <w:p w14:paraId="744FD256" w14:textId="77777777" w:rsidR="001E5473" w:rsidRPr="00804ACF" w:rsidRDefault="001E5473" w:rsidP="001E5473">
            <w:pPr>
              <w:spacing w:after="0"/>
              <w:ind w:firstLine="0"/>
              <w:jc w:val="right"/>
              <w:rPr>
                <w:b/>
                <w:noProof/>
                <w:sz w:val="18"/>
                <w:szCs w:val="18"/>
              </w:rPr>
            </w:pPr>
            <w:r w:rsidRPr="00804ACF">
              <w:rPr>
                <w:b/>
                <w:noProof/>
                <w:sz w:val="18"/>
                <w:szCs w:val="18"/>
              </w:rPr>
              <w:t>46%</w:t>
            </w:r>
          </w:p>
        </w:tc>
        <w:tc>
          <w:tcPr>
            <w:tcW w:w="709" w:type="dxa"/>
            <w:tcBorders>
              <w:top w:val="double" w:sz="4" w:space="0" w:color="auto"/>
            </w:tcBorders>
            <w:shd w:val="clear" w:color="auto" w:fill="auto"/>
            <w:tcMar>
              <w:left w:w="57" w:type="dxa"/>
              <w:right w:w="57" w:type="dxa"/>
            </w:tcMar>
            <w:vAlign w:val="center"/>
          </w:tcPr>
          <w:p w14:paraId="35451265" w14:textId="77777777" w:rsidR="001E5473" w:rsidRPr="00804ACF" w:rsidRDefault="001E5473" w:rsidP="001E5473">
            <w:pPr>
              <w:spacing w:after="0"/>
              <w:ind w:firstLine="0"/>
              <w:jc w:val="right"/>
              <w:rPr>
                <w:b/>
                <w:noProof/>
                <w:sz w:val="18"/>
                <w:szCs w:val="18"/>
              </w:rPr>
            </w:pPr>
            <w:r w:rsidRPr="00804ACF">
              <w:rPr>
                <w:b/>
                <w:noProof/>
                <w:sz w:val="18"/>
                <w:szCs w:val="18"/>
              </w:rPr>
              <w:t>-1,4</w:t>
            </w:r>
            <w:r>
              <w:rPr>
                <w:b/>
                <w:noProof/>
                <w:sz w:val="18"/>
                <w:szCs w:val="18"/>
              </w:rPr>
              <w:t xml:space="preserve"> </w:t>
            </w:r>
            <w:r w:rsidRPr="00804ACF">
              <w:rPr>
                <w:b/>
                <w:noProof/>
                <w:sz w:val="18"/>
                <w:szCs w:val="18"/>
              </w:rPr>
              <w:t>pp</w:t>
            </w:r>
          </w:p>
        </w:tc>
        <w:tc>
          <w:tcPr>
            <w:tcW w:w="709" w:type="dxa"/>
            <w:tcBorders>
              <w:top w:val="double" w:sz="4" w:space="0" w:color="auto"/>
            </w:tcBorders>
            <w:shd w:val="clear" w:color="auto" w:fill="auto"/>
            <w:tcMar>
              <w:left w:w="57" w:type="dxa"/>
              <w:right w:w="57" w:type="dxa"/>
            </w:tcMar>
            <w:vAlign w:val="center"/>
          </w:tcPr>
          <w:p w14:paraId="35DF8EEC" w14:textId="77777777" w:rsidR="001E5473" w:rsidRPr="00804ACF" w:rsidRDefault="001E5473" w:rsidP="001E5473">
            <w:pPr>
              <w:spacing w:after="0" w:line="259" w:lineRule="auto"/>
              <w:ind w:firstLine="0"/>
              <w:jc w:val="right"/>
              <w:rPr>
                <w:b/>
                <w:noProof/>
                <w:sz w:val="18"/>
                <w:szCs w:val="18"/>
              </w:rPr>
            </w:pPr>
            <w:r w:rsidRPr="00804ACF">
              <w:rPr>
                <w:b/>
                <w:noProof/>
                <w:sz w:val="18"/>
                <w:szCs w:val="18"/>
              </w:rPr>
              <w:t>-2,3</w:t>
            </w:r>
            <w:r>
              <w:rPr>
                <w:b/>
                <w:noProof/>
                <w:sz w:val="18"/>
                <w:szCs w:val="18"/>
              </w:rPr>
              <w:t xml:space="preserve"> </w:t>
            </w:r>
            <w:r w:rsidRPr="00804ACF">
              <w:rPr>
                <w:b/>
                <w:noProof/>
                <w:sz w:val="18"/>
                <w:szCs w:val="18"/>
              </w:rPr>
              <w:t>pp</w:t>
            </w:r>
          </w:p>
        </w:tc>
        <w:tc>
          <w:tcPr>
            <w:tcW w:w="709" w:type="dxa"/>
            <w:tcBorders>
              <w:top w:val="double" w:sz="4" w:space="0" w:color="auto"/>
            </w:tcBorders>
            <w:shd w:val="clear" w:color="auto" w:fill="auto"/>
            <w:tcMar>
              <w:left w:w="57" w:type="dxa"/>
              <w:right w:w="57" w:type="dxa"/>
            </w:tcMar>
            <w:vAlign w:val="center"/>
          </w:tcPr>
          <w:p w14:paraId="5C7AD298" w14:textId="77777777" w:rsidR="001E5473" w:rsidRPr="00804ACF" w:rsidRDefault="001E5473" w:rsidP="001E5473">
            <w:pPr>
              <w:spacing w:after="0" w:line="259" w:lineRule="auto"/>
              <w:ind w:firstLine="0"/>
              <w:jc w:val="right"/>
              <w:rPr>
                <w:b/>
                <w:noProof/>
                <w:sz w:val="18"/>
                <w:szCs w:val="18"/>
              </w:rPr>
            </w:pPr>
            <w:r w:rsidRPr="00804ACF">
              <w:rPr>
                <w:b/>
                <w:noProof/>
                <w:sz w:val="18"/>
                <w:szCs w:val="18"/>
              </w:rPr>
              <w:t>-2,8</w:t>
            </w:r>
            <w:r>
              <w:rPr>
                <w:b/>
                <w:noProof/>
                <w:sz w:val="18"/>
                <w:szCs w:val="18"/>
              </w:rPr>
              <w:t xml:space="preserve"> </w:t>
            </w:r>
            <w:r w:rsidRPr="00804ACF">
              <w:rPr>
                <w:b/>
                <w:noProof/>
                <w:sz w:val="18"/>
                <w:szCs w:val="18"/>
              </w:rPr>
              <w:t>pp</w:t>
            </w:r>
          </w:p>
        </w:tc>
        <w:tc>
          <w:tcPr>
            <w:tcW w:w="721" w:type="dxa"/>
            <w:tcBorders>
              <w:top w:val="double" w:sz="4" w:space="0" w:color="auto"/>
            </w:tcBorders>
            <w:shd w:val="clear" w:color="auto" w:fill="auto"/>
            <w:tcMar>
              <w:left w:w="57" w:type="dxa"/>
              <w:right w:w="57" w:type="dxa"/>
            </w:tcMar>
            <w:vAlign w:val="center"/>
          </w:tcPr>
          <w:p w14:paraId="6EEDE968" w14:textId="77777777" w:rsidR="001E5473" w:rsidRPr="00804ACF" w:rsidRDefault="001E5473" w:rsidP="001E5473">
            <w:pPr>
              <w:spacing w:after="0" w:line="259" w:lineRule="auto"/>
              <w:ind w:firstLine="0"/>
              <w:jc w:val="right"/>
              <w:rPr>
                <w:b/>
                <w:noProof/>
                <w:sz w:val="18"/>
                <w:szCs w:val="18"/>
              </w:rPr>
            </w:pPr>
            <w:r w:rsidRPr="00804ACF">
              <w:rPr>
                <w:b/>
                <w:noProof/>
                <w:sz w:val="18"/>
                <w:szCs w:val="18"/>
              </w:rPr>
              <w:t>-3,2</w:t>
            </w:r>
            <w:r>
              <w:rPr>
                <w:b/>
                <w:noProof/>
                <w:sz w:val="18"/>
                <w:szCs w:val="18"/>
              </w:rPr>
              <w:t xml:space="preserve"> </w:t>
            </w:r>
            <w:r w:rsidRPr="00804ACF">
              <w:rPr>
                <w:b/>
                <w:noProof/>
                <w:sz w:val="18"/>
                <w:szCs w:val="18"/>
              </w:rPr>
              <w:t>pp</w:t>
            </w:r>
          </w:p>
        </w:tc>
      </w:tr>
    </w:tbl>
    <w:p w14:paraId="4650150E" w14:textId="77777777" w:rsidR="001E5473" w:rsidRPr="00EF1D74" w:rsidRDefault="001E5473" w:rsidP="001E5473">
      <w:pPr>
        <w:autoSpaceDE w:val="0"/>
        <w:autoSpaceDN w:val="0"/>
        <w:adjustRightInd w:val="0"/>
        <w:spacing w:after="0"/>
        <w:rPr>
          <w:color w:val="000000"/>
          <w:szCs w:val="24"/>
          <w:highlight w:val="yellow"/>
        </w:rPr>
      </w:pPr>
    </w:p>
    <w:p w14:paraId="0944A670" w14:textId="0CD20BFF" w:rsidR="001E5473" w:rsidRPr="005B5CD6" w:rsidRDefault="001E5473" w:rsidP="001E5473">
      <w:pPr>
        <w:autoSpaceDE w:val="0"/>
        <w:autoSpaceDN w:val="0"/>
        <w:adjustRightInd w:val="0"/>
        <w:rPr>
          <w:noProof/>
          <w:color w:val="000000"/>
          <w:szCs w:val="24"/>
        </w:rPr>
      </w:pPr>
      <w:r w:rsidRPr="005B5CD6">
        <w:rPr>
          <w:noProof/>
          <w:color w:val="000000"/>
          <w:szCs w:val="24"/>
        </w:rPr>
        <w:t xml:space="preserve">Vispārējās valdības budžeta bilance optimistiskajā scenārijā uzlabotos no 4,8% deficīta bāzes scenārijā uz 3,9% deficītu no </w:t>
      </w:r>
      <w:r>
        <w:rPr>
          <w:rFonts w:eastAsia="Calibri"/>
        </w:rPr>
        <w:t>iekšzemes kopprodukta</w:t>
      </w:r>
      <w:r w:rsidRPr="005B5CD6">
        <w:rPr>
          <w:noProof/>
          <w:color w:val="000000"/>
          <w:szCs w:val="24"/>
        </w:rPr>
        <w:t xml:space="preserve"> 2022.</w:t>
      </w:r>
      <w:r>
        <w:rPr>
          <w:noProof/>
          <w:color w:val="000000"/>
          <w:szCs w:val="24"/>
        </w:rPr>
        <w:t> </w:t>
      </w:r>
      <w:r w:rsidRPr="005B5CD6">
        <w:rPr>
          <w:noProof/>
          <w:color w:val="000000"/>
          <w:szCs w:val="24"/>
        </w:rPr>
        <w:t xml:space="preserve">gadā jeb par 244,8 milj. </w:t>
      </w:r>
      <w:r w:rsidRPr="005B5CD6">
        <w:rPr>
          <w:i/>
          <w:noProof/>
          <w:color w:val="000000"/>
          <w:szCs w:val="24"/>
        </w:rPr>
        <w:t>euro</w:t>
      </w:r>
      <w:r w:rsidRPr="005B5CD6">
        <w:rPr>
          <w:noProof/>
          <w:color w:val="000000"/>
          <w:szCs w:val="24"/>
        </w:rPr>
        <w:t>. 2023. un 2024.</w:t>
      </w:r>
      <w:r>
        <w:rPr>
          <w:noProof/>
          <w:color w:val="000000"/>
          <w:szCs w:val="24"/>
        </w:rPr>
        <w:t> </w:t>
      </w:r>
      <w:r w:rsidRPr="005B5CD6">
        <w:rPr>
          <w:noProof/>
          <w:color w:val="000000"/>
          <w:szCs w:val="24"/>
        </w:rPr>
        <w:t xml:space="preserve">gadā bilance uzlabotos attiecīgi par 255,6 milj. </w:t>
      </w:r>
      <w:r w:rsidRPr="005B5CD6">
        <w:rPr>
          <w:i/>
          <w:noProof/>
          <w:color w:val="000000"/>
          <w:szCs w:val="24"/>
        </w:rPr>
        <w:t>euro</w:t>
      </w:r>
      <w:r w:rsidRPr="005B5CD6">
        <w:rPr>
          <w:noProof/>
          <w:color w:val="000000"/>
          <w:szCs w:val="24"/>
        </w:rPr>
        <w:t xml:space="preserve"> un 264,6</w:t>
      </w:r>
      <w:r>
        <w:rPr>
          <w:noProof/>
          <w:color w:val="000000"/>
          <w:szCs w:val="24"/>
        </w:rPr>
        <w:t xml:space="preserve"> </w:t>
      </w:r>
      <w:r w:rsidRPr="005B5CD6">
        <w:rPr>
          <w:noProof/>
          <w:color w:val="000000"/>
          <w:szCs w:val="24"/>
        </w:rPr>
        <w:t xml:space="preserve">milj. </w:t>
      </w:r>
      <w:r w:rsidRPr="005B5CD6">
        <w:rPr>
          <w:i/>
          <w:noProof/>
          <w:color w:val="000000"/>
          <w:szCs w:val="24"/>
        </w:rPr>
        <w:t>euro</w:t>
      </w:r>
      <w:r w:rsidRPr="005B5CD6">
        <w:rPr>
          <w:noProof/>
          <w:color w:val="000000"/>
          <w:szCs w:val="24"/>
        </w:rPr>
        <w:t xml:space="preserve">, tādējādi vispārējās valdības budžetā 2023. gadā būtu deficīts 1,3% no </w:t>
      </w:r>
      <w:r>
        <w:rPr>
          <w:rFonts w:eastAsia="Calibri"/>
        </w:rPr>
        <w:t>iekšzemes kopprodukta</w:t>
      </w:r>
      <w:r w:rsidRPr="005B5CD6">
        <w:rPr>
          <w:noProof/>
          <w:color w:val="000000"/>
          <w:szCs w:val="24"/>
        </w:rPr>
        <w:t>, bet 202</w:t>
      </w:r>
      <w:r>
        <w:rPr>
          <w:noProof/>
          <w:color w:val="000000"/>
          <w:szCs w:val="24"/>
        </w:rPr>
        <w:t>4</w:t>
      </w:r>
      <w:r w:rsidRPr="005B5CD6">
        <w:rPr>
          <w:noProof/>
          <w:color w:val="000000"/>
          <w:szCs w:val="24"/>
        </w:rPr>
        <w:t xml:space="preserve">. gadā budžets būtu ar 0,5% no </w:t>
      </w:r>
      <w:r>
        <w:rPr>
          <w:rFonts w:eastAsia="Calibri"/>
        </w:rPr>
        <w:t>iekšzemes kopprodukta</w:t>
      </w:r>
      <w:r w:rsidRPr="005B5CD6">
        <w:rPr>
          <w:noProof/>
          <w:color w:val="000000"/>
          <w:szCs w:val="24"/>
        </w:rPr>
        <w:t xml:space="preserve"> deficītu. </w:t>
      </w:r>
    </w:p>
    <w:p w14:paraId="47930815" w14:textId="6CAC135E" w:rsidR="003F3FCD" w:rsidRPr="001E5473" w:rsidRDefault="001E5473" w:rsidP="001E5473">
      <w:pPr>
        <w:autoSpaceDE w:val="0"/>
        <w:autoSpaceDN w:val="0"/>
        <w:adjustRightInd w:val="0"/>
        <w:rPr>
          <w:noProof/>
          <w:color w:val="000000"/>
          <w:szCs w:val="24"/>
        </w:rPr>
      </w:pPr>
      <w:r w:rsidRPr="00843E4D">
        <w:rPr>
          <w:noProof/>
          <w:color w:val="000000"/>
          <w:szCs w:val="24"/>
        </w:rPr>
        <w:t xml:space="preserve">Papildus aplūkojam scenārijus, kuros aizņemšanās procentu likmes parāda pārfinansēšanai nosvārstās viena procentpunkta robežās – par vienu procentpunktu palielinoties </w:t>
      </w:r>
      <w:r>
        <w:rPr>
          <w:noProof/>
          <w:color w:val="000000"/>
          <w:szCs w:val="24"/>
        </w:rPr>
        <w:t>vai</w:t>
      </w:r>
      <w:r w:rsidRPr="00843E4D">
        <w:rPr>
          <w:noProof/>
          <w:color w:val="000000"/>
          <w:szCs w:val="24"/>
        </w:rPr>
        <w:t xml:space="preserve"> šādā apmērā samazinoties. Procentu likmēm par vienu procentpuktu palielinoties, procentu izdevumi 2022. gadā pieaugtu par 5,0 milj. </w:t>
      </w:r>
      <w:r w:rsidRPr="00843E4D">
        <w:rPr>
          <w:i/>
          <w:noProof/>
          <w:color w:val="000000"/>
          <w:szCs w:val="24"/>
        </w:rPr>
        <w:t>euro</w:t>
      </w:r>
      <w:r w:rsidRPr="00843E4D">
        <w:rPr>
          <w:noProof/>
          <w:color w:val="000000"/>
          <w:szCs w:val="24"/>
        </w:rPr>
        <w:t xml:space="preserve">, 2023. gadā izdevumi būtu par 22,4 milj. </w:t>
      </w:r>
      <w:r w:rsidRPr="00843E4D">
        <w:rPr>
          <w:i/>
          <w:noProof/>
          <w:color w:val="000000"/>
          <w:szCs w:val="24"/>
        </w:rPr>
        <w:t>euro</w:t>
      </w:r>
      <w:r w:rsidRPr="00843E4D">
        <w:rPr>
          <w:noProof/>
          <w:color w:val="000000"/>
          <w:szCs w:val="24"/>
        </w:rPr>
        <w:t xml:space="preserve"> lielāki, bet 2024. gadā par 37,8 milj. </w:t>
      </w:r>
      <w:r w:rsidRPr="00843E4D">
        <w:rPr>
          <w:i/>
          <w:noProof/>
          <w:color w:val="000000"/>
          <w:szCs w:val="24"/>
        </w:rPr>
        <w:t>euro</w:t>
      </w:r>
      <w:r w:rsidRPr="00843E4D">
        <w:rPr>
          <w:noProof/>
          <w:color w:val="000000"/>
          <w:szCs w:val="24"/>
        </w:rPr>
        <w:t xml:space="preserve"> lielāki nekā bāzes scenārijā. Savukārt procentu likmei par vienu procentpuktu samazinoties, izdevumi 2022. gadā samazinātos par </w:t>
      </w:r>
      <w:r>
        <w:rPr>
          <w:noProof/>
          <w:color w:val="000000"/>
          <w:szCs w:val="24"/>
        </w:rPr>
        <w:t>3</w:t>
      </w:r>
      <w:r w:rsidRPr="00843E4D">
        <w:rPr>
          <w:noProof/>
          <w:color w:val="000000"/>
          <w:szCs w:val="24"/>
        </w:rPr>
        <w:t>,</w:t>
      </w:r>
      <w:r>
        <w:rPr>
          <w:noProof/>
          <w:color w:val="000000"/>
          <w:szCs w:val="24"/>
        </w:rPr>
        <w:t>3</w:t>
      </w:r>
      <w:r w:rsidRPr="00843E4D">
        <w:rPr>
          <w:noProof/>
          <w:color w:val="000000"/>
          <w:szCs w:val="24"/>
        </w:rPr>
        <w:t xml:space="preserve"> milj. </w:t>
      </w:r>
      <w:r w:rsidRPr="00843E4D">
        <w:rPr>
          <w:i/>
          <w:noProof/>
          <w:color w:val="000000"/>
          <w:szCs w:val="24"/>
        </w:rPr>
        <w:t>euro</w:t>
      </w:r>
      <w:r w:rsidRPr="00843E4D">
        <w:rPr>
          <w:noProof/>
          <w:color w:val="000000"/>
          <w:szCs w:val="24"/>
        </w:rPr>
        <w:t>, 2023. gadā izdevumi būtu par 1</w:t>
      </w:r>
      <w:r>
        <w:rPr>
          <w:noProof/>
          <w:color w:val="000000"/>
          <w:szCs w:val="24"/>
        </w:rPr>
        <w:t>9</w:t>
      </w:r>
      <w:r w:rsidRPr="00843E4D">
        <w:rPr>
          <w:noProof/>
          <w:color w:val="000000"/>
          <w:szCs w:val="24"/>
        </w:rPr>
        <w:t>,</w:t>
      </w:r>
      <w:r>
        <w:rPr>
          <w:noProof/>
          <w:color w:val="000000"/>
          <w:szCs w:val="24"/>
        </w:rPr>
        <w:t>6</w:t>
      </w:r>
      <w:r w:rsidRPr="00843E4D">
        <w:rPr>
          <w:noProof/>
          <w:color w:val="000000"/>
          <w:szCs w:val="24"/>
        </w:rPr>
        <w:t xml:space="preserve"> milj. </w:t>
      </w:r>
      <w:r w:rsidRPr="00843E4D">
        <w:rPr>
          <w:i/>
          <w:noProof/>
          <w:color w:val="000000"/>
          <w:szCs w:val="24"/>
        </w:rPr>
        <w:t>euro</w:t>
      </w:r>
      <w:r w:rsidRPr="00843E4D">
        <w:rPr>
          <w:noProof/>
          <w:color w:val="000000"/>
          <w:szCs w:val="24"/>
        </w:rPr>
        <w:t xml:space="preserve"> un 2024. gadā par </w:t>
      </w:r>
      <w:r>
        <w:rPr>
          <w:noProof/>
          <w:color w:val="000000"/>
          <w:szCs w:val="24"/>
        </w:rPr>
        <w:t>3</w:t>
      </w:r>
      <w:r w:rsidRPr="00843E4D">
        <w:rPr>
          <w:noProof/>
          <w:color w:val="000000"/>
          <w:szCs w:val="24"/>
        </w:rPr>
        <w:t xml:space="preserve">5,9 milj. </w:t>
      </w:r>
      <w:r w:rsidRPr="00843E4D">
        <w:rPr>
          <w:i/>
          <w:noProof/>
          <w:color w:val="000000"/>
          <w:szCs w:val="24"/>
        </w:rPr>
        <w:t>euro</w:t>
      </w:r>
      <w:r>
        <w:rPr>
          <w:noProof/>
          <w:color w:val="000000"/>
          <w:szCs w:val="24"/>
        </w:rPr>
        <w:t xml:space="preserve"> mazāki nekā bāzes scenārijā.</w:t>
      </w:r>
    </w:p>
    <w:p w14:paraId="613B3254" w14:textId="2FCF747E" w:rsidR="003F3FCD" w:rsidRPr="00186BB3" w:rsidRDefault="000110A6" w:rsidP="00D866E5">
      <w:pPr>
        <w:pStyle w:val="Heading3"/>
        <w:numPr>
          <w:ilvl w:val="0"/>
          <w:numId w:val="0"/>
        </w:numPr>
        <w:spacing w:before="240" w:after="240"/>
      </w:pPr>
      <w:bookmarkStart w:id="34" w:name="_Toc84756402"/>
      <w:r>
        <w:t xml:space="preserve">1.5.2. </w:t>
      </w:r>
      <w:r w:rsidR="000548A5" w:rsidRPr="00186BB3">
        <w:t>Pesimistiskais scenārijs</w:t>
      </w:r>
      <w:bookmarkEnd w:id="34"/>
    </w:p>
    <w:p w14:paraId="07C8A760" w14:textId="080CB562" w:rsidR="001E5473" w:rsidRPr="00DF1711" w:rsidRDefault="001E5473" w:rsidP="001E5473">
      <w:pPr>
        <w:spacing w:before="120"/>
        <w:ind w:firstLine="567"/>
        <w:rPr>
          <w:rFonts w:eastAsia="Calibri"/>
        </w:rPr>
      </w:pPr>
      <w:r w:rsidRPr="00DF1711">
        <w:rPr>
          <w:rFonts w:eastAsia="Calibri"/>
        </w:rPr>
        <w:t xml:space="preserve">Pesimistiskā scenārija galvenais pieņēmums ir tas, ka līdz rudenim neizdosies sasniegt vakcinācijas plānā paredzēto līmeni, par ko liecināja kopš aprīļa beigām strauji pieaugošie vakcinācijas tempi. Jau vasaras sākumā iezīmējās vakcinācijas tempu mazināšanās. Turklāt Eiropā un Latvijā pieaug jaunā </w:t>
      </w:r>
      <w:r>
        <w:rPr>
          <w:rFonts w:eastAsia="Calibri"/>
        </w:rPr>
        <w:t>Covid</w:t>
      </w:r>
      <w:r>
        <w:rPr>
          <w:rFonts w:eastAsia="Calibri"/>
        </w:rPr>
        <w:noBreakHyphen/>
        <w:t>19</w:t>
      </w:r>
      <w:r w:rsidRPr="00DF1711">
        <w:rPr>
          <w:rFonts w:eastAsia="Calibri"/>
        </w:rPr>
        <w:t xml:space="preserve"> delta varianta izplatība, no kura vairāk cieš </w:t>
      </w:r>
      <w:r w:rsidRPr="00DF1711">
        <w:rPr>
          <w:rFonts w:eastAsia="Calibri"/>
        </w:rPr>
        <w:lastRenderedPageBreak/>
        <w:t xml:space="preserve">nevakcinētie iedzīvotāji. Līdz ar to, piedzīvojot jaunu spēcīgu slimības vilni un no jauna ieviešot </w:t>
      </w:r>
      <w:r>
        <w:rPr>
          <w:rFonts w:eastAsia="Calibri"/>
        </w:rPr>
        <w:t>stingrākus</w:t>
      </w:r>
      <w:r w:rsidRPr="00DF1711">
        <w:rPr>
          <w:rFonts w:eastAsia="Calibri"/>
        </w:rPr>
        <w:t xml:space="preserve"> vīrusa ierobežošanas pasākumus sākot ar 2021</w:t>
      </w:r>
      <w:r>
        <w:rPr>
          <w:rFonts w:eastAsia="Calibri"/>
        </w:rPr>
        <w:t>. gad</w:t>
      </w:r>
      <w:r w:rsidRPr="00DF1711">
        <w:rPr>
          <w:rFonts w:eastAsia="Calibri"/>
        </w:rPr>
        <w:t xml:space="preserve">a 4. ceturksni, </w:t>
      </w:r>
      <w:r w:rsidR="007F32E2">
        <w:rPr>
          <w:rFonts w:eastAsia="Calibri"/>
        </w:rPr>
        <w:t>iekšzemes kopprodukta</w:t>
      </w:r>
      <w:r w:rsidRPr="00DF1711">
        <w:rPr>
          <w:rFonts w:eastAsia="Calibri"/>
        </w:rPr>
        <w:t xml:space="preserve"> izaugsme būs mazāka nekā bāzes scenārijā, kas paredz, ka ekonomika turpmāk attīstīsies bez šiem ierobežojumiem.</w:t>
      </w:r>
    </w:p>
    <w:p w14:paraId="37C9CED7" w14:textId="3E0FE28A" w:rsidR="001E5473" w:rsidRPr="00DF1711" w:rsidRDefault="001E5473" w:rsidP="001E5473">
      <w:pPr>
        <w:spacing w:before="120"/>
        <w:ind w:firstLine="567"/>
        <w:rPr>
          <w:rFonts w:eastAsia="Calibri"/>
        </w:rPr>
      </w:pPr>
      <w:r w:rsidRPr="00DF1711">
        <w:rPr>
          <w:rFonts w:eastAsia="Calibri"/>
        </w:rPr>
        <w:t>2021</w:t>
      </w:r>
      <w:r>
        <w:rPr>
          <w:rFonts w:eastAsia="Calibri"/>
        </w:rPr>
        <w:t>. gad</w:t>
      </w:r>
      <w:r w:rsidRPr="00DF1711">
        <w:rPr>
          <w:rFonts w:eastAsia="Calibri"/>
        </w:rPr>
        <w:t xml:space="preserve">s ir iesācies ļoti spēcīgi, </w:t>
      </w:r>
      <w:r w:rsidR="007F32E2">
        <w:rPr>
          <w:rFonts w:eastAsia="Calibri"/>
        </w:rPr>
        <w:t>iekšzemes kopprodukts</w:t>
      </w:r>
      <w:r w:rsidRPr="00DF1711">
        <w:rPr>
          <w:rFonts w:eastAsia="Calibri"/>
        </w:rPr>
        <w:t xml:space="preserve"> šā gada pirmajā pusgadā pieauga par 4,5%, arī trešā ceturkšņa izaugsme būs spēcīga, jo ir atcelta virkne </w:t>
      </w:r>
      <w:r w:rsidRPr="00E15AB1">
        <w:rPr>
          <w:rFonts w:eastAsia="Calibri"/>
        </w:rPr>
        <w:t xml:space="preserve">ierobežojumu. Atbilstoši šī scenārija pieņēmumiem, oktobrī </w:t>
      </w:r>
      <w:r>
        <w:rPr>
          <w:rFonts w:eastAsia="Calibri"/>
        </w:rPr>
        <w:t xml:space="preserve">var </w:t>
      </w:r>
      <w:r w:rsidRPr="00E15AB1">
        <w:rPr>
          <w:rFonts w:eastAsia="Calibri"/>
        </w:rPr>
        <w:t>izraisīties jauns nozīmīgs</w:t>
      </w:r>
      <w:r w:rsidRPr="00DF1711">
        <w:rPr>
          <w:rFonts w:eastAsia="Calibri"/>
        </w:rPr>
        <w:t xml:space="preserve"> saslimstības uzliesmojums. Līdz ar to šis scenārijs paredz, ka šā gada 4. ceturksnī tiks ieviesti pasākumi slimības izplatības ierobežošanai, kas turpināsies līdz 2022</w:t>
      </w:r>
      <w:r>
        <w:rPr>
          <w:rFonts w:eastAsia="Calibri"/>
        </w:rPr>
        <w:t>. gad</w:t>
      </w:r>
      <w:r w:rsidRPr="00DF1711">
        <w:rPr>
          <w:rFonts w:eastAsia="Calibri"/>
        </w:rPr>
        <w:t>a pirmajam ceturksnim, savukārt turpmākajos gados vairs nebūtu nepieciešamības tādus ieviest. Rezultātā 2021</w:t>
      </w:r>
      <w:r>
        <w:rPr>
          <w:rFonts w:eastAsia="Calibri"/>
        </w:rPr>
        <w:t>. gad</w:t>
      </w:r>
      <w:r w:rsidRPr="00DF1711">
        <w:rPr>
          <w:rFonts w:eastAsia="Calibri"/>
        </w:rPr>
        <w:t>ā kopumā iekšzemes kopprodukta izaugsme samazinātos līdz 3%, kas ir par 0,7 procentpunktiem mazāks pieaugums nekā bāzes scenārijā. Savukārt tas dotu zemāku bāzi 2022</w:t>
      </w:r>
      <w:r>
        <w:rPr>
          <w:rFonts w:eastAsia="Calibri"/>
        </w:rPr>
        <w:t>. gad</w:t>
      </w:r>
      <w:r w:rsidRPr="00DF1711">
        <w:rPr>
          <w:rFonts w:eastAsia="Calibri"/>
        </w:rPr>
        <w:t xml:space="preserve">am, un </w:t>
      </w:r>
      <w:r w:rsidR="007F32E2">
        <w:rPr>
          <w:rFonts w:eastAsia="Calibri"/>
        </w:rPr>
        <w:t>iekšzemes kopprodukta</w:t>
      </w:r>
      <w:r w:rsidRPr="00DF1711">
        <w:rPr>
          <w:rFonts w:eastAsia="Calibri"/>
        </w:rPr>
        <w:t xml:space="preserve"> pieaugums sasniegtu tikai 2,5% jeb būtu par 2,5 procentpunktiem mazāks nekā bāzes scenārijā. 2023.-2024</w:t>
      </w:r>
      <w:r>
        <w:rPr>
          <w:rFonts w:eastAsia="Calibri"/>
        </w:rPr>
        <w:t>. gad</w:t>
      </w:r>
      <w:r w:rsidRPr="00DF1711">
        <w:rPr>
          <w:rFonts w:eastAsia="Calibri"/>
        </w:rPr>
        <w:t>ā izaugsme saglabātos bāzes scenārija līmenī jeb 3,4% apmērā.</w:t>
      </w:r>
    </w:p>
    <w:p w14:paraId="5410D416" w14:textId="1B4FCD71" w:rsidR="001E5473" w:rsidRPr="00DF1711" w:rsidRDefault="001E5473" w:rsidP="001E5473">
      <w:pPr>
        <w:spacing w:before="120"/>
        <w:ind w:firstLine="567"/>
        <w:rPr>
          <w:rFonts w:eastAsia="Calibri"/>
        </w:rPr>
      </w:pPr>
      <w:r w:rsidRPr="00DF1711">
        <w:rPr>
          <w:rFonts w:eastAsia="Calibri"/>
        </w:rPr>
        <w:t>Pasliktinoties patērētāju noskaņojumam, līdzīgi kā novērots š</w:t>
      </w:r>
      <w:r>
        <w:rPr>
          <w:rFonts w:eastAsia="Calibri"/>
        </w:rPr>
        <w:t>ā</w:t>
      </w:r>
      <w:r w:rsidRPr="00DF1711">
        <w:rPr>
          <w:rFonts w:eastAsia="Calibri"/>
        </w:rPr>
        <w:t xml:space="preserve"> gada sākumā,</w:t>
      </w:r>
      <w:r w:rsidRPr="00DF1711" w:rsidDel="00EB7807">
        <w:rPr>
          <w:rFonts w:eastAsia="Calibri"/>
        </w:rPr>
        <w:t xml:space="preserve"> </w:t>
      </w:r>
      <w:r w:rsidRPr="00DF1711">
        <w:rPr>
          <w:rFonts w:eastAsia="Calibri"/>
        </w:rPr>
        <w:t>privātais patēriņš būtiski sabremzētos, noslīdot līdz 2020</w:t>
      </w:r>
      <w:r>
        <w:rPr>
          <w:rFonts w:eastAsia="Calibri"/>
        </w:rPr>
        <w:t>. gad</w:t>
      </w:r>
      <w:r w:rsidRPr="00DF1711">
        <w:rPr>
          <w:rFonts w:eastAsia="Calibri"/>
        </w:rPr>
        <w:t>a beigu līmenim, un tādējādi nozīmīgi ietekmētu izaugsmi 2021. un 2022</w:t>
      </w:r>
      <w:r>
        <w:rPr>
          <w:rFonts w:eastAsia="Calibri"/>
        </w:rPr>
        <w:t>. gad</w:t>
      </w:r>
      <w:r w:rsidRPr="00DF1711">
        <w:rPr>
          <w:rFonts w:eastAsia="Calibri"/>
        </w:rPr>
        <w:t>ā. Valdības izdevumi nedaudz pieaugtu, palielinot izdevumiem medicīnai, t.sk., rehabilitācijai. Paredzams, ka valdība turpinātu atbalstīt nozares, kas vēl joprojām izjustu ierobežojumus, bet atbalsta apmērs būtu mazāks nekā 2021</w:t>
      </w:r>
      <w:r>
        <w:rPr>
          <w:rFonts w:eastAsia="Calibri"/>
        </w:rPr>
        <w:t>. gad</w:t>
      </w:r>
      <w:r w:rsidRPr="00DF1711">
        <w:rPr>
          <w:rFonts w:eastAsia="Calibri"/>
        </w:rPr>
        <w:t>a sākumā. Tikmēr investīcijas un eksportu jaunie ierobežojumi neskartu. Investīcijas nodrošinātu projekti, k</w:t>
      </w:r>
      <w:r w:rsidR="007F32E2">
        <w:rPr>
          <w:rFonts w:eastAsia="Calibri"/>
        </w:rPr>
        <w:t>urus ir paredzēts finansēt ar Eiropas Savienības</w:t>
      </w:r>
      <w:r w:rsidRPr="00DF1711">
        <w:rPr>
          <w:rFonts w:eastAsia="Calibri"/>
        </w:rPr>
        <w:t xml:space="preserve"> fondu un Atveseļošanās mehānisma atbalstu. Strauja ekonomiskā attīstība atsāktos 2022</w:t>
      </w:r>
      <w:r>
        <w:rPr>
          <w:rFonts w:eastAsia="Calibri"/>
        </w:rPr>
        <w:t>. gad</w:t>
      </w:r>
      <w:r w:rsidRPr="00DF1711">
        <w:rPr>
          <w:rFonts w:eastAsia="Calibri"/>
        </w:rPr>
        <w:t xml:space="preserve">a vasarā, neparedzot </w:t>
      </w:r>
      <w:r>
        <w:rPr>
          <w:rFonts w:eastAsia="Calibri"/>
        </w:rPr>
        <w:t>Covid</w:t>
      </w:r>
      <w:r>
        <w:rPr>
          <w:rFonts w:eastAsia="Calibri"/>
        </w:rPr>
        <w:noBreakHyphen/>
        <w:t>19</w:t>
      </w:r>
      <w:r w:rsidRPr="00DF1711">
        <w:rPr>
          <w:rFonts w:eastAsia="Calibri"/>
        </w:rPr>
        <w:t xml:space="preserve"> ceturto vilni. </w:t>
      </w:r>
    </w:p>
    <w:p w14:paraId="24A542DC" w14:textId="77777777" w:rsidR="001E5473" w:rsidRPr="00DF1711" w:rsidRDefault="001E5473" w:rsidP="001E5473">
      <w:pPr>
        <w:spacing w:before="120"/>
        <w:ind w:firstLine="567"/>
        <w:rPr>
          <w:rFonts w:eastAsia="Calibri"/>
        </w:rPr>
      </w:pPr>
      <w:r w:rsidRPr="00E3390A">
        <w:rPr>
          <w:rFonts w:eastAsia="Calibri"/>
        </w:rPr>
        <w:t>Darba tirgū paredzams nedaudz spēcīgāks nodarbināto skaita samazinājums 2021. gadā kopumā, jo ceturtajā ceturksnī daļa nozaru būs spiesta atkal apturēt darbību Covid</w:t>
      </w:r>
      <w:r w:rsidRPr="00E3390A">
        <w:rPr>
          <w:rFonts w:eastAsia="Calibri"/>
        </w:rPr>
        <w:noBreakHyphen/>
        <w:t xml:space="preserve">19 ierobežojumu dēļ. </w:t>
      </w:r>
      <w:r w:rsidRPr="00DF1711">
        <w:rPr>
          <w:rFonts w:eastAsia="Calibri"/>
        </w:rPr>
        <w:t>Bezdarba pieaugumu savukārt ierobežotu valsts atbalsts darbu apturējušajiem biznesiem, un tas varētu saglabāties bāzes scenārija līmenī, t.i., 2021</w:t>
      </w:r>
      <w:r>
        <w:rPr>
          <w:rFonts w:eastAsia="Calibri"/>
        </w:rPr>
        <w:t>. gadā 7,9%, 202</w:t>
      </w:r>
      <w:r w:rsidRPr="00DF1711">
        <w:rPr>
          <w:rFonts w:eastAsia="Calibri"/>
        </w:rPr>
        <w:t>2</w:t>
      </w:r>
      <w:r>
        <w:rPr>
          <w:rFonts w:eastAsia="Calibri"/>
        </w:rPr>
        <w:t>. gad</w:t>
      </w:r>
      <w:r w:rsidRPr="00DF1711">
        <w:rPr>
          <w:rFonts w:eastAsia="Calibri"/>
        </w:rPr>
        <w:t>ā 7%</w:t>
      </w:r>
      <w:r>
        <w:rPr>
          <w:rFonts w:eastAsia="Calibri"/>
        </w:rPr>
        <w:t>, 2023. gadā 6,3% un 2024. gadā 5,9%</w:t>
      </w:r>
      <w:r w:rsidRPr="00DF1711">
        <w:rPr>
          <w:rFonts w:eastAsia="Calibri"/>
        </w:rPr>
        <w:t xml:space="preserve"> no ekonomiski aktīvajiem iedzīvotājiem.</w:t>
      </w:r>
    </w:p>
    <w:p w14:paraId="7302B6DA" w14:textId="263A068C" w:rsidR="001E5473" w:rsidRDefault="001E5473" w:rsidP="001E5473">
      <w:pPr>
        <w:spacing w:before="120"/>
        <w:ind w:firstLine="567"/>
        <w:rPr>
          <w:rFonts w:eastAsia="Calibri"/>
        </w:rPr>
      </w:pPr>
      <w:r w:rsidRPr="00DF1711">
        <w:rPr>
          <w:rFonts w:eastAsia="Calibri"/>
        </w:rPr>
        <w:t>Šī scenārija ietekme uz inflāciju būs nebūtiska, jo cenu izmaiņas Latvijā pašlaik nosaka galvenokārt ārēji faktori – izejvielu preču cenu dinamika pasaules tirgū.  Pērn cenu samazinājuma pamatā bija tikai enerģijas cenu kritums, kamēr iekšējās cenas bija ar pozitīvu pieaugumu. Līdz ar to, no vienas puses atliktais patēriņš mazinās iekšzemes cenu pieaugumu, tomēr no otras puses, pasaulē ir iezīmējies spēcīgs cenu pieaugums, kas uzturēs arī iekšzemes cenu līmeni. Turklāt nākamā gada enerģijas cenu tarifi mājsaimniecībām būs augstāki, balstoties uz 2021</w:t>
      </w:r>
      <w:r>
        <w:rPr>
          <w:rFonts w:eastAsia="Calibri"/>
        </w:rPr>
        <w:t>. gad</w:t>
      </w:r>
      <w:r w:rsidRPr="00DF1711">
        <w:rPr>
          <w:rFonts w:eastAsia="Calibri"/>
        </w:rPr>
        <w:t>a biržas cenām.</w:t>
      </w:r>
    </w:p>
    <w:p w14:paraId="1B19FCB5" w14:textId="0314B7FC" w:rsidR="007F32E2" w:rsidRDefault="007F32E2" w:rsidP="001E5473">
      <w:pPr>
        <w:spacing w:before="120"/>
        <w:ind w:firstLine="567"/>
        <w:rPr>
          <w:rFonts w:eastAsia="Calibri"/>
        </w:rPr>
      </w:pPr>
    </w:p>
    <w:p w14:paraId="4CE2EC41" w14:textId="53E4B00F" w:rsidR="007F32E2" w:rsidRDefault="007F32E2" w:rsidP="001E5473">
      <w:pPr>
        <w:spacing w:before="120"/>
        <w:ind w:firstLine="567"/>
        <w:rPr>
          <w:rFonts w:eastAsia="Calibri"/>
        </w:rPr>
      </w:pPr>
    </w:p>
    <w:p w14:paraId="07431D4C" w14:textId="2F4B3429" w:rsidR="007F32E2" w:rsidRDefault="007F32E2" w:rsidP="001E5473">
      <w:pPr>
        <w:spacing w:before="120"/>
        <w:ind w:firstLine="567"/>
        <w:rPr>
          <w:rFonts w:eastAsia="Calibri"/>
        </w:rPr>
      </w:pPr>
    </w:p>
    <w:p w14:paraId="731CDE16" w14:textId="77777777" w:rsidR="007F32E2" w:rsidRPr="00DF1711" w:rsidRDefault="007F32E2" w:rsidP="001E5473">
      <w:pPr>
        <w:spacing w:before="120"/>
        <w:ind w:firstLine="567"/>
        <w:rPr>
          <w:rFonts w:eastAsia="Calibri"/>
        </w:rPr>
      </w:pPr>
    </w:p>
    <w:p w14:paraId="4A2DCD98" w14:textId="77777777" w:rsidR="001E5473" w:rsidRPr="007F32E2" w:rsidRDefault="001E5473" w:rsidP="007F32E2">
      <w:pPr>
        <w:pStyle w:val="Tabulasvirsraksts"/>
        <w:keepNext/>
        <w:spacing w:after="120"/>
        <w:jc w:val="right"/>
        <w:rPr>
          <w:i/>
        </w:rPr>
      </w:pPr>
      <w:r w:rsidRPr="007F32E2">
        <w:rPr>
          <w:i/>
        </w:rPr>
        <w:lastRenderedPageBreak/>
        <w:t>1.10. tabula. Pesimistiskais makroekonomisko rādītāju attīstības scenārijs</w:t>
      </w:r>
    </w:p>
    <w:tbl>
      <w:tblPr>
        <w:tblW w:w="5000" w:type="pct"/>
        <w:tblLayout w:type="fixed"/>
        <w:tblLook w:val="04A0" w:firstRow="1" w:lastRow="0" w:firstColumn="1" w:lastColumn="0" w:noHBand="0" w:noVBand="1"/>
      </w:tblPr>
      <w:tblGrid>
        <w:gridCol w:w="3611"/>
        <w:gridCol w:w="1090"/>
        <w:gridCol w:w="1090"/>
        <w:gridCol w:w="1090"/>
        <w:gridCol w:w="1090"/>
        <w:gridCol w:w="1090"/>
      </w:tblGrid>
      <w:tr w:rsidR="001E5473" w:rsidRPr="009D6882" w14:paraId="005AD7A1" w14:textId="77777777" w:rsidTr="001E5473">
        <w:trPr>
          <w:trHeight w:val="20"/>
        </w:trPr>
        <w:tc>
          <w:tcPr>
            <w:tcW w:w="3306" w:type="dxa"/>
            <w:vMerge w:val="restart"/>
            <w:tcBorders>
              <w:top w:val="single" w:sz="4" w:space="0" w:color="auto"/>
              <w:left w:val="single" w:sz="4" w:space="0" w:color="auto"/>
              <w:right w:val="single" w:sz="4" w:space="0" w:color="auto"/>
            </w:tcBorders>
            <w:shd w:val="clear" w:color="auto" w:fill="D5DCE4" w:themeFill="text2" w:themeFillTint="33"/>
            <w:noWrap/>
            <w:vAlign w:val="center"/>
            <w:hideMark/>
          </w:tcPr>
          <w:p w14:paraId="5A35188F" w14:textId="77777777" w:rsidR="001E5473" w:rsidRPr="00ED3376" w:rsidRDefault="001E5473" w:rsidP="001E5473">
            <w:pPr>
              <w:spacing w:beforeLines="20" w:before="48" w:afterLines="20" w:after="48"/>
              <w:ind w:firstLine="0"/>
              <w:jc w:val="center"/>
              <w:rPr>
                <w:rFonts w:eastAsia="Calibri"/>
                <w:bCs/>
                <w:sz w:val="18"/>
                <w:szCs w:val="18"/>
              </w:rPr>
            </w:pPr>
          </w:p>
        </w:tc>
        <w:tc>
          <w:tcPr>
            <w:tcW w:w="998"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41FC05B5" w14:textId="77777777" w:rsidR="001E5473" w:rsidRPr="00ED3376" w:rsidRDefault="001E5473" w:rsidP="001E5473">
            <w:pPr>
              <w:spacing w:beforeLines="20" w:before="48" w:afterLines="20" w:after="48"/>
              <w:ind w:firstLine="0"/>
              <w:jc w:val="center"/>
              <w:rPr>
                <w:rFonts w:eastAsia="Calibri"/>
                <w:b/>
                <w:sz w:val="18"/>
                <w:szCs w:val="18"/>
              </w:rPr>
            </w:pPr>
            <w:r w:rsidRPr="00ED3376">
              <w:rPr>
                <w:rFonts w:eastAsia="Calibri"/>
                <w:b/>
                <w:sz w:val="18"/>
                <w:szCs w:val="18"/>
              </w:rPr>
              <w:t>2020</w:t>
            </w:r>
          </w:p>
        </w:tc>
        <w:tc>
          <w:tcPr>
            <w:tcW w:w="998" w:type="dxa"/>
            <w:tcBorders>
              <w:top w:val="single" w:sz="4" w:space="0" w:color="auto"/>
              <w:left w:val="nil"/>
              <w:bottom w:val="single" w:sz="4" w:space="0" w:color="auto"/>
              <w:right w:val="single" w:sz="4" w:space="0" w:color="auto"/>
            </w:tcBorders>
            <w:shd w:val="clear" w:color="auto" w:fill="D5DCE4" w:themeFill="text2" w:themeFillTint="33"/>
            <w:noWrap/>
            <w:vAlign w:val="center"/>
          </w:tcPr>
          <w:p w14:paraId="7C73CFD6" w14:textId="77777777" w:rsidR="001E5473" w:rsidRPr="00ED3376" w:rsidRDefault="001E5473" w:rsidP="001E5473">
            <w:pPr>
              <w:spacing w:beforeLines="20" w:before="48" w:afterLines="20" w:after="48"/>
              <w:ind w:firstLine="0"/>
              <w:jc w:val="center"/>
              <w:rPr>
                <w:rFonts w:eastAsia="Calibri"/>
                <w:b/>
                <w:sz w:val="18"/>
                <w:szCs w:val="18"/>
              </w:rPr>
            </w:pPr>
            <w:r w:rsidRPr="00ED3376">
              <w:rPr>
                <w:rFonts w:eastAsia="Calibri"/>
                <w:b/>
                <w:sz w:val="18"/>
                <w:szCs w:val="18"/>
              </w:rPr>
              <w:t>2021</w:t>
            </w:r>
          </w:p>
        </w:tc>
        <w:tc>
          <w:tcPr>
            <w:tcW w:w="998" w:type="dxa"/>
            <w:tcBorders>
              <w:top w:val="single" w:sz="4" w:space="0" w:color="auto"/>
              <w:left w:val="nil"/>
              <w:bottom w:val="single" w:sz="4" w:space="0" w:color="auto"/>
              <w:right w:val="single" w:sz="4" w:space="0" w:color="auto"/>
            </w:tcBorders>
            <w:shd w:val="clear" w:color="auto" w:fill="D5DCE4" w:themeFill="text2" w:themeFillTint="33"/>
            <w:noWrap/>
            <w:vAlign w:val="center"/>
          </w:tcPr>
          <w:p w14:paraId="01F931D8" w14:textId="77777777" w:rsidR="001E5473" w:rsidRPr="00ED3376" w:rsidRDefault="001E5473" w:rsidP="001E5473">
            <w:pPr>
              <w:spacing w:beforeLines="20" w:before="48" w:afterLines="20" w:after="48"/>
              <w:ind w:firstLine="0"/>
              <w:jc w:val="center"/>
              <w:rPr>
                <w:rFonts w:eastAsia="Calibri"/>
                <w:b/>
                <w:sz w:val="18"/>
                <w:szCs w:val="18"/>
              </w:rPr>
            </w:pPr>
            <w:r w:rsidRPr="00ED3376">
              <w:rPr>
                <w:rFonts w:eastAsia="Calibri"/>
                <w:b/>
                <w:sz w:val="18"/>
                <w:szCs w:val="18"/>
              </w:rPr>
              <w:t>2022</w:t>
            </w:r>
          </w:p>
        </w:tc>
        <w:tc>
          <w:tcPr>
            <w:tcW w:w="998" w:type="dxa"/>
            <w:tcBorders>
              <w:top w:val="single" w:sz="4" w:space="0" w:color="auto"/>
              <w:left w:val="nil"/>
              <w:bottom w:val="single" w:sz="4" w:space="0" w:color="auto"/>
              <w:right w:val="single" w:sz="4" w:space="0" w:color="auto"/>
            </w:tcBorders>
            <w:shd w:val="clear" w:color="auto" w:fill="D5DCE4" w:themeFill="text2" w:themeFillTint="33"/>
            <w:noWrap/>
            <w:vAlign w:val="center"/>
          </w:tcPr>
          <w:p w14:paraId="4FF9CA90" w14:textId="77777777" w:rsidR="001E5473" w:rsidRPr="00ED3376" w:rsidRDefault="001E5473" w:rsidP="001E5473">
            <w:pPr>
              <w:spacing w:beforeLines="20" w:before="48" w:afterLines="20" w:after="48"/>
              <w:ind w:firstLine="0"/>
              <w:jc w:val="center"/>
              <w:rPr>
                <w:rFonts w:eastAsia="Calibri"/>
                <w:b/>
                <w:sz w:val="18"/>
                <w:szCs w:val="18"/>
              </w:rPr>
            </w:pPr>
            <w:r w:rsidRPr="00ED3376">
              <w:rPr>
                <w:rFonts w:eastAsia="Calibri"/>
                <w:b/>
                <w:sz w:val="18"/>
                <w:szCs w:val="18"/>
              </w:rPr>
              <w:t>2023</w:t>
            </w:r>
          </w:p>
        </w:tc>
        <w:tc>
          <w:tcPr>
            <w:tcW w:w="998" w:type="dxa"/>
            <w:tcBorders>
              <w:top w:val="single" w:sz="4" w:space="0" w:color="auto"/>
              <w:left w:val="nil"/>
              <w:bottom w:val="single" w:sz="4" w:space="0" w:color="auto"/>
              <w:right w:val="single" w:sz="4" w:space="0" w:color="auto"/>
            </w:tcBorders>
            <w:shd w:val="clear" w:color="auto" w:fill="D5DCE4" w:themeFill="text2" w:themeFillTint="33"/>
            <w:noWrap/>
            <w:vAlign w:val="center"/>
          </w:tcPr>
          <w:p w14:paraId="3CDCDEC4" w14:textId="77777777" w:rsidR="001E5473" w:rsidRPr="00ED3376" w:rsidRDefault="001E5473" w:rsidP="001E5473">
            <w:pPr>
              <w:spacing w:beforeLines="20" w:before="48" w:afterLines="20" w:after="48"/>
              <w:ind w:firstLine="0"/>
              <w:jc w:val="center"/>
              <w:rPr>
                <w:rFonts w:eastAsia="Calibri"/>
                <w:b/>
                <w:sz w:val="18"/>
                <w:szCs w:val="18"/>
              </w:rPr>
            </w:pPr>
            <w:r w:rsidRPr="00ED3376">
              <w:rPr>
                <w:rFonts w:eastAsia="Calibri"/>
                <w:b/>
                <w:sz w:val="18"/>
                <w:szCs w:val="18"/>
              </w:rPr>
              <w:t>2024</w:t>
            </w:r>
          </w:p>
        </w:tc>
      </w:tr>
      <w:tr w:rsidR="001E5473" w:rsidRPr="009D6882" w14:paraId="5B167151" w14:textId="77777777" w:rsidTr="001E5473">
        <w:trPr>
          <w:trHeight w:val="20"/>
        </w:trPr>
        <w:tc>
          <w:tcPr>
            <w:tcW w:w="3306" w:type="dxa"/>
            <w:vMerge/>
            <w:tcBorders>
              <w:left w:val="single" w:sz="4" w:space="0" w:color="auto"/>
              <w:bottom w:val="single" w:sz="4" w:space="0" w:color="auto"/>
              <w:right w:val="single" w:sz="4" w:space="0" w:color="auto"/>
            </w:tcBorders>
            <w:shd w:val="clear" w:color="auto" w:fill="D5DCE4" w:themeFill="text2" w:themeFillTint="33"/>
            <w:noWrap/>
            <w:vAlign w:val="center"/>
          </w:tcPr>
          <w:p w14:paraId="380EE779" w14:textId="77777777" w:rsidR="001E5473" w:rsidRPr="00ED3376" w:rsidRDefault="001E5473" w:rsidP="001E5473">
            <w:pPr>
              <w:spacing w:beforeLines="20" w:before="48" w:afterLines="20" w:after="48"/>
              <w:ind w:firstLine="0"/>
              <w:jc w:val="center"/>
              <w:rPr>
                <w:rFonts w:eastAsia="Calibri"/>
                <w:bCs/>
                <w:sz w:val="18"/>
                <w:szCs w:val="18"/>
              </w:rPr>
            </w:pPr>
          </w:p>
        </w:tc>
        <w:tc>
          <w:tcPr>
            <w:tcW w:w="998" w:type="dxa"/>
            <w:tcBorders>
              <w:top w:val="single" w:sz="4" w:space="0" w:color="auto"/>
              <w:left w:val="nil"/>
              <w:bottom w:val="single" w:sz="4" w:space="0" w:color="auto"/>
              <w:right w:val="single" w:sz="4" w:space="0" w:color="auto"/>
            </w:tcBorders>
            <w:shd w:val="clear" w:color="auto" w:fill="D5DCE4" w:themeFill="text2" w:themeFillTint="33"/>
            <w:noWrap/>
            <w:vAlign w:val="center"/>
          </w:tcPr>
          <w:p w14:paraId="2ED2D856" w14:textId="77777777" w:rsidR="001E5473" w:rsidRPr="00ED3376" w:rsidRDefault="001E5473" w:rsidP="001E5473">
            <w:pPr>
              <w:spacing w:beforeLines="20" w:before="48" w:afterLines="20" w:after="48"/>
              <w:ind w:firstLine="0"/>
              <w:jc w:val="center"/>
              <w:rPr>
                <w:rFonts w:eastAsia="Calibri"/>
                <w:bCs/>
                <w:sz w:val="18"/>
                <w:szCs w:val="18"/>
              </w:rPr>
            </w:pPr>
            <w:r w:rsidRPr="00ED3376">
              <w:rPr>
                <w:rFonts w:eastAsia="Calibri"/>
                <w:bCs/>
                <w:sz w:val="18"/>
                <w:szCs w:val="18"/>
              </w:rPr>
              <w:t>fakts</w:t>
            </w:r>
          </w:p>
        </w:tc>
        <w:tc>
          <w:tcPr>
            <w:tcW w:w="3992" w:type="dxa"/>
            <w:gridSpan w:val="4"/>
            <w:tcBorders>
              <w:top w:val="single" w:sz="4" w:space="0" w:color="auto"/>
              <w:left w:val="nil"/>
              <w:bottom w:val="single" w:sz="4" w:space="0" w:color="auto"/>
              <w:right w:val="single" w:sz="4" w:space="0" w:color="auto"/>
            </w:tcBorders>
            <w:shd w:val="clear" w:color="auto" w:fill="D5DCE4" w:themeFill="text2" w:themeFillTint="33"/>
            <w:noWrap/>
            <w:vAlign w:val="center"/>
          </w:tcPr>
          <w:p w14:paraId="69C23920" w14:textId="77777777" w:rsidR="001E5473" w:rsidRPr="00ED3376" w:rsidRDefault="001E5473" w:rsidP="001E5473">
            <w:pPr>
              <w:spacing w:beforeLines="20" w:before="48" w:afterLines="20" w:after="48"/>
              <w:ind w:firstLine="0"/>
              <w:jc w:val="center"/>
              <w:rPr>
                <w:rFonts w:eastAsia="Calibri"/>
                <w:bCs/>
                <w:sz w:val="18"/>
                <w:szCs w:val="18"/>
              </w:rPr>
            </w:pPr>
            <w:r w:rsidRPr="00ED3376">
              <w:rPr>
                <w:rFonts w:eastAsia="Calibri"/>
                <w:bCs/>
                <w:sz w:val="18"/>
                <w:szCs w:val="18"/>
              </w:rPr>
              <w:t>prognoze</w:t>
            </w:r>
          </w:p>
        </w:tc>
      </w:tr>
      <w:tr w:rsidR="001E5473" w:rsidRPr="009D6882" w14:paraId="70DD57B6" w14:textId="77777777" w:rsidTr="001E5473">
        <w:trPr>
          <w:trHeight w:val="20"/>
        </w:trPr>
        <w:tc>
          <w:tcPr>
            <w:tcW w:w="3306" w:type="dxa"/>
            <w:tcBorders>
              <w:top w:val="nil"/>
              <w:left w:val="single" w:sz="4" w:space="0" w:color="auto"/>
              <w:bottom w:val="single" w:sz="4" w:space="0" w:color="auto"/>
              <w:right w:val="single" w:sz="4" w:space="0" w:color="auto"/>
            </w:tcBorders>
            <w:shd w:val="clear" w:color="auto" w:fill="auto"/>
            <w:noWrap/>
            <w:vAlign w:val="center"/>
            <w:hideMark/>
          </w:tcPr>
          <w:p w14:paraId="07061176" w14:textId="77777777" w:rsidR="001E5473" w:rsidRPr="00ED3376" w:rsidRDefault="001E5473" w:rsidP="001E5473">
            <w:pPr>
              <w:spacing w:beforeLines="20" w:before="48" w:afterLines="20" w:after="48"/>
              <w:ind w:firstLine="0"/>
              <w:jc w:val="left"/>
              <w:rPr>
                <w:rFonts w:eastAsia="Calibri"/>
                <w:bCs/>
                <w:sz w:val="18"/>
                <w:szCs w:val="18"/>
              </w:rPr>
            </w:pPr>
            <w:r w:rsidRPr="009A5751">
              <w:rPr>
                <w:rFonts w:eastAsia="Calibri"/>
                <w:b/>
                <w:sz w:val="18"/>
                <w:szCs w:val="18"/>
              </w:rPr>
              <w:t>Iekšzemes kopprodukts</w:t>
            </w:r>
            <w:r w:rsidRPr="00ED3376">
              <w:rPr>
                <w:rFonts w:eastAsia="Calibri"/>
                <w:bCs/>
                <w:sz w:val="18"/>
                <w:szCs w:val="18"/>
              </w:rPr>
              <w:t xml:space="preserve"> (milj. </w:t>
            </w:r>
            <w:r w:rsidRPr="007F32E2">
              <w:rPr>
                <w:rFonts w:eastAsia="Calibri"/>
                <w:bCs/>
                <w:i/>
                <w:sz w:val="18"/>
                <w:szCs w:val="18"/>
              </w:rPr>
              <w:t>euro</w:t>
            </w:r>
            <w:r w:rsidRPr="00ED3376">
              <w:rPr>
                <w:rFonts w:eastAsia="Calibri"/>
                <w:bCs/>
                <w:sz w:val="18"/>
                <w:szCs w:val="18"/>
              </w:rPr>
              <w:t>)</w:t>
            </w:r>
          </w:p>
        </w:tc>
        <w:tc>
          <w:tcPr>
            <w:tcW w:w="99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0ED897F7"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29 334</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264A85C5"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31 154</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13FAA266"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32 995</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1134CFA4"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35 018</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320E7CFA"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36 876</w:t>
            </w:r>
          </w:p>
        </w:tc>
      </w:tr>
      <w:tr w:rsidR="001E5473" w:rsidRPr="009D6882" w14:paraId="5A54047E" w14:textId="77777777" w:rsidTr="001E5473">
        <w:trPr>
          <w:trHeight w:val="20"/>
        </w:trPr>
        <w:tc>
          <w:tcPr>
            <w:tcW w:w="3306" w:type="dxa"/>
            <w:tcBorders>
              <w:top w:val="nil"/>
              <w:left w:val="single" w:sz="4" w:space="0" w:color="auto"/>
              <w:bottom w:val="single" w:sz="4" w:space="0" w:color="auto"/>
              <w:right w:val="single" w:sz="4" w:space="0" w:color="auto"/>
            </w:tcBorders>
            <w:shd w:val="clear" w:color="auto" w:fill="auto"/>
            <w:noWrap/>
            <w:vAlign w:val="center"/>
            <w:hideMark/>
          </w:tcPr>
          <w:p w14:paraId="767AD999" w14:textId="77777777" w:rsidR="001E5473" w:rsidRPr="00ED3376" w:rsidRDefault="001E5473" w:rsidP="001E5473">
            <w:pPr>
              <w:spacing w:beforeLines="20" w:before="48" w:afterLines="20" w:after="48"/>
              <w:ind w:left="720" w:firstLine="0"/>
              <w:jc w:val="left"/>
              <w:rPr>
                <w:rFonts w:eastAsia="Calibri"/>
                <w:bCs/>
                <w:sz w:val="18"/>
                <w:szCs w:val="18"/>
              </w:rPr>
            </w:pPr>
            <w:r w:rsidRPr="00ED3376">
              <w:rPr>
                <w:rFonts w:eastAsia="Calibri"/>
                <w:bCs/>
                <w:sz w:val="18"/>
                <w:szCs w:val="18"/>
              </w:rPr>
              <w:t>pieaugums faktiskajās cenās (%)</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61FAC5C8"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-3,6</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6C826597"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6,2</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61804D30"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5,9</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121E03AE"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6,1</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247FEA80"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5,3</w:t>
            </w:r>
          </w:p>
        </w:tc>
      </w:tr>
      <w:tr w:rsidR="001E5473" w:rsidRPr="009D6882" w14:paraId="6DBF2F8A" w14:textId="77777777" w:rsidTr="001E5473">
        <w:trPr>
          <w:trHeight w:val="20"/>
        </w:trPr>
        <w:tc>
          <w:tcPr>
            <w:tcW w:w="3306" w:type="dxa"/>
            <w:tcBorders>
              <w:top w:val="nil"/>
              <w:left w:val="single" w:sz="4" w:space="0" w:color="auto"/>
              <w:bottom w:val="single" w:sz="4" w:space="0" w:color="auto"/>
              <w:right w:val="single" w:sz="4" w:space="0" w:color="auto"/>
            </w:tcBorders>
            <w:shd w:val="clear" w:color="auto" w:fill="auto"/>
            <w:noWrap/>
            <w:vAlign w:val="center"/>
            <w:hideMark/>
          </w:tcPr>
          <w:p w14:paraId="643D475D" w14:textId="77777777" w:rsidR="001E5473" w:rsidRPr="00ED3376" w:rsidRDefault="001E5473" w:rsidP="001E5473">
            <w:pPr>
              <w:spacing w:beforeLines="20" w:before="48" w:afterLines="20" w:after="48"/>
              <w:ind w:left="720" w:firstLine="0"/>
              <w:jc w:val="left"/>
              <w:rPr>
                <w:rFonts w:eastAsia="Calibri"/>
                <w:bCs/>
                <w:sz w:val="18"/>
                <w:szCs w:val="18"/>
              </w:rPr>
            </w:pPr>
            <w:r w:rsidRPr="00ED3376">
              <w:rPr>
                <w:rFonts w:eastAsia="Calibri"/>
                <w:bCs/>
                <w:sz w:val="18"/>
                <w:szCs w:val="18"/>
              </w:rPr>
              <w:t>pieaugums salīdzināmās cenās (%)</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1DE7A2B7"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-3,6</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5A59F77B"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3,0</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487821F1"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2,5</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43BB08D8"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3,4</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794F2EB1"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3,4</w:t>
            </w:r>
          </w:p>
        </w:tc>
      </w:tr>
      <w:tr w:rsidR="001E5473" w:rsidRPr="009D6882" w14:paraId="3B0A4466" w14:textId="77777777" w:rsidTr="001E5473">
        <w:trPr>
          <w:trHeight w:val="20"/>
        </w:trPr>
        <w:tc>
          <w:tcPr>
            <w:tcW w:w="3306" w:type="dxa"/>
            <w:tcBorders>
              <w:top w:val="nil"/>
              <w:left w:val="single" w:sz="4" w:space="0" w:color="auto"/>
              <w:bottom w:val="single" w:sz="4" w:space="0" w:color="auto"/>
              <w:right w:val="single" w:sz="4" w:space="0" w:color="auto"/>
            </w:tcBorders>
            <w:shd w:val="clear" w:color="auto" w:fill="auto"/>
            <w:noWrap/>
            <w:vAlign w:val="center"/>
            <w:hideMark/>
          </w:tcPr>
          <w:p w14:paraId="5A8FA90F" w14:textId="09A13D2F" w:rsidR="001E5473" w:rsidRPr="00ED3376" w:rsidRDefault="007F32E2" w:rsidP="001E5473">
            <w:pPr>
              <w:spacing w:beforeLines="20" w:before="48" w:afterLines="20" w:after="48"/>
              <w:ind w:firstLine="0"/>
              <w:jc w:val="left"/>
              <w:rPr>
                <w:rFonts w:eastAsia="Calibri"/>
                <w:bCs/>
                <w:sz w:val="18"/>
                <w:szCs w:val="18"/>
              </w:rPr>
            </w:pPr>
            <w:r>
              <w:rPr>
                <w:rFonts w:eastAsia="Calibri"/>
                <w:b/>
                <w:sz w:val="18"/>
                <w:szCs w:val="18"/>
              </w:rPr>
              <w:t>I</w:t>
            </w:r>
            <w:r w:rsidRPr="007F32E2">
              <w:rPr>
                <w:rFonts w:eastAsia="Calibri"/>
                <w:b/>
                <w:sz w:val="18"/>
                <w:szCs w:val="18"/>
              </w:rPr>
              <w:t>ekšzemes kopprodukta</w:t>
            </w:r>
            <w:r w:rsidR="001E5473" w:rsidRPr="009A5751">
              <w:rPr>
                <w:rFonts w:eastAsia="Calibri"/>
                <w:b/>
                <w:sz w:val="18"/>
                <w:szCs w:val="18"/>
              </w:rPr>
              <w:t xml:space="preserve"> deflators</w:t>
            </w:r>
            <w:r w:rsidR="001E5473" w:rsidRPr="00ED3376">
              <w:rPr>
                <w:rFonts w:eastAsia="Calibri"/>
                <w:bCs/>
                <w:sz w:val="18"/>
                <w:szCs w:val="18"/>
              </w:rPr>
              <w:t xml:space="preserve"> (gads pret gadu, %)</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54557BE4"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0,1</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6E7EB2B1"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3,1</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0D9A1A7A"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3,3</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6BF67CA1"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2,6</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6A18232C"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1,9</w:t>
            </w:r>
          </w:p>
        </w:tc>
      </w:tr>
      <w:tr w:rsidR="001E5473" w:rsidRPr="009D6882" w14:paraId="6F67376A" w14:textId="77777777" w:rsidTr="001E5473">
        <w:trPr>
          <w:trHeight w:val="20"/>
        </w:trPr>
        <w:tc>
          <w:tcPr>
            <w:tcW w:w="3306" w:type="dxa"/>
            <w:tcBorders>
              <w:top w:val="nil"/>
              <w:left w:val="single" w:sz="4" w:space="0" w:color="auto"/>
              <w:bottom w:val="single" w:sz="4" w:space="0" w:color="auto"/>
              <w:right w:val="single" w:sz="4" w:space="0" w:color="auto"/>
            </w:tcBorders>
            <w:shd w:val="clear" w:color="auto" w:fill="auto"/>
            <w:noWrap/>
            <w:vAlign w:val="center"/>
            <w:hideMark/>
          </w:tcPr>
          <w:p w14:paraId="13EEC8BC" w14:textId="77777777" w:rsidR="001E5473" w:rsidRPr="00ED3376" w:rsidRDefault="001E5473" w:rsidP="001E5473">
            <w:pPr>
              <w:spacing w:beforeLines="20" w:before="48" w:afterLines="20" w:after="48"/>
              <w:ind w:firstLine="0"/>
              <w:jc w:val="left"/>
              <w:rPr>
                <w:rFonts w:eastAsia="Calibri"/>
                <w:bCs/>
                <w:sz w:val="18"/>
                <w:szCs w:val="18"/>
              </w:rPr>
            </w:pPr>
            <w:r w:rsidRPr="009A5751">
              <w:rPr>
                <w:rFonts w:eastAsia="Calibri"/>
                <w:b/>
                <w:sz w:val="18"/>
                <w:szCs w:val="18"/>
              </w:rPr>
              <w:t>PCI</w:t>
            </w:r>
            <w:r w:rsidRPr="00ED3376">
              <w:rPr>
                <w:rFonts w:eastAsia="Calibri"/>
                <w:bCs/>
                <w:sz w:val="18"/>
                <w:szCs w:val="18"/>
              </w:rPr>
              <w:t xml:space="preserve"> (gads pret gadu, %)</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4A97994E"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0,2</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34E12A57"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2,0</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3D221FC0"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2,4</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6128E1EA"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2,2</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786FADB0"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2,0</w:t>
            </w:r>
          </w:p>
        </w:tc>
      </w:tr>
      <w:tr w:rsidR="001E5473" w:rsidRPr="009D6882" w14:paraId="3EA05371" w14:textId="77777777" w:rsidTr="001E5473">
        <w:trPr>
          <w:trHeight w:val="20"/>
        </w:trPr>
        <w:tc>
          <w:tcPr>
            <w:tcW w:w="3306" w:type="dxa"/>
            <w:tcBorders>
              <w:top w:val="nil"/>
              <w:left w:val="single" w:sz="4" w:space="0" w:color="auto"/>
              <w:bottom w:val="single" w:sz="4" w:space="0" w:color="auto"/>
              <w:right w:val="single" w:sz="4" w:space="0" w:color="auto"/>
            </w:tcBorders>
            <w:shd w:val="clear" w:color="auto" w:fill="auto"/>
            <w:noWrap/>
            <w:vAlign w:val="center"/>
            <w:hideMark/>
          </w:tcPr>
          <w:p w14:paraId="65C5CEB9" w14:textId="77777777" w:rsidR="001E5473" w:rsidRPr="00ED3376" w:rsidRDefault="001E5473" w:rsidP="001E5473">
            <w:pPr>
              <w:spacing w:beforeLines="20" w:before="48" w:afterLines="20" w:after="48"/>
              <w:ind w:firstLine="0"/>
              <w:jc w:val="left"/>
              <w:rPr>
                <w:rFonts w:eastAsia="Calibri"/>
                <w:bCs/>
                <w:sz w:val="18"/>
                <w:szCs w:val="18"/>
              </w:rPr>
            </w:pPr>
            <w:r w:rsidRPr="009A5751">
              <w:rPr>
                <w:rFonts w:eastAsia="Calibri"/>
                <w:b/>
                <w:sz w:val="18"/>
                <w:szCs w:val="18"/>
              </w:rPr>
              <w:t xml:space="preserve">Tautsaimniecībā nodarbināto mēn. </w:t>
            </w:r>
            <w:r w:rsidRPr="009A5751">
              <w:rPr>
                <w:rFonts w:eastAsia="Calibri"/>
                <w:b/>
                <w:sz w:val="18"/>
                <w:szCs w:val="18"/>
              </w:rPr>
              <w:br/>
              <w:t>vid. bruto darba samaksa</w:t>
            </w:r>
            <w:r w:rsidRPr="00ED3376">
              <w:rPr>
                <w:rFonts w:eastAsia="Calibri"/>
                <w:bCs/>
                <w:sz w:val="18"/>
                <w:szCs w:val="18"/>
              </w:rPr>
              <w:t xml:space="preserve"> (euro)</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70987ABA"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1 143</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24A92483"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1 234</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07EA81A5"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1 302</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4A7C586E"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1 374</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1F59445C"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1 447</w:t>
            </w:r>
          </w:p>
        </w:tc>
      </w:tr>
      <w:tr w:rsidR="001E5473" w:rsidRPr="009D6882" w14:paraId="60658FF9" w14:textId="77777777" w:rsidTr="001E5473">
        <w:trPr>
          <w:trHeight w:val="20"/>
        </w:trPr>
        <w:tc>
          <w:tcPr>
            <w:tcW w:w="3306" w:type="dxa"/>
            <w:tcBorders>
              <w:top w:val="nil"/>
              <w:left w:val="single" w:sz="4" w:space="0" w:color="auto"/>
              <w:bottom w:val="single" w:sz="4" w:space="0" w:color="auto"/>
              <w:right w:val="single" w:sz="4" w:space="0" w:color="auto"/>
            </w:tcBorders>
            <w:shd w:val="clear" w:color="auto" w:fill="auto"/>
            <w:noWrap/>
            <w:vAlign w:val="center"/>
            <w:hideMark/>
          </w:tcPr>
          <w:p w14:paraId="27ADDD9C" w14:textId="77777777" w:rsidR="001E5473" w:rsidRPr="00ED3376" w:rsidRDefault="001E5473" w:rsidP="001E5473">
            <w:pPr>
              <w:spacing w:beforeLines="20" w:before="48" w:afterLines="20" w:after="48"/>
              <w:ind w:left="720" w:firstLine="0"/>
              <w:jc w:val="left"/>
              <w:rPr>
                <w:rFonts w:eastAsia="Calibri"/>
                <w:bCs/>
                <w:sz w:val="18"/>
                <w:szCs w:val="18"/>
              </w:rPr>
            </w:pPr>
            <w:r w:rsidRPr="00ED3376">
              <w:rPr>
                <w:rFonts w:eastAsia="Calibri"/>
                <w:bCs/>
                <w:sz w:val="18"/>
                <w:szCs w:val="18"/>
              </w:rPr>
              <w:t>pieaugums faktiskajās cenās (%)</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541B6F0E"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6,2</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3B804D91"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8,0</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442C9994"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5,5</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7E0C9DCD"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5,5</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450EB5E9"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5,3</w:t>
            </w:r>
          </w:p>
        </w:tc>
      </w:tr>
      <w:tr w:rsidR="001E5473" w:rsidRPr="009D6882" w14:paraId="3D07F5E3" w14:textId="77777777" w:rsidTr="001E5473">
        <w:trPr>
          <w:trHeight w:val="20"/>
        </w:trPr>
        <w:tc>
          <w:tcPr>
            <w:tcW w:w="3306" w:type="dxa"/>
            <w:tcBorders>
              <w:top w:val="nil"/>
              <w:left w:val="single" w:sz="4" w:space="0" w:color="auto"/>
              <w:bottom w:val="single" w:sz="4" w:space="0" w:color="auto"/>
              <w:right w:val="single" w:sz="4" w:space="0" w:color="auto"/>
            </w:tcBorders>
            <w:shd w:val="clear" w:color="auto" w:fill="auto"/>
            <w:noWrap/>
            <w:vAlign w:val="center"/>
            <w:hideMark/>
          </w:tcPr>
          <w:p w14:paraId="3351259D" w14:textId="77777777" w:rsidR="001E5473" w:rsidRPr="00ED3376" w:rsidRDefault="001E5473" w:rsidP="001E5473">
            <w:pPr>
              <w:spacing w:beforeLines="20" w:before="48" w:afterLines="20" w:after="48"/>
              <w:ind w:left="720" w:firstLine="0"/>
              <w:jc w:val="left"/>
              <w:rPr>
                <w:rFonts w:eastAsia="Calibri"/>
                <w:bCs/>
                <w:sz w:val="18"/>
                <w:szCs w:val="18"/>
              </w:rPr>
            </w:pPr>
            <w:r w:rsidRPr="00ED3376">
              <w:rPr>
                <w:rFonts w:eastAsia="Calibri"/>
                <w:bCs/>
                <w:sz w:val="18"/>
                <w:szCs w:val="18"/>
              </w:rPr>
              <w:t>pieaugums salīdzināmās cenās (%)</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4B1CCFED"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6,0</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2B619369"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5,9</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5960F497"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3,0</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77942FB3"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3,2</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0AF6E6FC"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3,2</w:t>
            </w:r>
          </w:p>
        </w:tc>
      </w:tr>
      <w:tr w:rsidR="001E5473" w:rsidRPr="009D6882" w14:paraId="1A67D5CE" w14:textId="77777777" w:rsidTr="001E5473">
        <w:trPr>
          <w:trHeight w:val="20"/>
        </w:trPr>
        <w:tc>
          <w:tcPr>
            <w:tcW w:w="3306" w:type="dxa"/>
            <w:tcBorders>
              <w:top w:val="nil"/>
              <w:left w:val="single" w:sz="4" w:space="0" w:color="auto"/>
              <w:bottom w:val="single" w:sz="4" w:space="0" w:color="auto"/>
              <w:right w:val="single" w:sz="4" w:space="0" w:color="auto"/>
            </w:tcBorders>
            <w:shd w:val="clear" w:color="auto" w:fill="auto"/>
            <w:noWrap/>
            <w:vAlign w:val="center"/>
            <w:hideMark/>
          </w:tcPr>
          <w:p w14:paraId="7570E2F9" w14:textId="77777777" w:rsidR="001E5473" w:rsidRPr="00ED3376" w:rsidRDefault="001E5473" w:rsidP="001E5473">
            <w:pPr>
              <w:spacing w:beforeLines="20" w:before="48" w:afterLines="20" w:after="48"/>
              <w:ind w:firstLine="0"/>
              <w:jc w:val="left"/>
              <w:rPr>
                <w:rFonts w:eastAsia="Calibri"/>
                <w:bCs/>
                <w:sz w:val="18"/>
                <w:szCs w:val="18"/>
              </w:rPr>
            </w:pPr>
            <w:r w:rsidRPr="009A5751">
              <w:rPr>
                <w:rFonts w:eastAsia="Calibri"/>
                <w:b/>
                <w:sz w:val="18"/>
                <w:szCs w:val="18"/>
              </w:rPr>
              <w:t>Nodarbinātība</w:t>
            </w:r>
            <w:r w:rsidRPr="00ED3376">
              <w:rPr>
                <w:rFonts w:eastAsia="Calibri"/>
                <w:bCs/>
                <w:sz w:val="18"/>
                <w:szCs w:val="18"/>
              </w:rPr>
              <w:t xml:space="preserve"> (tūkst. iedzīvotāju</w:t>
            </w:r>
            <w:r w:rsidRPr="00ED3376">
              <w:rPr>
                <w:rFonts w:eastAsia="Calibri"/>
                <w:bCs/>
                <w:sz w:val="18"/>
                <w:szCs w:val="18"/>
              </w:rPr>
              <w:br/>
              <w:t>atbilstoši darbaspēka apsekojumiem)</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06C05EAD"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893</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1CFCBBD6"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880</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26BEC1EF"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893</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7F22A258"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902</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6EBB16D5"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902</w:t>
            </w:r>
          </w:p>
        </w:tc>
      </w:tr>
      <w:tr w:rsidR="001E5473" w:rsidRPr="009D6882" w14:paraId="4FF5BE15" w14:textId="77777777" w:rsidTr="001E5473">
        <w:trPr>
          <w:trHeight w:val="20"/>
        </w:trPr>
        <w:tc>
          <w:tcPr>
            <w:tcW w:w="3306" w:type="dxa"/>
            <w:tcBorders>
              <w:top w:val="nil"/>
              <w:left w:val="single" w:sz="4" w:space="0" w:color="auto"/>
              <w:bottom w:val="single" w:sz="4" w:space="0" w:color="auto"/>
              <w:right w:val="single" w:sz="4" w:space="0" w:color="auto"/>
            </w:tcBorders>
            <w:shd w:val="clear" w:color="auto" w:fill="auto"/>
            <w:noWrap/>
            <w:vAlign w:val="center"/>
            <w:hideMark/>
          </w:tcPr>
          <w:p w14:paraId="1C81ED05" w14:textId="77777777" w:rsidR="001E5473" w:rsidRPr="00ED3376" w:rsidRDefault="001E5473" w:rsidP="001E5473">
            <w:pPr>
              <w:spacing w:beforeLines="20" w:before="48" w:afterLines="20" w:after="48"/>
              <w:ind w:left="720" w:firstLine="0"/>
              <w:jc w:val="left"/>
              <w:rPr>
                <w:rFonts w:eastAsia="Calibri"/>
                <w:bCs/>
                <w:sz w:val="18"/>
                <w:szCs w:val="18"/>
              </w:rPr>
            </w:pPr>
            <w:r w:rsidRPr="00ED3376">
              <w:rPr>
                <w:rFonts w:eastAsia="Calibri"/>
                <w:bCs/>
                <w:sz w:val="18"/>
                <w:szCs w:val="18"/>
              </w:rPr>
              <w:t>pieaugums (%)</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3F6EA099"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-1,9</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1213E7E0"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-1,5</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20B32B22"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1,5</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148A7805"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1,0</w:t>
            </w:r>
          </w:p>
        </w:tc>
        <w:tc>
          <w:tcPr>
            <w:tcW w:w="998" w:type="dxa"/>
            <w:tcBorders>
              <w:top w:val="nil"/>
              <w:left w:val="nil"/>
              <w:bottom w:val="single" w:sz="4" w:space="0" w:color="auto"/>
              <w:right w:val="single" w:sz="4" w:space="0" w:color="auto"/>
            </w:tcBorders>
            <w:shd w:val="clear" w:color="auto" w:fill="auto"/>
            <w:noWrap/>
            <w:tcMar>
              <w:right w:w="170" w:type="dxa"/>
            </w:tcMar>
            <w:vAlign w:val="center"/>
          </w:tcPr>
          <w:p w14:paraId="1F2B01EE"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0,0</w:t>
            </w:r>
          </w:p>
        </w:tc>
      </w:tr>
      <w:tr w:rsidR="001E5473" w:rsidRPr="009D6882" w14:paraId="765AF1DC" w14:textId="77777777" w:rsidTr="001E5473">
        <w:trPr>
          <w:trHeight w:val="20"/>
        </w:trPr>
        <w:tc>
          <w:tcPr>
            <w:tcW w:w="33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A156E" w14:textId="77777777" w:rsidR="001E5473" w:rsidRPr="00ED3376" w:rsidRDefault="001E5473" w:rsidP="001E5473">
            <w:pPr>
              <w:spacing w:beforeLines="20" w:before="48" w:afterLines="20" w:after="48"/>
              <w:ind w:firstLine="0"/>
              <w:jc w:val="left"/>
              <w:rPr>
                <w:rFonts w:eastAsia="Calibri"/>
                <w:bCs/>
                <w:sz w:val="18"/>
                <w:szCs w:val="18"/>
              </w:rPr>
            </w:pPr>
            <w:r w:rsidRPr="009A5751">
              <w:rPr>
                <w:rFonts w:eastAsia="Calibri"/>
                <w:b/>
                <w:sz w:val="18"/>
                <w:szCs w:val="18"/>
              </w:rPr>
              <w:t>Bezdarba līmenis</w:t>
            </w:r>
            <w:r>
              <w:rPr>
                <w:rFonts w:eastAsia="Calibri"/>
                <w:bCs/>
                <w:sz w:val="18"/>
                <w:szCs w:val="18"/>
              </w:rPr>
              <w:br/>
            </w:r>
            <w:r w:rsidRPr="00ED3376">
              <w:rPr>
                <w:rFonts w:eastAsia="Calibri"/>
                <w:bCs/>
                <w:sz w:val="18"/>
                <w:szCs w:val="18"/>
              </w:rPr>
              <w:t>(gada vidējais, % no ekon. aktīviem iedzīv.)</w:t>
            </w:r>
          </w:p>
        </w:tc>
        <w:tc>
          <w:tcPr>
            <w:tcW w:w="99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4964E2B8"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8,1</w:t>
            </w:r>
          </w:p>
        </w:tc>
        <w:tc>
          <w:tcPr>
            <w:tcW w:w="99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3E5A8ACE"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7,9</w:t>
            </w:r>
          </w:p>
        </w:tc>
        <w:tc>
          <w:tcPr>
            <w:tcW w:w="99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328BD222"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7,0</w:t>
            </w:r>
          </w:p>
        </w:tc>
        <w:tc>
          <w:tcPr>
            <w:tcW w:w="99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39093F43"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6,3</w:t>
            </w:r>
          </w:p>
        </w:tc>
        <w:tc>
          <w:tcPr>
            <w:tcW w:w="998"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32CCD02C" w14:textId="77777777" w:rsidR="001E5473" w:rsidRPr="00ED3376" w:rsidRDefault="001E5473" w:rsidP="001E5473">
            <w:pPr>
              <w:spacing w:beforeLines="20" w:before="48" w:afterLines="20" w:after="48"/>
              <w:ind w:firstLine="0"/>
              <w:jc w:val="right"/>
              <w:rPr>
                <w:rFonts w:eastAsia="Calibri"/>
                <w:bCs/>
                <w:sz w:val="18"/>
                <w:szCs w:val="18"/>
              </w:rPr>
            </w:pPr>
            <w:r w:rsidRPr="00ED3376">
              <w:rPr>
                <w:rFonts w:eastAsia="Calibri"/>
                <w:bCs/>
                <w:sz w:val="18"/>
                <w:szCs w:val="18"/>
              </w:rPr>
              <w:t>5,9</w:t>
            </w:r>
          </w:p>
        </w:tc>
      </w:tr>
    </w:tbl>
    <w:p w14:paraId="19FD88E0" w14:textId="77777777" w:rsidR="001E5473" w:rsidRPr="00EF1D74" w:rsidRDefault="001E5473" w:rsidP="007F32E2">
      <w:pPr>
        <w:autoSpaceDE w:val="0"/>
        <w:autoSpaceDN w:val="0"/>
        <w:adjustRightInd w:val="0"/>
        <w:spacing w:before="240"/>
        <w:ind w:firstLine="0"/>
        <w:jc w:val="center"/>
        <w:rPr>
          <w:b/>
          <w:color w:val="000000"/>
          <w:szCs w:val="24"/>
        </w:rPr>
      </w:pPr>
      <w:r w:rsidRPr="00EF1D74">
        <w:rPr>
          <w:b/>
          <w:color w:val="000000"/>
          <w:szCs w:val="24"/>
        </w:rPr>
        <w:t>Ietekme uz vispārējās valdības budžetu</w:t>
      </w:r>
      <w:r>
        <w:rPr>
          <w:b/>
          <w:color w:val="000000"/>
          <w:szCs w:val="24"/>
        </w:rPr>
        <w:t xml:space="preserve"> un parādu</w:t>
      </w:r>
    </w:p>
    <w:p w14:paraId="2E78A7E8" w14:textId="2DA69847" w:rsidR="001E5473" w:rsidRPr="007F240E" w:rsidRDefault="001E5473" w:rsidP="001E5473">
      <w:pPr>
        <w:autoSpaceDE w:val="0"/>
        <w:autoSpaceDN w:val="0"/>
        <w:adjustRightInd w:val="0"/>
        <w:spacing w:before="120"/>
        <w:rPr>
          <w:noProof/>
          <w:color w:val="000000"/>
          <w:szCs w:val="24"/>
        </w:rPr>
      </w:pPr>
      <w:r w:rsidRPr="007F240E">
        <w:rPr>
          <w:noProof/>
          <w:color w:val="000000"/>
          <w:szCs w:val="24"/>
        </w:rPr>
        <w:t xml:space="preserve">Īstenojoties pesimistiskajam scenārijam, kopbudžeta nodokļu ieņēmumi un valsts pamatbudžeta nenodokļu ieņēmumi samazinātos par 305,6 milj. </w:t>
      </w:r>
      <w:r w:rsidRPr="007F240E">
        <w:rPr>
          <w:i/>
          <w:iCs/>
          <w:noProof/>
          <w:color w:val="000000"/>
          <w:szCs w:val="24"/>
        </w:rPr>
        <w:t>euro</w:t>
      </w:r>
      <w:r w:rsidRPr="007F240E">
        <w:rPr>
          <w:noProof/>
          <w:color w:val="000000"/>
          <w:szCs w:val="24"/>
        </w:rPr>
        <w:t xml:space="preserve"> jeb 1,1% no </w:t>
      </w:r>
      <w:r w:rsidR="007F32E2">
        <w:rPr>
          <w:rFonts w:eastAsia="Calibri"/>
        </w:rPr>
        <w:t>iekšzemes kopprodukta</w:t>
      </w:r>
      <w:r w:rsidRPr="007F240E">
        <w:rPr>
          <w:noProof/>
          <w:color w:val="000000"/>
          <w:szCs w:val="24"/>
        </w:rPr>
        <w:t xml:space="preserve"> 2022. gadā salīdzinājumā ar bāzes scenāriju. Savukārt 2023. un 2024. gadā tie būtu attiecīgi par 324,1 milj. </w:t>
      </w:r>
      <w:r w:rsidRPr="007F240E">
        <w:rPr>
          <w:i/>
          <w:iCs/>
          <w:noProof/>
          <w:color w:val="000000"/>
          <w:szCs w:val="24"/>
        </w:rPr>
        <w:t>euro</w:t>
      </w:r>
      <w:r w:rsidRPr="007F240E">
        <w:rPr>
          <w:noProof/>
          <w:color w:val="000000"/>
          <w:szCs w:val="24"/>
        </w:rPr>
        <w:t xml:space="preserve"> jeb 1,0% no </w:t>
      </w:r>
      <w:r w:rsidR="007F32E2">
        <w:rPr>
          <w:rFonts w:eastAsia="Calibri"/>
        </w:rPr>
        <w:t>iekšzemes kopprodukta</w:t>
      </w:r>
      <w:r w:rsidRPr="007F240E">
        <w:rPr>
          <w:noProof/>
          <w:color w:val="000000"/>
          <w:szCs w:val="24"/>
        </w:rPr>
        <w:t xml:space="preserve"> un 338,9 milj. </w:t>
      </w:r>
      <w:r w:rsidRPr="007F240E">
        <w:rPr>
          <w:i/>
          <w:iCs/>
          <w:noProof/>
          <w:color w:val="000000"/>
          <w:szCs w:val="24"/>
        </w:rPr>
        <w:t>euro</w:t>
      </w:r>
      <w:r w:rsidRPr="007F240E">
        <w:rPr>
          <w:noProof/>
          <w:color w:val="000000"/>
          <w:szCs w:val="24"/>
        </w:rPr>
        <w:t xml:space="preserve"> jeb 1,0% no </w:t>
      </w:r>
      <w:r w:rsidR="007F32E2">
        <w:rPr>
          <w:rFonts w:eastAsia="Calibri"/>
        </w:rPr>
        <w:t>iekšzemes kopprodukta</w:t>
      </w:r>
      <w:r w:rsidRPr="007F240E">
        <w:rPr>
          <w:noProof/>
          <w:color w:val="000000"/>
          <w:szCs w:val="24"/>
        </w:rPr>
        <w:t xml:space="preserve"> zemāki nekā bāzes scenārijā.</w:t>
      </w:r>
    </w:p>
    <w:p w14:paraId="65CE4167" w14:textId="77777777" w:rsidR="001E5473" w:rsidRPr="007F240E" w:rsidRDefault="001E5473" w:rsidP="001E5473">
      <w:pPr>
        <w:autoSpaceDE w:val="0"/>
        <w:autoSpaceDN w:val="0"/>
        <w:adjustRightInd w:val="0"/>
        <w:spacing w:before="120"/>
        <w:rPr>
          <w:noProof/>
          <w:color w:val="000000"/>
          <w:szCs w:val="24"/>
        </w:rPr>
      </w:pPr>
      <w:r w:rsidRPr="007F240E">
        <w:rPr>
          <w:noProof/>
          <w:color w:val="000000"/>
          <w:szCs w:val="24"/>
        </w:rPr>
        <w:t>Izpildoties pesimistiskajam scenārijam, vairāk nekā puse no kopbudžeta ieņēmum</w:t>
      </w:r>
      <w:r>
        <w:rPr>
          <w:noProof/>
          <w:color w:val="000000"/>
          <w:szCs w:val="24"/>
        </w:rPr>
        <w:t>u</w:t>
      </w:r>
      <w:r w:rsidRPr="007F240E">
        <w:rPr>
          <w:noProof/>
          <w:color w:val="000000"/>
          <w:szCs w:val="24"/>
        </w:rPr>
        <w:t xml:space="preserve"> samazinājuma būtu attiecināma uz valsts pamatbudžetu. Pie šāda scenārija, samazinoties nodokļu ieņēmumiem, pasliktinātos valsts budžeta finansiālā bilance, kā rezultātā palielinātos kopējā finansēšanas nepieciešamība un attiecīgi arī aizņemšanās apjoms attiecīgajā periodā, salīdzinot ar bāzes scenāriju. Lielāks aizņemšanās apjoms izraisītu palielinājumu procentu izdevumos. Pesimistiskā scenārija gadījumā procentu izdevumi 2022. gadā palielinātos par 0,3</w:t>
      </w:r>
      <w:r>
        <w:rPr>
          <w:noProof/>
          <w:color w:val="000000"/>
          <w:szCs w:val="24"/>
        </w:rPr>
        <w:t> </w:t>
      </w:r>
      <w:r w:rsidRPr="007F240E">
        <w:rPr>
          <w:noProof/>
          <w:color w:val="000000"/>
          <w:szCs w:val="24"/>
        </w:rPr>
        <w:t xml:space="preserve">milj. </w:t>
      </w:r>
      <w:r w:rsidRPr="007F240E">
        <w:rPr>
          <w:i/>
          <w:noProof/>
          <w:color w:val="000000"/>
          <w:szCs w:val="24"/>
        </w:rPr>
        <w:t>euro</w:t>
      </w:r>
      <w:r w:rsidRPr="007F240E">
        <w:rPr>
          <w:noProof/>
          <w:color w:val="000000"/>
          <w:szCs w:val="24"/>
        </w:rPr>
        <w:t>, 2023. gadā izdevumi būtu par 2,7</w:t>
      </w:r>
      <w:r>
        <w:rPr>
          <w:noProof/>
          <w:color w:val="000000"/>
          <w:szCs w:val="24"/>
        </w:rPr>
        <w:t> </w:t>
      </w:r>
      <w:r w:rsidRPr="007F240E">
        <w:rPr>
          <w:noProof/>
          <w:color w:val="000000"/>
          <w:szCs w:val="24"/>
        </w:rPr>
        <w:t xml:space="preserve">milj. </w:t>
      </w:r>
      <w:r w:rsidRPr="007F240E">
        <w:rPr>
          <w:i/>
          <w:noProof/>
          <w:color w:val="000000"/>
          <w:szCs w:val="24"/>
        </w:rPr>
        <w:t>euro</w:t>
      </w:r>
      <w:r w:rsidRPr="007F240E">
        <w:rPr>
          <w:noProof/>
          <w:color w:val="000000"/>
          <w:szCs w:val="24"/>
        </w:rPr>
        <w:t xml:space="preserve"> un 2024. gadā par 5,7</w:t>
      </w:r>
      <w:r>
        <w:rPr>
          <w:noProof/>
          <w:color w:val="000000"/>
          <w:szCs w:val="24"/>
        </w:rPr>
        <w:t> </w:t>
      </w:r>
      <w:r w:rsidRPr="007F240E">
        <w:rPr>
          <w:noProof/>
          <w:color w:val="000000"/>
          <w:szCs w:val="24"/>
        </w:rPr>
        <w:t xml:space="preserve">milj. </w:t>
      </w:r>
      <w:r w:rsidRPr="007F240E">
        <w:rPr>
          <w:i/>
          <w:noProof/>
          <w:color w:val="000000"/>
          <w:szCs w:val="24"/>
        </w:rPr>
        <w:t>euro</w:t>
      </w:r>
      <w:r w:rsidRPr="007F240E">
        <w:rPr>
          <w:noProof/>
          <w:color w:val="000000"/>
          <w:szCs w:val="24"/>
        </w:rPr>
        <w:t xml:space="preserve"> lielāki nekā bāzes scenārijā.</w:t>
      </w:r>
    </w:p>
    <w:p w14:paraId="34AFE941" w14:textId="3D29FB4D" w:rsidR="001E5473" w:rsidRPr="00EF1D74" w:rsidRDefault="001E5473" w:rsidP="001E5473">
      <w:pPr>
        <w:autoSpaceDE w:val="0"/>
        <w:autoSpaceDN w:val="0"/>
        <w:adjustRightInd w:val="0"/>
        <w:spacing w:before="120"/>
        <w:rPr>
          <w:noProof/>
          <w:color w:val="000000"/>
          <w:szCs w:val="24"/>
        </w:rPr>
      </w:pPr>
      <w:r w:rsidRPr="007F240E">
        <w:rPr>
          <w:noProof/>
          <w:color w:val="000000"/>
          <w:szCs w:val="24"/>
        </w:rPr>
        <w:t>Vispārējās valdības budžeta bilance pesimistiskajā scenārijā 2022.</w:t>
      </w:r>
      <w:r>
        <w:rPr>
          <w:noProof/>
          <w:color w:val="000000"/>
          <w:szCs w:val="24"/>
        </w:rPr>
        <w:t> </w:t>
      </w:r>
      <w:r w:rsidRPr="007F240E">
        <w:rPr>
          <w:noProof/>
          <w:color w:val="000000"/>
          <w:szCs w:val="24"/>
        </w:rPr>
        <w:t xml:space="preserve">gadā pasliktinātos līdz 5,8% deficītam no </w:t>
      </w:r>
      <w:r w:rsidR="007F32E2">
        <w:rPr>
          <w:rFonts w:eastAsia="Calibri"/>
        </w:rPr>
        <w:t>iekšzemes kopprodukta</w:t>
      </w:r>
      <w:r w:rsidRPr="007F240E">
        <w:rPr>
          <w:noProof/>
          <w:color w:val="000000"/>
          <w:szCs w:val="24"/>
        </w:rPr>
        <w:t xml:space="preserve"> jeb par 305,9 milj. </w:t>
      </w:r>
      <w:r w:rsidRPr="007F240E">
        <w:rPr>
          <w:i/>
          <w:noProof/>
          <w:color w:val="000000"/>
          <w:szCs w:val="24"/>
        </w:rPr>
        <w:t>euro</w:t>
      </w:r>
      <w:r w:rsidRPr="007F240E">
        <w:rPr>
          <w:noProof/>
          <w:color w:val="000000"/>
          <w:szCs w:val="24"/>
        </w:rPr>
        <w:t xml:space="preserve">. 2023. un 2024. gadā bilance pasliktinātos attiecīgi par 326,7 milj. </w:t>
      </w:r>
      <w:r w:rsidRPr="007F240E">
        <w:rPr>
          <w:i/>
          <w:noProof/>
          <w:color w:val="000000"/>
          <w:szCs w:val="24"/>
        </w:rPr>
        <w:t>euro</w:t>
      </w:r>
      <w:r w:rsidRPr="007F240E">
        <w:rPr>
          <w:noProof/>
          <w:color w:val="000000"/>
          <w:szCs w:val="24"/>
        </w:rPr>
        <w:t xml:space="preserve"> un 344,6 milj. </w:t>
      </w:r>
      <w:r w:rsidRPr="007F240E">
        <w:rPr>
          <w:i/>
          <w:noProof/>
          <w:color w:val="000000"/>
          <w:szCs w:val="24"/>
        </w:rPr>
        <w:t>euro</w:t>
      </w:r>
      <w:r>
        <w:rPr>
          <w:iCs/>
          <w:noProof/>
          <w:color w:val="000000"/>
          <w:szCs w:val="24"/>
        </w:rPr>
        <w:t>,</w:t>
      </w:r>
      <w:r w:rsidRPr="007F240E">
        <w:rPr>
          <w:noProof/>
          <w:color w:val="000000"/>
          <w:szCs w:val="24"/>
        </w:rPr>
        <w:t xml:space="preserve"> un vispārējās valdības budžetā veidotos 3,1% no </w:t>
      </w:r>
      <w:r w:rsidR="007F32E2">
        <w:rPr>
          <w:rFonts w:eastAsia="Calibri"/>
        </w:rPr>
        <w:t>iekšzemes kopprodukta</w:t>
      </w:r>
      <w:r w:rsidRPr="007F240E">
        <w:rPr>
          <w:noProof/>
          <w:color w:val="000000"/>
          <w:szCs w:val="24"/>
        </w:rPr>
        <w:t xml:space="preserve"> deficīts 2023. gadā un 2,2% no </w:t>
      </w:r>
      <w:r w:rsidR="007F32E2">
        <w:rPr>
          <w:rFonts w:eastAsia="Calibri"/>
        </w:rPr>
        <w:t>iekšzemes kopprodukta</w:t>
      </w:r>
      <w:r w:rsidRPr="007F240E">
        <w:rPr>
          <w:noProof/>
          <w:color w:val="000000"/>
          <w:szCs w:val="24"/>
        </w:rPr>
        <w:t xml:space="preserve"> deficīts 2024. gadā.</w:t>
      </w:r>
      <w:r w:rsidRPr="00EF1D74">
        <w:rPr>
          <w:noProof/>
          <w:color w:val="000000"/>
          <w:szCs w:val="24"/>
        </w:rPr>
        <w:t xml:space="preserve"> </w:t>
      </w:r>
    </w:p>
    <w:p w14:paraId="5B943E79" w14:textId="77777777" w:rsidR="001E5473" w:rsidRDefault="001E5473" w:rsidP="001E5473">
      <w:pPr>
        <w:spacing w:after="0"/>
        <w:ind w:firstLine="0"/>
        <w:jc w:val="left"/>
        <w:rPr>
          <w:rFonts w:eastAsia="Calibri"/>
          <w:b/>
          <w:i/>
          <w:szCs w:val="24"/>
        </w:rPr>
      </w:pPr>
      <w:r>
        <w:rPr>
          <w:rFonts w:eastAsia="Calibri"/>
          <w:b/>
          <w:i/>
          <w:szCs w:val="24"/>
        </w:rPr>
        <w:br w:type="page"/>
      </w:r>
    </w:p>
    <w:p w14:paraId="612D9C52" w14:textId="77777777" w:rsidR="001E5473" w:rsidRPr="007F32E2" w:rsidRDefault="001E5473" w:rsidP="007F32E2">
      <w:pPr>
        <w:keepNext/>
        <w:spacing w:before="240"/>
        <w:ind w:firstLine="0"/>
        <w:jc w:val="right"/>
        <w:rPr>
          <w:rFonts w:eastAsia="Calibri"/>
          <w:b/>
          <w:i/>
          <w:noProof/>
          <w:szCs w:val="24"/>
        </w:rPr>
      </w:pPr>
      <w:r w:rsidRPr="007F32E2">
        <w:rPr>
          <w:rFonts w:eastAsia="Calibri"/>
          <w:b/>
          <w:i/>
          <w:szCs w:val="24"/>
        </w:rPr>
        <w:lastRenderedPageBreak/>
        <w:t xml:space="preserve">1.11. tabula. Pesimistiskā scenārija ietekme uz vispārējās valdības budžetu, </w:t>
      </w:r>
      <w:r w:rsidRPr="007F32E2">
        <w:rPr>
          <w:rFonts w:eastAsia="Calibri"/>
          <w:b/>
          <w:i/>
          <w:noProof/>
          <w:szCs w:val="24"/>
        </w:rPr>
        <w:t>milj. euro</w:t>
      </w:r>
    </w:p>
    <w:tbl>
      <w:tblPr>
        <w:tblW w:w="9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2"/>
        <w:gridCol w:w="848"/>
        <w:gridCol w:w="847"/>
        <w:gridCol w:w="848"/>
        <w:gridCol w:w="847"/>
        <w:gridCol w:w="706"/>
        <w:gridCol w:w="706"/>
        <w:gridCol w:w="705"/>
        <w:gridCol w:w="631"/>
        <w:gridCol w:w="15"/>
      </w:tblGrid>
      <w:tr w:rsidR="001E5473" w:rsidRPr="00EF1D74" w14:paraId="2F9E2ADF" w14:textId="77777777" w:rsidTr="001E5473">
        <w:trPr>
          <w:trHeight w:val="257"/>
          <w:tblHeader/>
          <w:jc w:val="center"/>
        </w:trPr>
        <w:tc>
          <w:tcPr>
            <w:tcW w:w="2962" w:type="dxa"/>
            <w:shd w:val="clear" w:color="auto" w:fill="D5DCE4" w:themeFill="text2" w:themeFillTint="33"/>
            <w:vAlign w:val="center"/>
            <w:hideMark/>
          </w:tcPr>
          <w:p w14:paraId="2DD2D300" w14:textId="77777777" w:rsidR="001E5473" w:rsidRPr="00EF1D74" w:rsidRDefault="001E5473" w:rsidP="001E5473">
            <w:pPr>
              <w:spacing w:after="0"/>
              <w:ind w:firstLine="0"/>
              <w:jc w:val="left"/>
              <w:rPr>
                <w:sz w:val="18"/>
                <w:szCs w:val="18"/>
              </w:rPr>
            </w:pPr>
          </w:p>
        </w:tc>
        <w:tc>
          <w:tcPr>
            <w:tcW w:w="3390" w:type="dxa"/>
            <w:gridSpan w:val="4"/>
            <w:shd w:val="clear" w:color="auto" w:fill="D5DCE4" w:themeFill="text2" w:themeFillTint="33"/>
            <w:vAlign w:val="center"/>
          </w:tcPr>
          <w:p w14:paraId="0BF57F58" w14:textId="77777777" w:rsidR="001E5473" w:rsidRPr="00EF1D74" w:rsidRDefault="001E5473" w:rsidP="001E5473">
            <w:pPr>
              <w:spacing w:after="0"/>
              <w:ind w:firstLine="0"/>
              <w:jc w:val="center"/>
              <w:rPr>
                <w:b/>
                <w:sz w:val="18"/>
                <w:szCs w:val="18"/>
              </w:rPr>
            </w:pPr>
            <w:r w:rsidRPr="00EF1D74">
              <w:rPr>
                <w:b/>
                <w:sz w:val="18"/>
                <w:szCs w:val="18"/>
              </w:rPr>
              <w:t>Pesimistiskais scenārijs</w:t>
            </w:r>
          </w:p>
        </w:tc>
        <w:tc>
          <w:tcPr>
            <w:tcW w:w="2763" w:type="dxa"/>
            <w:gridSpan w:val="5"/>
            <w:shd w:val="clear" w:color="auto" w:fill="D5DCE4" w:themeFill="text2" w:themeFillTint="33"/>
            <w:vAlign w:val="center"/>
          </w:tcPr>
          <w:p w14:paraId="64230C5D" w14:textId="77777777" w:rsidR="001E5473" w:rsidRPr="00EF1D74" w:rsidRDefault="001E5473" w:rsidP="001E5473">
            <w:pPr>
              <w:spacing w:after="0"/>
              <w:ind w:firstLine="0"/>
              <w:jc w:val="center"/>
              <w:rPr>
                <w:b/>
                <w:sz w:val="18"/>
                <w:szCs w:val="18"/>
              </w:rPr>
            </w:pPr>
            <w:r w:rsidRPr="00EF1D74">
              <w:rPr>
                <w:b/>
                <w:sz w:val="18"/>
                <w:szCs w:val="18"/>
              </w:rPr>
              <w:t>Novirze no bāzes scenārija</w:t>
            </w:r>
          </w:p>
        </w:tc>
      </w:tr>
      <w:tr w:rsidR="001E5473" w:rsidRPr="00EF1D74" w14:paraId="7141EFE4" w14:textId="77777777" w:rsidTr="001E5473">
        <w:trPr>
          <w:gridAfter w:val="1"/>
          <w:wAfter w:w="15" w:type="dxa"/>
          <w:trHeight w:val="221"/>
          <w:jc w:val="center"/>
        </w:trPr>
        <w:tc>
          <w:tcPr>
            <w:tcW w:w="2962" w:type="dxa"/>
            <w:shd w:val="clear" w:color="auto" w:fill="D5DCE4" w:themeFill="text2" w:themeFillTint="33"/>
            <w:vAlign w:val="center"/>
            <w:hideMark/>
          </w:tcPr>
          <w:p w14:paraId="61DF73BE" w14:textId="77777777" w:rsidR="001E5473" w:rsidRPr="00EF1D74" w:rsidRDefault="001E5473" w:rsidP="001E5473">
            <w:pPr>
              <w:spacing w:after="0"/>
              <w:ind w:firstLine="0"/>
              <w:jc w:val="left"/>
              <w:rPr>
                <w:sz w:val="18"/>
                <w:szCs w:val="18"/>
              </w:rPr>
            </w:pPr>
          </w:p>
        </w:tc>
        <w:tc>
          <w:tcPr>
            <w:tcW w:w="848" w:type="dxa"/>
            <w:shd w:val="clear" w:color="auto" w:fill="D5DCE4" w:themeFill="text2" w:themeFillTint="33"/>
            <w:tcMar>
              <w:left w:w="57" w:type="dxa"/>
              <w:right w:w="57" w:type="dxa"/>
            </w:tcMar>
            <w:vAlign w:val="center"/>
          </w:tcPr>
          <w:p w14:paraId="54682BD8" w14:textId="77777777" w:rsidR="001E5473" w:rsidRPr="00EF1D74" w:rsidRDefault="001E5473" w:rsidP="001E5473">
            <w:pPr>
              <w:spacing w:after="0"/>
              <w:ind w:firstLine="0"/>
              <w:jc w:val="center"/>
              <w:rPr>
                <w:b/>
                <w:sz w:val="18"/>
                <w:szCs w:val="18"/>
              </w:rPr>
            </w:pPr>
            <w:r w:rsidRPr="00EF1D74">
              <w:rPr>
                <w:b/>
                <w:sz w:val="18"/>
                <w:szCs w:val="18"/>
              </w:rPr>
              <w:t>202</w:t>
            </w:r>
            <w:r>
              <w:rPr>
                <w:b/>
                <w:sz w:val="18"/>
                <w:szCs w:val="18"/>
              </w:rPr>
              <w:t>1</w:t>
            </w:r>
          </w:p>
        </w:tc>
        <w:tc>
          <w:tcPr>
            <w:tcW w:w="847" w:type="dxa"/>
            <w:shd w:val="clear" w:color="auto" w:fill="D5DCE4" w:themeFill="text2" w:themeFillTint="33"/>
            <w:tcMar>
              <w:left w:w="57" w:type="dxa"/>
              <w:right w:w="57" w:type="dxa"/>
            </w:tcMar>
            <w:vAlign w:val="center"/>
          </w:tcPr>
          <w:p w14:paraId="3B66E5EB" w14:textId="77777777" w:rsidR="001E5473" w:rsidRPr="00EF1D74" w:rsidRDefault="001E5473" w:rsidP="001E5473">
            <w:pPr>
              <w:spacing w:after="0"/>
              <w:ind w:firstLine="0"/>
              <w:jc w:val="center"/>
              <w:rPr>
                <w:b/>
                <w:sz w:val="18"/>
                <w:szCs w:val="18"/>
              </w:rPr>
            </w:pPr>
            <w:r w:rsidRPr="00EF1D74">
              <w:rPr>
                <w:b/>
                <w:sz w:val="18"/>
                <w:szCs w:val="18"/>
              </w:rPr>
              <w:t>202</w:t>
            </w:r>
            <w:r>
              <w:rPr>
                <w:b/>
                <w:sz w:val="18"/>
                <w:szCs w:val="18"/>
              </w:rPr>
              <w:t>2</w:t>
            </w:r>
          </w:p>
        </w:tc>
        <w:tc>
          <w:tcPr>
            <w:tcW w:w="848" w:type="dxa"/>
            <w:shd w:val="clear" w:color="auto" w:fill="D5DCE4" w:themeFill="text2" w:themeFillTint="33"/>
            <w:tcMar>
              <w:left w:w="57" w:type="dxa"/>
              <w:right w:w="57" w:type="dxa"/>
            </w:tcMar>
            <w:vAlign w:val="center"/>
          </w:tcPr>
          <w:p w14:paraId="758F4A26" w14:textId="77777777" w:rsidR="001E5473" w:rsidRPr="00EF1D74" w:rsidRDefault="001E5473" w:rsidP="001E5473">
            <w:pPr>
              <w:spacing w:after="0"/>
              <w:ind w:firstLine="0"/>
              <w:jc w:val="center"/>
              <w:rPr>
                <w:b/>
                <w:sz w:val="18"/>
                <w:szCs w:val="18"/>
              </w:rPr>
            </w:pPr>
            <w:r w:rsidRPr="00EF1D74">
              <w:rPr>
                <w:b/>
                <w:sz w:val="18"/>
                <w:szCs w:val="18"/>
              </w:rPr>
              <w:t>202</w:t>
            </w:r>
            <w:r>
              <w:rPr>
                <w:b/>
                <w:sz w:val="18"/>
                <w:szCs w:val="18"/>
              </w:rPr>
              <w:t>3</w:t>
            </w:r>
          </w:p>
        </w:tc>
        <w:tc>
          <w:tcPr>
            <w:tcW w:w="847" w:type="dxa"/>
            <w:shd w:val="clear" w:color="auto" w:fill="D5DCE4" w:themeFill="text2" w:themeFillTint="33"/>
            <w:tcMar>
              <w:left w:w="57" w:type="dxa"/>
              <w:right w:w="57" w:type="dxa"/>
            </w:tcMar>
            <w:vAlign w:val="center"/>
          </w:tcPr>
          <w:p w14:paraId="151C9595" w14:textId="77777777" w:rsidR="001E5473" w:rsidRPr="00EF1D74" w:rsidRDefault="001E5473" w:rsidP="001E5473">
            <w:pPr>
              <w:spacing w:after="0"/>
              <w:ind w:firstLine="0"/>
              <w:jc w:val="center"/>
              <w:rPr>
                <w:b/>
                <w:sz w:val="18"/>
                <w:szCs w:val="18"/>
              </w:rPr>
            </w:pPr>
            <w:r w:rsidRPr="00EF1D74">
              <w:rPr>
                <w:b/>
                <w:sz w:val="18"/>
                <w:szCs w:val="18"/>
              </w:rPr>
              <w:t>202</w:t>
            </w:r>
            <w:r>
              <w:rPr>
                <w:b/>
                <w:sz w:val="18"/>
                <w:szCs w:val="18"/>
              </w:rPr>
              <w:t>4</w:t>
            </w:r>
          </w:p>
        </w:tc>
        <w:tc>
          <w:tcPr>
            <w:tcW w:w="706" w:type="dxa"/>
            <w:shd w:val="clear" w:color="auto" w:fill="D5DCE4" w:themeFill="text2" w:themeFillTint="33"/>
            <w:tcMar>
              <w:left w:w="57" w:type="dxa"/>
              <w:right w:w="57" w:type="dxa"/>
            </w:tcMar>
            <w:vAlign w:val="center"/>
            <w:hideMark/>
          </w:tcPr>
          <w:p w14:paraId="04A33FB0" w14:textId="77777777" w:rsidR="001E5473" w:rsidRPr="00EF1D74" w:rsidRDefault="001E5473" w:rsidP="001E5473">
            <w:pPr>
              <w:spacing w:after="0"/>
              <w:ind w:firstLine="0"/>
              <w:jc w:val="center"/>
              <w:rPr>
                <w:b/>
                <w:sz w:val="18"/>
                <w:szCs w:val="18"/>
              </w:rPr>
            </w:pPr>
            <w:r w:rsidRPr="00EF1D74">
              <w:rPr>
                <w:b/>
                <w:sz w:val="18"/>
                <w:szCs w:val="18"/>
              </w:rPr>
              <w:t>202</w:t>
            </w:r>
            <w:r>
              <w:rPr>
                <w:b/>
                <w:sz w:val="18"/>
                <w:szCs w:val="18"/>
              </w:rPr>
              <w:t>1</w:t>
            </w:r>
          </w:p>
        </w:tc>
        <w:tc>
          <w:tcPr>
            <w:tcW w:w="706" w:type="dxa"/>
            <w:shd w:val="clear" w:color="auto" w:fill="D5DCE4" w:themeFill="text2" w:themeFillTint="33"/>
            <w:tcMar>
              <w:left w:w="57" w:type="dxa"/>
              <w:right w:w="57" w:type="dxa"/>
            </w:tcMar>
            <w:vAlign w:val="center"/>
            <w:hideMark/>
          </w:tcPr>
          <w:p w14:paraId="05CEEC27" w14:textId="77777777" w:rsidR="001E5473" w:rsidRPr="00EF1D74" w:rsidRDefault="001E5473" w:rsidP="001E5473">
            <w:pPr>
              <w:spacing w:after="0"/>
              <w:ind w:firstLine="0"/>
              <w:jc w:val="center"/>
              <w:rPr>
                <w:b/>
                <w:sz w:val="18"/>
                <w:szCs w:val="18"/>
              </w:rPr>
            </w:pPr>
            <w:r w:rsidRPr="00EF1D74">
              <w:rPr>
                <w:b/>
                <w:sz w:val="18"/>
                <w:szCs w:val="18"/>
              </w:rPr>
              <w:t>202</w:t>
            </w:r>
            <w:r>
              <w:rPr>
                <w:b/>
                <w:sz w:val="18"/>
                <w:szCs w:val="18"/>
              </w:rPr>
              <w:t>2</w:t>
            </w:r>
          </w:p>
        </w:tc>
        <w:tc>
          <w:tcPr>
            <w:tcW w:w="705" w:type="dxa"/>
            <w:shd w:val="clear" w:color="auto" w:fill="D5DCE4" w:themeFill="text2" w:themeFillTint="33"/>
            <w:tcMar>
              <w:left w:w="57" w:type="dxa"/>
              <w:right w:w="57" w:type="dxa"/>
            </w:tcMar>
            <w:vAlign w:val="center"/>
          </w:tcPr>
          <w:p w14:paraId="6E4643E5" w14:textId="77777777" w:rsidR="001E5473" w:rsidRPr="00EF1D74" w:rsidRDefault="001E5473" w:rsidP="001E5473">
            <w:pPr>
              <w:spacing w:after="0"/>
              <w:ind w:firstLine="0"/>
              <w:jc w:val="center"/>
              <w:rPr>
                <w:b/>
                <w:sz w:val="18"/>
                <w:szCs w:val="18"/>
              </w:rPr>
            </w:pPr>
            <w:r w:rsidRPr="00EF1D74">
              <w:rPr>
                <w:b/>
                <w:sz w:val="18"/>
                <w:szCs w:val="18"/>
              </w:rPr>
              <w:t>202</w:t>
            </w:r>
            <w:r>
              <w:rPr>
                <w:b/>
                <w:sz w:val="18"/>
                <w:szCs w:val="18"/>
              </w:rPr>
              <w:t>3</w:t>
            </w:r>
          </w:p>
        </w:tc>
        <w:tc>
          <w:tcPr>
            <w:tcW w:w="631" w:type="dxa"/>
            <w:shd w:val="clear" w:color="auto" w:fill="D5DCE4" w:themeFill="text2" w:themeFillTint="33"/>
            <w:tcMar>
              <w:left w:w="57" w:type="dxa"/>
              <w:right w:w="57" w:type="dxa"/>
            </w:tcMar>
            <w:vAlign w:val="center"/>
            <w:hideMark/>
          </w:tcPr>
          <w:p w14:paraId="18A79D15" w14:textId="77777777" w:rsidR="001E5473" w:rsidRPr="00EF1D74" w:rsidRDefault="001E5473" w:rsidP="001E5473">
            <w:pPr>
              <w:spacing w:after="0"/>
              <w:ind w:firstLine="0"/>
              <w:jc w:val="center"/>
              <w:rPr>
                <w:b/>
                <w:sz w:val="18"/>
                <w:szCs w:val="18"/>
              </w:rPr>
            </w:pPr>
            <w:r w:rsidRPr="00EF1D74">
              <w:rPr>
                <w:b/>
                <w:sz w:val="18"/>
                <w:szCs w:val="18"/>
              </w:rPr>
              <w:t>202</w:t>
            </w:r>
            <w:r>
              <w:rPr>
                <w:b/>
                <w:sz w:val="18"/>
                <w:szCs w:val="18"/>
              </w:rPr>
              <w:t>4</w:t>
            </w:r>
          </w:p>
        </w:tc>
      </w:tr>
      <w:tr w:rsidR="001E5473" w:rsidRPr="00EF1D74" w14:paraId="44F26DA3" w14:textId="77777777" w:rsidTr="001E5473">
        <w:trPr>
          <w:gridAfter w:val="1"/>
          <w:wAfter w:w="15" w:type="dxa"/>
          <w:trHeight w:val="367"/>
          <w:jc w:val="center"/>
        </w:trPr>
        <w:tc>
          <w:tcPr>
            <w:tcW w:w="2962" w:type="dxa"/>
            <w:shd w:val="clear" w:color="auto" w:fill="auto"/>
            <w:vAlign w:val="center"/>
          </w:tcPr>
          <w:p w14:paraId="099CDFB0" w14:textId="7127F544" w:rsidR="001E5473" w:rsidRPr="00EF1D74" w:rsidRDefault="001E5473" w:rsidP="001E5473">
            <w:pPr>
              <w:spacing w:after="0"/>
              <w:ind w:firstLine="0"/>
              <w:jc w:val="left"/>
              <w:rPr>
                <w:b/>
                <w:sz w:val="18"/>
                <w:szCs w:val="18"/>
              </w:rPr>
            </w:pPr>
            <w:r w:rsidRPr="00EF1D74">
              <w:rPr>
                <w:b/>
                <w:sz w:val="18"/>
                <w:szCs w:val="18"/>
              </w:rPr>
              <w:t>Vispārējās valdības budžeta bilance</w:t>
            </w:r>
            <w:r w:rsidRPr="00EF1D74">
              <w:rPr>
                <w:b/>
                <w:sz w:val="18"/>
                <w:szCs w:val="18"/>
                <w:vertAlign w:val="superscript"/>
              </w:rPr>
              <w:footnoteReference w:id="8"/>
            </w:r>
            <w:r w:rsidR="007F32E2">
              <w:rPr>
                <w:b/>
                <w:sz w:val="18"/>
                <w:szCs w:val="18"/>
              </w:rPr>
              <w:t xml:space="preserve">, % no </w:t>
            </w:r>
            <w:r w:rsidR="007F32E2" w:rsidRPr="007F32E2">
              <w:rPr>
                <w:b/>
                <w:sz w:val="18"/>
                <w:szCs w:val="18"/>
              </w:rPr>
              <w:t>iekšzemes kopprodukta</w:t>
            </w:r>
          </w:p>
        </w:tc>
        <w:tc>
          <w:tcPr>
            <w:tcW w:w="848" w:type="dxa"/>
            <w:shd w:val="clear" w:color="auto" w:fill="auto"/>
            <w:tcMar>
              <w:left w:w="57" w:type="dxa"/>
              <w:right w:w="57" w:type="dxa"/>
            </w:tcMar>
            <w:vAlign w:val="center"/>
          </w:tcPr>
          <w:p w14:paraId="623E1F1A" w14:textId="77777777" w:rsidR="001E5473" w:rsidRPr="00E523E6" w:rsidRDefault="001E5473" w:rsidP="001E5473">
            <w:pPr>
              <w:spacing w:after="0"/>
              <w:ind w:firstLine="0"/>
              <w:jc w:val="right"/>
              <w:rPr>
                <w:b/>
                <w:sz w:val="18"/>
                <w:szCs w:val="18"/>
              </w:rPr>
            </w:pPr>
            <w:r w:rsidRPr="00E523E6">
              <w:rPr>
                <w:b/>
                <w:sz w:val="18"/>
                <w:szCs w:val="18"/>
              </w:rPr>
              <w:t>-9,6</w:t>
            </w:r>
          </w:p>
        </w:tc>
        <w:tc>
          <w:tcPr>
            <w:tcW w:w="847" w:type="dxa"/>
            <w:shd w:val="clear" w:color="auto" w:fill="auto"/>
            <w:tcMar>
              <w:left w:w="57" w:type="dxa"/>
              <w:right w:w="57" w:type="dxa"/>
            </w:tcMar>
            <w:vAlign w:val="center"/>
          </w:tcPr>
          <w:p w14:paraId="043C232F" w14:textId="77777777" w:rsidR="001E5473" w:rsidRPr="00E523E6" w:rsidRDefault="001E5473" w:rsidP="001E5473">
            <w:pPr>
              <w:spacing w:after="0"/>
              <w:ind w:firstLine="0"/>
              <w:jc w:val="right"/>
              <w:rPr>
                <w:b/>
                <w:sz w:val="18"/>
                <w:szCs w:val="18"/>
              </w:rPr>
            </w:pPr>
            <w:r w:rsidRPr="00E523E6">
              <w:rPr>
                <w:b/>
                <w:sz w:val="18"/>
                <w:szCs w:val="18"/>
              </w:rPr>
              <w:t>-5,8</w:t>
            </w:r>
          </w:p>
        </w:tc>
        <w:tc>
          <w:tcPr>
            <w:tcW w:w="848" w:type="dxa"/>
            <w:shd w:val="clear" w:color="auto" w:fill="auto"/>
            <w:tcMar>
              <w:left w:w="57" w:type="dxa"/>
              <w:right w:w="57" w:type="dxa"/>
            </w:tcMar>
            <w:vAlign w:val="center"/>
          </w:tcPr>
          <w:p w14:paraId="121E636C" w14:textId="77777777" w:rsidR="001E5473" w:rsidRPr="00E523E6" w:rsidRDefault="001E5473" w:rsidP="001E5473">
            <w:pPr>
              <w:spacing w:after="0"/>
              <w:ind w:firstLine="0"/>
              <w:jc w:val="right"/>
              <w:rPr>
                <w:b/>
                <w:sz w:val="18"/>
                <w:szCs w:val="18"/>
              </w:rPr>
            </w:pPr>
            <w:r w:rsidRPr="00E523E6">
              <w:rPr>
                <w:b/>
                <w:sz w:val="18"/>
                <w:szCs w:val="18"/>
              </w:rPr>
              <w:t>-3,1</w:t>
            </w:r>
          </w:p>
        </w:tc>
        <w:tc>
          <w:tcPr>
            <w:tcW w:w="847" w:type="dxa"/>
            <w:shd w:val="clear" w:color="auto" w:fill="auto"/>
            <w:tcMar>
              <w:left w:w="57" w:type="dxa"/>
              <w:right w:w="57" w:type="dxa"/>
            </w:tcMar>
            <w:vAlign w:val="center"/>
          </w:tcPr>
          <w:p w14:paraId="32D8D331" w14:textId="77777777" w:rsidR="001E5473" w:rsidRPr="00E523E6" w:rsidRDefault="001E5473" w:rsidP="001E5473">
            <w:pPr>
              <w:spacing w:after="0"/>
              <w:ind w:firstLine="0"/>
              <w:jc w:val="right"/>
              <w:rPr>
                <w:b/>
                <w:sz w:val="18"/>
                <w:szCs w:val="18"/>
              </w:rPr>
            </w:pPr>
            <w:r w:rsidRPr="00E523E6">
              <w:rPr>
                <w:b/>
                <w:sz w:val="18"/>
                <w:szCs w:val="18"/>
              </w:rPr>
              <w:t>-2,2</w:t>
            </w:r>
          </w:p>
        </w:tc>
        <w:tc>
          <w:tcPr>
            <w:tcW w:w="706" w:type="dxa"/>
            <w:shd w:val="clear" w:color="auto" w:fill="auto"/>
            <w:tcMar>
              <w:left w:w="57" w:type="dxa"/>
              <w:right w:w="57" w:type="dxa"/>
            </w:tcMar>
            <w:vAlign w:val="center"/>
          </w:tcPr>
          <w:p w14:paraId="432AD80A" w14:textId="77777777" w:rsidR="001E5473" w:rsidRPr="00E523E6" w:rsidRDefault="001E5473" w:rsidP="001E5473">
            <w:pPr>
              <w:spacing w:after="0"/>
              <w:ind w:firstLine="0"/>
              <w:jc w:val="right"/>
              <w:rPr>
                <w:b/>
                <w:sz w:val="18"/>
                <w:szCs w:val="18"/>
              </w:rPr>
            </w:pPr>
            <w:r w:rsidRPr="00E523E6">
              <w:rPr>
                <w:b/>
                <w:sz w:val="18"/>
                <w:szCs w:val="18"/>
              </w:rPr>
              <w:t>-0,3</w:t>
            </w:r>
          </w:p>
        </w:tc>
        <w:tc>
          <w:tcPr>
            <w:tcW w:w="706" w:type="dxa"/>
            <w:shd w:val="clear" w:color="auto" w:fill="auto"/>
            <w:tcMar>
              <w:left w:w="57" w:type="dxa"/>
              <w:right w:w="57" w:type="dxa"/>
            </w:tcMar>
            <w:vAlign w:val="center"/>
          </w:tcPr>
          <w:p w14:paraId="5DAEDE48" w14:textId="77777777" w:rsidR="001E5473" w:rsidRPr="00E523E6" w:rsidRDefault="001E5473" w:rsidP="001E5473">
            <w:pPr>
              <w:spacing w:after="0" w:line="259" w:lineRule="auto"/>
              <w:ind w:firstLine="0"/>
              <w:jc w:val="right"/>
              <w:rPr>
                <w:b/>
                <w:sz w:val="18"/>
                <w:szCs w:val="18"/>
              </w:rPr>
            </w:pPr>
            <w:r w:rsidRPr="00E523E6">
              <w:rPr>
                <w:b/>
                <w:sz w:val="18"/>
                <w:szCs w:val="18"/>
              </w:rPr>
              <w:t>-1,1</w:t>
            </w:r>
          </w:p>
        </w:tc>
        <w:tc>
          <w:tcPr>
            <w:tcW w:w="705" w:type="dxa"/>
            <w:shd w:val="clear" w:color="auto" w:fill="auto"/>
            <w:tcMar>
              <w:left w:w="57" w:type="dxa"/>
              <w:right w:w="57" w:type="dxa"/>
            </w:tcMar>
            <w:vAlign w:val="center"/>
          </w:tcPr>
          <w:p w14:paraId="18926A84" w14:textId="77777777" w:rsidR="001E5473" w:rsidRPr="00E523E6" w:rsidRDefault="001E5473" w:rsidP="001E5473">
            <w:pPr>
              <w:spacing w:after="0" w:line="259" w:lineRule="auto"/>
              <w:ind w:firstLine="0"/>
              <w:jc w:val="right"/>
              <w:rPr>
                <w:b/>
                <w:sz w:val="18"/>
                <w:szCs w:val="18"/>
              </w:rPr>
            </w:pPr>
            <w:r w:rsidRPr="00E523E6">
              <w:rPr>
                <w:b/>
                <w:sz w:val="18"/>
                <w:szCs w:val="18"/>
              </w:rPr>
              <w:t>-1,0</w:t>
            </w:r>
          </w:p>
        </w:tc>
        <w:tc>
          <w:tcPr>
            <w:tcW w:w="631" w:type="dxa"/>
            <w:shd w:val="clear" w:color="auto" w:fill="auto"/>
            <w:tcMar>
              <w:left w:w="57" w:type="dxa"/>
              <w:right w:w="57" w:type="dxa"/>
            </w:tcMar>
            <w:vAlign w:val="center"/>
          </w:tcPr>
          <w:p w14:paraId="440D152E" w14:textId="77777777" w:rsidR="001E5473" w:rsidRPr="00E523E6" w:rsidRDefault="001E5473" w:rsidP="001E5473">
            <w:pPr>
              <w:spacing w:after="0" w:line="259" w:lineRule="auto"/>
              <w:ind w:firstLine="0"/>
              <w:jc w:val="right"/>
              <w:rPr>
                <w:b/>
                <w:sz w:val="18"/>
                <w:szCs w:val="18"/>
              </w:rPr>
            </w:pPr>
            <w:r w:rsidRPr="00E523E6">
              <w:rPr>
                <w:b/>
                <w:sz w:val="18"/>
                <w:szCs w:val="18"/>
              </w:rPr>
              <w:t>-1,0</w:t>
            </w:r>
          </w:p>
        </w:tc>
      </w:tr>
      <w:tr w:rsidR="001E5473" w:rsidRPr="00EF1D74" w14:paraId="052CAFFA" w14:textId="77777777" w:rsidTr="001E5473">
        <w:trPr>
          <w:gridAfter w:val="1"/>
          <w:wAfter w:w="15" w:type="dxa"/>
          <w:trHeight w:val="186"/>
          <w:jc w:val="center"/>
        </w:trPr>
        <w:tc>
          <w:tcPr>
            <w:tcW w:w="2962" w:type="dxa"/>
            <w:shd w:val="clear" w:color="auto" w:fill="auto"/>
            <w:vAlign w:val="center"/>
          </w:tcPr>
          <w:p w14:paraId="2364DD95" w14:textId="77777777" w:rsidR="001E5473" w:rsidRPr="00EF1D74" w:rsidRDefault="001E5473" w:rsidP="001E5473">
            <w:pPr>
              <w:spacing w:after="0"/>
              <w:ind w:firstLine="0"/>
              <w:jc w:val="left"/>
              <w:rPr>
                <w:sz w:val="18"/>
                <w:szCs w:val="18"/>
              </w:rPr>
            </w:pPr>
            <w:r w:rsidRPr="00EF1D74">
              <w:rPr>
                <w:sz w:val="18"/>
                <w:szCs w:val="18"/>
              </w:rPr>
              <w:t>Vispārējās valdības budžeta bilance</w:t>
            </w:r>
          </w:p>
        </w:tc>
        <w:tc>
          <w:tcPr>
            <w:tcW w:w="848" w:type="dxa"/>
            <w:shd w:val="clear" w:color="auto" w:fill="auto"/>
            <w:tcMar>
              <w:left w:w="57" w:type="dxa"/>
              <w:right w:w="57" w:type="dxa"/>
            </w:tcMar>
            <w:vAlign w:val="center"/>
          </w:tcPr>
          <w:p w14:paraId="6F956F06" w14:textId="77777777" w:rsidR="001E5473" w:rsidRPr="00E523E6" w:rsidRDefault="001E5473" w:rsidP="001E5473">
            <w:pPr>
              <w:spacing w:after="0"/>
              <w:ind w:firstLine="0"/>
              <w:jc w:val="right"/>
              <w:rPr>
                <w:sz w:val="18"/>
                <w:szCs w:val="18"/>
              </w:rPr>
            </w:pPr>
            <w:r w:rsidRPr="00E523E6">
              <w:rPr>
                <w:sz w:val="18"/>
                <w:szCs w:val="18"/>
              </w:rPr>
              <w:t>-2 994,6</w:t>
            </w:r>
          </w:p>
        </w:tc>
        <w:tc>
          <w:tcPr>
            <w:tcW w:w="847" w:type="dxa"/>
            <w:shd w:val="clear" w:color="auto" w:fill="auto"/>
            <w:tcMar>
              <w:left w:w="57" w:type="dxa"/>
              <w:right w:w="57" w:type="dxa"/>
            </w:tcMar>
            <w:vAlign w:val="center"/>
          </w:tcPr>
          <w:p w14:paraId="52D12779" w14:textId="77777777" w:rsidR="001E5473" w:rsidRPr="00E523E6" w:rsidRDefault="001E5473" w:rsidP="001E5473">
            <w:pPr>
              <w:spacing w:after="0"/>
              <w:ind w:firstLine="0"/>
              <w:jc w:val="right"/>
              <w:rPr>
                <w:sz w:val="18"/>
                <w:szCs w:val="18"/>
              </w:rPr>
            </w:pPr>
            <w:r w:rsidRPr="00E523E6">
              <w:rPr>
                <w:sz w:val="18"/>
                <w:szCs w:val="18"/>
              </w:rPr>
              <w:t>-1 926,8</w:t>
            </w:r>
          </w:p>
        </w:tc>
        <w:tc>
          <w:tcPr>
            <w:tcW w:w="848" w:type="dxa"/>
            <w:shd w:val="clear" w:color="auto" w:fill="auto"/>
            <w:tcMar>
              <w:left w:w="57" w:type="dxa"/>
              <w:right w:w="57" w:type="dxa"/>
            </w:tcMar>
            <w:vAlign w:val="center"/>
          </w:tcPr>
          <w:p w14:paraId="3CE4352F" w14:textId="77777777" w:rsidR="001E5473" w:rsidRPr="00E523E6" w:rsidRDefault="001E5473" w:rsidP="001E5473">
            <w:pPr>
              <w:spacing w:after="0"/>
              <w:ind w:firstLine="0"/>
              <w:jc w:val="right"/>
              <w:rPr>
                <w:sz w:val="18"/>
                <w:szCs w:val="18"/>
              </w:rPr>
            </w:pPr>
            <w:r w:rsidRPr="00E523E6">
              <w:rPr>
                <w:sz w:val="18"/>
                <w:szCs w:val="18"/>
              </w:rPr>
              <w:t>-1 075,1</w:t>
            </w:r>
          </w:p>
        </w:tc>
        <w:tc>
          <w:tcPr>
            <w:tcW w:w="847" w:type="dxa"/>
            <w:shd w:val="clear" w:color="auto" w:fill="auto"/>
            <w:tcMar>
              <w:left w:w="57" w:type="dxa"/>
              <w:right w:w="57" w:type="dxa"/>
            </w:tcMar>
            <w:vAlign w:val="center"/>
          </w:tcPr>
          <w:p w14:paraId="19D918F4" w14:textId="77777777" w:rsidR="001E5473" w:rsidRPr="00E523E6" w:rsidRDefault="001E5473" w:rsidP="001E5473">
            <w:pPr>
              <w:spacing w:after="0"/>
              <w:ind w:firstLine="0"/>
              <w:jc w:val="right"/>
              <w:rPr>
                <w:sz w:val="18"/>
                <w:szCs w:val="18"/>
              </w:rPr>
            </w:pPr>
            <w:r w:rsidRPr="00E523E6">
              <w:rPr>
                <w:sz w:val="18"/>
                <w:szCs w:val="18"/>
              </w:rPr>
              <w:t>-822,7</w:t>
            </w:r>
          </w:p>
        </w:tc>
        <w:tc>
          <w:tcPr>
            <w:tcW w:w="706" w:type="dxa"/>
            <w:shd w:val="clear" w:color="auto" w:fill="auto"/>
            <w:tcMar>
              <w:left w:w="57" w:type="dxa"/>
              <w:right w:w="57" w:type="dxa"/>
            </w:tcMar>
            <w:vAlign w:val="center"/>
          </w:tcPr>
          <w:p w14:paraId="389F0A0E" w14:textId="77777777" w:rsidR="001E5473" w:rsidRPr="00E523E6" w:rsidRDefault="001E5473" w:rsidP="001E5473">
            <w:pPr>
              <w:spacing w:after="0"/>
              <w:ind w:firstLine="0"/>
              <w:jc w:val="right"/>
              <w:rPr>
                <w:sz w:val="18"/>
                <w:szCs w:val="18"/>
              </w:rPr>
            </w:pPr>
            <w:r w:rsidRPr="00E523E6">
              <w:rPr>
                <w:sz w:val="18"/>
                <w:szCs w:val="18"/>
              </w:rPr>
              <w:t>-62,8</w:t>
            </w:r>
          </w:p>
        </w:tc>
        <w:tc>
          <w:tcPr>
            <w:tcW w:w="706" w:type="dxa"/>
            <w:shd w:val="clear" w:color="auto" w:fill="auto"/>
            <w:tcMar>
              <w:left w:w="57" w:type="dxa"/>
              <w:right w:w="57" w:type="dxa"/>
            </w:tcMar>
            <w:vAlign w:val="center"/>
          </w:tcPr>
          <w:p w14:paraId="48518484" w14:textId="77777777" w:rsidR="001E5473" w:rsidRPr="00E523E6" w:rsidRDefault="001E5473" w:rsidP="001E5473">
            <w:pPr>
              <w:spacing w:after="0" w:line="259" w:lineRule="auto"/>
              <w:ind w:firstLine="0"/>
              <w:jc w:val="right"/>
              <w:rPr>
                <w:sz w:val="18"/>
                <w:szCs w:val="18"/>
              </w:rPr>
            </w:pPr>
            <w:r w:rsidRPr="00E523E6">
              <w:rPr>
                <w:sz w:val="18"/>
                <w:szCs w:val="18"/>
              </w:rPr>
              <w:t>-305,9</w:t>
            </w:r>
          </w:p>
        </w:tc>
        <w:tc>
          <w:tcPr>
            <w:tcW w:w="705" w:type="dxa"/>
            <w:shd w:val="clear" w:color="auto" w:fill="auto"/>
            <w:tcMar>
              <w:left w:w="57" w:type="dxa"/>
              <w:right w:w="57" w:type="dxa"/>
            </w:tcMar>
            <w:vAlign w:val="center"/>
          </w:tcPr>
          <w:p w14:paraId="7A559617" w14:textId="77777777" w:rsidR="001E5473" w:rsidRPr="00E523E6" w:rsidRDefault="001E5473" w:rsidP="001E5473">
            <w:pPr>
              <w:spacing w:after="0" w:line="259" w:lineRule="auto"/>
              <w:ind w:firstLine="0"/>
              <w:jc w:val="right"/>
              <w:rPr>
                <w:sz w:val="18"/>
                <w:szCs w:val="18"/>
              </w:rPr>
            </w:pPr>
            <w:r w:rsidRPr="00E523E6">
              <w:rPr>
                <w:sz w:val="18"/>
                <w:szCs w:val="18"/>
              </w:rPr>
              <w:t>-326,7</w:t>
            </w:r>
          </w:p>
        </w:tc>
        <w:tc>
          <w:tcPr>
            <w:tcW w:w="631" w:type="dxa"/>
            <w:shd w:val="clear" w:color="auto" w:fill="auto"/>
            <w:tcMar>
              <w:left w:w="57" w:type="dxa"/>
              <w:right w:w="57" w:type="dxa"/>
            </w:tcMar>
            <w:vAlign w:val="center"/>
          </w:tcPr>
          <w:p w14:paraId="406BDDE7" w14:textId="77777777" w:rsidR="001E5473" w:rsidRPr="00E523E6" w:rsidRDefault="001E5473" w:rsidP="001E5473">
            <w:pPr>
              <w:spacing w:after="0" w:line="259" w:lineRule="auto"/>
              <w:ind w:firstLine="0"/>
              <w:jc w:val="right"/>
              <w:rPr>
                <w:sz w:val="18"/>
                <w:szCs w:val="18"/>
              </w:rPr>
            </w:pPr>
            <w:r w:rsidRPr="00E523E6">
              <w:rPr>
                <w:sz w:val="18"/>
                <w:szCs w:val="18"/>
              </w:rPr>
              <w:t>-344,6</w:t>
            </w:r>
          </w:p>
        </w:tc>
      </w:tr>
      <w:tr w:rsidR="001E5473" w:rsidRPr="00EF1D74" w14:paraId="1A378259" w14:textId="77777777" w:rsidTr="001E5473">
        <w:trPr>
          <w:gridAfter w:val="1"/>
          <w:wAfter w:w="15" w:type="dxa"/>
          <w:trHeight w:val="231"/>
          <w:jc w:val="center"/>
        </w:trPr>
        <w:tc>
          <w:tcPr>
            <w:tcW w:w="2962" w:type="dxa"/>
            <w:shd w:val="clear" w:color="auto" w:fill="auto"/>
            <w:vAlign w:val="center"/>
          </w:tcPr>
          <w:p w14:paraId="1E67C11F" w14:textId="77777777" w:rsidR="001E5473" w:rsidRPr="00EF1D74" w:rsidRDefault="001E5473" w:rsidP="001E5473">
            <w:pPr>
              <w:spacing w:after="0"/>
              <w:ind w:left="166" w:firstLine="0"/>
              <w:jc w:val="left"/>
              <w:rPr>
                <w:sz w:val="18"/>
                <w:szCs w:val="18"/>
              </w:rPr>
            </w:pPr>
            <w:r w:rsidRPr="00EF1D74">
              <w:rPr>
                <w:sz w:val="18"/>
                <w:szCs w:val="18"/>
              </w:rPr>
              <w:t>Nodokļu ieņēmumi</w:t>
            </w:r>
          </w:p>
        </w:tc>
        <w:tc>
          <w:tcPr>
            <w:tcW w:w="848" w:type="dxa"/>
            <w:shd w:val="clear" w:color="auto" w:fill="auto"/>
            <w:tcMar>
              <w:left w:w="57" w:type="dxa"/>
              <w:right w:w="57" w:type="dxa"/>
            </w:tcMar>
            <w:vAlign w:val="center"/>
          </w:tcPr>
          <w:p w14:paraId="0D6877B0" w14:textId="77777777" w:rsidR="001E5473" w:rsidRPr="00A37CDD" w:rsidRDefault="001E5473" w:rsidP="001E5473">
            <w:pPr>
              <w:spacing w:after="0"/>
              <w:ind w:firstLine="0"/>
              <w:jc w:val="right"/>
              <w:rPr>
                <w:sz w:val="18"/>
                <w:szCs w:val="18"/>
              </w:rPr>
            </w:pPr>
            <w:r w:rsidRPr="00A37CDD">
              <w:rPr>
                <w:sz w:val="18"/>
                <w:szCs w:val="18"/>
              </w:rPr>
              <w:t>9 268,6</w:t>
            </w:r>
          </w:p>
        </w:tc>
        <w:tc>
          <w:tcPr>
            <w:tcW w:w="847" w:type="dxa"/>
            <w:shd w:val="clear" w:color="auto" w:fill="auto"/>
            <w:tcMar>
              <w:left w:w="57" w:type="dxa"/>
              <w:right w:w="57" w:type="dxa"/>
            </w:tcMar>
            <w:vAlign w:val="center"/>
          </w:tcPr>
          <w:p w14:paraId="7BC461F7" w14:textId="77777777" w:rsidR="001E5473" w:rsidRPr="00A37CDD" w:rsidRDefault="001E5473" w:rsidP="001E5473">
            <w:pPr>
              <w:spacing w:after="0"/>
              <w:ind w:firstLine="0"/>
              <w:jc w:val="right"/>
              <w:rPr>
                <w:sz w:val="18"/>
                <w:szCs w:val="18"/>
              </w:rPr>
            </w:pPr>
            <w:r w:rsidRPr="00A37CDD">
              <w:rPr>
                <w:sz w:val="18"/>
                <w:szCs w:val="18"/>
              </w:rPr>
              <w:t>9 889,9</w:t>
            </w:r>
          </w:p>
        </w:tc>
        <w:tc>
          <w:tcPr>
            <w:tcW w:w="848" w:type="dxa"/>
            <w:shd w:val="clear" w:color="auto" w:fill="auto"/>
            <w:tcMar>
              <w:left w:w="57" w:type="dxa"/>
              <w:right w:w="57" w:type="dxa"/>
            </w:tcMar>
            <w:vAlign w:val="center"/>
          </w:tcPr>
          <w:p w14:paraId="37EF486D" w14:textId="77777777" w:rsidR="001E5473" w:rsidRPr="00A37CDD" w:rsidRDefault="001E5473" w:rsidP="001E5473">
            <w:pPr>
              <w:spacing w:after="0"/>
              <w:ind w:firstLine="0"/>
              <w:jc w:val="right"/>
              <w:rPr>
                <w:sz w:val="18"/>
                <w:szCs w:val="18"/>
              </w:rPr>
            </w:pPr>
            <w:r w:rsidRPr="00A37CDD">
              <w:rPr>
                <w:sz w:val="18"/>
                <w:szCs w:val="18"/>
              </w:rPr>
              <w:t>10 456,0</w:t>
            </w:r>
          </w:p>
        </w:tc>
        <w:tc>
          <w:tcPr>
            <w:tcW w:w="847" w:type="dxa"/>
            <w:shd w:val="clear" w:color="auto" w:fill="auto"/>
            <w:tcMar>
              <w:left w:w="57" w:type="dxa"/>
              <w:right w:w="57" w:type="dxa"/>
            </w:tcMar>
            <w:vAlign w:val="center"/>
          </w:tcPr>
          <w:p w14:paraId="71BA55A3" w14:textId="77777777" w:rsidR="001E5473" w:rsidRPr="00A37CDD" w:rsidRDefault="001E5473" w:rsidP="001E5473">
            <w:pPr>
              <w:spacing w:after="0"/>
              <w:ind w:firstLine="0"/>
              <w:jc w:val="right"/>
              <w:rPr>
                <w:sz w:val="18"/>
                <w:szCs w:val="18"/>
              </w:rPr>
            </w:pPr>
            <w:r w:rsidRPr="00A37CDD">
              <w:rPr>
                <w:sz w:val="18"/>
                <w:szCs w:val="18"/>
              </w:rPr>
              <w:t>10 978,9</w:t>
            </w:r>
          </w:p>
        </w:tc>
        <w:tc>
          <w:tcPr>
            <w:tcW w:w="706" w:type="dxa"/>
            <w:shd w:val="clear" w:color="auto" w:fill="auto"/>
            <w:tcMar>
              <w:left w:w="57" w:type="dxa"/>
              <w:right w:w="57" w:type="dxa"/>
            </w:tcMar>
            <w:vAlign w:val="center"/>
          </w:tcPr>
          <w:p w14:paraId="14743877" w14:textId="77777777" w:rsidR="001E5473" w:rsidRPr="00A37CDD" w:rsidRDefault="001E5473" w:rsidP="001E5473">
            <w:pPr>
              <w:spacing w:after="0"/>
              <w:ind w:firstLine="0"/>
              <w:jc w:val="right"/>
              <w:rPr>
                <w:sz w:val="18"/>
                <w:szCs w:val="18"/>
              </w:rPr>
            </w:pPr>
            <w:r w:rsidRPr="00A37CDD">
              <w:rPr>
                <w:sz w:val="18"/>
                <w:szCs w:val="18"/>
              </w:rPr>
              <w:t>-59,2</w:t>
            </w:r>
          </w:p>
        </w:tc>
        <w:tc>
          <w:tcPr>
            <w:tcW w:w="706" w:type="dxa"/>
            <w:shd w:val="clear" w:color="auto" w:fill="auto"/>
            <w:tcMar>
              <w:left w:w="57" w:type="dxa"/>
              <w:right w:w="57" w:type="dxa"/>
            </w:tcMar>
            <w:vAlign w:val="center"/>
          </w:tcPr>
          <w:p w14:paraId="49A6F696" w14:textId="77777777" w:rsidR="001E5473" w:rsidRPr="00A37CDD" w:rsidRDefault="001E5473" w:rsidP="001E5473">
            <w:pPr>
              <w:spacing w:after="0" w:line="259" w:lineRule="auto"/>
              <w:ind w:firstLine="0"/>
              <w:jc w:val="right"/>
              <w:rPr>
                <w:sz w:val="18"/>
                <w:szCs w:val="18"/>
              </w:rPr>
            </w:pPr>
            <w:r w:rsidRPr="00A37CDD">
              <w:rPr>
                <w:sz w:val="18"/>
                <w:szCs w:val="18"/>
              </w:rPr>
              <w:t>-291,4</w:t>
            </w:r>
          </w:p>
        </w:tc>
        <w:tc>
          <w:tcPr>
            <w:tcW w:w="705" w:type="dxa"/>
            <w:shd w:val="clear" w:color="auto" w:fill="auto"/>
            <w:tcMar>
              <w:left w:w="57" w:type="dxa"/>
              <w:right w:w="57" w:type="dxa"/>
            </w:tcMar>
            <w:vAlign w:val="center"/>
          </w:tcPr>
          <w:p w14:paraId="254EABAA" w14:textId="77777777" w:rsidR="001E5473" w:rsidRPr="00A37CDD" w:rsidRDefault="001E5473" w:rsidP="001E5473">
            <w:pPr>
              <w:spacing w:after="0" w:line="259" w:lineRule="auto"/>
              <w:ind w:firstLine="0"/>
              <w:jc w:val="right"/>
              <w:rPr>
                <w:sz w:val="18"/>
                <w:szCs w:val="18"/>
              </w:rPr>
            </w:pPr>
            <w:r w:rsidRPr="00A37CDD">
              <w:rPr>
                <w:sz w:val="18"/>
                <w:szCs w:val="18"/>
              </w:rPr>
              <w:t>-310,9</w:t>
            </w:r>
          </w:p>
        </w:tc>
        <w:tc>
          <w:tcPr>
            <w:tcW w:w="631" w:type="dxa"/>
            <w:shd w:val="clear" w:color="auto" w:fill="auto"/>
            <w:tcMar>
              <w:left w:w="57" w:type="dxa"/>
              <w:right w:w="57" w:type="dxa"/>
            </w:tcMar>
            <w:vAlign w:val="center"/>
          </w:tcPr>
          <w:p w14:paraId="561C640F" w14:textId="77777777" w:rsidR="001E5473" w:rsidRPr="00A37CDD" w:rsidRDefault="001E5473" w:rsidP="001E5473">
            <w:pPr>
              <w:spacing w:after="0" w:line="259" w:lineRule="auto"/>
              <w:ind w:firstLine="0"/>
              <w:jc w:val="right"/>
              <w:rPr>
                <w:sz w:val="18"/>
                <w:szCs w:val="18"/>
              </w:rPr>
            </w:pPr>
            <w:r w:rsidRPr="00A37CDD">
              <w:rPr>
                <w:sz w:val="18"/>
                <w:szCs w:val="18"/>
              </w:rPr>
              <w:t>-327,0</w:t>
            </w:r>
          </w:p>
        </w:tc>
      </w:tr>
      <w:tr w:rsidR="001E5473" w:rsidRPr="00EF1D74" w14:paraId="0B690EEB" w14:textId="77777777" w:rsidTr="001E5473">
        <w:trPr>
          <w:gridAfter w:val="1"/>
          <w:wAfter w:w="15" w:type="dxa"/>
          <w:trHeight w:val="135"/>
          <w:jc w:val="center"/>
        </w:trPr>
        <w:tc>
          <w:tcPr>
            <w:tcW w:w="2962" w:type="dxa"/>
            <w:shd w:val="clear" w:color="auto" w:fill="auto"/>
            <w:vAlign w:val="center"/>
          </w:tcPr>
          <w:p w14:paraId="5E903D36" w14:textId="77777777" w:rsidR="001E5473" w:rsidRPr="00EF1D74" w:rsidRDefault="001E5473" w:rsidP="001E5473">
            <w:pPr>
              <w:spacing w:after="0"/>
              <w:ind w:left="166" w:firstLine="0"/>
              <w:jc w:val="left"/>
              <w:rPr>
                <w:noProof/>
                <w:sz w:val="18"/>
                <w:szCs w:val="18"/>
              </w:rPr>
            </w:pPr>
            <w:r w:rsidRPr="00EF1D74">
              <w:rPr>
                <w:noProof/>
                <w:sz w:val="18"/>
                <w:szCs w:val="18"/>
              </w:rPr>
              <w:t>Nenodokļu ieņēmumi</w:t>
            </w:r>
          </w:p>
        </w:tc>
        <w:tc>
          <w:tcPr>
            <w:tcW w:w="848" w:type="dxa"/>
            <w:shd w:val="clear" w:color="auto" w:fill="auto"/>
            <w:tcMar>
              <w:left w:w="57" w:type="dxa"/>
              <w:right w:w="57" w:type="dxa"/>
            </w:tcMar>
            <w:vAlign w:val="center"/>
          </w:tcPr>
          <w:p w14:paraId="5E893940" w14:textId="77777777" w:rsidR="001E5473" w:rsidRPr="00A37CDD" w:rsidRDefault="001E5473" w:rsidP="001E5473">
            <w:pPr>
              <w:spacing w:after="0"/>
              <w:ind w:firstLine="0"/>
              <w:jc w:val="right"/>
              <w:rPr>
                <w:sz w:val="18"/>
                <w:szCs w:val="18"/>
              </w:rPr>
            </w:pPr>
            <w:r w:rsidRPr="00A37CDD">
              <w:rPr>
                <w:sz w:val="18"/>
                <w:szCs w:val="18"/>
              </w:rPr>
              <w:t>659,8</w:t>
            </w:r>
          </w:p>
        </w:tc>
        <w:tc>
          <w:tcPr>
            <w:tcW w:w="847" w:type="dxa"/>
            <w:shd w:val="clear" w:color="auto" w:fill="auto"/>
            <w:tcMar>
              <w:left w:w="57" w:type="dxa"/>
              <w:right w:w="57" w:type="dxa"/>
            </w:tcMar>
            <w:vAlign w:val="center"/>
          </w:tcPr>
          <w:p w14:paraId="51663706" w14:textId="77777777" w:rsidR="001E5473" w:rsidRPr="00A37CDD" w:rsidRDefault="001E5473" w:rsidP="001E5473">
            <w:pPr>
              <w:spacing w:after="0"/>
              <w:ind w:firstLine="0"/>
              <w:jc w:val="right"/>
              <w:rPr>
                <w:sz w:val="18"/>
                <w:szCs w:val="18"/>
              </w:rPr>
            </w:pPr>
            <w:r w:rsidRPr="00A37CDD">
              <w:rPr>
                <w:sz w:val="18"/>
                <w:szCs w:val="18"/>
              </w:rPr>
              <w:t>581,1</w:t>
            </w:r>
          </w:p>
        </w:tc>
        <w:tc>
          <w:tcPr>
            <w:tcW w:w="848" w:type="dxa"/>
            <w:shd w:val="clear" w:color="auto" w:fill="auto"/>
            <w:tcMar>
              <w:left w:w="57" w:type="dxa"/>
              <w:right w:w="57" w:type="dxa"/>
            </w:tcMar>
            <w:vAlign w:val="center"/>
          </w:tcPr>
          <w:p w14:paraId="5959B4CC" w14:textId="77777777" w:rsidR="001E5473" w:rsidRPr="00A37CDD" w:rsidRDefault="001E5473" w:rsidP="001E5473">
            <w:pPr>
              <w:spacing w:after="0"/>
              <w:ind w:firstLine="0"/>
              <w:jc w:val="right"/>
              <w:rPr>
                <w:sz w:val="18"/>
                <w:szCs w:val="18"/>
              </w:rPr>
            </w:pPr>
            <w:r w:rsidRPr="00A37CDD">
              <w:rPr>
                <w:sz w:val="18"/>
                <w:szCs w:val="18"/>
              </w:rPr>
              <w:t>548,2</w:t>
            </w:r>
          </w:p>
        </w:tc>
        <w:tc>
          <w:tcPr>
            <w:tcW w:w="847" w:type="dxa"/>
            <w:shd w:val="clear" w:color="auto" w:fill="auto"/>
            <w:tcMar>
              <w:left w:w="57" w:type="dxa"/>
              <w:right w:w="57" w:type="dxa"/>
            </w:tcMar>
            <w:vAlign w:val="center"/>
          </w:tcPr>
          <w:p w14:paraId="6179EB38" w14:textId="77777777" w:rsidR="001E5473" w:rsidRPr="00A37CDD" w:rsidRDefault="001E5473" w:rsidP="001E5473">
            <w:pPr>
              <w:spacing w:after="0"/>
              <w:ind w:firstLine="0"/>
              <w:jc w:val="right"/>
              <w:rPr>
                <w:sz w:val="18"/>
                <w:szCs w:val="18"/>
              </w:rPr>
            </w:pPr>
            <w:r w:rsidRPr="00A37CDD">
              <w:rPr>
                <w:sz w:val="18"/>
                <w:szCs w:val="18"/>
              </w:rPr>
              <w:t>511,9</w:t>
            </w:r>
          </w:p>
        </w:tc>
        <w:tc>
          <w:tcPr>
            <w:tcW w:w="706" w:type="dxa"/>
            <w:shd w:val="clear" w:color="auto" w:fill="auto"/>
            <w:tcMar>
              <w:left w:w="57" w:type="dxa"/>
              <w:right w:w="57" w:type="dxa"/>
            </w:tcMar>
            <w:vAlign w:val="center"/>
          </w:tcPr>
          <w:p w14:paraId="1D41BFE1" w14:textId="77777777" w:rsidR="001E5473" w:rsidRPr="00A37CDD" w:rsidRDefault="001E5473" w:rsidP="001E5473">
            <w:pPr>
              <w:spacing w:after="0"/>
              <w:ind w:firstLine="0"/>
              <w:jc w:val="right"/>
              <w:rPr>
                <w:sz w:val="18"/>
                <w:szCs w:val="18"/>
              </w:rPr>
            </w:pPr>
            <w:r w:rsidRPr="00A37CDD">
              <w:rPr>
                <w:sz w:val="18"/>
                <w:szCs w:val="18"/>
              </w:rPr>
              <w:t>-3,6</w:t>
            </w:r>
          </w:p>
        </w:tc>
        <w:tc>
          <w:tcPr>
            <w:tcW w:w="706" w:type="dxa"/>
            <w:shd w:val="clear" w:color="auto" w:fill="auto"/>
            <w:tcMar>
              <w:left w:w="57" w:type="dxa"/>
              <w:right w:w="57" w:type="dxa"/>
            </w:tcMar>
            <w:vAlign w:val="center"/>
          </w:tcPr>
          <w:p w14:paraId="7E6AC9DD" w14:textId="77777777" w:rsidR="001E5473" w:rsidRPr="00A37CDD" w:rsidRDefault="001E5473" w:rsidP="001E5473">
            <w:pPr>
              <w:spacing w:after="0" w:line="259" w:lineRule="auto"/>
              <w:ind w:firstLine="0"/>
              <w:jc w:val="right"/>
              <w:rPr>
                <w:sz w:val="18"/>
                <w:szCs w:val="18"/>
              </w:rPr>
            </w:pPr>
            <w:r w:rsidRPr="00A37CDD">
              <w:rPr>
                <w:sz w:val="18"/>
                <w:szCs w:val="18"/>
              </w:rPr>
              <w:t>-14,2</w:t>
            </w:r>
          </w:p>
        </w:tc>
        <w:tc>
          <w:tcPr>
            <w:tcW w:w="705" w:type="dxa"/>
            <w:shd w:val="clear" w:color="auto" w:fill="auto"/>
            <w:tcMar>
              <w:left w:w="57" w:type="dxa"/>
              <w:right w:w="57" w:type="dxa"/>
            </w:tcMar>
            <w:vAlign w:val="center"/>
          </w:tcPr>
          <w:p w14:paraId="61CF2D27" w14:textId="77777777" w:rsidR="001E5473" w:rsidRPr="00A37CDD" w:rsidRDefault="001E5473" w:rsidP="001E5473">
            <w:pPr>
              <w:spacing w:after="0" w:line="259" w:lineRule="auto"/>
              <w:ind w:firstLine="0"/>
              <w:jc w:val="right"/>
              <w:rPr>
                <w:sz w:val="18"/>
                <w:szCs w:val="18"/>
              </w:rPr>
            </w:pPr>
            <w:r w:rsidRPr="00A37CDD">
              <w:rPr>
                <w:sz w:val="18"/>
                <w:szCs w:val="18"/>
              </w:rPr>
              <w:t>-13,1</w:t>
            </w:r>
          </w:p>
        </w:tc>
        <w:tc>
          <w:tcPr>
            <w:tcW w:w="631" w:type="dxa"/>
            <w:shd w:val="clear" w:color="auto" w:fill="auto"/>
            <w:tcMar>
              <w:left w:w="57" w:type="dxa"/>
              <w:right w:w="57" w:type="dxa"/>
            </w:tcMar>
            <w:vAlign w:val="center"/>
          </w:tcPr>
          <w:p w14:paraId="64041366" w14:textId="77777777" w:rsidR="001E5473" w:rsidRPr="00A37CDD" w:rsidRDefault="001E5473" w:rsidP="001E5473">
            <w:pPr>
              <w:spacing w:after="0" w:line="259" w:lineRule="auto"/>
              <w:ind w:firstLine="0"/>
              <w:jc w:val="right"/>
              <w:rPr>
                <w:sz w:val="18"/>
                <w:szCs w:val="18"/>
              </w:rPr>
            </w:pPr>
            <w:r w:rsidRPr="00A37CDD">
              <w:rPr>
                <w:sz w:val="18"/>
                <w:szCs w:val="18"/>
              </w:rPr>
              <w:t>-11,9</w:t>
            </w:r>
          </w:p>
        </w:tc>
      </w:tr>
      <w:tr w:rsidR="001E5473" w:rsidRPr="00EF1D74" w14:paraId="02CE4DF0" w14:textId="77777777" w:rsidTr="001E5473">
        <w:trPr>
          <w:gridAfter w:val="1"/>
          <w:wAfter w:w="15" w:type="dxa"/>
          <w:trHeight w:val="181"/>
          <w:jc w:val="center"/>
        </w:trPr>
        <w:tc>
          <w:tcPr>
            <w:tcW w:w="2962" w:type="dxa"/>
            <w:tcBorders>
              <w:bottom w:val="double" w:sz="4" w:space="0" w:color="auto"/>
            </w:tcBorders>
            <w:shd w:val="clear" w:color="auto" w:fill="auto"/>
            <w:vAlign w:val="center"/>
          </w:tcPr>
          <w:p w14:paraId="586DFF32" w14:textId="77777777" w:rsidR="001E5473" w:rsidRPr="00EF1D74" w:rsidRDefault="001E5473" w:rsidP="001E5473">
            <w:pPr>
              <w:spacing w:after="0"/>
              <w:ind w:left="166" w:firstLine="0"/>
              <w:jc w:val="left"/>
              <w:rPr>
                <w:noProof/>
                <w:sz w:val="18"/>
                <w:szCs w:val="18"/>
              </w:rPr>
            </w:pPr>
            <w:r w:rsidRPr="00EF1D74">
              <w:rPr>
                <w:noProof/>
                <w:sz w:val="18"/>
                <w:szCs w:val="18"/>
              </w:rPr>
              <w:t>Procentu izdevumi</w:t>
            </w:r>
          </w:p>
        </w:tc>
        <w:tc>
          <w:tcPr>
            <w:tcW w:w="848" w:type="dxa"/>
            <w:tcBorders>
              <w:bottom w:val="double" w:sz="4" w:space="0" w:color="auto"/>
            </w:tcBorders>
            <w:shd w:val="clear" w:color="auto" w:fill="auto"/>
            <w:tcMar>
              <w:left w:w="57" w:type="dxa"/>
              <w:right w:w="57" w:type="dxa"/>
            </w:tcMar>
            <w:vAlign w:val="center"/>
          </w:tcPr>
          <w:p w14:paraId="0EE4195A" w14:textId="77777777" w:rsidR="001E5473" w:rsidRPr="00764A50" w:rsidRDefault="001E5473" w:rsidP="001E5473">
            <w:pPr>
              <w:spacing w:after="0"/>
              <w:ind w:firstLine="0"/>
              <w:jc w:val="right"/>
              <w:rPr>
                <w:sz w:val="18"/>
                <w:szCs w:val="18"/>
              </w:rPr>
            </w:pPr>
            <w:r w:rsidRPr="00764A50">
              <w:rPr>
                <w:sz w:val="18"/>
                <w:szCs w:val="18"/>
              </w:rPr>
              <w:t>262,2</w:t>
            </w:r>
          </w:p>
        </w:tc>
        <w:tc>
          <w:tcPr>
            <w:tcW w:w="847" w:type="dxa"/>
            <w:tcBorders>
              <w:bottom w:val="double" w:sz="4" w:space="0" w:color="auto"/>
            </w:tcBorders>
            <w:shd w:val="clear" w:color="auto" w:fill="auto"/>
            <w:tcMar>
              <w:left w:w="57" w:type="dxa"/>
              <w:right w:w="57" w:type="dxa"/>
            </w:tcMar>
            <w:vAlign w:val="center"/>
          </w:tcPr>
          <w:p w14:paraId="5FAD52A8" w14:textId="77777777" w:rsidR="001E5473" w:rsidRPr="00764A50" w:rsidRDefault="001E5473" w:rsidP="001E5473">
            <w:pPr>
              <w:spacing w:after="0"/>
              <w:ind w:firstLine="0"/>
              <w:jc w:val="right"/>
              <w:rPr>
                <w:sz w:val="18"/>
                <w:szCs w:val="18"/>
              </w:rPr>
            </w:pPr>
            <w:r w:rsidRPr="00764A50">
              <w:rPr>
                <w:sz w:val="18"/>
                <w:szCs w:val="18"/>
              </w:rPr>
              <w:t>200,5</w:t>
            </w:r>
          </w:p>
        </w:tc>
        <w:tc>
          <w:tcPr>
            <w:tcW w:w="848" w:type="dxa"/>
            <w:tcBorders>
              <w:bottom w:val="double" w:sz="4" w:space="0" w:color="auto"/>
            </w:tcBorders>
            <w:shd w:val="clear" w:color="auto" w:fill="auto"/>
            <w:tcMar>
              <w:left w:w="57" w:type="dxa"/>
              <w:right w:w="57" w:type="dxa"/>
            </w:tcMar>
            <w:vAlign w:val="center"/>
          </w:tcPr>
          <w:p w14:paraId="1748E361" w14:textId="77777777" w:rsidR="001E5473" w:rsidRPr="00764A50" w:rsidRDefault="001E5473" w:rsidP="001E5473">
            <w:pPr>
              <w:spacing w:after="0"/>
              <w:ind w:firstLine="0"/>
              <w:jc w:val="right"/>
              <w:rPr>
                <w:sz w:val="18"/>
                <w:szCs w:val="18"/>
              </w:rPr>
            </w:pPr>
            <w:r w:rsidRPr="00764A50">
              <w:rPr>
                <w:sz w:val="18"/>
                <w:szCs w:val="18"/>
              </w:rPr>
              <w:t>238,1</w:t>
            </w:r>
          </w:p>
        </w:tc>
        <w:tc>
          <w:tcPr>
            <w:tcW w:w="847" w:type="dxa"/>
            <w:tcBorders>
              <w:bottom w:val="double" w:sz="4" w:space="0" w:color="auto"/>
            </w:tcBorders>
            <w:shd w:val="clear" w:color="auto" w:fill="auto"/>
            <w:tcMar>
              <w:left w:w="57" w:type="dxa"/>
              <w:right w:w="57" w:type="dxa"/>
            </w:tcMar>
            <w:vAlign w:val="center"/>
          </w:tcPr>
          <w:p w14:paraId="6247CCBD" w14:textId="77777777" w:rsidR="001E5473" w:rsidRPr="00764A50" w:rsidRDefault="001E5473" w:rsidP="001E5473">
            <w:pPr>
              <w:spacing w:after="0"/>
              <w:ind w:firstLine="0"/>
              <w:jc w:val="right"/>
              <w:rPr>
                <w:sz w:val="18"/>
                <w:szCs w:val="18"/>
              </w:rPr>
            </w:pPr>
            <w:r w:rsidRPr="00764A50">
              <w:rPr>
                <w:sz w:val="18"/>
                <w:szCs w:val="18"/>
              </w:rPr>
              <w:t>241,6</w:t>
            </w:r>
          </w:p>
        </w:tc>
        <w:tc>
          <w:tcPr>
            <w:tcW w:w="706" w:type="dxa"/>
            <w:tcBorders>
              <w:bottom w:val="double" w:sz="4" w:space="0" w:color="auto"/>
            </w:tcBorders>
            <w:shd w:val="clear" w:color="auto" w:fill="auto"/>
            <w:tcMar>
              <w:left w:w="57" w:type="dxa"/>
              <w:right w:w="57" w:type="dxa"/>
            </w:tcMar>
            <w:vAlign w:val="center"/>
          </w:tcPr>
          <w:p w14:paraId="778659F4" w14:textId="77777777" w:rsidR="001E5473" w:rsidRPr="00764A50" w:rsidRDefault="001E5473" w:rsidP="001E5473">
            <w:pPr>
              <w:spacing w:after="0"/>
              <w:ind w:firstLine="0"/>
              <w:jc w:val="right"/>
              <w:rPr>
                <w:sz w:val="18"/>
                <w:szCs w:val="18"/>
              </w:rPr>
            </w:pPr>
            <w:r w:rsidRPr="00764A50">
              <w:rPr>
                <w:sz w:val="18"/>
                <w:szCs w:val="18"/>
              </w:rPr>
              <w:t>0,0</w:t>
            </w:r>
          </w:p>
        </w:tc>
        <w:tc>
          <w:tcPr>
            <w:tcW w:w="706" w:type="dxa"/>
            <w:tcBorders>
              <w:bottom w:val="double" w:sz="4" w:space="0" w:color="auto"/>
            </w:tcBorders>
            <w:shd w:val="clear" w:color="auto" w:fill="auto"/>
            <w:tcMar>
              <w:left w:w="57" w:type="dxa"/>
              <w:right w:w="57" w:type="dxa"/>
            </w:tcMar>
            <w:vAlign w:val="center"/>
          </w:tcPr>
          <w:p w14:paraId="7835EA09" w14:textId="77777777" w:rsidR="001E5473" w:rsidRPr="00764A50" w:rsidRDefault="001E5473" w:rsidP="001E5473">
            <w:pPr>
              <w:spacing w:after="0" w:line="259" w:lineRule="auto"/>
              <w:ind w:firstLine="0"/>
              <w:jc w:val="right"/>
              <w:rPr>
                <w:sz w:val="18"/>
                <w:szCs w:val="18"/>
              </w:rPr>
            </w:pPr>
            <w:r w:rsidRPr="00764A50">
              <w:rPr>
                <w:sz w:val="18"/>
                <w:szCs w:val="18"/>
              </w:rPr>
              <w:t>0,3</w:t>
            </w:r>
          </w:p>
        </w:tc>
        <w:tc>
          <w:tcPr>
            <w:tcW w:w="705" w:type="dxa"/>
            <w:tcBorders>
              <w:bottom w:val="double" w:sz="4" w:space="0" w:color="auto"/>
            </w:tcBorders>
            <w:shd w:val="clear" w:color="auto" w:fill="auto"/>
            <w:tcMar>
              <w:left w:w="57" w:type="dxa"/>
              <w:right w:w="57" w:type="dxa"/>
            </w:tcMar>
            <w:vAlign w:val="center"/>
          </w:tcPr>
          <w:p w14:paraId="476059F9" w14:textId="77777777" w:rsidR="001E5473" w:rsidRPr="00764A50" w:rsidRDefault="001E5473" w:rsidP="001E5473">
            <w:pPr>
              <w:spacing w:after="0" w:line="259" w:lineRule="auto"/>
              <w:ind w:firstLine="0"/>
              <w:jc w:val="right"/>
              <w:rPr>
                <w:sz w:val="18"/>
                <w:szCs w:val="18"/>
              </w:rPr>
            </w:pPr>
            <w:r w:rsidRPr="00764A50">
              <w:rPr>
                <w:sz w:val="18"/>
                <w:szCs w:val="18"/>
              </w:rPr>
              <w:t>2,7</w:t>
            </w:r>
          </w:p>
        </w:tc>
        <w:tc>
          <w:tcPr>
            <w:tcW w:w="631" w:type="dxa"/>
            <w:tcBorders>
              <w:bottom w:val="double" w:sz="4" w:space="0" w:color="auto"/>
            </w:tcBorders>
            <w:shd w:val="clear" w:color="auto" w:fill="auto"/>
            <w:tcMar>
              <w:left w:w="57" w:type="dxa"/>
              <w:right w:w="57" w:type="dxa"/>
            </w:tcMar>
            <w:vAlign w:val="center"/>
          </w:tcPr>
          <w:p w14:paraId="5668854A" w14:textId="77777777" w:rsidR="001E5473" w:rsidRPr="00764A50" w:rsidRDefault="001E5473" w:rsidP="001E5473">
            <w:pPr>
              <w:spacing w:after="0" w:line="259" w:lineRule="auto"/>
              <w:ind w:firstLine="0"/>
              <w:jc w:val="right"/>
              <w:rPr>
                <w:sz w:val="18"/>
                <w:szCs w:val="18"/>
              </w:rPr>
            </w:pPr>
            <w:r w:rsidRPr="00764A50">
              <w:rPr>
                <w:sz w:val="18"/>
                <w:szCs w:val="18"/>
              </w:rPr>
              <w:t>5,7</w:t>
            </w:r>
          </w:p>
        </w:tc>
      </w:tr>
      <w:tr w:rsidR="001E5473" w:rsidRPr="00EF1D74" w14:paraId="40A192E8" w14:textId="77777777" w:rsidTr="001E5473">
        <w:trPr>
          <w:gridAfter w:val="1"/>
          <w:wAfter w:w="15" w:type="dxa"/>
          <w:trHeight w:val="349"/>
          <w:jc w:val="center"/>
        </w:trPr>
        <w:tc>
          <w:tcPr>
            <w:tcW w:w="2962" w:type="dxa"/>
            <w:tcBorders>
              <w:top w:val="double" w:sz="4" w:space="0" w:color="auto"/>
              <w:left w:val="single" w:sz="4" w:space="0" w:color="auto"/>
            </w:tcBorders>
            <w:shd w:val="clear" w:color="auto" w:fill="auto"/>
            <w:vAlign w:val="center"/>
          </w:tcPr>
          <w:p w14:paraId="3F90B2CD" w14:textId="77777777" w:rsidR="001E5473" w:rsidRPr="00EF1D74" w:rsidRDefault="001E5473" w:rsidP="001E5473">
            <w:pPr>
              <w:spacing w:after="0"/>
              <w:ind w:firstLine="0"/>
              <w:jc w:val="left"/>
              <w:rPr>
                <w:noProof/>
                <w:sz w:val="18"/>
                <w:szCs w:val="18"/>
              </w:rPr>
            </w:pPr>
            <w:r w:rsidRPr="00EF1D74">
              <w:rPr>
                <w:noProof/>
                <w:sz w:val="18"/>
                <w:szCs w:val="18"/>
              </w:rPr>
              <w:t xml:space="preserve">   Procentu izdevumi</w:t>
            </w:r>
            <w:r w:rsidRPr="00EF1D74">
              <w:rPr>
                <w:noProof/>
                <w:sz w:val="18"/>
                <w:szCs w:val="18"/>
              </w:rPr>
              <w:br/>
              <w:t xml:space="preserve">  (% likmes paliel. par 1 pp)</w:t>
            </w:r>
          </w:p>
        </w:tc>
        <w:tc>
          <w:tcPr>
            <w:tcW w:w="848" w:type="dxa"/>
            <w:tcBorders>
              <w:top w:val="double" w:sz="4" w:space="0" w:color="auto"/>
            </w:tcBorders>
            <w:shd w:val="clear" w:color="auto" w:fill="auto"/>
            <w:tcMar>
              <w:left w:w="57" w:type="dxa"/>
              <w:right w:w="57" w:type="dxa"/>
            </w:tcMar>
            <w:vAlign w:val="center"/>
          </w:tcPr>
          <w:p w14:paraId="2D28284F" w14:textId="77777777" w:rsidR="001E5473" w:rsidRPr="00764A50" w:rsidRDefault="001E5473" w:rsidP="001E5473">
            <w:pPr>
              <w:spacing w:after="0"/>
              <w:ind w:firstLine="0"/>
              <w:jc w:val="right"/>
              <w:rPr>
                <w:sz w:val="18"/>
                <w:szCs w:val="18"/>
              </w:rPr>
            </w:pPr>
            <w:r w:rsidRPr="00764A50">
              <w:rPr>
                <w:sz w:val="18"/>
                <w:szCs w:val="18"/>
              </w:rPr>
              <w:t>262,2</w:t>
            </w:r>
          </w:p>
        </w:tc>
        <w:tc>
          <w:tcPr>
            <w:tcW w:w="847" w:type="dxa"/>
            <w:tcBorders>
              <w:top w:val="double" w:sz="4" w:space="0" w:color="auto"/>
            </w:tcBorders>
            <w:shd w:val="clear" w:color="auto" w:fill="auto"/>
            <w:tcMar>
              <w:left w:w="57" w:type="dxa"/>
              <w:right w:w="57" w:type="dxa"/>
            </w:tcMar>
            <w:vAlign w:val="center"/>
          </w:tcPr>
          <w:p w14:paraId="789F3444" w14:textId="77777777" w:rsidR="001E5473" w:rsidRPr="00764A50" w:rsidRDefault="001E5473" w:rsidP="001E5473">
            <w:pPr>
              <w:spacing w:after="0"/>
              <w:ind w:firstLine="0"/>
              <w:jc w:val="right"/>
              <w:rPr>
                <w:sz w:val="18"/>
                <w:szCs w:val="18"/>
              </w:rPr>
            </w:pPr>
            <w:r w:rsidRPr="00764A50">
              <w:rPr>
                <w:sz w:val="18"/>
                <w:szCs w:val="18"/>
              </w:rPr>
              <w:t>208,3</w:t>
            </w:r>
          </w:p>
        </w:tc>
        <w:tc>
          <w:tcPr>
            <w:tcW w:w="848" w:type="dxa"/>
            <w:tcBorders>
              <w:top w:val="double" w:sz="4" w:space="0" w:color="auto"/>
            </w:tcBorders>
            <w:shd w:val="clear" w:color="auto" w:fill="auto"/>
            <w:tcMar>
              <w:left w:w="57" w:type="dxa"/>
              <w:right w:w="57" w:type="dxa"/>
            </w:tcMar>
            <w:vAlign w:val="center"/>
          </w:tcPr>
          <w:p w14:paraId="0EA4FF2E" w14:textId="77777777" w:rsidR="001E5473" w:rsidRPr="00764A50" w:rsidRDefault="001E5473" w:rsidP="001E5473">
            <w:pPr>
              <w:spacing w:after="0"/>
              <w:ind w:firstLine="0"/>
              <w:jc w:val="right"/>
              <w:rPr>
                <w:sz w:val="18"/>
                <w:szCs w:val="18"/>
              </w:rPr>
            </w:pPr>
            <w:r w:rsidRPr="00764A50">
              <w:rPr>
                <w:sz w:val="18"/>
                <w:szCs w:val="18"/>
              </w:rPr>
              <w:t>270,1</w:t>
            </w:r>
          </w:p>
        </w:tc>
        <w:tc>
          <w:tcPr>
            <w:tcW w:w="847" w:type="dxa"/>
            <w:tcBorders>
              <w:top w:val="double" w:sz="4" w:space="0" w:color="auto"/>
            </w:tcBorders>
            <w:shd w:val="clear" w:color="auto" w:fill="auto"/>
            <w:tcMar>
              <w:left w:w="57" w:type="dxa"/>
              <w:right w:w="57" w:type="dxa"/>
            </w:tcMar>
            <w:vAlign w:val="center"/>
          </w:tcPr>
          <w:p w14:paraId="6ADE3F88" w14:textId="77777777" w:rsidR="001E5473" w:rsidRPr="00764A50" w:rsidRDefault="001E5473" w:rsidP="001E5473">
            <w:pPr>
              <w:spacing w:after="0"/>
              <w:ind w:firstLine="0"/>
              <w:jc w:val="right"/>
              <w:rPr>
                <w:sz w:val="18"/>
                <w:szCs w:val="18"/>
              </w:rPr>
            </w:pPr>
            <w:r w:rsidRPr="00764A50">
              <w:rPr>
                <w:sz w:val="18"/>
                <w:szCs w:val="18"/>
              </w:rPr>
              <w:t>206,7</w:t>
            </w:r>
          </w:p>
        </w:tc>
        <w:tc>
          <w:tcPr>
            <w:tcW w:w="706" w:type="dxa"/>
            <w:tcBorders>
              <w:top w:val="double" w:sz="4" w:space="0" w:color="auto"/>
            </w:tcBorders>
            <w:shd w:val="clear" w:color="auto" w:fill="auto"/>
            <w:tcMar>
              <w:left w:w="57" w:type="dxa"/>
              <w:right w:w="57" w:type="dxa"/>
            </w:tcMar>
            <w:vAlign w:val="center"/>
          </w:tcPr>
          <w:p w14:paraId="6B382A9B" w14:textId="77777777" w:rsidR="001E5473" w:rsidRPr="00764A50" w:rsidRDefault="001E5473" w:rsidP="001E5473">
            <w:pPr>
              <w:spacing w:after="0"/>
              <w:ind w:firstLine="0"/>
              <w:jc w:val="right"/>
              <w:rPr>
                <w:sz w:val="18"/>
                <w:szCs w:val="18"/>
              </w:rPr>
            </w:pPr>
            <w:r w:rsidRPr="00764A50">
              <w:rPr>
                <w:sz w:val="18"/>
                <w:szCs w:val="18"/>
              </w:rPr>
              <w:t>0,0</w:t>
            </w:r>
          </w:p>
        </w:tc>
        <w:tc>
          <w:tcPr>
            <w:tcW w:w="706" w:type="dxa"/>
            <w:tcBorders>
              <w:top w:val="double" w:sz="4" w:space="0" w:color="auto"/>
            </w:tcBorders>
            <w:shd w:val="clear" w:color="auto" w:fill="auto"/>
            <w:tcMar>
              <w:left w:w="57" w:type="dxa"/>
              <w:right w:w="57" w:type="dxa"/>
            </w:tcMar>
            <w:vAlign w:val="center"/>
          </w:tcPr>
          <w:p w14:paraId="64C77338" w14:textId="77777777" w:rsidR="001E5473" w:rsidRPr="00764A50" w:rsidRDefault="001E5473" w:rsidP="001E5473">
            <w:pPr>
              <w:spacing w:after="0" w:line="259" w:lineRule="auto"/>
              <w:ind w:firstLine="0"/>
              <w:jc w:val="right"/>
              <w:rPr>
                <w:sz w:val="18"/>
                <w:szCs w:val="18"/>
              </w:rPr>
            </w:pPr>
            <w:r w:rsidRPr="00764A50">
              <w:rPr>
                <w:sz w:val="18"/>
                <w:szCs w:val="18"/>
              </w:rPr>
              <w:t>8,1</w:t>
            </w:r>
          </w:p>
        </w:tc>
        <w:tc>
          <w:tcPr>
            <w:tcW w:w="705" w:type="dxa"/>
            <w:tcBorders>
              <w:top w:val="double" w:sz="4" w:space="0" w:color="auto"/>
            </w:tcBorders>
            <w:shd w:val="clear" w:color="auto" w:fill="auto"/>
            <w:tcMar>
              <w:left w:w="57" w:type="dxa"/>
              <w:right w:w="57" w:type="dxa"/>
            </w:tcMar>
            <w:vAlign w:val="center"/>
          </w:tcPr>
          <w:p w14:paraId="529C0F5F" w14:textId="77777777" w:rsidR="001E5473" w:rsidRPr="00764A50" w:rsidRDefault="001E5473" w:rsidP="001E5473">
            <w:pPr>
              <w:spacing w:after="0" w:line="259" w:lineRule="auto"/>
              <w:ind w:firstLine="0"/>
              <w:jc w:val="right"/>
              <w:rPr>
                <w:sz w:val="18"/>
                <w:szCs w:val="18"/>
              </w:rPr>
            </w:pPr>
            <w:r w:rsidRPr="00764A50">
              <w:rPr>
                <w:sz w:val="18"/>
                <w:szCs w:val="18"/>
              </w:rPr>
              <w:t>34,7</w:t>
            </w:r>
          </w:p>
        </w:tc>
        <w:tc>
          <w:tcPr>
            <w:tcW w:w="631" w:type="dxa"/>
            <w:tcBorders>
              <w:top w:val="double" w:sz="4" w:space="0" w:color="auto"/>
              <w:right w:val="single" w:sz="4" w:space="0" w:color="auto"/>
            </w:tcBorders>
            <w:shd w:val="clear" w:color="auto" w:fill="auto"/>
            <w:tcMar>
              <w:left w:w="57" w:type="dxa"/>
              <w:right w:w="57" w:type="dxa"/>
            </w:tcMar>
            <w:vAlign w:val="center"/>
          </w:tcPr>
          <w:p w14:paraId="48069C28" w14:textId="77777777" w:rsidR="001E5473" w:rsidRPr="00764A50" w:rsidRDefault="001E5473" w:rsidP="001E5473">
            <w:pPr>
              <w:spacing w:after="0" w:line="259" w:lineRule="auto"/>
              <w:ind w:firstLine="0"/>
              <w:jc w:val="right"/>
              <w:rPr>
                <w:sz w:val="18"/>
                <w:szCs w:val="18"/>
              </w:rPr>
            </w:pPr>
            <w:r w:rsidRPr="00764A50">
              <w:rPr>
                <w:sz w:val="18"/>
                <w:szCs w:val="18"/>
              </w:rPr>
              <w:t>60,7</w:t>
            </w:r>
          </w:p>
        </w:tc>
      </w:tr>
      <w:tr w:rsidR="001E5473" w:rsidRPr="00EF1D74" w14:paraId="26C2DC2A" w14:textId="77777777" w:rsidTr="001E5473">
        <w:trPr>
          <w:gridAfter w:val="1"/>
          <w:wAfter w:w="15" w:type="dxa"/>
          <w:trHeight w:val="361"/>
          <w:jc w:val="center"/>
        </w:trPr>
        <w:tc>
          <w:tcPr>
            <w:tcW w:w="2962" w:type="dxa"/>
            <w:tcBorders>
              <w:left w:val="single" w:sz="4" w:space="0" w:color="auto"/>
              <w:bottom w:val="double" w:sz="4" w:space="0" w:color="auto"/>
            </w:tcBorders>
            <w:shd w:val="clear" w:color="auto" w:fill="auto"/>
            <w:vAlign w:val="center"/>
          </w:tcPr>
          <w:p w14:paraId="118DA919" w14:textId="77777777" w:rsidR="001E5473" w:rsidRPr="00EF1D74" w:rsidRDefault="001E5473" w:rsidP="001E5473">
            <w:pPr>
              <w:spacing w:after="0"/>
              <w:ind w:firstLine="0"/>
              <w:jc w:val="left"/>
              <w:rPr>
                <w:rFonts w:eastAsia="Calibri"/>
                <w:noProof/>
                <w:sz w:val="18"/>
                <w:szCs w:val="18"/>
              </w:rPr>
            </w:pPr>
            <w:r w:rsidRPr="00EF1D74">
              <w:rPr>
                <w:noProof/>
                <w:sz w:val="18"/>
                <w:szCs w:val="18"/>
              </w:rPr>
              <w:t xml:space="preserve">   Procentu izdevumi</w:t>
            </w:r>
            <w:r w:rsidRPr="00EF1D74">
              <w:rPr>
                <w:noProof/>
                <w:sz w:val="18"/>
                <w:szCs w:val="18"/>
              </w:rPr>
              <w:br/>
              <w:t xml:space="preserve">   (% likmes samaz. par 1 pp)</w:t>
            </w:r>
          </w:p>
        </w:tc>
        <w:tc>
          <w:tcPr>
            <w:tcW w:w="848" w:type="dxa"/>
            <w:tcBorders>
              <w:bottom w:val="double" w:sz="4" w:space="0" w:color="auto"/>
            </w:tcBorders>
            <w:shd w:val="clear" w:color="auto" w:fill="auto"/>
            <w:tcMar>
              <w:left w:w="57" w:type="dxa"/>
              <w:right w:w="57" w:type="dxa"/>
            </w:tcMar>
            <w:vAlign w:val="center"/>
          </w:tcPr>
          <w:p w14:paraId="029CDD42" w14:textId="77777777" w:rsidR="001E5473" w:rsidRPr="00843E4D" w:rsidRDefault="001E5473" w:rsidP="001E5473">
            <w:pPr>
              <w:spacing w:after="0"/>
              <w:ind w:firstLine="0"/>
              <w:jc w:val="right"/>
              <w:rPr>
                <w:sz w:val="18"/>
                <w:szCs w:val="18"/>
                <w:highlight w:val="yellow"/>
              </w:rPr>
            </w:pPr>
            <w:r w:rsidRPr="00764A50">
              <w:rPr>
                <w:sz w:val="18"/>
                <w:szCs w:val="18"/>
              </w:rPr>
              <w:t>262,2</w:t>
            </w:r>
          </w:p>
        </w:tc>
        <w:tc>
          <w:tcPr>
            <w:tcW w:w="847" w:type="dxa"/>
            <w:tcBorders>
              <w:bottom w:val="double" w:sz="4" w:space="0" w:color="auto"/>
            </w:tcBorders>
            <w:shd w:val="clear" w:color="auto" w:fill="auto"/>
            <w:tcMar>
              <w:left w:w="57" w:type="dxa"/>
              <w:right w:w="57" w:type="dxa"/>
            </w:tcMar>
            <w:vAlign w:val="center"/>
          </w:tcPr>
          <w:p w14:paraId="56E0D0CB" w14:textId="77777777" w:rsidR="001E5473" w:rsidRPr="00DD662B" w:rsidRDefault="001E5473" w:rsidP="001E5473">
            <w:pPr>
              <w:spacing w:after="0"/>
              <w:ind w:firstLine="0"/>
              <w:jc w:val="right"/>
              <w:rPr>
                <w:sz w:val="18"/>
                <w:szCs w:val="18"/>
              </w:rPr>
            </w:pPr>
            <w:r w:rsidRPr="00DD662B">
              <w:rPr>
                <w:sz w:val="18"/>
                <w:szCs w:val="18"/>
              </w:rPr>
              <w:t>197,4</w:t>
            </w:r>
          </w:p>
        </w:tc>
        <w:tc>
          <w:tcPr>
            <w:tcW w:w="848" w:type="dxa"/>
            <w:tcBorders>
              <w:bottom w:val="double" w:sz="4" w:space="0" w:color="auto"/>
            </w:tcBorders>
            <w:shd w:val="clear" w:color="auto" w:fill="auto"/>
            <w:tcMar>
              <w:left w:w="57" w:type="dxa"/>
              <w:right w:w="57" w:type="dxa"/>
            </w:tcMar>
            <w:vAlign w:val="center"/>
          </w:tcPr>
          <w:p w14:paraId="09B6CED9" w14:textId="77777777" w:rsidR="001E5473" w:rsidRPr="00DD662B" w:rsidRDefault="001E5473" w:rsidP="001E5473">
            <w:pPr>
              <w:spacing w:after="0"/>
              <w:ind w:firstLine="0"/>
              <w:jc w:val="right"/>
              <w:rPr>
                <w:sz w:val="18"/>
                <w:szCs w:val="18"/>
              </w:rPr>
            </w:pPr>
            <w:r w:rsidRPr="00DD662B">
              <w:rPr>
                <w:sz w:val="18"/>
                <w:szCs w:val="18"/>
              </w:rPr>
              <w:t>216,2</w:t>
            </w:r>
          </w:p>
        </w:tc>
        <w:tc>
          <w:tcPr>
            <w:tcW w:w="847" w:type="dxa"/>
            <w:tcBorders>
              <w:bottom w:val="double" w:sz="4" w:space="0" w:color="auto"/>
            </w:tcBorders>
            <w:shd w:val="clear" w:color="auto" w:fill="auto"/>
            <w:tcMar>
              <w:left w:w="57" w:type="dxa"/>
              <w:right w:w="57" w:type="dxa"/>
            </w:tcMar>
            <w:vAlign w:val="center"/>
          </w:tcPr>
          <w:p w14:paraId="452A0FCE" w14:textId="77777777" w:rsidR="001E5473" w:rsidRPr="00DD662B" w:rsidRDefault="001E5473" w:rsidP="001E5473">
            <w:pPr>
              <w:spacing w:after="0"/>
              <w:ind w:firstLine="0"/>
              <w:jc w:val="right"/>
              <w:rPr>
                <w:sz w:val="18"/>
                <w:szCs w:val="18"/>
              </w:rPr>
            </w:pPr>
            <w:r w:rsidRPr="00DD662B">
              <w:rPr>
                <w:sz w:val="18"/>
                <w:szCs w:val="18"/>
              </w:rPr>
              <w:t>201,3</w:t>
            </w:r>
          </w:p>
        </w:tc>
        <w:tc>
          <w:tcPr>
            <w:tcW w:w="706" w:type="dxa"/>
            <w:tcBorders>
              <w:bottom w:val="double" w:sz="4" w:space="0" w:color="auto"/>
            </w:tcBorders>
            <w:shd w:val="clear" w:color="auto" w:fill="auto"/>
            <w:tcMar>
              <w:left w:w="57" w:type="dxa"/>
              <w:right w:w="57" w:type="dxa"/>
            </w:tcMar>
            <w:vAlign w:val="center"/>
          </w:tcPr>
          <w:p w14:paraId="79AD3BC8" w14:textId="77777777" w:rsidR="001E5473" w:rsidRPr="00DD662B" w:rsidRDefault="001E5473" w:rsidP="001E5473">
            <w:pPr>
              <w:spacing w:after="0"/>
              <w:ind w:firstLine="0"/>
              <w:jc w:val="right"/>
              <w:rPr>
                <w:sz w:val="18"/>
                <w:szCs w:val="18"/>
              </w:rPr>
            </w:pPr>
            <w:r w:rsidRPr="00DD662B">
              <w:rPr>
                <w:sz w:val="18"/>
                <w:szCs w:val="18"/>
              </w:rPr>
              <w:t>0,0</w:t>
            </w:r>
          </w:p>
        </w:tc>
        <w:tc>
          <w:tcPr>
            <w:tcW w:w="706" w:type="dxa"/>
            <w:tcBorders>
              <w:bottom w:val="double" w:sz="4" w:space="0" w:color="auto"/>
            </w:tcBorders>
            <w:shd w:val="clear" w:color="auto" w:fill="auto"/>
            <w:tcMar>
              <w:left w:w="57" w:type="dxa"/>
              <w:right w:w="57" w:type="dxa"/>
            </w:tcMar>
            <w:vAlign w:val="center"/>
          </w:tcPr>
          <w:p w14:paraId="05DB61B8" w14:textId="77777777" w:rsidR="001E5473" w:rsidRPr="00DD662B" w:rsidRDefault="001E5473" w:rsidP="001E5473">
            <w:pPr>
              <w:spacing w:after="0" w:line="259" w:lineRule="auto"/>
              <w:ind w:firstLine="0"/>
              <w:jc w:val="right"/>
              <w:rPr>
                <w:sz w:val="18"/>
                <w:szCs w:val="18"/>
              </w:rPr>
            </w:pPr>
            <w:r w:rsidRPr="00DD662B">
              <w:rPr>
                <w:sz w:val="18"/>
                <w:szCs w:val="18"/>
              </w:rPr>
              <w:t>-2,8</w:t>
            </w:r>
          </w:p>
        </w:tc>
        <w:tc>
          <w:tcPr>
            <w:tcW w:w="705" w:type="dxa"/>
            <w:tcBorders>
              <w:bottom w:val="double" w:sz="4" w:space="0" w:color="auto"/>
            </w:tcBorders>
            <w:shd w:val="clear" w:color="auto" w:fill="auto"/>
            <w:tcMar>
              <w:left w:w="57" w:type="dxa"/>
              <w:right w:w="57" w:type="dxa"/>
            </w:tcMar>
            <w:vAlign w:val="center"/>
          </w:tcPr>
          <w:p w14:paraId="4C407F46" w14:textId="77777777" w:rsidR="001E5473" w:rsidRPr="00DD662B" w:rsidRDefault="001E5473" w:rsidP="001E5473">
            <w:pPr>
              <w:spacing w:after="0" w:line="259" w:lineRule="auto"/>
              <w:ind w:firstLine="0"/>
              <w:jc w:val="right"/>
              <w:rPr>
                <w:sz w:val="18"/>
                <w:szCs w:val="18"/>
              </w:rPr>
            </w:pPr>
            <w:r w:rsidRPr="00DD662B">
              <w:rPr>
                <w:sz w:val="18"/>
                <w:szCs w:val="18"/>
              </w:rPr>
              <w:t>-19,2</w:t>
            </w:r>
          </w:p>
        </w:tc>
        <w:tc>
          <w:tcPr>
            <w:tcW w:w="631" w:type="dxa"/>
            <w:tcBorders>
              <w:bottom w:val="double" w:sz="4" w:space="0" w:color="auto"/>
              <w:right w:val="single" w:sz="4" w:space="0" w:color="auto"/>
            </w:tcBorders>
            <w:shd w:val="clear" w:color="auto" w:fill="auto"/>
            <w:tcMar>
              <w:left w:w="57" w:type="dxa"/>
              <w:right w:w="57" w:type="dxa"/>
            </w:tcMar>
            <w:vAlign w:val="center"/>
          </w:tcPr>
          <w:p w14:paraId="615F7971" w14:textId="77777777" w:rsidR="001E5473" w:rsidRPr="00DD662B" w:rsidRDefault="001E5473" w:rsidP="001E5473">
            <w:pPr>
              <w:spacing w:after="0" w:line="259" w:lineRule="auto"/>
              <w:ind w:firstLine="0"/>
              <w:jc w:val="right"/>
              <w:rPr>
                <w:sz w:val="18"/>
                <w:szCs w:val="18"/>
              </w:rPr>
            </w:pPr>
            <w:r w:rsidRPr="00DD662B">
              <w:rPr>
                <w:sz w:val="18"/>
                <w:szCs w:val="18"/>
              </w:rPr>
              <w:t>-34,7</w:t>
            </w:r>
          </w:p>
        </w:tc>
      </w:tr>
      <w:tr w:rsidR="001E5473" w:rsidRPr="00EF1D74" w14:paraId="38776009" w14:textId="77777777" w:rsidTr="001E5473">
        <w:trPr>
          <w:gridAfter w:val="1"/>
          <w:wAfter w:w="15" w:type="dxa"/>
          <w:trHeight w:val="333"/>
          <w:jc w:val="center"/>
        </w:trPr>
        <w:tc>
          <w:tcPr>
            <w:tcW w:w="2962" w:type="dxa"/>
            <w:tcBorders>
              <w:top w:val="double" w:sz="4" w:space="0" w:color="auto"/>
            </w:tcBorders>
            <w:shd w:val="clear" w:color="auto" w:fill="auto"/>
            <w:vAlign w:val="center"/>
          </w:tcPr>
          <w:p w14:paraId="1C84F141" w14:textId="23C098AA" w:rsidR="001E5473" w:rsidRPr="00EF1D74" w:rsidRDefault="001E5473" w:rsidP="001E5473">
            <w:pPr>
              <w:spacing w:after="0"/>
              <w:ind w:firstLine="0"/>
              <w:jc w:val="left"/>
              <w:rPr>
                <w:b/>
                <w:noProof/>
                <w:sz w:val="18"/>
                <w:szCs w:val="18"/>
              </w:rPr>
            </w:pPr>
            <w:r w:rsidRPr="00EF1D74">
              <w:rPr>
                <w:b/>
                <w:noProof/>
                <w:sz w:val="18"/>
                <w:szCs w:val="18"/>
              </w:rPr>
              <w:t>Vispā</w:t>
            </w:r>
            <w:r w:rsidR="007F32E2">
              <w:rPr>
                <w:b/>
                <w:noProof/>
                <w:sz w:val="18"/>
                <w:szCs w:val="18"/>
              </w:rPr>
              <w:t>rējās valdības parāds,</w:t>
            </w:r>
            <w:r w:rsidR="007F32E2">
              <w:rPr>
                <w:b/>
                <w:noProof/>
                <w:sz w:val="18"/>
                <w:szCs w:val="18"/>
              </w:rPr>
              <w:br/>
              <w:t xml:space="preserve">% no </w:t>
            </w:r>
            <w:r w:rsidR="007F32E2" w:rsidRPr="007F32E2">
              <w:rPr>
                <w:b/>
                <w:noProof/>
                <w:sz w:val="18"/>
                <w:szCs w:val="18"/>
              </w:rPr>
              <w:t>iekšzemes kopprodukta</w:t>
            </w:r>
          </w:p>
        </w:tc>
        <w:tc>
          <w:tcPr>
            <w:tcW w:w="848" w:type="dxa"/>
            <w:tcBorders>
              <w:top w:val="double" w:sz="4" w:space="0" w:color="auto"/>
            </w:tcBorders>
            <w:shd w:val="clear" w:color="auto" w:fill="auto"/>
            <w:tcMar>
              <w:left w:w="57" w:type="dxa"/>
              <w:right w:w="57" w:type="dxa"/>
            </w:tcMar>
            <w:vAlign w:val="center"/>
          </w:tcPr>
          <w:p w14:paraId="332814B8" w14:textId="77777777" w:rsidR="001E5473" w:rsidRPr="00E523E6" w:rsidRDefault="001E5473" w:rsidP="001E5473">
            <w:pPr>
              <w:spacing w:after="0"/>
              <w:ind w:firstLine="0"/>
              <w:jc w:val="right"/>
              <w:rPr>
                <w:b/>
                <w:noProof/>
                <w:sz w:val="18"/>
                <w:szCs w:val="18"/>
              </w:rPr>
            </w:pPr>
            <w:r w:rsidRPr="00E523E6">
              <w:rPr>
                <w:b/>
                <w:noProof/>
                <w:sz w:val="18"/>
                <w:szCs w:val="18"/>
              </w:rPr>
              <w:t>49%</w:t>
            </w:r>
          </w:p>
        </w:tc>
        <w:tc>
          <w:tcPr>
            <w:tcW w:w="847" w:type="dxa"/>
            <w:tcBorders>
              <w:top w:val="double" w:sz="4" w:space="0" w:color="auto"/>
            </w:tcBorders>
            <w:shd w:val="clear" w:color="auto" w:fill="auto"/>
            <w:tcMar>
              <w:left w:w="57" w:type="dxa"/>
              <w:right w:w="57" w:type="dxa"/>
            </w:tcMar>
            <w:vAlign w:val="center"/>
          </w:tcPr>
          <w:p w14:paraId="23AFA2F9" w14:textId="77777777" w:rsidR="001E5473" w:rsidRPr="00E523E6" w:rsidRDefault="001E5473" w:rsidP="001E5473">
            <w:pPr>
              <w:spacing w:after="0"/>
              <w:ind w:firstLine="0"/>
              <w:jc w:val="right"/>
              <w:rPr>
                <w:b/>
                <w:noProof/>
                <w:sz w:val="18"/>
                <w:szCs w:val="18"/>
              </w:rPr>
            </w:pPr>
            <w:r w:rsidRPr="00E523E6">
              <w:rPr>
                <w:b/>
                <w:noProof/>
                <w:sz w:val="18"/>
                <w:szCs w:val="18"/>
              </w:rPr>
              <w:t>54%</w:t>
            </w:r>
          </w:p>
        </w:tc>
        <w:tc>
          <w:tcPr>
            <w:tcW w:w="848" w:type="dxa"/>
            <w:tcBorders>
              <w:top w:val="double" w:sz="4" w:space="0" w:color="auto"/>
            </w:tcBorders>
            <w:shd w:val="clear" w:color="auto" w:fill="auto"/>
            <w:tcMar>
              <w:left w:w="57" w:type="dxa"/>
              <w:right w:w="57" w:type="dxa"/>
            </w:tcMar>
            <w:vAlign w:val="center"/>
          </w:tcPr>
          <w:p w14:paraId="240BF2EA" w14:textId="77777777" w:rsidR="001E5473" w:rsidRPr="00E523E6" w:rsidRDefault="001E5473" w:rsidP="001E5473">
            <w:pPr>
              <w:spacing w:after="0"/>
              <w:ind w:firstLine="0"/>
              <w:jc w:val="right"/>
              <w:rPr>
                <w:b/>
                <w:noProof/>
                <w:sz w:val="18"/>
                <w:szCs w:val="18"/>
              </w:rPr>
            </w:pPr>
            <w:r w:rsidRPr="00E523E6">
              <w:rPr>
                <w:b/>
                <w:noProof/>
                <w:sz w:val="18"/>
                <w:szCs w:val="18"/>
              </w:rPr>
              <w:t>53%</w:t>
            </w:r>
          </w:p>
        </w:tc>
        <w:tc>
          <w:tcPr>
            <w:tcW w:w="847" w:type="dxa"/>
            <w:tcBorders>
              <w:top w:val="double" w:sz="4" w:space="0" w:color="auto"/>
            </w:tcBorders>
            <w:shd w:val="clear" w:color="auto" w:fill="auto"/>
            <w:tcMar>
              <w:left w:w="57" w:type="dxa"/>
              <w:right w:w="57" w:type="dxa"/>
            </w:tcMar>
            <w:vAlign w:val="center"/>
          </w:tcPr>
          <w:p w14:paraId="7972C748" w14:textId="77777777" w:rsidR="001E5473" w:rsidRPr="00E523E6" w:rsidRDefault="001E5473" w:rsidP="001E5473">
            <w:pPr>
              <w:spacing w:after="0"/>
              <w:ind w:firstLine="0"/>
              <w:jc w:val="right"/>
              <w:rPr>
                <w:b/>
                <w:noProof/>
                <w:sz w:val="18"/>
                <w:szCs w:val="18"/>
              </w:rPr>
            </w:pPr>
            <w:r w:rsidRPr="00E523E6">
              <w:rPr>
                <w:b/>
                <w:noProof/>
                <w:sz w:val="18"/>
                <w:szCs w:val="18"/>
              </w:rPr>
              <w:t>53%</w:t>
            </w:r>
          </w:p>
        </w:tc>
        <w:tc>
          <w:tcPr>
            <w:tcW w:w="706" w:type="dxa"/>
            <w:tcBorders>
              <w:top w:val="double" w:sz="4" w:space="0" w:color="auto"/>
            </w:tcBorders>
            <w:shd w:val="clear" w:color="auto" w:fill="auto"/>
            <w:tcMar>
              <w:left w:w="57" w:type="dxa"/>
              <w:right w:w="57" w:type="dxa"/>
            </w:tcMar>
            <w:vAlign w:val="center"/>
          </w:tcPr>
          <w:p w14:paraId="435411E9" w14:textId="77777777" w:rsidR="001E5473" w:rsidRPr="00E523E6" w:rsidRDefault="001E5473" w:rsidP="001E5473">
            <w:pPr>
              <w:spacing w:after="0"/>
              <w:ind w:firstLine="0"/>
              <w:jc w:val="right"/>
              <w:rPr>
                <w:b/>
                <w:noProof/>
                <w:sz w:val="18"/>
                <w:szCs w:val="18"/>
              </w:rPr>
            </w:pPr>
            <w:r w:rsidRPr="00E523E6">
              <w:rPr>
                <w:b/>
                <w:noProof/>
                <w:sz w:val="18"/>
                <w:szCs w:val="18"/>
              </w:rPr>
              <w:t>0,5 pp</w:t>
            </w:r>
          </w:p>
        </w:tc>
        <w:tc>
          <w:tcPr>
            <w:tcW w:w="706" w:type="dxa"/>
            <w:tcBorders>
              <w:top w:val="double" w:sz="4" w:space="0" w:color="auto"/>
            </w:tcBorders>
            <w:shd w:val="clear" w:color="auto" w:fill="auto"/>
            <w:tcMar>
              <w:left w:w="57" w:type="dxa"/>
              <w:right w:w="57" w:type="dxa"/>
            </w:tcMar>
            <w:vAlign w:val="center"/>
          </w:tcPr>
          <w:p w14:paraId="0B40021F" w14:textId="77777777" w:rsidR="001E5473" w:rsidRPr="00E523E6" w:rsidRDefault="001E5473" w:rsidP="001E5473">
            <w:pPr>
              <w:spacing w:after="0" w:line="259" w:lineRule="auto"/>
              <w:ind w:firstLine="0"/>
              <w:jc w:val="right"/>
              <w:rPr>
                <w:b/>
                <w:noProof/>
                <w:sz w:val="18"/>
                <w:szCs w:val="18"/>
              </w:rPr>
            </w:pPr>
            <w:r w:rsidRPr="00E523E6">
              <w:rPr>
                <w:b/>
                <w:noProof/>
                <w:sz w:val="18"/>
                <w:szCs w:val="18"/>
              </w:rPr>
              <w:t>2,6 pp</w:t>
            </w:r>
          </w:p>
        </w:tc>
        <w:tc>
          <w:tcPr>
            <w:tcW w:w="705" w:type="dxa"/>
            <w:tcBorders>
              <w:top w:val="double" w:sz="4" w:space="0" w:color="auto"/>
            </w:tcBorders>
            <w:shd w:val="clear" w:color="auto" w:fill="auto"/>
            <w:tcMar>
              <w:left w:w="57" w:type="dxa"/>
              <w:right w:w="57" w:type="dxa"/>
            </w:tcMar>
            <w:vAlign w:val="center"/>
          </w:tcPr>
          <w:p w14:paraId="319E1702" w14:textId="77777777" w:rsidR="001E5473" w:rsidRPr="00E523E6" w:rsidRDefault="001E5473" w:rsidP="001E5473">
            <w:pPr>
              <w:spacing w:after="0" w:line="259" w:lineRule="auto"/>
              <w:ind w:firstLine="0"/>
              <w:jc w:val="right"/>
              <w:rPr>
                <w:b/>
                <w:noProof/>
                <w:sz w:val="18"/>
                <w:szCs w:val="18"/>
              </w:rPr>
            </w:pPr>
            <w:r w:rsidRPr="00E523E6">
              <w:rPr>
                <w:b/>
                <w:noProof/>
                <w:sz w:val="18"/>
                <w:szCs w:val="18"/>
              </w:rPr>
              <w:t>3,3 pp</w:t>
            </w:r>
          </w:p>
        </w:tc>
        <w:tc>
          <w:tcPr>
            <w:tcW w:w="631" w:type="dxa"/>
            <w:tcBorders>
              <w:top w:val="double" w:sz="4" w:space="0" w:color="auto"/>
            </w:tcBorders>
            <w:shd w:val="clear" w:color="auto" w:fill="auto"/>
            <w:tcMar>
              <w:left w:w="57" w:type="dxa"/>
              <w:right w:w="57" w:type="dxa"/>
            </w:tcMar>
            <w:vAlign w:val="center"/>
          </w:tcPr>
          <w:p w14:paraId="18E586F7" w14:textId="77777777" w:rsidR="001E5473" w:rsidRPr="00E523E6" w:rsidRDefault="001E5473" w:rsidP="001E5473">
            <w:pPr>
              <w:spacing w:after="0" w:line="259" w:lineRule="auto"/>
              <w:ind w:firstLine="0"/>
              <w:jc w:val="right"/>
              <w:rPr>
                <w:b/>
                <w:noProof/>
                <w:sz w:val="18"/>
                <w:szCs w:val="18"/>
              </w:rPr>
            </w:pPr>
            <w:r w:rsidRPr="00E523E6">
              <w:rPr>
                <w:b/>
                <w:noProof/>
                <w:sz w:val="18"/>
                <w:szCs w:val="18"/>
              </w:rPr>
              <w:t>4,1 pp</w:t>
            </w:r>
          </w:p>
        </w:tc>
      </w:tr>
    </w:tbl>
    <w:p w14:paraId="66725621" w14:textId="19321613" w:rsidR="002808B3" w:rsidRPr="007F32E2" w:rsidRDefault="001E5473" w:rsidP="007F32E2">
      <w:pPr>
        <w:autoSpaceDE w:val="0"/>
        <w:autoSpaceDN w:val="0"/>
        <w:adjustRightInd w:val="0"/>
        <w:spacing w:before="120"/>
        <w:rPr>
          <w:noProof/>
          <w:color w:val="000000"/>
          <w:szCs w:val="24"/>
        </w:rPr>
      </w:pPr>
      <w:r w:rsidRPr="007F240E">
        <w:rPr>
          <w:noProof/>
          <w:color w:val="000000"/>
          <w:szCs w:val="24"/>
        </w:rPr>
        <w:t>Papildus aplūkojam scenārijus, kuros aizņemšanās procentu likmes parāda pārfinansēšanai nosvārstās viena procentpukta robežās</w:t>
      </w:r>
      <w:r>
        <w:rPr>
          <w:noProof/>
          <w:color w:val="000000"/>
          <w:szCs w:val="24"/>
        </w:rPr>
        <w:t xml:space="preserve"> – </w:t>
      </w:r>
      <w:r w:rsidRPr="007F240E">
        <w:rPr>
          <w:noProof/>
          <w:color w:val="000000"/>
          <w:szCs w:val="24"/>
        </w:rPr>
        <w:t xml:space="preserve">par vienu procentpuktu palielinoties </w:t>
      </w:r>
      <w:r>
        <w:rPr>
          <w:noProof/>
          <w:color w:val="000000"/>
          <w:szCs w:val="24"/>
        </w:rPr>
        <w:t>vai</w:t>
      </w:r>
      <w:r w:rsidRPr="007F240E">
        <w:rPr>
          <w:noProof/>
          <w:color w:val="000000"/>
          <w:szCs w:val="24"/>
        </w:rPr>
        <w:t xml:space="preserve"> šādā apmērā samazinoties. Procentu likmēm par vienu procentpuktu palielinoties, procentu izdevumi 2022. gadā palielinātos par 8,1 milj. </w:t>
      </w:r>
      <w:r w:rsidRPr="007F240E">
        <w:rPr>
          <w:i/>
          <w:noProof/>
          <w:color w:val="000000"/>
          <w:szCs w:val="24"/>
        </w:rPr>
        <w:t>euro</w:t>
      </w:r>
      <w:r w:rsidRPr="007F240E">
        <w:rPr>
          <w:noProof/>
          <w:color w:val="000000"/>
          <w:szCs w:val="24"/>
        </w:rPr>
        <w:t xml:space="preserve">, 2023. gadā </w:t>
      </w:r>
      <w:r w:rsidRPr="00C537E9">
        <w:rPr>
          <w:noProof/>
          <w:color w:val="000000"/>
          <w:szCs w:val="24"/>
        </w:rPr>
        <w:t xml:space="preserve">izdevumi būtu jau par 34,7 milj. </w:t>
      </w:r>
      <w:r w:rsidRPr="00C537E9">
        <w:rPr>
          <w:i/>
          <w:noProof/>
          <w:color w:val="000000"/>
          <w:szCs w:val="24"/>
        </w:rPr>
        <w:t>euro</w:t>
      </w:r>
      <w:r w:rsidRPr="00C537E9">
        <w:rPr>
          <w:noProof/>
          <w:color w:val="000000"/>
          <w:szCs w:val="24"/>
        </w:rPr>
        <w:t xml:space="preserve"> un 2024. gadā par 60,7 milj. </w:t>
      </w:r>
      <w:r w:rsidRPr="00C537E9">
        <w:rPr>
          <w:i/>
          <w:noProof/>
          <w:color w:val="000000"/>
          <w:szCs w:val="24"/>
        </w:rPr>
        <w:t>euro</w:t>
      </w:r>
      <w:r w:rsidRPr="00C537E9">
        <w:rPr>
          <w:noProof/>
          <w:color w:val="000000"/>
          <w:szCs w:val="24"/>
        </w:rPr>
        <w:t xml:space="preserve"> lielāki nekā bāzes </w:t>
      </w:r>
      <w:r w:rsidRPr="00DD662B">
        <w:rPr>
          <w:noProof/>
          <w:color w:val="000000"/>
          <w:szCs w:val="24"/>
        </w:rPr>
        <w:t xml:space="preserve">scenārijā. Savukārt, procentu likmēm par vienu procentpuktu samazinoties, izdevumi 2022. gadā samazinātos par 2,8 milj. </w:t>
      </w:r>
      <w:r w:rsidRPr="00DD662B">
        <w:rPr>
          <w:i/>
          <w:noProof/>
          <w:color w:val="000000"/>
          <w:szCs w:val="24"/>
        </w:rPr>
        <w:t>euro</w:t>
      </w:r>
      <w:r w:rsidRPr="00DD662B">
        <w:rPr>
          <w:noProof/>
          <w:color w:val="000000"/>
          <w:szCs w:val="24"/>
        </w:rPr>
        <w:t xml:space="preserve">, 2023. gadā izdevumi būtu par 19,2 milj. </w:t>
      </w:r>
      <w:r w:rsidRPr="00DD662B">
        <w:rPr>
          <w:i/>
          <w:noProof/>
          <w:color w:val="000000"/>
          <w:szCs w:val="24"/>
        </w:rPr>
        <w:t>euro</w:t>
      </w:r>
      <w:r w:rsidRPr="00DD662B">
        <w:rPr>
          <w:noProof/>
          <w:color w:val="000000"/>
          <w:szCs w:val="24"/>
        </w:rPr>
        <w:t xml:space="preserve"> un 2024. gadā par 34,7 milj. </w:t>
      </w:r>
      <w:r w:rsidRPr="00DD662B">
        <w:rPr>
          <w:i/>
          <w:noProof/>
          <w:color w:val="000000"/>
          <w:szCs w:val="24"/>
        </w:rPr>
        <w:t>euro</w:t>
      </w:r>
      <w:r w:rsidRPr="00DD662B">
        <w:rPr>
          <w:noProof/>
          <w:color w:val="000000"/>
          <w:szCs w:val="24"/>
        </w:rPr>
        <w:t xml:space="preserve"> mazāki nekā bāzes scenārijā.</w:t>
      </w:r>
    </w:p>
    <w:p w14:paraId="49A7AF27" w14:textId="4F169160" w:rsidR="00F75A1F" w:rsidRPr="00A50F71" w:rsidRDefault="000110A6" w:rsidP="007F32E2">
      <w:pPr>
        <w:pStyle w:val="Heading2"/>
        <w:spacing w:before="240" w:after="240"/>
        <w:jc w:val="center"/>
        <w:rPr>
          <w:rFonts w:eastAsia="Times New Roman" w:cs="Times New Roman"/>
          <w:szCs w:val="32"/>
        </w:rPr>
      </w:pPr>
      <w:bookmarkStart w:id="35" w:name="_Toc84756403"/>
      <w:r>
        <w:rPr>
          <w:rFonts w:eastAsia="Times New Roman" w:cs="Times New Roman"/>
          <w:szCs w:val="32"/>
        </w:rPr>
        <w:t xml:space="preserve">1.6. </w:t>
      </w:r>
      <w:r w:rsidR="000548A5" w:rsidRPr="000110A6">
        <w:t>Iepriekšējo makroekonomisko prognožu izvērtējums</w:t>
      </w:r>
      <w:bookmarkEnd w:id="35"/>
    </w:p>
    <w:p w14:paraId="09C9D872" w14:textId="62B42EB0" w:rsidR="000110A6" w:rsidRPr="00DF1711" w:rsidRDefault="00C3141A" w:rsidP="00A45F1F">
      <w:pPr>
        <w:spacing w:before="120"/>
        <w:ind w:firstLine="709"/>
        <w:rPr>
          <w:rFonts w:eastAsia="Calibri"/>
        </w:rPr>
      </w:pPr>
      <w:r>
        <w:rPr>
          <w:rFonts w:eastAsia="Calibri"/>
        </w:rPr>
        <w:t>Finanšu ministrijas</w:t>
      </w:r>
      <w:r w:rsidR="000110A6" w:rsidRPr="00DF1711">
        <w:rPr>
          <w:rFonts w:eastAsia="Calibri"/>
        </w:rPr>
        <w:t xml:space="preserve"> makroekonomiskās prognozes </w:t>
      </w:r>
      <w:r w:rsidR="000110A6">
        <w:rPr>
          <w:rFonts w:eastAsia="Calibri"/>
        </w:rPr>
        <w:t>2022. gada</w:t>
      </w:r>
      <w:r w:rsidR="000110A6" w:rsidRPr="00DF1711">
        <w:rPr>
          <w:rFonts w:eastAsia="Calibri"/>
        </w:rPr>
        <w:t xml:space="preserve"> budžeta vajadzībām tika izstrādātas 2021</w:t>
      </w:r>
      <w:r w:rsidR="000110A6">
        <w:rPr>
          <w:rFonts w:eastAsia="Calibri"/>
        </w:rPr>
        <w:t>. gad</w:t>
      </w:r>
      <w:r w:rsidR="000110A6" w:rsidRPr="00DF1711">
        <w:rPr>
          <w:rFonts w:eastAsia="Calibri"/>
        </w:rPr>
        <w:t xml:space="preserve">a jūnijā, balstoties uz pēdējiem uz to brīdi pieejamajiem datiem un augstas nenoteiktības apstākļos, ņemot vērā </w:t>
      </w:r>
      <w:r w:rsidR="000110A6">
        <w:rPr>
          <w:rFonts w:eastAsia="Calibri"/>
        </w:rPr>
        <w:t>Covid</w:t>
      </w:r>
      <w:r w:rsidR="000110A6">
        <w:rPr>
          <w:rFonts w:eastAsia="Calibri"/>
        </w:rPr>
        <w:noBreakHyphen/>
        <w:t>19</w:t>
      </w:r>
      <w:r w:rsidR="000110A6" w:rsidRPr="00DF1711">
        <w:rPr>
          <w:rFonts w:eastAsia="Calibri"/>
        </w:rPr>
        <w:t xml:space="preserve"> izplatības neprognozējamību. Pēdējos piecos gados </w:t>
      </w:r>
      <w:r>
        <w:rPr>
          <w:rFonts w:eastAsia="Calibri"/>
        </w:rPr>
        <w:t>Finanšu ministrijas</w:t>
      </w:r>
      <w:r w:rsidR="000110A6" w:rsidRPr="00DF1711">
        <w:rPr>
          <w:rFonts w:eastAsia="Calibri"/>
        </w:rPr>
        <w:t xml:space="preserve"> prognozes kopumā ir atbildušas ekonomiskajam trendam, </w:t>
      </w:r>
      <w:r w:rsidR="000110A6">
        <w:rPr>
          <w:rFonts w:eastAsia="Calibri"/>
        </w:rPr>
        <w:t>tomēr</w:t>
      </w:r>
      <w:r w:rsidR="000110A6" w:rsidRPr="00DF1711">
        <w:rPr>
          <w:rFonts w:eastAsia="Calibri"/>
        </w:rPr>
        <w:t xml:space="preserve"> 2020</w:t>
      </w:r>
      <w:r w:rsidR="000110A6">
        <w:rPr>
          <w:rFonts w:eastAsia="Calibri"/>
        </w:rPr>
        <w:t>. gad</w:t>
      </w:r>
      <w:r w:rsidR="000110A6" w:rsidRPr="00DF1711">
        <w:rPr>
          <w:rFonts w:eastAsia="Calibri"/>
        </w:rPr>
        <w:t xml:space="preserve">a </w:t>
      </w:r>
      <w:r w:rsidR="000110A6">
        <w:rPr>
          <w:rFonts w:eastAsia="Calibri"/>
        </w:rPr>
        <w:t xml:space="preserve">prognoze bija </w:t>
      </w:r>
      <w:r w:rsidR="000110A6" w:rsidRPr="00E3390A">
        <w:rPr>
          <w:rFonts w:eastAsia="Calibri"/>
        </w:rPr>
        <w:t>zemāka nekā fakts, jo pandēmijas dziļums un ietekme uz ekonomiku ir saistīta ar lielu nenoteiktību.</w:t>
      </w:r>
      <w:r w:rsidR="000110A6" w:rsidRPr="00DF1711">
        <w:rPr>
          <w:rFonts w:eastAsia="Calibri"/>
        </w:rPr>
        <w:t xml:space="preserve"> Kopumā prognozēm nav vērojamas sistemātiskas kļūdas, līdz ar to prognozēšanas process kopumā ir vērtējams kā apmierinošs.</w:t>
      </w:r>
    </w:p>
    <w:p w14:paraId="1F813ABF" w14:textId="23F5BA1D" w:rsidR="000110A6" w:rsidRDefault="00C3141A" w:rsidP="00A45F1F">
      <w:pPr>
        <w:spacing w:before="120"/>
        <w:rPr>
          <w:rFonts w:eastAsia="Calibri"/>
        </w:rPr>
      </w:pPr>
      <w:r>
        <w:rPr>
          <w:rFonts w:eastAsia="Calibri"/>
        </w:rPr>
        <w:t>Iekšzemes kopprodukta</w:t>
      </w:r>
      <w:r w:rsidR="000110A6" w:rsidRPr="00DF1711">
        <w:rPr>
          <w:rFonts w:eastAsia="Calibri"/>
        </w:rPr>
        <w:t xml:space="preserve"> pieauguma prognožu novirze no fakta piecos pēdējos gados vidēji bija 1,5 procentpunkti, bet neskaitot 2020</w:t>
      </w:r>
      <w:r w:rsidR="000110A6">
        <w:rPr>
          <w:rFonts w:eastAsia="Calibri"/>
        </w:rPr>
        <w:t>. gad</w:t>
      </w:r>
      <w:r w:rsidR="000110A6" w:rsidRPr="00DF1711">
        <w:rPr>
          <w:rFonts w:eastAsia="Calibri"/>
        </w:rPr>
        <w:t>u</w:t>
      </w:r>
      <w:r w:rsidR="000110A6">
        <w:rPr>
          <w:rFonts w:eastAsia="Calibri"/>
        </w:rPr>
        <w:t>,</w:t>
      </w:r>
      <w:r w:rsidR="000110A6" w:rsidRPr="00DF1711">
        <w:rPr>
          <w:rFonts w:eastAsia="Calibri"/>
        </w:rPr>
        <w:t xml:space="preserve"> tikai -0,1 procentpunktu. Turklāt prognožu novirzes gan pozitīvā, gan negatīvā virzienā ir bijušas vienād</w:t>
      </w:r>
      <w:r w:rsidR="000110A6">
        <w:rPr>
          <w:rFonts w:eastAsia="Calibri"/>
        </w:rPr>
        <w:t>ā</w:t>
      </w:r>
      <w:r w:rsidR="000110A6" w:rsidRPr="00DF1711">
        <w:rPr>
          <w:rFonts w:eastAsia="Calibri"/>
        </w:rPr>
        <w:t xml:space="preserve"> skait</w:t>
      </w:r>
      <w:r w:rsidR="000110A6">
        <w:rPr>
          <w:rFonts w:eastAsia="Calibri"/>
        </w:rPr>
        <w:t>ā</w:t>
      </w:r>
      <w:r w:rsidR="000110A6" w:rsidRPr="00DF1711">
        <w:rPr>
          <w:rFonts w:eastAsia="Calibri"/>
        </w:rPr>
        <w:t>, norādot, ka tās nav ar sistemātisku novirzi vienā virzienā. 2020</w:t>
      </w:r>
      <w:r w:rsidR="000110A6">
        <w:rPr>
          <w:rFonts w:eastAsia="Calibri"/>
        </w:rPr>
        <w:t>. gad</w:t>
      </w:r>
      <w:r w:rsidR="000110A6" w:rsidRPr="00DF1711">
        <w:rPr>
          <w:rFonts w:eastAsia="Calibri"/>
        </w:rPr>
        <w:t xml:space="preserve">s </w:t>
      </w:r>
      <w:r w:rsidR="000110A6">
        <w:rPr>
          <w:rFonts w:eastAsia="Calibri"/>
        </w:rPr>
        <w:t>ir izņēmums</w:t>
      </w:r>
      <w:r w:rsidR="000110A6" w:rsidRPr="00DF1711">
        <w:rPr>
          <w:rFonts w:eastAsia="Calibri"/>
        </w:rPr>
        <w:t xml:space="preserve"> ar to, ka </w:t>
      </w:r>
      <w:r w:rsidR="000110A6">
        <w:rPr>
          <w:rFonts w:eastAsia="Calibri"/>
        </w:rPr>
        <w:t>Covid</w:t>
      </w:r>
      <w:r w:rsidR="000110A6">
        <w:rPr>
          <w:rFonts w:eastAsia="Calibri"/>
        </w:rPr>
        <w:noBreakHyphen/>
        <w:t>19 radīja netipisku novirzi no biznesa cikla</w:t>
      </w:r>
      <w:r w:rsidR="000110A6" w:rsidRPr="00E3390A">
        <w:rPr>
          <w:rFonts w:eastAsia="Calibri"/>
        </w:rPr>
        <w:t>. Salīdzinājumam</w:t>
      </w:r>
      <w:r w:rsidR="000110A6" w:rsidRPr="00DF1711">
        <w:rPr>
          <w:rFonts w:eastAsia="Calibri"/>
        </w:rPr>
        <w:t xml:space="preserve">, tāpēc arī starptautisko institūciju </w:t>
      </w:r>
      <w:r>
        <w:rPr>
          <w:rFonts w:eastAsia="Calibri"/>
        </w:rPr>
        <w:t>iekšzemes kopprodukta</w:t>
      </w:r>
      <w:r w:rsidR="000110A6" w:rsidRPr="00DF1711">
        <w:rPr>
          <w:rFonts w:eastAsia="Calibri"/>
        </w:rPr>
        <w:t xml:space="preserve"> pieauguma prognožu kļūda 2020</w:t>
      </w:r>
      <w:r w:rsidR="000110A6">
        <w:rPr>
          <w:rFonts w:eastAsia="Calibri"/>
        </w:rPr>
        <w:t>. gad</w:t>
      </w:r>
      <w:r w:rsidR="000110A6" w:rsidRPr="00DF1711">
        <w:rPr>
          <w:rFonts w:eastAsia="Calibri"/>
        </w:rPr>
        <w:t>am bija pat lielāka nekā Finanšu ministrijai. Arī 2022. un 2023</w:t>
      </w:r>
      <w:r w:rsidR="000110A6">
        <w:rPr>
          <w:rFonts w:eastAsia="Calibri"/>
        </w:rPr>
        <w:t>. gad</w:t>
      </w:r>
      <w:r w:rsidR="000110A6" w:rsidRPr="00DF1711">
        <w:rPr>
          <w:rFonts w:eastAsia="Calibri"/>
        </w:rPr>
        <w:t>s</w:t>
      </w:r>
      <w:r w:rsidR="000110A6">
        <w:rPr>
          <w:rFonts w:eastAsia="Calibri"/>
        </w:rPr>
        <w:t>,</w:t>
      </w:r>
      <w:r w:rsidR="000110A6" w:rsidRPr="00DF1711">
        <w:rPr>
          <w:rFonts w:eastAsia="Calibri"/>
        </w:rPr>
        <w:t xml:space="preserve"> domājams</w:t>
      </w:r>
      <w:r w:rsidR="000110A6">
        <w:rPr>
          <w:rFonts w:eastAsia="Calibri"/>
        </w:rPr>
        <w:t>,</w:t>
      </w:r>
      <w:r w:rsidR="000110A6" w:rsidRPr="00DF1711">
        <w:rPr>
          <w:rFonts w:eastAsia="Calibri"/>
        </w:rPr>
        <w:t xml:space="preserve"> būs ar lielu prognožu novirzi no faktiskajiem datiem, ņemot vērā lielo nenoteiktību, kādu rada </w:t>
      </w:r>
      <w:r w:rsidR="000110A6">
        <w:rPr>
          <w:rFonts w:eastAsia="Calibri"/>
        </w:rPr>
        <w:t>Covid</w:t>
      </w:r>
      <w:r w:rsidR="000110A6">
        <w:rPr>
          <w:rFonts w:eastAsia="Calibri"/>
        </w:rPr>
        <w:noBreakHyphen/>
        <w:t>19</w:t>
      </w:r>
      <w:r w:rsidR="000110A6" w:rsidRPr="00DF1711">
        <w:rPr>
          <w:rFonts w:eastAsia="Calibri"/>
        </w:rPr>
        <w:t xml:space="preserve"> ietekme uz ekonomisko attīstību turpmākajos gados.</w:t>
      </w:r>
    </w:p>
    <w:p w14:paraId="0AC6E8DC" w14:textId="77777777" w:rsidR="000110A6" w:rsidRDefault="000110A6" w:rsidP="002B2F86">
      <w:pPr>
        <w:ind w:firstLine="0"/>
        <w:jc w:val="center"/>
        <w:rPr>
          <w:sz w:val="28"/>
          <w:szCs w:val="28"/>
        </w:rPr>
      </w:pPr>
      <w:r w:rsidRPr="00273D09">
        <w:rPr>
          <w:noProof/>
          <w:sz w:val="18"/>
          <w:szCs w:val="18"/>
        </w:rPr>
        <w:lastRenderedPageBreak/>
        <w:drawing>
          <wp:inline distT="0" distB="0" distL="0" distR="0" wp14:anchorId="1DD6B982" wp14:editId="51976C18">
            <wp:extent cx="5274310" cy="2888615"/>
            <wp:effectExtent l="0" t="0" r="2540" b="698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E787591" w14:textId="4FBFEDCF" w:rsidR="00C3141A" w:rsidRPr="00C3141A" w:rsidRDefault="00C3141A" w:rsidP="00C3141A">
      <w:pPr>
        <w:pStyle w:val="Tabulasvirsraksts"/>
        <w:keepNext/>
        <w:spacing w:before="120" w:after="120"/>
      </w:pPr>
      <w:r w:rsidRPr="00C3141A">
        <w:t>1.43. attēls</w:t>
      </w:r>
      <w:r>
        <w:t>. Iekšzemes kopprodukta</w:t>
      </w:r>
      <w:r w:rsidRPr="00C3141A">
        <w:t xml:space="preserve"> vidēja termiņa prognozes un faktiskā izpilde</w:t>
      </w:r>
      <w:r w:rsidRPr="00C3141A">
        <w:br/>
        <w:t>(salīdzināmās cenās, 2007=100)</w:t>
      </w:r>
    </w:p>
    <w:p w14:paraId="0BDFEF6E" w14:textId="48E7E762" w:rsidR="000110A6" w:rsidRPr="00DF1711" w:rsidRDefault="000110A6" w:rsidP="000110A6">
      <w:pPr>
        <w:spacing w:before="120"/>
        <w:ind w:firstLine="567"/>
        <w:rPr>
          <w:rFonts w:eastAsia="Calibri"/>
        </w:rPr>
      </w:pPr>
      <w:r w:rsidRPr="00DF1711">
        <w:rPr>
          <w:rFonts w:eastAsia="Calibri"/>
        </w:rPr>
        <w:t xml:space="preserve">Pēdējos piecos gados būtiskākā ietekme uz </w:t>
      </w:r>
      <w:r w:rsidR="00C3141A">
        <w:rPr>
          <w:rFonts w:eastAsia="Calibri"/>
        </w:rPr>
        <w:t>iekšzemes kopprodukta</w:t>
      </w:r>
      <w:r w:rsidRPr="00DF1711">
        <w:rPr>
          <w:rFonts w:eastAsia="Calibri"/>
        </w:rPr>
        <w:t xml:space="preserve"> pieauguma prognožu novirzi ir krājumu izmaiņām, kas 2016</w:t>
      </w:r>
      <w:r>
        <w:rPr>
          <w:rFonts w:eastAsia="Calibri"/>
        </w:rPr>
        <w:t>. gad</w:t>
      </w:r>
      <w:r w:rsidRPr="00DF1711">
        <w:rPr>
          <w:rFonts w:eastAsia="Calibri"/>
        </w:rPr>
        <w:t>ā un 2020</w:t>
      </w:r>
      <w:r>
        <w:rPr>
          <w:rFonts w:eastAsia="Calibri"/>
        </w:rPr>
        <w:t>. gad</w:t>
      </w:r>
      <w:r w:rsidRPr="00DF1711">
        <w:rPr>
          <w:rFonts w:eastAsia="Calibri"/>
        </w:rPr>
        <w:t>ā veidoja attiecīgi -2,5 un +3,1 procentpunktus, arī 2017. un 2018</w:t>
      </w:r>
      <w:r>
        <w:rPr>
          <w:rFonts w:eastAsia="Calibri"/>
        </w:rPr>
        <w:t>. gados tā bija vērā ņemama (</w:t>
      </w:r>
      <w:r w:rsidRPr="00DF1711">
        <w:rPr>
          <w:rFonts w:eastAsia="Calibri"/>
        </w:rPr>
        <w:t>1.4</w:t>
      </w:r>
      <w:r>
        <w:rPr>
          <w:rFonts w:eastAsia="Calibri"/>
        </w:rPr>
        <w:t>4</w:t>
      </w:r>
      <w:r w:rsidRPr="00DF1711">
        <w:rPr>
          <w:rFonts w:eastAsia="Calibri"/>
        </w:rPr>
        <w:t>. </w:t>
      </w:r>
      <w:r>
        <w:rPr>
          <w:rFonts w:eastAsia="Calibri"/>
        </w:rPr>
        <w:t>attēls</w:t>
      </w:r>
      <w:r w:rsidRPr="00DF1711">
        <w:rPr>
          <w:rFonts w:eastAsia="Calibri"/>
        </w:rPr>
        <w:t xml:space="preserve">). </w:t>
      </w:r>
      <w:r w:rsidR="00C3141A">
        <w:rPr>
          <w:rFonts w:eastAsia="Calibri"/>
        </w:rPr>
        <w:t>Centrālā statistikas pārvalde</w:t>
      </w:r>
      <w:r w:rsidRPr="00DF1711">
        <w:rPr>
          <w:rFonts w:eastAsia="Calibri"/>
        </w:rPr>
        <w:t xml:space="preserve"> krājumu izmaiņās iekļauj ekonomiskajai darbībai nepieciešamos uzkrājumus, kā arī stati</w:t>
      </w:r>
      <w:r w:rsidR="00C3141A">
        <w:rPr>
          <w:rFonts w:eastAsia="Calibri"/>
        </w:rPr>
        <w:t>stisko novirzi, kas rodas no iekšzemes kopprodukta</w:t>
      </w:r>
      <w:r w:rsidRPr="00DF1711">
        <w:rPr>
          <w:rFonts w:eastAsia="Calibri"/>
        </w:rPr>
        <w:t xml:space="preserve"> kontu balansēšanas no ražošanas un izlietojuma puses. Tieši statistiskā novirze ir galvenais nezināmais, kas ietekmē prognozes un kuru nav iespējams racionāli prognozēt. Prognozēs tika pieņemts, ka tai nav ietekme uz IKP pieauguma tempiem, kas ir arī vispārpieņemta prognozēšanas prakse.</w:t>
      </w:r>
    </w:p>
    <w:p w14:paraId="28F10895" w14:textId="15722965" w:rsidR="000110A6" w:rsidRPr="00C3141A" w:rsidRDefault="000110A6" w:rsidP="00C3141A">
      <w:pPr>
        <w:pStyle w:val="Tabulasvirsraksts"/>
        <w:keepNext/>
        <w:spacing w:before="120" w:after="120"/>
        <w:jc w:val="right"/>
        <w:rPr>
          <w:i/>
        </w:rPr>
      </w:pPr>
      <w:r w:rsidRPr="00C3141A">
        <w:rPr>
          <w:i/>
        </w:rPr>
        <w:t>1.10. tabula</w:t>
      </w:r>
      <w:r w:rsidR="002B2F86">
        <w:rPr>
          <w:i/>
        </w:rPr>
        <w:t>.</w:t>
      </w:r>
      <w:r w:rsidRPr="00C3141A">
        <w:rPr>
          <w:i/>
        </w:rPr>
        <w:t xml:space="preserve"> Finanšu ministrijas un starp</w:t>
      </w:r>
      <w:r w:rsidR="00C3141A">
        <w:rPr>
          <w:i/>
        </w:rPr>
        <w:t>tautisko finanšu institūciju iekšzemes kopprodukta</w:t>
      </w:r>
      <w:r w:rsidRPr="00C3141A">
        <w:rPr>
          <w:i/>
        </w:rPr>
        <w:t xml:space="preserve"> pieauguma salīdzināmajās cenās (%) prognožu salīdzinājums</w:t>
      </w:r>
      <w:r w:rsidRPr="00C3141A">
        <w:rPr>
          <w:i/>
          <w:vertAlign w:val="superscript"/>
        </w:rPr>
        <w:footnoteReference w:id="9"/>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090"/>
        <w:gridCol w:w="1015"/>
        <w:gridCol w:w="746"/>
        <w:gridCol w:w="746"/>
        <w:gridCol w:w="747"/>
        <w:gridCol w:w="746"/>
        <w:gridCol w:w="746"/>
        <w:gridCol w:w="746"/>
        <w:gridCol w:w="747"/>
      </w:tblGrid>
      <w:tr w:rsidR="000110A6" w:rsidRPr="00046063" w14:paraId="5A4CF10F" w14:textId="77777777" w:rsidTr="00C3141A">
        <w:trPr>
          <w:trHeight w:val="300"/>
        </w:trPr>
        <w:tc>
          <w:tcPr>
            <w:tcW w:w="3091" w:type="dxa"/>
            <w:shd w:val="clear" w:color="auto" w:fill="9CC2E5" w:themeFill="accent1" w:themeFillTint="99"/>
            <w:noWrap/>
            <w:vAlign w:val="center"/>
            <w:hideMark/>
          </w:tcPr>
          <w:p w14:paraId="41E309C1" w14:textId="77777777" w:rsidR="000110A6" w:rsidRPr="00046063" w:rsidRDefault="000110A6" w:rsidP="000110A6">
            <w:pPr>
              <w:spacing w:before="100" w:beforeAutospacing="1" w:after="100" w:afterAutospacing="1"/>
              <w:rPr>
                <w:sz w:val="18"/>
                <w:szCs w:val="18"/>
              </w:rPr>
            </w:pPr>
          </w:p>
        </w:tc>
        <w:tc>
          <w:tcPr>
            <w:tcW w:w="1015" w:type="dxa"/>
            <w:shd w:val="clear" w:color="auto" w:fill="9CC2E5" w:themeFill="accent1" w:themeFillTint="99"/>
            <w:tcMar>
              <w:right w:w="113" w:type="dxa"/>
            </w:tcMar>
            <w:vAlign w:val="center"/>
            <w:hideMark/>
          </w:tcPr>
          <w:p w14:paraId="3DFA11D9" w14:textId="77777777" w:rsidR="000110A6" w:rsidRPr="00046063" w:rsidRDefault="000110A6" w:rsidP="00C3141A">
            <w:pPr>
              <w:spacing w:before="100" w:beforeAutospacing="1" w:after="100" w:afterAutospacing="1"/>
              <w:ind w:firstLine="0"/>
              <w:jc w:val="center"/>
              <w:rPr>
                <w:b/>
                <w:sz w:val="18"/>
                <w:szCs w:val="18"/>
              </w:rPr>
            </w:pPr>
            <w:r w:rsidRPr="00046063">
              <w:rPr>
                <w:b/>
                <w:sz w:val="18"/>
                <w:szCs w:val="18"/>
              </w:rPr>
              <w:t>2015</w:t>
            </w:r>
          </w:p>
        </w:tc>
        <w:tc>
          <w:tcPr>
            <w:tcW w:w="746" w:type="dxa"/>
            <w:shd w:val="clear" w:color="auto" w:fill="9CC2E5" w:themeFill="accent1" w:themeFillTint="99"/>
            <w:tcMar>
              <w:right w:w="113" w:type="dxa"/>
            </w:tcMar>
            <w:vAlign w:val="center"/>
            <w:hideMark/>
          </w:tcPr>
          <w:p w14:paraId="3D8B786A" w14:textId="77777777" w:rsidR="000110A6" w:rsidRPr="00046063" w:rsidRDefault="000110A6" w:rsidP="00C3141A">
            <w:pPr>
              <w:spacing w:before="100" w:beforeAutospacing="1" w:after="100" w:afterAutospacing="1"/>
              <w:ind w:firstLine="0"/>
              <w:jc w:val="center"/>
              <w:rPr>
                <w:b/>
                <w:sz w:val="18"/>
                <w:szCs w:val="18"/>
              </w:rPr>
            </w:pPr>
            <w:r w:rsidRPr="00046063">
              <w:rPr>
                <w:b/>
                <w:sz w:val="18"/>
                <w:szCs w:val="18"/>
              </w:rPr>
              <w:t>2016</w:t>
            </w:r>
          </w:p>
        </w:tc>
        <w:tc>
          <w:tcPr>
            <w:tcW w:w="746" w:type="dxa"/>
            <w:shd w:val="clear" w:color="auto" w:fill="9CC2E5" w:themeFill="accent1" w:themeFillTint="99"/>
            <w:noWrap/>
            <w:tcMar>
              <w:right w:w="113" w:type="dxa"/>
            </w:tcMar>
            <w:vAlign w:val="center"/>
            <w:hideMark/>
          </w:tcPr>
          <w:p w14:paraId="2A975865" w14:textId="77777777" w:rsidR="000110A6" w:rsidRPr="00046063" w:rsidRDefault="000110A6" w:rsidP="00C3141A">
            <w:pPr>
              <w:spacing w:before="100" w:beforeAutospacing="1" w:after="100" w:afterAutospacing="1"/>
              <w:ind w:firstLine="0"/>
              <w:jc w:val="center"/>
              <w:rPr>
                <w:b/>
                <w:sz w:val="18"/>
                <w:szCs w:val="18"/>
              </w:rPr>
            </w:pPr>
            <w:r w:rsidRPr="00046063">
              <w:rPr>
                <w:b/>
                <w:sz w:val="18"/>
                <w:szCs w:val="18"/>
              </w:rPr>
              <w:t>2017</w:t>
            </w:r>
          </w:p>
        </w:tc>
        <w:tc>
          <w:tcPr>
            <w:tcW w:w="747" w:type="dxa"/>
            <w:shd w:val="clear" w:color="auto" w:fill="9CC2E5" w:themeFill="accent1" w:themeFillTint="99"/>
            <w:tcMar>
              <w:right w:w="113" w:type="dxa"/>
            </w:tcMar>
            <w:vAlign w:val="center"/>
            <w:hideMark/>
          </w:tcPr>
          <w:p w14:paraId="0B26E506" w14:textId="77777777" w:rsidR="000110A6" w:rsidRPr="00046063" w:rsidRDefault="000110A6" w:rsidP="00C3141A">
            <w:pPr>
              <w:spacing w:before="100" w:beforeAutospacing="1" w:after="100" w:afterAutospacing="1"/>
              <w:ind w:firstLine="0"/>
              <w:jc w:val="center"/>
              <w:rPr>
                <w:b/>
                <w:sz w:val="18"/>
                <w:szCs w:val="18"/>
              </w:rPr>
            </w:pPr>
            <w:r w:rsidRPr="00046063">
              <w:rPr>
                <w:b/>
                <w:sz w:val="18"/>
                <w:szCs w:val="18"/>
              </w:rPr>
              <w:t>2018</w:t>
            </w:r>
          </w:p>
        </w:tc>
        <w:tc>
          <w:tcPr>
            <w:tcW w:w="746" w:type="dxa"/>
            <w:shd w:val="clear" w:color="auto" w:fill="9CC2E5" w:themeFill="accent1" w:themeFillTint="99"/>
            <w:noWrap/>
            <w:tcMar>
              <w:right w:w="113" w:type="dxa"/>
            </w:tcMar>
            <w:vAlign w:val="center"/>
            <w:hideMark/>
          </w:tcPr>
          <w:p w14:paraId="6E2CD1D9" w14:textId="77777777" w:rsidR="000110A6" w:rsidRPr="00046063" w:rsidRDefault="000110A6" w:rsidP="00C3141A">
            <w:pPr>
              <w:spacing w:before="100" w:beforeAutospacing="1" w:after="100" w:afterAutospacing="1"/>
              <w:ind w:firstLine="0"/>
              <w:jc w:val="center"/>
              <w:rPr>
                <w:b/>
                <w:sz w:val="18"/>
                <w:szCs w:val="18"/>
              </w:rPr>
            </w:pPr>
            <w:r w:rsidRPr="00046063">
              <w:rPr>
                <w:b/>
                <w:sz w:val="18"/>
                <w:szCs w:val="18"/>
              </w:rPr>
              <w:t>2019</w:t>
            </w:r>
          </w:p>
        </w:tc>
        <w:tc>
          <w:tcPr>
            <w:tcW w:w="746" w:type="dxa"/>
            <w:shd w:val="clear" w:color="auto" w:fill="9CC2E5" w:themeFill="accent1" w:themeFillTint="99"/>
            <w:tcMar>
              <w:right w:w="113" w:type="dxa"/>
            </w:tcMar>
            <w:vAlign w:val="center"/>
            <w:hideMark/>
          </w:tcPr>
          <w:p w14:paraId="487B544A" w14:textId="77777777" w:rsidR="000110A6" w:rsidRPr="00046063" w:rsidRDefault="000110A6" w:rsidP="00C3141A">
            <w:pPr>
              <w:spacing w:before="100" w:beforeAutospacing="1" w:after="100" w:afterAutospacing="1"/>
              <w:ind w:firstLine="0"/>
              <w:jc w:val="center"/>
              <w:rPr>
                <w:b/>
                <w:sz w:val="18"/>
                <w:szCs w:val="18"/>
              </w:rPr>
            </w:pPr>
            <w:r w:rsidRPr="00046063">
              <w:rPr>
                <w:b/>
                <w:sz w:val="18"/>
                <w:szCs w:val="18"/>
              </w:rPr>
              <w:t>2020</w:t>
            </w:r>
          </w:p>
        </w:tc>
        <w:tc>
          <w:tcPr>
            <w:tcW w:w="746" w:type="dxa"/>
            <w:shd w:val="clear" w:color="auto" w:fill="9CC2E5" w:themeFill="accent1" w:themeFillTint="99"/>
            <w:noWrap/>
            <w:tcMar>
              <w:right w:w="113" w:type="dxa"/>
            </w:tcMar>
            <w:vAlign w:val="center"/>
            <w:hideMark/>
          </w:tcPr>
          <w:p w14:paraId="3E5D686F" w14:textId="77777777" w:rsidR="000110A6" w:rsidRPr="00046063" w:rsidRDefault="000110A6" w:rsidP="00C3141A">
            <w:pPr>
              <w:spacing w:before="100" w:beforeAutospacing="1" w:after="100" w:afterAutospacing="1"/>
              <w:ind w:firstLine="0"/>
              <w:jc w:val="center"/>
              <w:rPr>
                <w:b/>
                <w:sz w:val="18"/>
                <w:szCs w:val="18"/>
              </w:rPr>
            </w:pPr>
            <w:r w:rsidRPr="00046063">
              <w:rPr>
                <w:b/>
                <w:sz w:val="18"/>
                <w:szCs w:val="18"/>
              </w:rPr>
              <w:t>2021</w:t>
            </w:r>
          </w:p>
        </w:tc>
        <w:tc>
          <w:tcPr>
            <w:tcW w:w="747" w:type="dxa"/>
            <w:shd w:val="clear" w:color="auto" w:fill="9CC2E5" w:themeFill="accent1" w:themeFillTint="99"/>
            <w:vAlign w:val="center"/>
          </w:tcPr>
          <w:p w14:paraId="207C4417" w14:textId="77777777" w:rsidR="000110A6" w:rsidRPr="00046063" w:rsidRDefault="000110A6" w:rsidP="00C3141A">
            <w:pPr>
              <w:spacing w:before="100" w:beforeAutospacing="1" w:after="100" w:afterAutospacing="1"/>
              <w:ind w:firstLine="0"/>
              <w:jc w:val="center"/>
              <w:rPr>
                <w:b/>
                <w:sz w:val="18"/>
                <w:szCs w:val="18"/>
              </w:rPr>
            </w:pPr>
            <w:r w:rsidRPr="00046063">
              <w:rPr>
                <w:b/>
                <w:sz w:val="18"/>
                <w:szCs w:val="18"/>
              </w:rPr>
              <w:t>2022</w:t>
            </w:r>
          </w:p>
        </w:tc>
      </w:tr>
      <w:tr w:rsidR="000110A6" w:rsidRPr="00046063" w14:paraId="6A939A1A" w14:textId="77777777" w:rsidTr="00C3141A">
        <w:trPr>
          <w:trHeight w:val="300"/>
        </w:trPr>
        <w:tc>
          <w:tcPr>
            <w:tcW w:w="3091" w:type="dxa"/>
            <w:shd w:val="clear" w:color="auto" w:fill="auto"/>
            <w:noWrap/>
            <w:vAlign w:val="center"/>
            <w:hideMark/>
          </w:tcPr>
          <w:p w14:paraId="54C8A9F5" w14:textId="77777777" w:rsidR="000110A6" w:rsidRPr="00046063" w:rsidRDefault="000110A6" w:rsidP="00C3141A">
            <w:pPr>
              <w:spacing w:before="100" w:beforeAutospacing="1" w:after="100" w:afterAutospacing="1"/>
              <w:ind w:firstLine="0"/>
              <w:jc w:val="left"/>
              <w:rPr>
                <w:sz w:val="18"/>
                <w:szCs w:val="18"/>
              </w:rPr>
            </w:pPr>
            <w:r w:rsidRPr="00046063">
              <w:rPr>
                <w:sz w:val="18"/>
                <w:szCs w:val="18"/>
              </w:rPr>
              <w:t>Finanšu ministrija</w:t>
            </w:r>
          </w:p>
        </w:tc>
        <w:tc>
          <w:tcPr>
            <w:tcW w:w="1015" w:type="dxa"/>
            <w:shd w:val="clear" w:color="auto" w:fill="auto"/>
            <w:tcMar>
              <w:right w:w="113" w:type="dxa"/>
            </w:tcMar>
            <w:vAlign w:val="center"/>
            <w:hideMark/>
          </w:tcPr>
          <w:p w14:paraId="312D1038"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2,8</w:t>
            </w:r>
          </w:p>
        </w:tc>
        <w:tc>
          <w:tcPr>
            <w:tcW w:w="746" w:type="dxa"/>
            <w:shd w:val="clear" w:color="auto" w:fill="auto"/>
            <w:tcMar>
              <w:right w:w="113" w:type="dxa"/>
            </w:tcMar>
            <w:vAlign w:val="center"/>
            <w:hideMark/>
          </w:tcPr>
          <w:p w14:paraId="28D4039F"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2,5</w:t>
            </w:r>
          </w:p>
        </w:tc>
        <w:tc>
          <w:tcPr>
            <w:tcW w:w="746" w:type="dxa"/>
            <w:shd w:val="clear" w:color="auto" w:fill="auto"/>
            <w:noWrap/>
            <w:tcMar>
              <w:right w:w="113" w:type="dxa"/>
            </w:tcMar>
            <w:vAlign w:val="center"/>
            <w:hideMark/>
          </w:tcPr>
          <w:p w14:paraId="689BA4FB"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3,7</w:t>
            </w:r>
          </w:p>
        </w:tc>
        <w:tc>
          <w:tcPr>
            <w:tcW w:w="747" w:type="dxa"/>
            <w:shd w:val="clear" w:color="auto" w:fill="auto"/>
            <w:noWrap/>
            <w:tcMar>
              <w:right w:w="113" w:type="dxa"/>
            </w:tcMar>
            <w:vAlign w:val="center"/>
            <w:hideMark/>
          </w:tcPr>
          <w:p w14:paraId="36151032"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3,4</w:t>
            </w:r>
          </w:p>
        </w:tc>
        <w:tc>
          <w:tcPr>
            <w:tcW w:w="746" w:type="dxa"/>
            <w:shd w:val="clear" w:color="auto" w:fill="auto"/>
            <w:noWrap/>
            <w:tcMar>
              <w:right w:w="113" w:type="dxa"/>
            </w:tcMar>
            <w:vAlign w:val="center"/>
            <w:hideMark/>
          </w:tcPr>
          <w:p w14:paraId="611B0DED"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3,0</w:t>
            </w:r>
          </w:p>
        </w:tc>
        <w:tc>
          <w:tcPr>
            <w:tcW w:w="746" w:type="dxa"/>
            <w:shd w:val="clear" w:color="auto" w:fill="auto"/>
            <w:noWrap/>
            <w:tcMar>
              <w:right w:w="113" w:type="dxa"/>
            </w:tcMar>
            <w:vAlign w:val="center"/>
            <w:hideMark/>
          </w:tcPr>
          <w:p w14:paraId="65F22D0A"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2,8</w:t>
            </w:r>
          </w:p>
        </w:tc>
        <w:tc>
          <w:tcPr>
            <w:tcW w:w="746" w:type="dxa"/>
            <w:shd w:val="clear" w:color="auto" w:fill="auto"/>
            <w:noWrap/>
            <w:tcMar>
              <w:right w:w="113" w:type="dxa"/>
            </w:tcMar>
            <w:vAlign w:val="center"/>
            <w:hideMark/>
          </w:tcPr>
          <w:p w14:paraId="16B6C0B6"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5,1</w:t>
            </w:r>
          </w:p>
        </w:tc>
        <w:tc>
          <w:tcPr>
            <w:tcW w:w="747" w:type="dxa"/>
            <w:vAlign w:val="center"/>
          </w:tcPr>
          <w:p w14:paraId="7C0BC50E" w14:textId="77777777" w:rsidR="000110A6" w:rsidRPr="001B78A7" w:rsidRDefault="000110A6" w:rsidP="00C3141A">
            <w:pPr>
              <w:spacing w:before="100" w:beforeAutospacing="1" w:after="100" w:afterAutospacing="1"/>
              <w:ind w:firstLine="0"/>
              <w:jc w:val="center"/>
              <w:rPr>
                <w:b/>
                <w:sz w:val="18"/>
                <w:szCs w:val="18"/>
              </w:rPr>
            </w:pPr>
            <w:r w:rsidRPr="001B78A7">
              <w:rPr>
                <w:b/>
                <w:sz w:val="18"/>
                <w:szCs w:val="18"/>
              </w:rPr>
              <w:t>5,0</w:t>
            </w:r>
          </w:p>
        </w:tc>
      </w:tr>
      <w:tr w:rsidR="000110A6" w:rsidRPr="00046063" w14:paraId="4EB224C5" w14:textId="77777777" w:rsidTr="00C3141A">
        <w:trPr>
          <w:trHeight w:val="300"/>
        </w:trPr>
        <w:tc>
          <w:tcPr>
            <w:tcW w:w="3091" w:type="dxa"/>
            <w:shd w:val="clear" w:color="auto" w:fill="auto"/>
            <w:noWrap/>
            <w:vAlign w:val="center"/>
            <w:hideMark/>
          </w:tcPr>
          <w:p w14:paraId="3B8BC691" w14:textId="77777777" w:rsidR="000110A6" w:rsidRPr="00046063" w:rsidRDefault="000110A6" w:rsidP="00C3141A">
            <w:pPr>
              <w:spacing w:before="100" w:beforeAutospacing="1" w:after="100" w:afterAutospacing="1"/>
              <w:ind w:firstLine="0"/>
              <w:jc w:val="left"/>
              <w:rPr>
                <w:sz w:val="18"/>
                <w:szCs w:val="18"/>
              </w:rPr>
            </w:pPr>
            <w:r w:rsidRPr="00046063">
              <w:rPr>
                <w:sz w:val="18"/>
                <w:szCs w:val="18"/>
              </w:rPr>
              <w:t>Eiropas Komisija</w:t>
            </w:r>
          </w:p>
        </w:tc>
        <w:tc>
          <w:tcPr>
            <w:tcW w:w="1015" w:type="dxa"/>
            <w:shd w:val="clear" w:color="auto" w:fill="auto"/>
            <w:tcMar>
              <w:right w:w="113" w:type="dxa"/>
            </w:tcMar>
            <w:vAlign w:val="center"/>
            <w:hideMark/>
          </w:tcPr>
          <w:p w14:paraId="7C4D6A76"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2,9</w:t>
            </w:r>
          </w:p>
        </w:tc>
        <w:tc>
          <w:tcPr>
            <w:tcW w:w="746" w:type="dxa"/>
            <w:shd w:val="clear" w:color="auto" w:fill="auto"/>
            <w:tcMar>
              <w:right w:w="113" w:type="dxa"/>
            </w:tcMar>
            <w:vAlign w:val="center"/>
            <w:hideMark/>
          </w:tcPr>
          <w:p w14:paraId="40FA1D24"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2,8</w:t>
            </w:r>
          </w:p>
        </w:tc>
        <w:tc>
          <w:tcPr>
            <w:tcW w:w="746" w:type="dxa"/>
            <w:shd w:val="clear" w:color="auto" w:fill="auto"/>
            <w:tcMar>
              <w:right w:w="113" w:type="dxa"/>
            </w:tcMar>
            <w:vAlign w:val="center"/>
            <w:hideMark/>
          </w:tcPr>
          <w:p w14:paraId="563CB3AF"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3,2</w:t>
            </w:r>
          </w:p>
        </w:tc>
        <w:tc>
          <w:tcPr>
            <w:tcW w:w="747" w:type="dxa"/>
            <w:shd w:val="clear" w:color="auto" w:fill="auto"/>
            <w:tcMar>
              <w:right w:w="113" w:type="dxa"/>
            </w:tcMar>
            <w:vAlign w:val="center"/>
            <w:hideMark/>
          </w:tcPr>
          <w:p w14:paraId="71C636F5"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3,5</w:t>
            </w:r>
          </w:p>
        </w:tc>
        <w:tc>
          <w:tcPr>
            <w:tcW w:w="746" w:type="dxa"/>
            <w:shd w:val="clear" w:color="auto" w:fill="auto"/>
            <w:tcMar>
              <w:right w:w="113" w:type="dxa"/>
            </w:tcMar>
            <w:vAlign w:val="center"/>
            <w:hideMark/>
          </w:tcPr>
          <w:p w14:paraId="5C3754E8"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3,2</w:t>
            </w:r>
          </w:p>
        </w:tc>
        <w:tc>
          <w:tcPr>
            <w:tcW w:w="746" w:type="dxa"/>
            <w:shd w:val="clear" w:color="auto" w:fill="auto"/>
            <w:tcMar>
              <w:right w:w="113" w:type="dxa"/>
            </w:tcMar>
            <w:vAlign w:val="center"/>
            <w:hideMark/>
          </w:tcPr>
          <w:p w14:paraId="51C12484"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2,8</w:t>
            </w:r>
          </w:p>
        </w:tc>
        <w:tc>
          <w:tcPr>
            <w:tcW w:w="746" w:type="dxa"/>
            <w:shd w:val="clear" w:color="auto" w:fill="auto"/>
            <w:tcMar>
              <w:right w:w="113" w:type="dxa"/>
            </w:tcMar>
            <w:vAlign w:val="center"/>
            <w:hideMark/>
          </w:tcPr>
          <w:p w14:paraId="79A2CCCB"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6,4</w:t>
            </w:r>
          </w:p>
        </w:tc>
        <w:tc>
          <w:tcPr>
            <w:tcW w:w="747" w:type="dxa"/>
            <w:vAlign w:val="center"/>
          </w:tcPr>
          <w:p w14:paraId="759776B6" w14:textId="77777777" w:rsidR="000110A6" w:rsidRPr="001B78A7" w:rsidRDefault="000110A6" w:rsidP="00C3141A">
            <w:pPr>
              <w:spacing w:before="100" w:beforeAutospacing="1" w:after="100" w:afterAutospacing="1"/>
              <w:ind w:firstLine="0"/>
              <w:jc w:val="center"/>
              <w:rPr>
                <w:b/>
                <w:sz w:val="18"/>
                <w:szCs w:val="18"/>
              </w:rPr>
            </w:pPr>
            <w:r w:rsidRPr="001B78A7">
              <w:rPr>
                <w:b/>
                <w:sz w:val="18"/>
                <w:szCs w:val="18"/>
              </w:rPr>
              <w:t>6,0</w:t>
            </w:r>
          </w:p>
        </w:tc>
      </w:tr>
      <w:tr w:rsidR="000110A6" w:rsidRPr="00046063" w14:paraId="7502A922" w14:textId="77777777" w:rsidTr="00C3141A">
        <w:trPr>
          <w:trHeight w:val="300"/>
        </w:trPr>
        <w:tc>
          <w:tcPr>
            <w:tcW w:w="3091" w:type="dxa"/>
            <w:shd w:val="clear" w:color="auto" w:fill="auto"/>
            <w:noWrap/>
            <w:vAlign w:val="center"/>
            <w:hideMark/>
          </w:tcPr>
          <w:p w14:paraId="23396EC3" w14:textId="77777777" w:rsidR="000110A6" w:rsidRPr="00046063" w:rsidRDefault="000110A6" w:rsidP="00C3141A">
            <w:pPr>
              <w:spacing w:before="100" w:beforeAutospacing="1" w:after="100" w:afterAutospacing="1"/>
              <w:ind w:firstLine="0"/>
              <w:jc w:val="left"/>
              <w:rPr>
                <w:sz w:val="18"/>
                <w:szCs w:val="18"/>
              </w:rPr>
            </w:pPr>
            <w:r w:rsidRPr="00046063">
              <w:rPr>
                <w:sz w:val="18"/>
                <w:szCs w:val="18"/>
              </w:rPr>
              <w:t>Starptautiskais Valūtas fonds</w:t>
            </w:r>
          </w:p>
        </w:tc>
        <w:tc>
          <w:tcPr>
            <w:tcW w:w="1015" w:type="dxa"/>
            <w:shd w:val="clear" w:color="auto" w:fill="auto"/>
            <w:tcMar>
              <w:right w:w="113" w:type="dxa"/>
            </w:tcMar>
            <w:vAlign w:val="center"/>
            <w:hideMark/>
          </w:tcPr>
          <w:p w14:paraId="6D5AF678"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3,2</w:t>
            </w:r>
          </w:p>
        </w:tc>
        <w:tc>
          <w:tcPr>
            <w:tcW w:w="746" w:type="dxa"/>
            <w:shd w:val="clear" w:color="auto" w:fill="auto"/>
            <w:tcMar>
              <w:right w:w="113" w:type="dxa"/>
            </w:tcMar>
            <w:vAlign w:val="center"/>
            <w:hideMark/>
          </w:tcPr>
          <w:p w14:paraId="55AE4C4F"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3,2</w:t>
            </w:r>
          </w:p>
        </w:tc>
        <w:tc>
          <w:tcPr>
            <w:tcW w:w="746" w:type="dxa"/>
            <w:shd w:val="clear" w:color="auto" w:fill="auto"/>
            <w:tcMar>
              <w:right w:w="113" w:type="dxa"/>
            </w:tcMar>
            <w:vAlign w:val="center"/>
            <w:hideMark/>
          </w:tcPr>
          <w:p w14:paraId="1AB25023"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3,0</w:t>
            </w:r>
          </w:p>
        </w:tc>
        <w:tc>
          <w:tcPr>
            <w:tcW w:w="747" w:type="dxa"/>
            <w:shd w:val="clear" w:color="auto" w:fill="auto"/>
            <w:tcMar>
              <w:right w:w="113" w:type="dxa"/>
            </w:tcMar>
            <w:vAlign w:val="center"/>
            <w:hideMark/>
          </w:tcPr>
          <w:p w14:paraId="45B91599"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3,3</w:t>
            </w:r>
          </w:p>
        </w:tc>
        <w:tc>
          <w:tcPr>
            <w:tcW w:w="746" w:type="dxa"/>
            <w:shd w:val="clear" w:color="auto" w:fill="auto"/>
            <w:tcMar>
              <w:right w:w="113" w:type="dxa"/>
            </w:tcMar>
            <w:vAlign w:val="center"/>
            <w:hideMark/>
          </w:tcPr>
          <w:p w14:paraId="687E61FA"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3,3</w:t>
            </w:r>
          </w:p>
        </w:tc>
        <w:tc>
          <w:tcPr>
            <w:tcW w:w="746" w:type="dxa"/>
            <w:shd w:val="clear" w:color="auto" w:fill="auto"/>
            <w:tcMar>
              <w:right w:w="113" w:type="dxa"/>
            </w:tcMar>
            <w:vAlign w:val="center"/>
            <w:hideMark/>
          </w:tcPr>
          <w:p w14:paraId="53819407"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3,1</w:t>
            </w:r>
          </w:p>
        </w:tc>
        <w:tc>
          <w:tcPr>
            <w:tcW w:w="746" w:type="dxa"/>
            <w:shd w:val="clear" w:color="auto" w:fill="auto"/>
            <w:tcMar>
              <w:right w:w="113" w:type="dxa"/>
            </w:tcMar>
            <w:vAlign w:val="center"/>
            <w:hideMark/>
          </w:tcPr>
          <w:p w14:paraId="2D18B313"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8,3</w:t>
            </w:r>
          </w:p>
        </w:tc>
        <w:tc>
          <w:tcPr>
            <w:tcW w:w="747" w:type="dxa"/>
            <w:vAlign w:val="center"/>
          </w:tcPr>
          <w:p w14:paraId="279AB446" w14:textId="77777777" w:rsidR="000110A6" w:rsidRPr="001B78A7" w:rsidRDefault="000110A6" w:rsidP="00C3141A">
            <w:pPr>
              <w:spacing w:before="100" w:beforeAutospacing="1" w:after="100" w:afterAutospacing="1"/>
              <w:ind w:firstLine="0"/>
              <w:jc w:val="center"/>
              <w:rPr>
                <w:b/>
                <w:sz w:val="18"/>
                <w:szCs w:val="18"/>
              </w:rPr>
            </w:pPr>
            <w:r w:rsidRPr="001B78A7">
              <w:rPr>
                <w:b/>
                <w:sz w:val="18"/>
                <w:szCs w:val="18"/>
              </w:rPr>
              <w:t>5,2</w:t>
            </w:r>
          </w:p>
        </w:tc>
      </w:tr>
      <w:tr w:rsidR="000110A6" w:rsidRPr="00046063" w14:paraId="1A79AD80" w14:textId="77777777" w:rsidTr="00C3141A">
        <w:trPr>
          <w:trHeight w:val="300"/>
        </w:trPr>
        <w:tc>
          <w:tcPr>
            <w:tcW w:w="3091" w:type="dxa"/>
            <w:tcBorders>
              <w:bottom w:val="single" w:sz="4" w:space="0" w:color="auto"/>
            </w:tcBorders>
            <w:shd w:val="clear" w:color="auto" w:fill="auto"/>
            <w:noWrap/>
            <w:vAlign w:val="center"/>
            <w:hideMark/>
          </w:tcPr>
          <w:p w14:paraId="021F770A" w14:textId="77777777" w:rsidR="000110A6" w:rsidRPr="00046063" w:rsidRDefault="000110A6" w:rsidP="00C3141A">
            <w:pPr>
              <w:spacing w:before="100" w:beforeAutospacing="1" w:after="100" w:afterAutospacing="1"/>
              <w:ind w:firstLine="0"/>
              <w:jc w:val="left"/>
              <w:rPr>
                <w:sz w:val="18"/>
                <w:szCs w:val="18"/>
              </w:rPr>
            </w:pPr>
            <w:r w:rsidRPr="00046063">
              <w:rPr>
                <w:sz w:val="18"/>
                <w:szCs w:val="18"/>
              </w:rPr>
              <w:t>OECD</w:t>
            </w:r>
          </w:p>
        </w:tc>
        <w:tc>
          <w:tcPr>
            <w:tcW w:w="1015" w:type="dxa"/>
            <w:tcBorders>
              <w:bottom w:val="single" w:sz="4" w:space="0" w:color="auto"/>
            </w:tcBorders>
            <w:shd w:val="clear" w:color="auto" w:fill="auto"/>
            <w:tcMar>
              <w:right w:w="113" w:type="dxa"/>
            </w:tcMar>
            <w:vAlign w:val="center"/>
            <w:hideMark/>
          </w:tcPr>
          <w:p w14:paraId="0C266D83"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3,2</w:t>
            </w:r>
          </w:p>
        </w:tc>
        <w:tc>
          <w:tcPr>
            <w:tcW w:w="746" w:type="dxa"/>
            <w:tcBorders>
              <w:bottom w:val="single" w:sz="4" w:space="0" w:color="auto"/>
            </w:tcBorders>
            <w:shd w:val="clear" w:color="auto" w:fill="auto"/>
            <w:tcMar>
              <w:right w:w="113" w:type="dxa"/>
            </w:tcMar>
            <w:vAlign w:val="center"/>
            <w:hideMark/>
          </w:tcPr>
          <w:p w14:paraId="3943FAE2"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3,6</w:t>
            </w:r>
          </w:p>
        </w:tc>
        <w:tc>
          <w:tcPr>
            <w:tcW w:w="746" w:type="dxa"/>
            <w:tcBorders>
              <w:bottom w:val="single" w:sz="4" w:space="0" w:color="auto"/>
            </w:tcBorders>
            <w:shd w:val="clear" w:color="auto" w:fill="auto"/>
            <w:tcMar>
              <w:right w:w="113" w:type="dxa"/>
            </w:tcMar>
            <w:vAlign w:val="center"/>
            <w:hideMark/>
          </w:tcPr>
          <w:p w14:paraId="7FFC74B9"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3,5</w:t>
            </w:r>
          </w:p>
        </w:tc>
        <w:tc>
          <w:tcPr>
            <w:tcW w:w="747" w:type="dxa"/>
            <w:tcBorders>
              <w:bottom w:val="single" w:sz="4" w:space="0" w:color="auto"/>
            </w:tcBorders>
            <w:shd w:val="clear" w:color="auto" w:fill="auto"/>
            <w:tcMar>
              <w:right w:w="113" w:type="dxa"/>
            </w:tcMar>
            <w:vAlign w:val="center"/>
            <w:hideMark/>
          </w:tcPr>
          <w:p w14:paraId="1316DCD0"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3,5</w:t>
            </w:r>
          </w:p>
        </w:tc>
        <w:tc>
          <w:tcPr>
            <w:tcW w:w="746" w:type="dxa"/>
            <w:tcBorders>
              <w:bottom w:val="single" w:sz="4" w:space="0" w:color="auto"/>
            </w:tcBorders>
            <w:shd w:val="clear" w:color="auto" w:fill="auto"/>
            <w:tcMar>
              <w:right w:w="113" w:type="dxa"/>
            </w:tcMar>
            <w:vAlign w:val="center"/>
            <w:hideMark/>
          </w:tcPr>
          <w:p w14:paraId="6F21D7EC"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3,6</w:t>
            </w:r>
          </w:p>
        </w:tc>
        <w:tc>
          <w:tcPr>
            <w:tcW w:w="746" w:type="dxa"/>
            <w:tcBorders>
              <w:bottom w:val="single" w:sz="4" w:space="0" w:color="auto"/>
            </w:tcBorders>
            <w:shd w:val="clear" w:color="auto" w:fill="auto"/>
            <w:tcMar>
              <w:right w:w="113" w:type="dxa"/>
            </w:tcMar>
            <w:vAlign w:val="center"/>
            <w:hideMark/>
          </w:tcPr>
          <w:p w14:paraId="00657A11"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2,7</w:t>
            </w:r>
          </w:p>
        </w:tc>
        <w:tc>
          <w:tcPr>
            <w:tcW w:w="746" w:type="dxa"/>
            <w:tcBorders>
              <w:bottom w:val="single" w:sz="4" w:space="0" w:color="auto"/>
            </w:tcBorders>
            <w:shd w:val="clear" w:color="auto" w:fill="auto"/>
            <w:tcMar>
              <w:right w:w="113" w:type="dxa"/>
            </w:tcMar>
            <w:vAlign w:val="center"/>
            <w:hideMark/>
          </w:tcPr>
          <w:p w14:paraId="50087F12"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6,4</w:t>
            </w:r>
          </w:p>
        </w:tc>
        <w:tc>
          <w:tcPr>
            <w:tcW w:w="747" w:type="dxa"/>
            <w:tcBorders>
              <w:bottom w:val="single" w:sz="4" w:space="0" w:color="auto"/>
            </w:tcBorders>
            <w:vAlign w:val="center"/>
          </w:tcPr>
          <w:p w14:paraId="70FFA569" w14:textId="77777777" w:rsidR="000110A6" w:rsidRPr="001B78A7" w:rsidRDefault="000110A6" w:rsidP="00C3141A">
            <w:pPr>
              <w:spacing w:before="100" w:beforeAutospacing="1" w:after="100" w:afterAutospacing="1"/>
              <w:ind w:firstLine="0"/>
              <w:jc w:val="center"/>
              <w:rPr>
                <w:b/>
                <w:sz w:val="18"/>
                <w:szCs w:val="18"/>
              </w:rPr>
            </w:pPr>
            <w:r w:rsidRPr="001B78A7">
              <w:rPr>
                <w:b/>
                <w:sz w:val="18"/>
                <w:szCs w:val="18"/>
              </w:rPr>
              <w:t>5,6</w:t>
            </w:r>
          </w:p>
        </w:tc>
      </w:tr>
      <w:tr w:rsidR="000110A6" w:rsidRPr="00046063" w14:paraId="4DA19AE1" w14:textId="77777777" w:rsidTr="00C3141A">
        <w:trPr>
          <w:trHeight w:val="300"/>
        </w:trPr>
        <w:tc>
          <w:tcPr>
            <w:tcW w:w="3091" w:type="dxa"/>
            <w:tcBorders>
              <w:right w:val="nil"/>
            </w:tcBorders>
            <w:shd w:val="clear" w:color="auto" w:fill="auto"/>
            <w:noWrap/>
            <w:vAlign w:val="center"/>
          </w:tcPr>
          <w:p w14:paraId="4901C0D2" w14:textId="50C3F535" w:rsidR="000110A6" w:rsidRPr="00046063" w:rsidRDefault="00C3141A" w:rsidP="00C3141A">
            <w:pPr>
              <w:spacing w:before="100" w:beforeAutospacing="1" w:after="100" w:afterAutospacing="1"/>
              <w:ind w:firstLine="0"/>
              <w:jc w:val="left"/>
              <w:rPr>
                <w:sz w:val="18"/>
                <w:szCs w:val="18"/>
              </w:rPr>
            </w:pPr>
            <w:r>
              <w:rPr>
                <w:sz w:val="18"/>
                <w:szCs w:val="18"/>
              </w:rPr>
              <w:t>Iekšzemes kopprodukta</w:t>
            </w:r>
            <w:r w:rsidR="000110A6" w:rsidRPr="00046063">
              <w:rPr>
                <w:sz w:val="18"/>
                <w:szCs w:val="18"/>
              </w:rPr>
              <w:t xml:space="preserve"> fakts</w:t>
            </w:r>
          </w:p>
        </w:tc>
        <w:tc>
          <w:tcPr>
            <w:tcW w:w="1015" w:type="dxa"/>
            <w:tcBorders>
              <w:left w:val="nil"/>
              <w:right w:val="nil"/>
            </w:tcBorders>
            <w:shd w:val="clear" w:color="auto" w:fill="auto"/>
            <w:tcMar>
              <w:right w:w="113" w:type="dxa"/>
            </w:tcMar>
            <w:vAlign w:val="center"/>
          </w:tcPr>
          <w:p w14:paraId="634F1067" w14:textId="77777777" w:rsidR="000110A6" w:rsidRPr="00046063" w:rsidRDefault="000110A6" w:rsidP="00C3141A">
            <w:pPr>
              <w:spacing w:before="100" w:beforeAutospacing="1" w:after="100" w:afterAutospacing="1"/>
              <w:ind w:firstLine="0"/>
              <w:jc w:val="center"/>
              <w:rPr>
                <w:color w:val="000000"/>
                <w:sz w:val="18"/>
                <w:szCs w:val="18"/>
              </w:rPr>
            </w:pPr>
          </w:p>
        </w:tc>
        <w:tc>
          <w:tcPr>
            <w:tcW w:w="746" w:type="dxa"/>
            <w:tcBorders>
              <w:left w:val="nil"/>
              <w:right w:val="nil"/>
            </w:tcBorders>
            <w:shd w:val="clear" w:color="auto" w:fill="auto"/>
            <w:tcMar>
              <w:right w:w="113" w:type="dxa"/>
            </w:tcMar>
            <w:vAlign w:val="center"/>
          </w:tcPr>
          <w:p w14:paraId="6B3530A2" w14:textId="77777777" w:rsidR="000110A6" w:rsidRPr="00046063" w:rsidRDefault="000110A6" w:rsidP="00C3141A">
            <w:pPr>
              <w:spacing w:before="100" w:beforeAutospacing="1" w:after="100" w:afterAutospacing="1"/>
              <w:ind w:firstLine="0"/>
              <w:jc w:val="center"/>
              <w:rPr>
                <w:color w:val="000000"/>
                <w:sz w:val="18"/>
                <w:szCs w:val="18"/>
              </w:rPr>
            </w:pPr>
          </w:p>
        </w:tc>
        <w:tc>
          <w:tcPr>
            <w:tcW w:w="746" w:type="dxa"/>
            <w:tcBorders>
              <w:left w:val="nil"/>
              <w:right w:val="nil"/>
            </w:tcBorders>
            <w:shd w:val="clear" w:color="auto" w:fill="auto"/>
            <w:tcMar>
              <w:right w:w="113" w:type="dxa"/>
            </w:tcMar>
            <w:vAlign w:val="center"/>
          </w:tcPr>
          <w:p w14:paraId="7297A24C" w14:textId="77777777" w:rsidR="000110A6" w:rsidRPr="00046063" w:rsidRDefault="000110A6" w:rsidP="00C3141A">
            <w:pPr>
              <w:spacing w:before="100" w:beforeAutospacing="1" w:after="100" w:afterAutospacing="1"/>
              <w:ind w:firstLine="0"/>
              <w:jc w:val="center"/>
              <w:rPr>
                <w:color w:val="000000"/>
                <w:sz w:val="18"/>
                <w:szCs w:val="18"/>
              </w:rPr>
            </w:pPr>
          </w:p>
        </w:tc>
        <w:tc>
          <w:tcPr>
            <w:tcW w:w="747" w:type="dxa"/>
            <w:tcBorders>
              <w:left w:val="nil"/>
              <w:right w:val="nil"/>
            </w:tcBorders>
            <w:shd w:val="clear" w:color="auto" w:fill="auto"/>
            <w:tcMar>
              <w:right w:w="113" w:type="dxa"/>
            </w:tcMar>
            <w:vAlign w:val="center"/>
          </w:tcPr>
          <w:p w14:paraId="3E3A29BB" w14:textId="77777777" w:rsidR="000110A6" w:rsidRPr="00046063" w:rsidRDefault="000110A6" w:rsidP="00C3141A">
            <w:pPr>
              <w:spacing w:before="100" w:beforeAutospacing="1" w:after="100" w:afterAutospacing="1"/>
              <w:ind w:firstLine="0"/>
              <w:jc w:val="center"/>
              <w:rPr>
                <w:color w:val="000000"/>
                <w:sz w:val="18"/>
                <w:szCs w:val="18"/>
              </w:rPr>
            </w:pPr>
          </w:p>
        </w:tc>
        <w:tc>
          <w:tcPr>
            <w:tcW w:w="746" w:type="dxa"/>
            <w:tcBorders>
              <w:left w:val="nil"/>
              <w:right w:val="nil"/>
            </w:tcBorders>
            <w:shd w:val="clear" w:color="auto" w:fill="auto"/>
            <w:tcMar>
              <w:right w:w="113" w:type="dxa"/>
            </w:tcMar>
            <w:vAlign w:val="center"/>
          </w:tcPr>
          <w:p w14:paraId="585FC8F8" w14:textId="77777777" w:rsidR="000110A6" w:rsidRPr="00046063" w:rsidRDefault="000110A6" w:rsidP="00C3141A">
            <w:pPr>
              <w:spacing w:before="100" w:beforeAutospacing="1" w:after="100" w:afterAutospacing="1"/>
              <w:ind w:firstLine="0"/>
              <w:jc w:val="center"/>
              <w:rPr>
                <w:color w:val="000000"/>
                <w:sz w:val="18"/>
                <w:szCs w:val="18"/>
              </w:rPr>
            </w:pPr>
          </w:p>
        </w:tc>
        <w:tc>
          <w:tcPr>
            <w:tcW w:w="746" w:type="dxa"/>
            <w:tcBorders>
              <w:left w:val="nil"/>
              <w:right w:val="nil"/>
            </w:tcBorders>
            <w:shd w:val="clear" w:color="auto" w:fill="auto"/>
            <w:tcMar>
              <w:right w:w="113" w:type="dxa"/>
            </w:tcMar>
            <w:vAlign w:val="center"/>
          </w:tcPr>
          <w:p w14:paraId="6DADAA5B" w14:textId="77777777" w:rsidR="000110A6" w:rsidRPr="00046063" w:rsidRDefault="000110A6" w:rsidP="00C3141A">
            <w:pPr>
              <w:spacing w:before="100" w:beforeAutospacing="1" w:after="100" w:afterAutospacing="1"/>
              <w:ind w:firstLine="0"/>
              <w:jc w:val="center"/>
              <w:rPr>
                <w:color w:val="000000"/>
                <w:sz w:val="18"/>
                <w:szCs w:val="18"/>
              </w:rPr>
            </w:pPr>
          </w:p>
        </w:tc>
        <w:tc>
          <w:tcPr>
            <w:tcW w:w="746" w:type="dxa"/>
            <w:tcBorders>
              <w:left w:val="nil"/>
              <w:right w:val="nil"/>
            </w:tcBorders>
            <w:shd w:val="clear" w:color="auto" w:fill="auto"/>
            <w:tcMar>
              <w:right w:w="113" w:type="dxa"/>
            </w:tcMar>
            <w:vAlign w:val="center"/>
          </w:tcPr>
          <w:p w14:paraId="3A6D6436" w14:textId="77777777" w:rsidR="000110A6" w:rsidRPr="00046063" w:rsidRDefault="000110A6" w:rsidP="00C3141A">
            <w:pPr>
              <w:spacing w:before="100" w:beforeAutospacing="1" w:after="100" w:afterAutospacing="1"/>
              <w:ind w:firstLine="0"/>
              <w:jc w:val="center"/>
              <w:rPr>
                <w:color w:val="000000"/>
                <w:sz w:val="18"/>
                <w:szCs w:val="18"/>
              </w:rPr>
            </w:pPr>
          </w:p>
        </w:tc>
        <w:tc>
          <w:tcPr>
            <w:tcW w:w="747" w:type="dxa"/>
            <w:tcBorders>
              <w:left w:val="nil"/>
            </w:tcBorders>
            <w:vAlign w:val="center"/>
          </w:tcPr>
          <w:p w14:paraId="11AA4EE6" w14:textId="77777777" w:rsidR="000110A6" w:rsidRPr="00046063" w:rsidRDefault="000110A6" w:rsidP="00C3141A">
            <w:pPr>
              <w:spacing w:before="100" w:beforeAutospacing="1" w:after="100" w:afterAutospacing="1"/>
              <w:ind w:firstLine="0"/>
              <w:jc w:val="center"/>
              <w:rPr>
                <w:color w:val="000000"/>
                <w:sz w:val="18"/>
                <w:szCs w:val="18"/>
              </w:rPr>
            </w:pPr>
          </w:p>
        </w:tc>
      </w:tr>
      <w:tr w:rsidR="000110A6" w:rsidRPr="00046063" w14:paraId="2A4ED93E" w14:textId="77777777" w:rsidTr="00C3141A">
        <w:trPr>
          <w:trHeight w:val="300"/>
        </w:trPr>
        <w:tc>
          <w:tcPr>
            <w:tcW w:w="3091" w:type="dxa"/>
            <w:shd w:val="clear" w:color="auto" w:fill="auto"/>
            <w:noWrap/>
            <w:vAlign w:val="center"/>
          </w:tcPr>
          <w:p w14:paraId="4BBF94F6" w14:textId="6AC627F0" w:rsidR="000110A6" w:rsidRPr="00046063" w:rsidRDefault="00C3141A" w:rsidP="00C3141A">
            <w:pPr>
              <w:spacing w:before="100" w:beforeAutospacing="1" w:after="100" w:afterAutospacing="1"/>
              <w:ind w:firstLine="0"/>
              <w:jc w:val="left"/>
              <w:rPr>
                <w:sz w:val="18"/>
                <w:szCs w:val="18"/>
              </w:rPr>
            </w:pPr>
            <w:r>
              <w:rPr>
                <w:sz w:val="18"/>
                <w:szCs w:val="18"/>
              </w:rPr>
              <w:t>pēc Centrālās statistikas pārvaldes</w:t>
            </w:r>
            <w:r w:rsidR="000110A6" w:rsidRPr="00046063">
              <w:rPr>
                <w:sz w:val="18"/>
                <w:szCs w:val="18"/>
              </w:rPr>
              <w:t xml:space="preserve"> datu revīzijas 30.09.2021</w:t>
            </w:r>
          </w:p>
        </w:tc>
        <w:tc>
          <w:tcPr>
            <w:tcW w:w="1015" w:type="dxa"/>
            <w:shd w:val="clear" w:color="auto" w:fill="auto"/>
            <w:noWrap/>
            <w:tcMar>
              <w:right w:w="113" w:type="dxa"/>
            </w:tcMar>
            <w:vAlign w:val="center"/>
          </w:tcPr>
          <w:p w14:paraId="0FC27870"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4,0</w:t>
            </w:r>
          </w:p>
        </w:tc>
        <w:tc>
          <w:tcPr>
            <w:tcW w:w="746" w:type="dxa"/>
            <w:shd w:val="clear" w:color="auto" w:fill="auto"/>
            <w:noWrap/>
            <w:tcMar>
              <w:right w:w="113" w:type="dxa"/>
            </w:tcMar>
            <w:vAlign w:val="center"/>
          </w:tcPr>
          <w:p w14:paraId="329316B6"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2,4</w:t>
            </w:r>
          </w:p>
        </w:tc>
        <w:tc>
          <w:tcPr>
            <w:tcW w:w="746" w:type="dxa"/>
            <w:shd w:val="clear" w:color="auto" w:fill="auto"/>
            <w:noWrap/>
            <w:tcMar>
              <w:right w:w="113" w:type="dxa"/>
            </w:tcMar>
            <w:vAlign w:val="center"/>
          </w:tcPr>
          <w:p w14:paraId="4FDB1C88"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3,3</w:t>
            </w:r>
          </w:p>
        </w:tc>
        <w:tc>
          <w:tcPr>
            <w:tcW w:w="747" w:type="dxa"/>
            <w:shd w:val="clear" w:color="auto" w:fill="auto"/>
            <w:noWrap/>
            <w:tcMar>
              <w:right w:w="113" w:type="dxa"/>
            </w:tcMar>
            <w:vAlign w:val="center"/>
          </w:tcPr>
          <w:p w14:paraId="23E27423"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4,0</w:t>
            </w:r>
          </w:p>
        </w:tc>
        <w:tc>
          <w:tcPr>
            <w:tcW w:w="746" w:type="dxa"/>
            <w:shd w:val="clear" w:color="auto" w:fill="auto"/>
            <w:noWrap/>
            <w:tcMar>
              <w:right w:w="113" w:type="dxa"/>
            </w:tcMar>
            <w:vAlign w:val="center"/>
          </w:tcPr>
          <w:p w14:paraId="418E1751" w14:textId="77777777" w:rsidR="000110A6" w:rsidRPr="00046063" w:rsidRDefault="000110A6" w:rsidP="00C3141A">
            <w:pPr>
              <w:spacing w:before="100" w:beforeAutospacing="1" w:after="100" w:afterAutospacing="1"/>
              <w:ind w:firstLine="0"/>
              <w:jc w:val="center"/>
              <w:rPr>
                <w:sz w:val="18"/>
                <w:szCs w:val="18"/>
              </w:rPr>
            </w:pPr>
            <w:r w:rsidRPr="00046063">
              <w:rPr>
                <w:color w:val="000000"/>
                <w:sz w:val="18"/>
                <w:szCs w:val="18"/>
              </w:rPr>
              <w:t>2,0</w:t>
            </w:r>
          </w:p>
        </w:tc>
        <w:tc>
          <w:tcPr>
            <w:tcW w:w="746" w:type="dxa"/>
            <w:shd w:val="clear" w:color="auto" w:fill="auto"/>
            <w:noWrap/>
            <w:tcMar>
              <w:right w:w="113" w:type="dxa"/>
            </w:tcMar>
            <w:vAlign w:val="center"/>
          </w:tcPr>
          <w:p w14:paraId="03214589" w14:textId="77777777" w:rsidR="000110A6" w:rsidRPr="00046063" w:rsidRDefault="000110A6" w:rsidP="00C3141A">
            <w:pPr>
              <w:spacing w:before="100" w:beforeAutospacing="1" w:after="100" w:afterAutospacing="1"/>
              <w:ind w:firstLine="0"/>
              <w:jc w:val="center"/>
              <w:rPr>
                <w:sz w:val="18"/>
                <w:szCs w:val="18"/>
              </w:rPr>
            </w:pPr>
            <w:r>
              <w:rPr>
                <w:sz w:val="18"/>
                <w:szCs w:val="18"/>
              </w:rPr>
              <w:t>-3,6</w:t>
            </w:r>
          </w:p>
        </w:tc>
        <w:tc>
          <w:tcPr>
            <w:tcW w:w="746" w:type="dxa"/>
            <w:shd w:val="clear" w:color="auto" w:fill="auto"/>
            <w:noWrap/>
            <w:tcMar>
              <w:right w:w="113" w:type="dxa"/>
            </w:tcMar>
            <w:vAlign w:val="center"/>
          </w:tcPr>
          <w:p w14:paraId="2E755AB5" w14:textId="77777777" w:rsidR="000110A6" w:rsidRPr="00046063" w:rsidRDefault="000110A6" w:rsidP="00C3141A">
            <w:pPr>
              <w:spacing w:before="100" w:beforeAutospacing="1" w:after="100" w:afterAutospacing="1"/>
              <w:ind w:firstLine="0"/>
              <w:jc w:val="center"/>
              <w:rPr>
                <w:sz w:val="18"/>
                <w:szCs w:val="18"/>
              </w:rPr>
            </w:pPr>
          </w:p>
        </w:tc>
        <w:tc>
          <w:tcPr>
            <w:tcW w:w="747" w:type="dxa"/>
            <w:vAlign w:val="center"/>
          </w:tcPr>
          <w:p w14:paraId="6725A599" w14:textId="77777777" w:rsidR="000110A6" w:rsidRPr="00046063" w:rsidRDefault="000110A6" w:rsidP="00C3141A">
            <w:pPr>
              <w:spacing w:before="100" w:beforeAutospacing="1" w:after="100" w:afterAutospacing="1"/>
              <w:ind w:firstLine="0"/>
              <w:jc w:val="center"/>
              <w:rPr>
                <w:sz w:val="18"/>
                <w:szCs w:val="18"/>
              </w:rPr>
            </w:pPr>
          </w:p>
        </w:tc>
      </w:tr>
      <w:tr w:rsidR="000110A6" w:rsidRPr="00046063" w14:paraId="39420C07" w14:textId="77777777" w:rsidTr="00C3141A">
        <w:trPr>
          <w:trHeight w:val="300"/>
        </w:trPr>
        <w:tc>
          <w:tcPr>
            <w:tcW w:w="3091" w:type="dxa"/>
            <w:shd w:val="clear" w:color="auto" w:fill="auto"/>
            <w:noWrap/>
            <w:vAlign w:val="center"/>
            <w:hideMark/>
          </w:tcPr>
          <w:p w14:paraId="2DF0E043" w14:textId="4AC8F2A9" w:rsidR="000110A6" w:rsidRPr="00046063" w:rsidRDefault="000110A6" w:rsidP="00C3141A">
            <w:pPr>
              <w:spacing w:before="100" w:beforeAutospacing="1" w:after="100" w:afterAutospacing="1"/>
              <w:ind w:firstLine="0"/>
              <w:jc w:val="left"/>
              <w:rPr>
                <w:sz w:val="18"/>
                <w:szCs w:val="18"/>
              </w:rPr>
            </w:pPr>
            <w:r w:rsidRPr="00046063">
              <w:rPr>
                <w:sz w:val="18"/>
                <w:szCs w:val="18"/>
              </w:rPr>
              <w:t xml:space="preserve">pēc </w:t>
            </w:r>
            <w:r w:rsidR="00C3141A">
              <w:rPr>
                <w:sz w:val="18"/>
                <w:szCs w:val="18"/>
              </w:rPr>
              <w:t>Centrālās statistikas pārvaldes</w:t>
            </w:r>
            <w:r w:rsidRPr="00046063">
              <w:rPr>
                <w:sz w:val="18"/>
                <w:szCs w:val="18"/>
              </w:rPr>
              <w:t xml:space="preserve"> datu revīzijas 30.09.2020</w:t>
            </w:r>
          </w:p>
        </w:tc>
        <w:tc>
          <w:tcPr>
            <w:tcW w:w="1015" w:type="dxa"/>
            <w:shd w:val="clear" w:color="auto" w:fill="auto"/>
            <w:noWrap/>
            <w:tcMar>
              <w:right w:w="113" w:type="dxa"/>
            </w:tcMar>
            <w:vAlign w:val="center"/>
            <w:hideMark/>
          </w:tcPr>
          <w:p w14:paraId="0CD841C9" w14:textId="77777777" w:rsidR="000110A6" w:rsidRPr="00046063" w:rsidRDefault="000110A6" w:rsidP="00C3141A">
            <w:pPr>
              <w:spacing w:before="100" w:beforeAutospacing="1" w:after="100" w:afterAutospacing="1"/>
              <w:ind w:firstLine="0"/>
              <w:jc w:val="center"/>
              <w:rPr>
                <w:sz w:val="18"/>
                <w:szCs w:val="18"/>
              </w:rPr>
            </w:pPr>
            <w:r w:rsidRPr="00046063">
              <w:rPr>
                <w:sz w:val="18"/>
                <w:szCs w:val="18"/>
              </w:rPr>
              <w:t>3,3</w:t>
            </w:r>
          </w:p>
        </w:tc>
        <w:tc>
          <w:tcPr>
            <w:tcW w:w="746" w:type="dxa"/>
            <w:shd w:val="clear" w:color="auto" w:fill="auto"/>
            <w:noWrap/>
            <w:tcMar>
              <w:right w:w="113" w:type="dxa"/>
            </w:tcMar>
            <w:vAlign w:val="center"/>
            <w:hideMark/>
          </w:tcPr>
          <w:p w14:paraId="5F606E85" w14:textId="77777777" w:rsidR="000110A6" w:rsidRPr="00046063" w:rsidRDefault="000110A6" w:rsidP="00C3141A">
            <w:pPr>
              <w:spacing w:before="100" w:beforeAutospacing="1" w:after="100" w:afterAutospacing="1"/>
              <w:ind w:firstLine="0"/>
              <w:jc w:val="center"/>
              <w:rPr>
                <w:sz w:val="18"/>
                <w:szCs w:val="18"/>
              </w:rPr>
            </w:pPr>
            <w:r w:rsidRPr="00046063">
              <w:rPr>
                <w:sz w:val="18"/>
                <w:szCs w:val="18"/>
              </w:rPr>
              <w:t>1,8</w:t>
            </w:r>
          </w:p>
        </w:tc>
        <w:tc>
          <w:tcPr>
            <w:tcW w:w="746" w:type="dxa"/>
            <w:shd w:val="clear" w:color="auto" w:fill="auto"/>
            <w:noWrap/>
            <w:tcMar>
              <w:right w:w="113" w:type="dxa"/>
            </w:tcMar>
            <w:vAlign w:val="center"/>
            <w:hideMark/>
          </w:tcPr>
          <w:p w14:paraId="117CCE7E" w14:textId="77777777" w:rsidR="000110A6" w:rsidRPr="00046063" w:rsidRDefault="000110A6" w:rsidP="00C3141A">
            <w:pPr>
              <w:spacing w:before="100" w:beforeAutospacing="1" w:after="100" w:afterAutospacing="1"/>
              <w:ind w:firstLine="0"/>
              <w:jc w:val="center"/>
              <w:rPr>
                <w:sz w:val="18"/>
                <w:szCs w:val="18"/>
              </w:rPr>
            </w:pPr>
            <w:r w:rsidRPr="00046063">
              <w:rPr>
                <w:sz w:val="18"/>
                <w:szCs w:val="18"/>
              </w:rPr>
              <w:t>3,8</w:t>
            </w:r>
          </w:p>
        </w:tc>
        <w:tc>
          <w:tcPr>
            <w:tcW w:w="747" w:type="dxa"/>
            <w:shd w:val="clear" w:color="auto" w:fill="auto"/>
            <w:noWrap/>
            <w:tcMar>
              <w:right w:w="113" w:type="dxa"/>
            </w:tcMar>
            <w:vAlign w:val="center"/>
            <w:hideMark/>
          </w:tcPr>
          <w:p w14:paraId="7C0A7A02" w14:textId="77777777" w:rsidR="000110A6" w:rsidRPr="00046063" w:rsidRDefault="000110A6" w:rsidP="00C3141A">
            <w:pPr>
              <w:spacing w:before="100" w:beforeAutospacing="1" w:after="100" w:afterAutospacing="1"/>
              <w:ind w:firstLine="0"/>
              <w:jc w:val="center"/>
              <w:rPr>
                <w:sz w:val="18"/>
                <w:szCs w:val="18"/>
              </w:rPr>
            </w:pPr>
            <w:r w:rsidRPr="00046063">
              <w:rPr>
                <w:sz w:val="18"/>
                <w:szCs w:val="18"/>
              </w:rPr>
              <w:t>4,3</w:t>
            </w:r>
          </w:p>
        </w:tc>
        <w:tc>
          <w:tcPr>
            <w:tcW w:w="746" w:type="dxa"/>
            <w:shd w:val="clear" w:color="auto" w:fill="auto"/>
            <w:noWrap/>
            <w:tcMar>
              <w:right w:w="113" w:type="dxa"/>
            </w:tcMar>
            <w:vAlign w:val="center"/>
            <w:hideMark/>
          </w:tcPr>
          <w:p w14:paraId="38F78E72" w14:textId="77777777" w:rsidR="000110A6" w:rsidRPr="00046063" w:rsidRDefault="000110A6" w:rsidP="00C3141A">
            <w:pPr>
              <w:spacing w:before="100" w:beforeAutospacing="1" w:after="100" w:afterAutospacing="1"/>
              <w:ind w:firstLine="0"/>
              <w:jc w:val="center"/>
              <w:rPr>
                <w:sz w:val="18"/>
                <w:szCs w:val="18"/>
              </w:rPr>
            </w:pPr>
            <w:r w:rsidRPr="00046063">
              <w:rPr>
                <w:sz w:val="18"/>
                <w:szCs w:val="18"/>
              </w:rPr>
              <w:t>2,2</w:t>
            </w:r>
          </w:p>
        </w:tc>
        <w:tc>
          <w:tcPr>
            <w:tcW w:w="746" w:type="dxa"/>
            <w:shd w:val="clear" w:color="auto" w:fill="auto"/>
            <w:noWrap/>
            <w:tcMar>
              <w:right w:w="113" w:type="dxa"/>
            </w:tcMar>
            <w:vAlign w:val="center"/>
            <w:hideMark/>
          </w:tcPr>
          <w:p w14:paraId="0C207EAA" w14:textId="77777777" w:rsidR="000110A6" w:rsidRPr="00046063" w:rsidRDefault="000110A6" w:rsidP="00C3141A">
            <w:pPr>
              <w:spacing w:before="100" w:beforeAutospacing="1" w:after="100" w:afterAutospacing="1"/>
              <w:ind w:firstLine="0"/>
              <w:jc w:val="center"/>
              <w:rPr>
                <w:sz w:val="18"/>
                <w:szCs w:val="18"/>
              </w:rPr>
            </w:pPr>
          </w:p>
        </w:tc>
        <w:tc>
          <w:tcPr>
            <w:tcW w:w="746" w:type="dxa"/>
            <w:shd w:val="clear" w:color="auto" w:fill="auto"/>
            <w:noWrap/>
            <w:tcMar>
              <w:right w:w="113" w:type="dxa"/>
            </w:tcMar>
            <w:vAlign w:val="center"/>
            <w:hideMark/>
          </w:tcPr>
          <w:p w14:paraId="55A7EBAA" w14:textId="77777777" w:rsidR="000110A6" w:rsidRPr="00046063" w:rsidRDefault="000110A6" w:rsidP="00C3141A">
            <w:pPr>
              <w:spacing w:before="100" w:beforeAutospacing="1" w:after="100" w:afterAutospacing="1"/>
              <w:ind w:firstLine="0"/>
              <w:jc w:val="center"/>
              <w:rPr>
                <w:sz w:val="18"/>
                <w:szCs w:val="18"/>
              </w:rPr>
            </w:pPr>
          </w:p>
        </w:tc>
        <w:tc>
          <w:tcPr>
            <w:tcW w:w="747" w:type="dxa"/>
            <w:vAlign w:val="center"/>
          </w:tcPr>
          <w:p w14:paraId="2608C388" w14:textId="77777777" w:rsidR="000110A6" w:rsidRPr="00046063" w:rsidRDefault="000110A6" w:rsidP="00C3141A">
            <w:pPr>
              <w:spacing w:before="100" w:beforeAutospacing="1" w:after="100" w:afterAutospacing="1"/>
              <w:ind w:firstLine="0"/>
              <w:jc w:val="center"/>
              <w:rPr>
                <w:sz w:val="18"/>
                <w:szCs w:val="18"/>
              </w:rPr>
            </w:pPr>
          </w:p>
        </w:tc>
      </w:tr>
    </w:tbl>
    <w:p w14:paraId="35D4374B" w14:textId="172A7041" w:rsidR="000110A6" w:rsidRPr="00DF1711" w:rsidRDefault="000110A6" w:rsidP="000110A6">
      <w:pPr>
        <w:spacing w:before="120"/>
        <w:ind w:firstLine="567"/>
        <w:rPr>
          <w:rFonts w:eastAsia="Calibri"/>
        </w:rPr>
      </w:pPr>
      <w:r w:rsidRPr="00DF1711">
        <w:rPr>
          <w:rFonts w:eastAsia="Calibri"/>
        </w:rPr>
        <w:lastRenderedPageBreak/>
        <w:t>Tā kā krājumu izmaiņas ir saistītas ar imp</w:t>
      </w:r>
      <w:r w:rsidR="00C3141A">
        <w:rPr>
          <w:rFonts w:eastAsia="Calibri"/>
        </w:rPr>
        <w:t xml:space="preserve">ortu, tad šī novirze atbilstoši </w:t>
      </w:r>
      <w:r w:rsidRPr="00DF1711">
        <w:rPr>
          <w:rFonts w:eastAsia="Calibri"/>
        </w:rPr>
        <w:t xml:space="preserve">Finanšu ministrijas makroekonomiskajam modelim atspoguļojas neto eksportā un investīcijās bruto pamatkapitālā. Pēdējais ir saistīts ar to, ka saņemot detalizētāku informāciju, </w:t>
      </w:r>
      <w:r w:rsidR="00C3141A">
        <w:rPr>
          <w:rFonts w:eastAsia="Calibri"/>
        </w:rPr>
        <w:t>Centrālās statistikas pārvalde</w:t>
      </w:r>
      <w:r w:rsidRPr="00DF1711">
        <w:rPr>
          <w:rFonts w:eastAsia="Calibri"/>
        </w:rPr>
        <w:t xml:space="preserve"> daļu no krājumiem pārkvalificē uz investīcijām bruto pamatkapitālā.</w:t>
      </w:r>
    </w:p>
    <w:p w14:paraId="295A0E6A" w14:textId="0154850E" w:rsidR="000110A6" w:rsidRDefault="000110A6" w:rsidP="000110A6">
      <w:pPr>
        <w:spacing w:before="120"/>
        <w:ind w:firstLine="567"/>
        <w:rPr>
          <w:rFonts w:eastAsia="Calibri"/>
        </w:rPr>
      </w:pPr>
      <w:r>
        <w:rPr>
          <w:rFonts w:eastAsia="Calibri"/>
        </w:rPr>
        <w:t>2021. </w:t>
      </w:r>
      <w:r w:rsidRPr="00DF1711">
        <w:rPr>
          <w:rFonts w:eastAsia="Calibri"/>
        </w:rPr>
        <w:t>gad</w:t>
      </w:r>
      <w:r>
        <w:rPr>
          <w:rFonts w:eastAsia="Calibri"/>
        </w:rPr>
        <w:t>a</w:t>
      </w:r>
      <w:r w:rsidRPr="00DF1711">
        <w:rPr>
          <w:rFonts w:eastAsia="Calibri"/>
        </w:rPr>
        <w:t xml:space="preserve"> prognožu novirzes ir saistītas ar nenoteiktību, kad Latvija un pasaule piedzīvoja </w:t>
      </w:r>
      <w:r>
        <w:rPr>
          <w:rFonts w:eastAsia="Calibri"/>
        </w:rPr>
        <w:t>Covid</w:t>
      </w:r>
      <w:r>
        <w:rPr>
          <w:rFonts w:eastAsia="Calibri"/>
        </w:rPr>
        <w:noBreakHyphen/>
        <w:t>19</w:t>
      </w:r>
      <w:r w:rsidRPr="00DF1711">
        <w:rPr>
          <w:rFonts w:eastAsia="Calibri"/>
        </w:rPr>
        <w:t xml:space="preserve"> pandēmiju. Noteiktie vīrusa ierobežošanas pasākumi ierobežoja vairāku tautsaimniecības nozaru darbību un mazināja patērētāju noskaņojumu. Lai arī reakcija bija gaidāma, tomēr tik spēcīgu privātā patēriņa samazinājumu nebija iespējams paredzēt. Tajā pašā laik</w:t>
      </w:r>
      <w:r w:rsidR="00C3141A">
        <w:rPr>
          <w:rFonts w:eastAsia="Calibri"/>
        </w:rPr>
        <w:t>ā investīciju projekti, t.sk. Eiropas Savienības</w:t>
      </w:r>
      <w:r w:rsidRPr="00DF1711">
        <w:rPr>
          <w:rFonts w:eastAsia="Calibri"/>
        </w:rPr>
        <w:t xml:space="preserve"> fondu atbalstīti, turpinājās, kā arī daudzi uzņēmumi izmantoja iespēju veikt būvdarbus laikā, kad ir samazinājies klientu skaits, kas citā laikā radītu neērtīb</w:t>
      </w:r>
      <w:r w:rsidR="00C3141A">
        <w:rPr>
          <w:rFonts w:eastAsia="Calibri"/>
        </w:rPr>
        <w:t>as. Kopumā “normālos” laikos iekšzemes kopprodukta</w:t>
      </w:r>
      <w:r w:rsidRPr="00DF1711">
        <w:rPr>
          <w:rFonts w:eastAsia="Calibri"/>
        </w:rPr>
        <w:t xml:space="preserve"> prognožu novirze no fakta ir būtiski mazāka.</w:t>
      </w:r>
    </w:p>
    <w:p w14:paraId="0FEF7357" w14:textId="5646F6F5" w:rsidR="00C3141A" w:rsidRPr="00C3141A" w:rsidRDefault="000110A6" w:rsidP="00C3141A">
      <w:pPr>
        <w:widowControl w:val="0"/>
        <w:ind w:firstLine="0"/>
        <w:jc w:val="center"/>
        <w:rPr>
          <w:rFonts w:ascii="Calibri" w:eastAsia="Calibri" w:hAnsi="Calibri" w:cs="Calibri"/>
        </w:rPr>
      </w:pPr>
      <w:r>
        <w:rPr>
          <w:noProof/>
        </w:rPr>
        <w:drawing>
          <wp:inline distT="0" distB="0" distL="0" distR="0" wp14:anchorId="1BE2CD0C" wp14:editId="66E10E30">
            <wp:extent cx="5274310" cy="2894330"/>
            <wp:effectExtent l="0" t="0" r="2540" b="127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3F6CFE7" w14:textId="32012CA7" w:rsidR="00C3141A" w:rsidRPr="00C3141A" w:rsidRDefault="00C3141A" w:rsidP="00C3141A">
      <w:pPr>
        <w:pStyle w:val="Tabulasvirsraksts"/>
        <w:keepNext/>
        <w:spacing w:before="120" w:after="120"/>
      </w:pPr>
      <w:r w:rsidRPr="00C3141A">
        <w:t>1.44. attēls</w:t>
      </w:r>
      <w:r>
        <w:t>.</w:t>
      </w:r>
      <w:r w:rsidRPr="00C3141A">
        <w:t xml:space="preserve"> </w:t>
      </w:r>
      <w:r>
        <w:t>Iekšzemes kopprodukts</w:t>
      </w:r>
      <w:r w:rsidRPr="00C3141A">
        <w:t xml:space="preserve"> salīdzināmās cenās faktiskā izaugsmes un attiecīgā gada gadskārtējā val</w:t>
      </w:r>
      <w:r>
        <w:t>sts budžeta likumā iekļautās iekšzemes kopprodukta</w:t>
      </w:r>
      <w:r w:rsidRPr="00C3141A">
        <w:t xml:space="preserve"> i</w:t>
      </w:r>
      <w:r>
        <w:t>zaugsmes prognozes starpība pa iekšzemes kopprodukta</w:t>
      </w:r>
      <w:r w:rsidRPr="00C3141A">
        <w:t xml:space="preserve"> komponentēm (procentpunkti)</w:t>
      </w:r>
    </w:p>
    <w:p w14:paraId="45992E79" w14:textId="77777777" w:rsidR="00C3141A" w:rsidRDefault="00C3141A" w:rsidP="00B02A36">
      <w:pPr>
        <w:pStyle w:val="Heading1"/>
        <w:spacing w:before="0"/>
        <w:jc w:val="center"/>
        <w:rPr>
          <w:rFonts w:eastAsia="Times New Roman" w:cs="Times New Roman"/>
        </w:rPr>
      </w:pPr>
    </w:p>
    <w:p w14:paraId="2C1F3C5F" w14:textId="30F4F4AE" w:rsidR="00C3141A" w:rsidRDefault="00C3141A" w:rsidP="00B02A36">
      <w:pPr>
        <w:pStyle w:val="Heading1"/>
        <w:spacing w:before="0"/>
        <w:jc w:val="center"/>
        <w:rPr>
          <w:rFonts w:eastAsia="Times New Roman" w:cs="Times New Roman"/>
        </w:rPr>
      </w:pPr>
    </w:p>
    <w:p w14:paraId="405B8DD4" w14:textId="47FA51E5" w:rsidR="00C3141A" w:rsidRDefault="00C3141A" w:rsidP="00C3141A"/>
    <w:p w14:paraId="69248DB0" w14:textId="7D2C5EAF" w:rsidR="00C3141A" w:rsidRDefault="00C3141A" w:rsidP="00C3141A"/>
    <w:p w14:paraId="2A394A0D" w14:textId="63185CF6" w:rsidR="00C3141A" w:rsidRDefault="00C3141A" w:rsidP="00C3141A"/>
    <w:p w14:paraId="38B336B0" w14:textId="557F13D4" w:rsidR="00C3141A" w:rsidRDefault="00C3141A" w:rsidP="00C3141A"/>
    <w:p w14:paraId="072880B0" w14:textId="0823C121" w:rsidR="00C3141A" w:rsidRDefault="00C3141A" w:rsidP="00C3141A"/>
    <w:p w14:paraId="5EB4C41C" w14:textId="77777777" w:rsidR="00C3141A" w:rsidRPr="00C3141A" w:rsidRDefault="00C3141A" w:rsidP="00C3141A"/>
    <w:p w14:paraId="469F5C92" w14:textId="64A86B0A" w:rsidR="00FB5161" w:rsidRDefault="000110A6" w:rsidP="00815173">
      <w:pPr>
        <w:pStyle w:val="Heading1"/>
        <w:spacing w:before="240" w:after="240"/>
        <w:jc w:val="center"/>
      </w:pPr>
      <w:bookmarkStart w:id="36" w:name="_Toc84756404"/>
      <w:r>
        <w:rPr>
          <w:rFonts w:eastAsia="Times New Roman" w:cs="Times New Roman"/>
        </w:rPr>
        <w:lastRenderedPageBreak/>
        <w:t xml:space="preserve">2. </w:t>
      </w:r>
      <w:r w:rsidR="000548A5" w:rsidRPr="000110A6">
        <w:t>Fiskālā politika</w:t>
      </w:r>
      <w:bookmarkEnd w:id="36"/>
    </w:p>
    <w:p w14:paraId="30D00C3B" w14:textId="77777777" w:rsidR="009F7EC4" w:rsidRPr="009F7EC4" w:rsidRDefault="009F7EC4" w:rsidP="009F7EC4">
      <w:pPr>
        <w:widowControl w:val="0"/>
        <w:ind w:firstLine="675"/>
        <w:rPr>
          <w:rFonts w:eastAsia="Times New Roman" w:cs="Times New Roman"/>
          <w:szCs w:val="24"/>
        </w:rPr>
      </w:pPr>
      <w:r w:rsidRPr="009F7EC4">
        <w:rPr>
          <w:rFonts w:eastAsia="Times New Roman" w:cs="Times New Roman"/>
          <w:szCs w:val="24"/>
        </w:rPr>
        <w:t xml:space="preserve">Likumprojekts  “Par vidēja termiņa budžeta ietvaru 2022., 2023. un 2024. gadam” tiek sagatavots laikā, kad Latvijas ekonomiku un publiskās finanses turpina skart Covid-19 pandēmija, kas ir izraisījusi būtiskas izmaiņas līdz šim īstenotajā uz ekonomiskajā ciklā sabalansēta budžeta veidošanu balstītajā fiskālajā politikā. </w:t>
      </w:r>
    </w:p>
    <w:p w14:paraId="088E3DF6" w14:textId="067BD1C9" w:rsidR="009F7EC4" w:rsidRPr="009F7EC4" w:rsidRDefault="00815173" w:rsidP="00815173">
      <w:pPr>
        <w:widowControl w:val="0"/>
        <w:contextualSpacing/>
        <w:rPr>
          <w:rFonts w:eastAsia="Times New Roman" w:cs="Times New Roman"/>
          <w:szCs w:val="24"/>
        </w:rPr>
      </w:pPr>
      <w:r>
        <w:rPr>
          <w:rFonts w:eastAsia="Times New Roman" w:cs="Times New Roman"/>
          <w:szCs w:val="24"/>
        </w:rPr>
        <w:t xml:space="preserve">  </w:t>
      </w:r>
      <w:r w:rsidR="009F7EC4" w:rsidRPr="009F7EC4">
        <w:rPr>
          <w:rFonts w:eastAsia="Times New Roman" w:cs="Times New Roman"/>
          <w:szCs w:val="24"/>
        </w:rPr>
        <w:t>2020.</w:t>
      </w:r>
      <w:r>
        <w:rPr>
          <w:rFonts w:eastAsia="Times New Roman" w:cs="Times New Roman"/>
          <w:szCs w:val="24"/>
        </w:rPr>
        <w:t xml:space="preserve"> gadā Eiropas Savienībā tika aktivizēta Stabilitātes un izaugsmes pakta</w:t>
      </w:r>
      <w:r w:rsidR="009F7EC4" w:rsidRPr="009F7EC4">
        <w:rPr>
          <w:rFonts w:eastAsia="Times New Roman" w:cs="Times New Roman"/>
          <w:szCs w:val="24"/>
        </w:rPr>
        <w:t xml:space="preserve"> vis</w:t>
      </w:r>
      <w:r>
        <w:rPr>
          <w:rFonts w:eastAsia="Times New Roman" w:cs="Times New Roman"/>
          <w:szCs w:val="24"/>
        </w:rPr>
        <w:t>pārējā izņēmuma klauzula, kas Eiropas Savienības</w:t>
      </w:r>
      <w:r w:rsidR="009F7EC4" w:rsidRPr="009F7EC4">
        <w:rPr>
          <w:rFonts w:eastAsia="Times New Roman" w:cs="Times New Roman"/>
          <w:szCs w:val="24"/>
        </w:rPr>
        <w:t xml:space="preserve"> dalībvalstīm ļauj palielināt vispārējās valdības budžeta deficītu 2020.</w:t>
      </w:r>
      <w:r>
        <w:rPr>
          <w:rFonts w:eastAsia="Times New Roman" w:cs="Times New Roman"/>
          <w:szCs w:val="24"/>
        </w:rPr>
        <w:t xml:space="preserve"> </w:t>
      </w:r>
      <w:r w:rsidR="009F7EC4" w:rsidRPr="009F7EC4">
        <w:rPr>
          <w:rFonts w:eastAsia="Times New Roman" w:cs="Times New Roman"/>
          <w:szCs w:val="24"/>
        </w:rPr>
        <w:t>gadā tik, cik ir nepieciešams Covid-19 pandēmijas izsauktā ekonomikas kaitējuma mazināšanai. Līdz ar to E</w:t>
      </w:r>
      <w:r>
        <w:rPr>
          <w:rFonts w:eastAsia="Times New Roman" w:cs="Times New Roman"/>
          <w:szCs w:val="24"/>
        </w:rPr>
        <w:t xml:space="preserve">iropas </w:t>
      </w:r>
      <w:r w:rsidR="009F7EC4" w:rsidRPr="009F7EC4">
        <w:rPr>
          <w:rFonts w:eastAsia="Times New Roman" w:cs="Times New Roman"/>
          <w:szCs w:val="24"/>
        </w:rPr>
        <w:t>S</w:t>
      </w:r>
      <w:r>
        <w:rPr>
          <w:rFonts w:eastAsia="Times New Roman" w:cs="Times New Roman"/>
          <w:szCs w:val="24"/>
        </w:rPr>
        <w:t>avienības</w:t>
      </w:r>
      <w:r w:rsidR="009F7EC4" w:rsidRPr="009F7EC4">
        <w:rPr>
          <w:rFonts w:eastAsia="Times New Roman" w:cs="Times New Roman"/>
          <w:szCs w:val="24"/>
        </w:rPr>
        <w:t xml:space="preserve"> fiskālās politikas regulējums 2020.</w:t>
      </w:r>
      <w:r>
        <w:rPr>
          <w:rFonts w:eastAsia="Times New Roman" w:cs="Times New Roman"/>
          <w:szCs w:val="24"/>
        </w:rPr>
        <w:t xml:space="preserve"> </w:t>
      </w:r>
      <w:r w:rsidR="009F7EC4" w:rsidRPr="009F7EC4">
        <w:rPr>
          <w:rFonts w:eastAsia="Times New Roman" w:cs="Times New Roman"/>
          <w:szCs w:val="24"/>
        </w:rPr>
        <w:t xml:space="preserve">gadā ļauj  atkāpties no iepriekš noteiktajiem deficīta mērķiem. </w:t>
      </w:r>
      <w:r>
        <w:rPr>
          <w:rFonts w:eastAsia="Times New Roman" w:cs="Times New Roman"/>
          <w:szCs w:val="24"/>
        </w:rPr>
        <w:t>Likuma “Fiskālās disciplīnas likums”</w:t>
      </w:r>
      <w:r w:rsidR="009F7EC4" w:rsidRPr="009F7EC4">
        <w:rPr>
          <w:rFonts w:eastAsia="Times New Roman" w:cs="Times New Roman"/>
          <w:szCs w:val="24"/>
        </w:rPr>
        <w:t xml:space="preserve"> 12.</w:t>
      </w:r>
      <w:r>
        <w:rPr>
          <w:rFonts w:eastAsia="Times New Roman" w:cs="Times New Roman"/>
          <w:szCs w:val="24"/>
        </w:rPr>
        <w:t xml:space="preserve"> </w:t>
      </w:r>
      <w:r w:rsidR="009F7EC4" w:rsidRPr="009F7EC4">
        <w:rPr>
          <w:rFonts w:eastAsia="Times New Roman" w:cs="Times New Roman"/>
          <w:szCs w:val="24"/>
        </w:rPr>
        <w:t xml:space="preserve">pants paredz līdzīgu iespēju atkāpties no 0,5% strukturālā deficīta ievērošanas nopietnas ekonomikas lejupslīdes laikā. </w:t>
      </w:r>
      <w:r>
        <w:rPr>
          <w:rFonts w:eastAsia="Times New Roman" w:cs="Times New Roman"/>
          <w:szCs w:val="24"/>
        </w:rPr>
        <w:t>Stabilitātes un izaugsmes pakta</w:t>
      </w:r>
      <w:r w:rsidR="009F7EC4" w:rsidRPr="009F7EC4">
        <w:rPr>
          <w:rFonts w:eastAsia="Times New Roman" w:cs="Times New Roman"/>
          <w:szCs w:val="24"/>
        </w:rPr>
        <w:t xml:space="preserve"> vispārējās izņēmuma klauzulas aktivizēšana bij</w:t>
      </w:r>
      <w:r>
        <w:rPr>
          <w:rFonts w:eastAsia="Times New Roman" w:cs="Times New Roman"/>
          <w:szCs w:val="24"/>
        </w:rPr>
        <w:t>a pamats tam, lai aktivizētu likuma “Fiskālās disciplīnas likums”</w:t>
      </w:r>
      <w:r w:rsidR="009F7EC4" w:rsidRPr="009F7EC4">
        <w:rPr>
          <w:rFonts w:eastAsia="Times New Roman" w:cs="Times New Roman"/>
          <w:szCs w:val="24"/>
        </w:rPr>
        <w:t xml:space="preserve"> 12.</w:t>
      </w:r>
      <w:r>
        <w:rPr>
          <w:rFonts w:eastAsia="Times New Roman" w:cs="Times New Roman"/>
          <w:szCs w:val="24"/>
        </w:rPr>
        <w:t xml:space="preserve"> </w:t>
      </w:r>
      <w:r w:rsidR="009F7EC4" w:rsidRPr="009F7EC4">
        <w:rPr>
          <w:rFonts w:eastAsia="Times New Roman" w:cs="Times New Roman"/>
          <w:szCs w:val="24"/>
        </w:rPr>
        <w:t>pantā noteikto atkāpes nosacījumu.</w:t>
      </w:r>
      <w:r w:rsidR="009F7EC4" w:rsidRPr="009F7EC4">
        <w:rPr>
          <w:i/>
          <w:szCs w:val="24"/>
        </w:rPr>
        <w:t xml:space="preserve"> </w:t>
      </w:r>
      <w:r w:rsidR="009F7EC4" w:rsidRPr="009F7EC4">
        <w:rPr>
          <w:rFonts w:eastAsia="Times New Roman" w:cs="Times New Roman"/>
          <w:szCs w:val="24"/>
        </w:rPr>
        <w:t>Izstrādājot likumprojektu  “Par vidēja termiņa budžeta ietvaru 2022., 2023. un 2</w:t>
      </w:r>
      <w:r>
        <w:rPr>
          <w:rFonts w:eastAsia="Times New Roman" w:cs="Times New Roman"/>
          <w:szCs w:val="24"/>
        </w:rPr>
        <w:t>024. gadam”  un likumprojektu “</w:t>
      </w:r>
      <w:r w:rsidR="009F7EC4" w:rsidRPr="009F7EC4">
        <w:rPr>
          <w:rFonts w:eastAsia="Times New Roman" w:cs="Times New Roman"/>
          <w:szCs w:val="24"/>
        </w:rPr>
        <w:t>Par valsts budžetu 2022. gadam”,</w:t>
      </w:r>
      <w:r w:rsidR="009F7EC4" w:rsidRPr="009F7EC4">
        <w:rPr>
          <w:i/>
          <w:szCs w:val="24"/>
        </w:rPr>
        <w:t xml:space="preserve"> </w:t>
      </w:r>
      <w:r w:rsidR="009F7EC4" w:rsidRPr="009F7EC4">
        <w:rPr>
          <w:rFonts w:eastAsia="Times New Roman" w:cs="Times New Roman"/>
          <w:szCs w:val="24"/>
        </w:rPr>
        <w:t xml:space="preserve">Covid-19 infekcijas izplatības seku pārvarēšanas likumā ir noteiktas plašākas iespējas atkāpties no </w:t>
      </w:r>
      <w:r>
        <w:rPr>
          <w:rFonts w:eastAsia="Times New Roman" w:cs="Times New Roman"/>
          <w:szCs w:val="24"/>
        </w:rPr>
        <w:t>likumā “Fiskālās disciplīnas likums” noteiktajiem</w:t>
      </w:r>
      <w:r w:rsidRPr="009F7EC4">
        <w:rPr>
          <w:rFonts w:eastAsia="Times New Roman" w:cs="Times New Roman"/>
          <w:szCs w:val="24"/>
        </w:rPr>
        <w:t xml:space="preserve"> </w:t>
      </w:r>
      <w:r w:rsidR="009F7EC4" w:rsidRPr="009F7EC4">
        <w:rPr>
          <w:rFonts w:eastAsia="Times New Roman" w:cs="Times New Roman"/>
          <w:szCs w:val="24"/>
        </w:rPr>
        <w:t xml:space="preserve">skaitliskajiem fiskālajiem nosacījumiem. </w:t>
      </w:r>
    </w:p>
    <w:p w14:paraId="53EBBF50" w14:textId="26CDA44C" w:rsidR="009F7EC4" w:rsidRPr="009F7EC4" w:rsidRDefault="009F7EC4" w:rsidP="009F7EC4">
      <w:pPr>
        <w:widowControl w:val="0"/>
        <w:ind w:firstLine="709"/>
        <w:rPr>
          <w:rFonts w:eastAsia="Times New Roman" w:cs="Times New Roman"/>
          <w:szCs w:val="24"/>
        </w:rPr>
      </w:pPr>
      <w:r w:rsidRPr="009F7EC4">
        <w:rPr>
          <w:rFonts w:eastAsia="Times New Roman" w:cs="Times New Roman"/>
          <w:szCs w:val="24"/>
        </w:rPr>
        <w:t>Attiecībā uz valsts sniegto  finansiālo atbalstu Covid-19 krīzes seku mazināšanai, jāatzīmē, ka valstī šie atbalsta mehānismi tiek izstrādāti un finansēti ārpus attiecīgā gada valsts budžeta noteiktajiem rādītājiem, operatīvi reaģējot uz nepieciešamajām intervencēm. Tas notiek pārdalot resursus atbalsta mehānismiem no valsts budžeta programmas “Līdzekļi neparedzētiem gadījumiem”, kurus, savukārt, var palielināt ar apropriācijas palielinājumu virs tā līmeņa, kas noteikts valsts budžeta likumā. Līdz ar to valsts atbalsta mehānismi tiek ir izstrādāti un īstenoti visā periodā no iepriekšējā vidēja termiņa budžeta ietvara</w:t>
      </w:r>
      <w:r w:rsidR="00815173">
        <w:rPr>
          <w:rFonts w:eastAsia="Times New Roman" w:cs="Times New Roman"/>
          <w:szCs w:val="24"/>
        </w:rPr>
        <w:t xml:space="preserve"> likuma sagatavošanas.  Covid-</w:t>
      </w:r>
      <w:r w:rsidRPr="009F7EC4">
        <w:rPr>
          <w:rFonts w:eastAsia="Times New Roman" w:cs="Times New Roman"/>
          <w:szCs w:val="24"/>
        </w:rPr>
        <w:t xml:space="preserve">19 noteiktie atbalsta pasākumi, kas tika pieņemti pēc likuma  “Par vidēja termiņa budžeta ietvaru 2021., 2022. un 2023. gadam” sagatavošanas, bet līdz </w:t>
      </w:r>
      <w:r w:rsidR="00815173">
        <w:rPr>
          <w:rFonts w:eastAsia="Times New Roman" w:cs="Times New Roman"/>
          <w:szCs w:val="24"/>
        </w:rPr>
        <w:t xml:space="preserve">2021. gada </w:t>
      </w:r>
      <w:r w:rsidRPr="009F7EC4">
        <w:rPr>
          <w:rFonts w:eastAsia="Times New Roman" w:cs="Times New Roman"/>
          <w:szCs w:val="24"/>
        </w:rPr>
        <w:t xml:space="preserve">23. martam, tika aprakstīti Latvijas Stabilitātes programmā 2021.-2024. gadam. Šajā vidēja termiņa budžeta ietvara likumā ir ietverta aktualizētā informācija par Covid-19 atbalsta pasākumiem un to fiskālo ietekmi 2020. un 2021. gadā un prognozēto ietekmi uz 2023. un 2024. gadu. </w:t>
      </w:r>
    </w:p>
    <w:p w14:paraId="16173BB4" w14:textId="094B2419" w:rsidR="009F7EC4" w:rsidRPr="009F7EC4" w:rsidRDefault="009F7EC4" w:rsidP="009F7EC4">
      <w:pPr>
        <w:widowControl w:val="0"/>
        <w:rPr>
          <w:rFonts w:eastAsia="Times New Roman" w:cs="Times New Roman"/>
          <w:szCs w:val="24"/>
        </w:rPr>
      </w:pPr>
      <w:r w:rsidRPr="009F7EC4">
        <w:rPr>
          <w:rFonts w:eastAsia="Times New Roman" w:cs="Times New Roman"/>
          <w:szCs w:val="24"/>
        </w:rPr>
        <w:t xml:space="preserve">Latvijas fiskālās politikas vispārējais mērķis laika periodam no 2022. līdz 2024.gadam saglabājas tāds pats, kā iepriekšējos </w:t>
      </w:r>
      <w:bookmarkStart w:id="37" w:name="_Hlk83916946"/>
      <w:bookmarkStart w:id="38" w:name="_Hlk83917600"/>
      <w:r w:rsidRPr="009F7EC4">
        <w:rPr>
          <w:rFonts w:eastAsia="Times New Roman" w:cs="Times New Roman"/>
          <w:szCs w:val="24"/>
        </w:rPr>
        <w:t>vidēja termiņa budžeta ietvara likumo</w:t>
      </w:r>
      <w:bookmarkEnd w:id="37"/>
      <w:r w:rsidRPr="009F7EC4">
        <w:rPr>
          <w:rFonts w:eastAsia="Times New Roman" w:cs="Times New Roman"/>
          <w:szCs w:val="24"/>
        </w:rPr>
        <w:t>s</w:t>
      </w:r>
      <w:bookmarkEnd w:id="38"/>
      <w:r w:rsidRPr="009F7EC4">
        <w:rPr>
          <w:rFonts w:eastAsia="Times New Roman" w:cs="Times New Roman"/>
          <w:szCs w:val="24"/>
        </w:rPr>
        <w:t xml:space="preserve"> un tas ir: “ilgtspējīgi kāpināt iedzīvotāju dzīves kvalitāti”.</w:t>
      </w:r>
      <w:r w:rsidRPr="009F7EC4">
        <w:rPr>
          <w:rFonts w:ascii="Calibri" w:eastAsia="Calibri" w:hAnsi="Calibri" w:cs="Calibri"/>
          <w:szCs w:val="24"/>
        </w:rPr>
        <w:t xml:space="preserve"> </w:t>
      </w:r>
      <w:r w:rsidRPr="009F7EC4">
        <w:rPr>
          <w:rFonts w:eastAsia="Times New Roman" w:cs="Times New Roman"/>
          <w:szCs w:val="24"/>
        </w:rPr>
        <w:t>Dzīves kvalitāte ietver iedzīvotāju labklājību, medicīnas pakalpojumu pieejamību, dabas vidi, attīstītu infrastruktūru un kultūru, kvalitatīvu un darba tirgum atbilstošu izglītības sistēmas nodrošināšanu, valsts drošību,  kā arī pārmērīgas iedzīvotāju ienākumu nevienlīdzības novēršanu. Būtiski ir nodrošināt, ka valstī ir apstākļi dzīves kvalitātes uzlabošanai ne tikai šobrīd, bet arī turpmāk. Tāpēc fiskālās politikas mērķī ir akcentēta ilgtspēja. Ilgtspējīga dzīves kvalitātes kāpināšana nozīmē, ka publiskie finanšu resursi tiek novirzīti ne tikai pašreizējiem dzīves kvalitātes uzlabošanas pasākumi</w:t>
      </w:r>
      <w:r w:rsidR="00EA07DF">
        <w:rPr>
          <w:rFonts w:eastAsia="Times New Roman" w:cs="Times New Roman"/>
          <w:szCs w:val="24"/>
        </w:rPr>
        <w:t>em, bet publiskie resursi 2022.</w:t>
      </w:r>
      <w:r w:rsidRPr="009F7EC4">
        <w:rPr>
          <w:rFonts w:eastAsia="Times New Roman" w:cs="Times New Roman"/>
          <w:szCs w:val="24"/>
        </w:rPr>
        <w:t>-2024. gadam tiek plānoti un sadalīti tā, lai tiktu nodrošināti apstākļi, ka valsts dzīves kvalitāti varēs kāpināt arī ilgtermiņā. To var panākt atsakoties no pašreizējo izdevumu segšanas uz nākamo paaudžu rēķina jeb atsakoties no pārmērīgas publisko izdevumu palielināšanas uz deficīta pieauguma rēķina.</w:t>
      </w:r>
    </w:p>
    <w:p w14:paraId="145A217D" w14:textId="77777777" w:rsidR="009F7EC4" w:rsidRPr="009F7EC4" w:rsidRDefault="009F7EC4" w:rsidP="009F7EC4">
      <w:pPr>
        <w:widowControl w:val="0"/>
        <w:ind w:firstLine="709"/>
        <w:rPr>
          <w:rFonts w:eastAsia="Times New Roman" w:cs="Times New Roman"/>
          <w:szCs w:val="24"/>
        </w:rPr>
      </w:pPr>
      <w:r w:rsidRPr="009F7EC4">
        <w:rPr>
          <w:rFonts w:eastAsia="Times New Roman" w:cs="Times New Roman"/>
          <w:szCs w:val="24"/>
        </w:rPr>
        <w:t xml:space="preserve"> Latvijas fiskālās politikas vispārējais mērķis tiek īstenots (operacionalizēts) ar fiskālās politikas specifiskajiem mērķiem, jeb vidēja termiņa budžeta politikas prioritārajiem attīstības </w:t>
      </w:r>
      <w:r w:rsidRPr="009F7EC4">
        <w:rPr>
          <w:rFonts w:eastAsia="Times New Roman" w:cs="Times New Roman"/>
          <w:szCs w:val="24"/>
        </w:rPr>
        <w:lastRenderedPageBreak/>
        <w:t xml:space="preserve">virzieniem, kas katrā vidēja termiņa budžeta ietvara likumā var atšķirties, attiecīgi reaģējot uz tā brīža izaicinājumiem. </w:t>
      </w:r>
    </w:p>
    <w:p w14:paraId="60C37B9F" w14:textId="77777777" w:rsidR="009F7EC4" w:rsidRPr="009F7EC4" w:rsidRDefault="009F7EC4" w:rsidP="009F7EC4">
      <w:pPr>
        <w:widowControl w:val="0"/>
        <w:ind w:firstLine="709"/>
        <w:rPr>
          <w:rFonts w:eastAsia="Times New Roman" w:cs="Times New Roman"/>
          <w:szCs w:val="24"/>
        </w:rPr>
      </w:pPr>
      <w:r w:rsidRPr="009F7EC4">
        <w:rPr>
          <w:rFonts w:eastAsia="Times New Roman" w:cs="Times New Roman"/>
          <w:szCs w:val="24"/>
        </w:rPr>
        <w:t>Likumprojektā  “Par vidēja termiņa budžeta ietvaru 2022., 2023. un 2024. gadam” tiek izvirzīti šādi vidēja termiņa budžeta politikas prioritārie attīstības virzieni:</w:t>
      </w:r>
    </w:p>
    <w:p w14:paraId="466A59FA" w14:textId="77777777" w:rsidR="009F7EC4" w:rsidRPr="009F7EC4" w:rsidRDefault="009F7EC4" w:rsidP="00F70213">
      <w:pPr>
        <w:pStyle w:val="ListParagraph"/>
        <w:widowControl w:val="0"/>
        <w:numPr>
          <w:ilvl w:val="0"/>
          <w:numId w:val="13"/>
        </w:numPr>
        <w:spacing w:after="0"/>
        <w:rPr>
          <w:rFonts w:eastAsia="Times New Roman" w:cs="Times New Roman"/>
          <w:szCs w:val="24"/>
        </w:rPr>
      </w:pPr>
      <w:r w:rsidRPr="009F7EC4">
        <w:rPr>
          <w:rFonts w:eastAsia="Times New Roman" w:cs="Times New Roman"/>
          <w:b/>
          <w:bCs/>
          <w:szCs w:val="24"/>
        </w:rPr>
        <w:t>ienākumu nevienlīdzības mazināšana</w:t>
      </w:r>
      <w:r w:rsidRPr="009F7EC4">
        <w:rPr>
          <w:rFonts w:eastAsia="Times New Roman" w:cs="Times New Roman"/>
          <w:szCs w:val="24"/>
        </w:rPr>
        <w:t>, palielinot diferencēto neapliekamo ienākumu minimumu un īstenojot ģimenes valsts pabalsta reformu;</w:t>
      </w:r>
    </w:p>
    <w:p w14:paraId="790AB624" w14:textId="77777777" w:rsidR="009F7EC4" w:rsidRPr="009F7EC4" w:rsidRDefault="009F7EC4" w:rsidP="00F70213">
      <w:pPr>
        <w:pStyle w:val="ListParagraph"/>
        <w:widowControl w:val="0"/>
        <w:numPr>
          <w:ilvl w:val="0"/>
          <w:numId w:val="13"/>
        </w:numPr>
        <w:spacing w:after="0"/>
        <w:rPr>
          <w:rFonts w:eastAsia="Times New Roman" w:cs="Times New Roman"/>
          <w:szCs w:val="24"/>
        </w:rPr>
      </w:pPr>
      <w:r w:rsidRPr="009F7EC4">
        <w:rPr>
          <w:rFonts w:eastAsia="Times New Roman" w:cs="Times New Roman"/>
          <w:b/>
          <w:bCs/>
          <w:szCs w:val="24"/>
        </w:rPr>
        <w:t>cilvēkkapitāla kapacitātes saglabāšana un stiprināšana publiskajā sektorā</w:t>
      </w:r>
      <w:r w:rsidRPr="009F7EC4">
        <w:rPr>
          <w:rFonts w:eastAsia="Times New Roman" w:cs="Times New Roman"/>
          <w:szCs w:val="24"/>
        </w:rPr>
        <w:t>, palielinot finansējumu ārstniecības personu, amatpersonu ar speciālajām dienesta pakāpēm, pedagogu, kultūras nozares un sociālās aprūpes un sociālās rehabilitācijas institūciju darbinieku atalgojumu;</w:t>
      </w:r>
    </w:p>
    <w:p w14:paraId="2AFA799E" w14:textId="77777777" w:rsidR="009F7EC4" w:rsidRPr="009F7EC4" w:rsidRDefault="009F7EC4" w:rsidP="00F70213">
      <w:pPr>
        <w:pStyle w:val="ListParagraph"/>
        <w:widowControl w:val="0"/>
        <w:numPr>
          <w:ilvl w:val="0"/>
          <w:numId w:val="13"/>
        </w:numPr>
        <w:spacing w:after="0"/>
        <w:rPr>
          <w:rFonts w:eastAsia="Times New Roman" w:cs="Times New Roman"/>
          <w:szCs w:val="24"/>
        </w:rPr>
      </w:pPr>
      <w:r w:rsidRPr="009F7EC4">
        <w:rPr>
          <w:rFonts w:eastAsia="Times New Roman" w:cs="Times New Roman"/>
          <w:b/>
          <w:bCs/>
          <w:szCs w:val="24"/>
        </w:rPr>
        <w:t>veselības aprūpes pakalpojumu uzlabošana onkoloģijas jomā</w:t>
      </w:r>
      <w:r w:rsidRPr="009F7EC4">
        <w:rPr>
          <w:rFonts w:eastAsia="Times New Roman" w:cs="Times New Roman"/>
          <w:szCs w:val="24"/>
        </w:rPr>
        <w:t>, palielinot finansējumu  kompensējamiem medikamentiem un nodrošinot nepieciešamā aprīkojuma iegādi;</w:t>
      </w:r>
    </w:p>
    <w:p w14:paraId="661863A9" w14:textId="77777777" w:rsidR="009F7EC4" w:rsidRPr="009F7EC4" w:rsidRDefault="009F7EC4" w:rsidP="00F70213">
      <w:pPr>
        <w:pStyle w:val="ListParagraph"/>
        <w:widowControl w:val="0"/>
        <w:numPr>
          <w:ilvl w:val="0"/>
          <w:numId w:val="13"/>
        </w:numPr>
        <w:spacing w:after="0"/>
        <w:rPr>
          <w:rFonts w:eastAsia="Times New Roman" w:cs="Times New Roman"/>
          <w:szCs w:val="24"/>
        </w:rPr>
      </w:pPr>
      <w:r w:rsidRPr="009F7EC4">
        <w:rPr>
          <w:rFonts w:eastAsia="Times New Roman" w:cs="Times New Roman"/>
          <w:b/>
          <w:bCs/>
          <w:szCs w:val="24"/>
        </w:rPr>
        <w:t>valsts inovatīvā potenciāla stiprināšana</w:t>
      </w:r>
      <w:r w:rsidRPr="009F7EC4">
        <w:rPr>
          <w:rFonts w:eastAsia="Times New Roman" w:cs="Times New Roman"/>
          <w:szCs w:val="24"/>
        </w:rPr>
        <w:t>, palielinot zinātnes bāzes finansējumu un finansējumu fundamentālajiem un lietišķajiem pētījumiem;</w:t>
      </w:r>
    </w:p>
    <w:p w14:paraId="50B42C40" w14:textId="77777777" w:rsidR="009F7EC4" w:rsidRPr="009F7EC4" w:rsidRDefault="009F7EC4" w:rsidP="00F70213">
      <w:pPr>
        <w:pStyle w:val="ListParagraph"/>
        <w:widowControl w:val="0"/>
        <w:numPr>
          <w:ilvl w:val="0"/>
          <w:numId w:val="13"/>
        </w:numPr>
        <w:spacing w:after="0"/>
        <w:rPr>
          <w:rFonts w:eastAsia="Times New Roman" w:cs="Times New Roman"/>
          <w:szCs w:val="24"/>
        </w:rPr>
      </w:pPr>
      <w:r w:rsidRPr="009F7EC4">
        <w:rPr>
          <w:rFonts w:eastAsia="Times New Roman" w:cs="Times New Roman"/>
          <w:b/>
          <w:bCs/>
          <w:szCs w:val="24"/>
        </w:rPr>
        <w:t>pēcpandēmijas perioda ekonomiskās vides noturības veicināšana</w:t>
      </w:r>
      <w:r w:rsidRPr="009F7EC4">
        <w:rPr>
          <w:rFonts w:eastAsia="Times New Roman" w:cs="Times New Roman"/>
          <w:szCs w:val="24"/>
        </w:rPr>
        <w:t>, atbalstot uzņēmumu atgūšanos un attīstību, stiprinot uzņēmumu kapitāla bāzi un investīciju piesaisti;</w:t>
      </w:r>
    </w:p>
    <w:p w14:paraId="6E2168D2" w14:textId="6C62BFF1" w:rsidR="009F7EC4" w:rsidRPr="009F7EC4" w:rsidRDefault="009F7EC4" w:rsidP="00F70213">
      <w:pPr>
        <w:pStyle w:val="ListParagraph"/>
        <w:widowControl w:val="0"/>
        <w:numPr>
          <w:ilvl w:val="0"/>
          <w:numId w:val="13"/>
        </w:numPr>
        <w:ind w:left="1434" w:hanging="357"/>
        <w:rPr>
          <w:rFonts w:eastAsia="Times New Roman" w:cs="Times New Roman"/>
          <w:szCs w:val="24"/>
        </w:rPr>
      </w:pPr>
      <w:r w:rsidRPr="009F7EC4">
        <w:rPr>
          <w:rFonts w:eastAsia="Times New Roman" w:cs="Times New Roman"/>
          <w:b/>
          <w:bCs/>
          <w:szCs w:val="24"/>
        </w:rPr>
        <w:t>publisko investīciju projektu portfeļa palielināšana un finansēšana</w:t>
      </w:r>
      <w:r w:rsidRPr="009F7EC4">
        <w:rPr>
          <w:rFonts w:eastAsia="Times New Roman" w:cs="Times New Roman"/>
          <w:szCs w:val="24"/>
        </w:rPr>
        <w:t xml:space="preserve"> pašvaldību investīciju projektiem, valsts reģionālo autoceļu pārbūvē un atjaunošanā, lauksaimniecības, meža un zivsaimniecības nozaru infrastruktūras pilnveidošanā, ugunsdzēsības un glābšanas transportlīdzekļu iegādei un investīcijām valsts  militārās un aizsardzības industrijas attīstībā.</w:t>
      </w:r>
    </w:p>
    <w:p w14:paraId="345A5678" w14:textId="6BA40A12" w:rsidR="009F7EC4" w:rsidRPr="009F7EC4" w:rsidRDefault="009F7EC4" w:rsidP="009F7EC4">
      <w:pPr>
        <w:widowControl w:val="0"/>
        <w:rPr>
          <w:rFonts w:ascii="Calibri" w:eastAsia="Calibri" w:hAnsi="Calibri" w:cs="Calibri"/>
          <w:szCs w:val="24"/>
        </w:rPr>
      </w:pPr>
      <w:r w:rsidRPr="009F7EC4">
        <w:rPr>
          <w:rFonts w:eastAsia="Times New Roman" w:cs="Times New Roman"/>
          <w:szCs w:val="24"/>
        </w:rPr>
        <w:t>Latvijas fiskālās politikas vispārējais mērķis un specifiskie mērķi ir tieši sais</w:t>
      </w:r>
      <w:r w:rsidR="00815173">
        <w:rPr>
          <w:rFonts w:eastAsia="Times New Roman" w:cs="Times New Roman"/>
          <w:szCs w:val="24"/>
        </w:rPr>
        <w:t>tīti ar Nacionālo attīstības plānu</w:t>
      </w:r>
      <w:r w:rsidRPr="009F7EC4">
        <w:rPr>
          <w:rFonts w:eastAsia="Times New Roman" w:cs="Times New Roman"/>
          <w:szCs w:val="24"/>
        </w:rPr>
        <w:t xml:space="preserve"> 2021.-2027.gadam, kas ir hierarhiski augstākais nacionāla līmeņa septiņu gadu plānošanas dokuments, un rada nepieciešamos fiskālos apstākļus, lai īstenotu dzīvē </w:t>
      </w:r>
      <w:r w:rsidR="00815173">
        <w:rPr>
          <w:rFonts w:eastAsia="Times New Roman" w:cs="Times New Roman"/>
          <w:szCs w:val="24"/>
        </w:rPr>
        <w:t>Nacionālā attīstības plāna</w:t>
      </w:r>
      <w:r w:rsidRPr="009F7EC4">
        <w:rPr>
          <w:rFonts w:eastAsia="Times New Roman" w:cs="Times New Roman"/>
          <w:szCs w:val="24"/>
        </w:rPr>
        <w:t xml:space="preserve"> vīziju par Latviju:</w:t>
      </w:r>
      <w:r w:rsidR="00815173">
        <w:rPr>
          <w:rFonts w:ascii="Calibri" w:eastAsia="Calibri" w:hAnsi="Calibri" w:cs="Calibri"/>
          <w:szCs w:val="24"/>
        </w:rPr>
        <w:t xml:space="preserve"> “</w:t>
      </w:r>
      <w:r w:rsidRPr="009F7EC4">
        <w:rPr>
          <w:rFonts w:eastAsia="Times New Roman" w:cs="Times New Roman"/>
          <w:szCs w:val="24"/>
        </w:rPr>
        <w:t>2030. gadā Latvija būs plaukstoša aktīvu un atbildīgu pilsoņu valsts. Ikviens varēs justies drošs un piederīgs Latvijai, šeit katrs varēs īstenot savus mērķus. Nācijas stiprums sakņosies mantotajās, iepazītajās un jaunradītajās kultūras un garīgajās vērtībās, latviešu valodas bagātībā un citu valodu zināšanās. Tas vienos sabiedrību jaunu, daudzveidīgu un neatkārtojamu vērtību radīšanai ekonomikā, zinātnē un kultūrā, kuras novērtēs, pazīs un cienīs arī ārpus Latvijas” (</w:t>
      </w:r>
      <w:r w:rsidR="00815173">
        <w:rPr>
          <w:rFonts w:eastAsia="Times New Roman" w:cs="Times New Roman"/>
          <w:szCs w:val="24"/>
        </w:rPr>
        <w:t>Nacionālais attīstības plāns 2021.-</w:t>
      </w:r>
      <w:r w:rsidRPr="009F7EC4">
        <w:rPr>
          <w:rFonts w:eastAsia="Times New Roman" w:cs="Times New Roman"/>
          <w:szCs w:val="24"/>
        </w:rPr>
        <w:t>2027. gadam).</w:t>
      </w:r>
    </w:p>
    <w:p w14:paraId="08B40C3E" w14:textId="0AD375BC" w:rsidR="009F7EC4" w:rsidRPr="009F7EC4" w:rsidRDefault="009F7EC4" w:rsidP="009F7EC4">
      <w:pPr>
        <w:widowControl w:val="0"/>
        <w:rPr>
          <w:rFonts w:eastAsia="Times New Roman" w:cs="Times New Roman"/>
          <w:szCs w:val="24"/>
        </w:rPr>
      </w:pPr>
      <w:r w:rsidRPr="009F7EC4">
        <w:rPr>
          <w:rFonts w:eastAsia="Times New Roman" w:cs="Times New Roman"/>
          <w:szCs w:val="24"/>
        </w:rPr>
        <w:t>Tālāk šajā nodaļā tiks sniegts izvērsums gan par to kā tiek aprēķināti pieejamie papildus resursi budžeta prioritāšu īstenoš</w:t>
      </w:r>
      <w:r w:rsidR="00815173">
        <w:rPr>
          <w:rFonts w:eastAsia="Times New Roman" w:cs="Times New Roman"/>
          <w:szCs w:val="24"/>
        </w:rPr>
        <w:t>anai, gan arī par to, kādi ir Ministru kabineta</w:t>
      </w:r>
      <w:r w:rsidRPr="009F7EC4">
        <w:rPr>
          <w:rFonts w:eastAsia="Times New Roman" w:cs="Times New Roman"/>
          <w:szCs w:val="24"/>
        </w:rPr>
        <w:t xml:space="preserve"> pieņemtie lēmumi fiskālās politikas vispārējā mērķa un specifisko mērķu sasniegšanai. Informācija tiks ietverta sekojošās apakšdaļās:</w:t>
      </w:r>
    </w:p>
    <w:p w14:paraId="7E466768" w14:textId="77777777" w:rsidR="009F7EC4" w:rsidRPr="009F7EC4" w:rsidRDefault="009F7EC4" w:rsidP="00F70213">
      <w:pPr>
        <w:widowControl w:val="0"/>
        <w:numPr>
          <w:ilvl w:val="0"/>
          <w:numId w:val="12"/>
        </w:numPr>
        <w:spacing w:after="0"/>
        <w:ind w:left="1069" w:hanging="360"/>
        <w:rPr>
          <w:rFonts w:eastAsia="Times New Roman" w:cs="Times New Roman"/>
          <w:szCs w:val="24"/>
        </w:rPr>
      </w:pPr>
      <w:r w:rsidRPr="009F7EC4">
        <w:rPr>
          <w:rFonts w:eastAsia="Times New Roman" w:cs="Times New Roman"/>
          <w:szCs w:val="24"/>
        </w:rPr>
        <w:t>vidēja termiņa strukturālās bilances mērķu noteikšana;</w:t>
      </w:r>
    </w:p>
    <w:p w14:paraId="6DFA0C85" w14:textId="77777777" w:rsidR="009F7EC4" w:rsidRPr="009F7EC4" w:rsidRDefault="009F7EC4" w:rsidP="00F70213">
      <w:pPr>
        <w:widowControl w:val="0"/>
        <w:numPr>
          <w:ilvl w:val="0"/>
          <w:numId w:val="12"/>
        </w:numPr>
        <w:spacing w:after="0"/>
        <w:ind w:left="1069" w:hanging="360"/>
        <w:rPr>
          <w:rFonts w:eastAsia="Times New Roman" w:cs="Times New Roman"/>
          <w:szCs w:val="24"/>
        </w:rPr>
      </w:pPr>
      <w:r w:rsidRPr="009F7EC4">
        <w:rPr>
          <w:rFonts w:eastAsia="Times New Roman" w:cs="Times New Roman"/>
          <w:szCs w:val="24"/>
        </w:rPr>
        <w:t>vispārējās valdības budžeta bilance;</w:t>
      </w:r>
    </w:p>
    <w:p w14:paraId="2CBF4161" w14:textId="77777777" w:rsidR="009F7EC4" w:rsidRPr="009F7EC4" w:rsidRDefault="009F7EC4" w:rsidP="00F70213">
      <w:pPr>
        <w:widowControl w:val="0"/>
        <w:numPr>
          <w:ilvl w:val="0"/>
          <w:numId w:val="12"/>
        </w:numPr>
        <w:spacing w:after="0"/>
        <w:ind w:left="1069" w:hanging="360"/>
        <w:rPr>
          <w:rFonts w:eastAsia="Times New Roman" w:cs="Times New Roman"/>
          <w:szCs w:val="24"/>
        </w:rPr>
      </w:pPr>
      <w:r w:rsidRPr="009F7EC4">
        <w:rPr>
          <w:rFonts w:eastAsia="Times New Roman" w:cs="Times New Roman"/>
          <w:szCs w:val="24"/>
        </w:rPr>
        <w:t>vidēja termiņa budžeta prioritārie attīstības virzieni.</w:t>
      </w:r>
    </w:p>
    <w:p w14:paraId="2CC4BA90" w14:textId="77777777" w:rsidR="009F7EC4" w:rsidRPr="009F7EC4" w:rsidRDefault="009F7EC4" w:rsidP="009F7EC4"/>
    <w:p w14:paraId="69777FB6" w14:textId="25D9917C" w:rsidR="0042606F" w:rsidRPr="00B02A36" w:rsidRDefault="000548A5" w:rsidP="00815173">
      <w:pPr>
        <w:pStyle w:val="Heading2"/>
        <w:spacing w:before="240" w:after="240"/>
        <w:ind w:left="578"/>
        <w:jc w:val="center"/>
        <w:rPr>
          <w:rFonts w:eastAsia="Times New Roman" w:cs="Times New Roman"/>
          <w:szCs w:val="32"/>
        </w:rPr>
      </w:pPr>
      <w:bookmarkStart w:id="39" w:name="_Toc84756405"/>
      <w:r w:rsidRPr="00FB5161">
        <w:rPr>
          <w:rFonts w:eastAsia="Times New Roman" w:cs="Times New Roman"/>
          <w:szCs w:val="32"/>
        </w:rPr>
        <w:lastRenderedPageBreak/>
        <w:t>2.1. </w:t>
      </w:r>
      <w:r w:rsidRPr="00B02A36">
        <w:t>Vidēja termiņa strukturālās bilances mērķu noteikšana</w:t>
      </w:r>
      <w:bookmarkEnd w:id="39"/>
    </w:p>
    <w:p w14:paraId="16343749" w14:textId="7619F958" w:rsidR="009F7EC4" w:rsidRPr="009F7EC4" w:rsidRDefault="009F7EC4" w:rsidP="009F7EC4">
      <w:pPr>
        <w:ind w:firstLine="576"/>
        <w:rPr>
          <w:rFonts w:cs="Times New Roman"/>
          <w:szCs w:val="24"/>
        </w:rPr>
      </w:pPr>
      <w:r w:rsidRPr="009F7EC4">
        <w:rPr>
          <w:rFonts w:cs="Times New Roman"/>
          <w:szCs w:val="24"/>
        </w:rPr>
        <w:t xml:space="preserve">Vispārējās valdības budžeta strukturālās bilances mērķu noteikšana parasti izriet no </w:t>
      </w:r>
      <w:r w:rsidR="00EA07DF">
        <w:rPr>
          <w:rFonts w:cs="Times New Roman"/>
          <w:szCs w:val="24"/>
        </w:rPr>
        <w:t>likumā “Fiskālās disciplīnas likums”</w:t>
      </w:r>
      <w:r w:rsidRPr="009F7EC4">
        <w:rPr>
          <w:rFonts w:cs="Times New Roman"/>
          <w:szCs w:val="24"/>
        </w:rPr>
        <w:t xml:space="preserve"> un Stabilitātes un izaugsmes paktā noteiktajiem skaitliskajiem fiskālajiem nosacījumiem. Sakarā ar Covid</w:t>
      </w:r>
      <w:r w:rsidR="00EA07DF">
        <w:rPr>
          <w:rFonts w:cs="Times New Roman"/>
          <w:szCs w:val="24"/>
        </w:rPr>
        <w:t>-19 pandēmiju, ir aktivizēta Stabilitātes un izaugsmes pakta</w:t>
      </w:r>
      <w:r w:rsidRPr="009F7EC4">
        <w:rPr>
          <w:rFonts w:cs="Times New Roman"/>
          <w:szCs w:val="24"/>
        </w:rPr>
        <w:t xml:space="preserve"> vispārējā izņēmuma klauzula un tāpēc strukturālās bilances mērķa noteikšanā ir jāpiemēro citi apsvērumi.  </w:t>
      </w:r>
    </w:p>
    <w:p w14:paraId="6C3999E6" w14:textId="576AF3AE" w:rsidR="009F7EC4" w:rsidRPr="009F7EC4" w:rsidRDefault="009F7EC4" w:rsidP="009F7EC4">
      <w:pPr>
        <w:ind w:firstLine="576"/>
        <w:rPr>
          <w:rFonts w:cs="Times New Roman"/>
          <w:szCs w:val="24"/>
        </w:rPr>
      </w:pPr>
      <w:r w:rsidRPr="009F7EC4">
        <w:rPr>
          <w:rFonts w:cs="Times New Roman"/>
          <w:szCs w:val="24"/>
        </w:rPr>
        <w:t xml:space="preserve">Eiropas Komisija </w:t>
      </w:r>
      <w:r w:rsidR="00EA07DF">
        <w:rPr>
          <w:rFonts w:cs="Times New Roman"/>
          <w:szCs w:val="24"/>
        </w:rPr>
        <w:t xml:space="preserve">šī </w:t>
      </w:r>
      <w:r w:rsidRPr="009F7EC4">
        <w:rPr>
          <w:rFonts w:cs="Times New Roman"/>
          <w:szCs w:val="24"/>
        </w:rPr>
        <w:t>g</w:t>
      </w:r>
      <w:r w:rsidR="00EA07DF">
        <w:rPr>
          <w:rFonts w:cs="Times New Roman"/>
          <w:szCs w:val="24"/>
        </w:rPr>
        <w:t>ada</w:t>
      </w:r>
      <w:r w:rsidRPr="009F7EC4">
        <w:rPr>
          <w:rFonts w:cs="Times New Roman"/>
          <w:szCs w:val="24"/>
        </w:rPr>
        <w:t xml:space="preserve"> Pavasara pakotnes ko</w:t>
      </w:r>
      <w:r w:rsidR="00EA07DF">
        <w:rPr>
          <w:rFonts w:cs="Times New Roman"/>
          <w:szCs w:val="24"/>
        </w:rPr>
        <w:t xml:space="preserve">munikācijā ir paziņojusi, ka </w:t>
      </w:r>
      <w:r w:rsidR="00EA07DF" w:rsidRPr="009F7EC4">
        <w:rPr>
          <w:rFonts w:cs="Times New Roman"/>
          <w:szCs w:val="24"/>
        </w:rPr>
        <w:t>Stabilitātes un izaugsmes pakt</w:t>
      </w:r>
      <w:r w:rsidR="00EA07DF">
        <w:rPr>
          <w:rFonts w:cs="Times New Roman"/>
          <w:szCs w:val="24"/>
        </w:rPr>
        <w:t>a</w:t>
      </w:r>
      <w:r w:rsidRPr="009F7EC4">
        <w:rPr>
          <w:rFonts w:cs="Times New Roman"/>
          <w:szCs w:val="24"/>
        </w:rPr>
        <w:t xml:space="preserve"> vispārējā izņēmuma klauzula 2022. gadā tiek saglabāta un ir sagaidāms, ka tā tiks izbeigta </w:t>
      </w:r>
      <w:r w:rsidR="00EA07DF">
        <w:rPr>
          <w:rFonts w:cs="Times New Roman"/>
          <w:szCs w:val="24"/>
        </w:rPr>
        <w:t>sākot ar</w:t>
      </w:r>
      <w:r w:rsidRPr="009F7EC4">
        <w:rPr>
          <w:rFonts w:cs="Times New Roman"/>
          <w:szCs w:val="24"/>
        </w:rPr>
        <w:t xml:space="preserve"> 2023.</w:t>
      </w:r>
      <w:r w:rsidR="00EA07DF">
        <w:rPr>
          <w:rFonts w:cs="Times New Roman"/>
          <w:szCs w:val="24"/>
        </w:rPr>
        <w:t xml:space="preserve"> gadu</w:t>
      </w:r>
      <w:r w:rsidRPr="009F7EC4">
        <w:rPr>
          <w:rFonts w:cs="Times New Roman"/>
          <w:szCs w:val="24"/>
        </w:rPr>
        <w:t>. Kā norādīts E</w:t>
      </w:r>
      <w:r w:rsidR="00EA07DF">
        <w:rPr>
          <w:rFonts w:cs="Times New Roman"/>
          <w:szCs w:val="24"/>
        </w:rPr>
        <w:t xml:space="preserve">iropas </w:t>
      </w:r>
      <w:r w:rsidRPr="009F7EC4">
        <w:rPr>
          <w:rFonts w:cs="Times New Roman"/>
          <w:szCs w:val="24"/>
        </w:rPr>
        <w:t>K</w:t>
      </w:r>
      <w:r w:rsidR="00EA07DF">
        <w:rPr>
          <w:rFonts w:cs="Times New Roman"/>
          <w:szCs w:val="24"/>
        </w:rPr>
        <w:t>omisijas šā gada</w:t>
      </w:r>
      <w:r w:rsidRPr="009F7EC4">
        <w:rPr>
          <w:rFonts w:cs="Times New Roman"/>
          <w:szCs w:val="24"/>
        </w:rPr>
        <w:t xml:space="preserve"> 3. marta paziņojumā, lēmums par vispārējās izņēmuma klauzulas izbeigšanu jāpieņem balstoties uz ekonomikas stāvokļa novērtējumu, pamatojoties uz kvantitatīviem kritērijiem, def</w:t>
      </w:r>
      <w:r w:rsidR="00EA07DF">
        <w:rPr>
          <w:rFonts w:cs="Times New Roman"/>
          <w:szCs w:val="24"/>
        </w:rPr>
        <w:t xml:space="preserve">inējot ekonomisko aktivitāti Eiropas Savienībā </w:t>
      </w:r>
      <w:r w:rsidRPr="009F7EC4">
        <w:rPr>
          <w:rFonts w:cs="Times New Roman"/>
          <w:szCs w:val="24"/>
        </w:rPr>
        <w:t>salīdzinājumā ar pirmskrīzes līmeni kā galveno kvantitatīvo kritē</w:t>
      </w:r>
      <w:r w:rsidR="00EA07DF">
        <w:rPr>
          <w:rFonts w:cs="Times New Roman"/>
          <w:szCs w:val="24"/>
        </w:rPr>
        <w:t>riju. Pamatojoties uz Eiropas Komisijas</w:t>
      </w:r>
      <w:r w:rsidRPr="009F7EC4">
        <w:rPr>
          <w:rFonts w:cs="Times New Roman"/>
          <w:szCs w:val="24"/>
        </w:rPr>
        <w:t xml:space="preserve"> 2021. gada pavasara prognozi, pirmskrīzes ekonomiskā aktivitāte (2019. ga</w:t>
      </w:r>
      <w:r w:rsidR="00EA07DF">
        <w:rPr>
          <w:rFonts w:cs="Times New Roman"/>
          <w:szCs w:val="24"/>
        </w:rPr>
        <w:t>da ceturtā ceturkšņa līmenis) Eiropas Savienībā</w:t>
      </w:r>
      <w:r w:rsidRPr="009F7EC4">
        <w:rPr>
          <w:rFonts w:cs="Times New Roman"/>
          <w:szCs w:val="24"/>
        </w:rPr>
        <w:t xml:space="preserve"> tiks sasniegta 2021. gada</w:t>
      </w:r>
      <w:r w:rsidR="00EA07DF">
        <w:rPr>
          <w:rFonts w:cs="Times New Roman"/>
          <w:szCs w:val="24"/>
        </w:rPr>
        <w:t xml:space="preserve"> ceturtajā ceturksnī, savukārt </w:t>
      </w:r>
      <w:r w:rsidR="00EA07DF" w:rsidRPr="00EA07DF">
        <w:rPr>
          <w:rFonts w:cs="Times New Roman"/>
          <w:i/>
          <w:szCs w:val="24"/>
        </w:rPr>
        <w:t>E</w:t>
      </w:r>
      <w:r w:rsidRPr="00EA07DF">
        <w:rPr>
          <w:rFonts w:cs="Times New Roman"/>
          <w:i/>
          <w:szCs w:val="24"/>
        </w:rPr>
        <w:t>uro</w:t>
      </w:r>
      <w:r w:rsidRPr="009F7EC4">
        <w:rPr>
          <w:rFonts w:cs="Times New Roman"/>
          <w:szCs w:val="24"/>
        </w:rPr>
        <w:t xml:space="preserve"> zonā - 2022. gada pirmajā ceturksnī. Pamatojoties uz šo prognozi</w:t>
      </w:r>
      <w:r w:rsidR="00EA07DF">
        <w:rPr>
          <w:rFonts w:cs="Times New Roman"/>
          <w:szCs w:val="24"/>
        </w:rPr>
        <w:t>, Eiropas Komisijas</w:t>
      </w:r>
      <w:r w:rsidRPr="009F7EC4">
        <w:rPr>
          <w:rFonts w:cs="Times New Roman"/>
          <w:szCs w:val="24"/>
        </w:rPr>
        <w:t xml:space="preserve"> ieskatā pastāv atbilstoši apstākļi, lai saglabātu vispārējā izņēmuma klauzulu  2022. gadā un izbeigtu tās darbību 2023. gadā. </w:t>
      </w:r>
    </w:p>
    <w:p w14:paraId="2A0185AD" w14:textId="0D3C2D66" w:rsidR="009F7EC4" w:rsidRPr="009F7EC4" w:rsidRDefault="009F7EC4" w:rsidP="009F7EC4">
      <w:pPr>
        <w:ind w:firstLine="576"/>
        <w:rPr>
          <w:rFonts w:cs="Times New Roman"/>
          <w:szCs w:val="24"/>
        </w:rPr>
      </w:pPr>
      <w:r w:rsidRPr="009F7EC4">
        <w:rPr>
          <w:rFonts w:cs="Times New Roman"/>
          <w:szCs w:val="24"/>
        </w:rPr>
        <w:t xml:space="preserve">Līdz ar to standarta fiskālie nosacījumi, kas paredzēti Stabilitātes un izaugsmes paktā, 2022. gadā netiek piemēroti. Tāpat ņemot vērā līdzšinējo praksi, kas tika piemērota iepriekšējā vidēja termiņa budžeta ietvara likuma sagatavošanā, arī </w:t>
      </w:r>
      <w:r w:rsidR="00EA07DF">
        <w:rPr>
          <w:rFonts w:cs="Times New Roman"/>
          <w:szCs w:val="24"/>
        </w:rPr>
        <w:t>likumā “Fiskālās disciplīnas likums”</w:t>
      </w:r>
      <w:r w:rsidRPr="009F7EC4">
        <w:rPr>
          <w:rFonts w:cs="Times New Roman"/>
          <w:szCs w:val="24"/>
        </w:rPr>
        <w:t xml:space="preserve"> noteiktie skaitliskie fiskālie nosacījumi netiek piemēroti uz vispārējā izņēmuma klauzulas darbības laiku. Fiskālās disciplīnas likuma skaitlisko fiskālo nosacījum</w:t>
      </w:r>
      <w:r w:rsidR="00EA07DF">
        <w:rPr>
          <w:rFonts w:cs="Times New Roman"/>
          <w:szCs w:val="24"/>
        </w:rPr>
        <w:t>u piemērošanas principi šī vidēja termiņa budžeta ietvara likumprojekta</w:t>
      </w:r>
      <w:r w:rsidRPr="009F7EC4">
        <w:rPr>
          <w:rFonts w:cs="Times New Roman"/>
          <w:szCs w:val="24"/>
        </w:rPr>
        <w:t xml:space="preserve"> sagatavošanā ir definēti </w:t>
      </w:r>
      <w:r w:rsidR="00EA07DF">
        <w:rPr>
          <w:rFonts w:cs="Times New Roman"/>
          <w:szCs w:val="24"/>
        </w:rPr>
        <w:t>likuma “</w:t>
      </w:r>
      <w:r w:rsidRPr="009F7EC4">
        <w:rPr>
          <w:rFonts w:cs="Times New Roman"/>
          <w:szCs w:val="24"/>
        </w:rPr>
        <w:t>Covid-19 infekcijas izp</w:t>
      </w:r>
      <w:r w:rsidR="00EA07DF">
        <w:rPr>
          <w:rFonts w:cs="Times New Roman"/>
          <w:szCs w:val="24"/>
        </w:rPr>
        <w:t>latības seku pārvarēšanas likums” 33. panta</w:t>
      </w:r>
      <w:r w:rsidRPr="009F7EC4">
        <w:rPr>
          <w:rFonts w:cs="Times New Roman"/>
          <w:szCs w:val="24"/>
        </w:rPr>
        <w:t xml:space="preserve"> otrajā daļā:</w:t>
      </w:r>
    </w:p>
    <w:p w14:paraId="0B8E3472" w14:textId="2A635AE0" w:rsidR="009F7EC4" w:rsidRPr="009F7EC4" w:rsidRDefault="009F7EC4" w:rsidP="009F7EC4">
      <w:pPr>
        <w:pStyle w:val="tv213"/>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line="293" w:lineRule="atLeast"/>
        <w:ind w:firstLine="300"/>
        <w:rPr>
          <w:b/>
          <w:bCs/>
          <w:i/>
        </w:rPr>
      </w:pPr>
      <w:r w:rsidRPr="009F7EC4">
        <w:rPr>
          <w:i/>
        </w:rPr>
        <w:t>Covid-19 infekcijas izplatības seku pārvarēšanas likums</w:t>
      </w:r>
    </w:p>
    <w:p w14:paraId="3C28B396" w14:textId="6EB8BC64" w:rsidR="009F7EC4" w:rsidRPr="009F7EC4" w:rsidRDefault="009F7EC4" w:rsidP="009F7EC4">
      <w:pPr>
        <w:pStyle w:val="tv213"/>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line="293" w:lineRule="atLeast"/>
        <w:ind w:firstLine="300"/>
      </w:pPr>
      <w:r w:rsidRPr="009F7EC4">
        <w:rPr>
          <w:b/>
          <w:bCs/>
        </w:rPr>
        <w:t>33. pants. </w:t>
      </w:r>
    </w:p>
    <w:p w14:paraId="007E57BD" w14:textId="77777777" w:rsidR="009F7EC4" w:rsidRPr="009F7EC4" w:rsidRDefault="009F7EC4" w:rsidP="009F7EC4">
      <w:pPr>
        <w:pStyle w:val="tv213"/>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line="293" w:lineRule="atLeast"/>
        <w:ind w:firstLine="300"/>
      </w:pPr>
      <w:r w:rsidRPr="009F7EC4">
        <w:t>(2) Izstrādājot likumprojektu "Par vidēja termiņa budžeta ietvaru 2022., 2023. un 2024. gadam" un likumprojektu "Par valsts budžetu 2022. gadam" un izpildot minētos likumus, netiek piemēroti </w:t>
      </w:r>
      <w:hyperlink r:id="rId56" w:tgtFrame="_blank" w:history="1">
        <w:r w:rsidRPr="009F7EC4">
          <w:rPr>
            <w:rStyle w:val="Hyperlink"/>
            <w:rFonts w:eastAsiaTheme="majorEastAsia"/>
            <w:color w:val="auto"/>
          </w:rPr>
          <w:t>Fiskālās disciplīnas likuma</w:t>
        </w:r>
      </w:hyperlink>
      <w:r w:rsidRPr="009F7EC4">
        <w:t> </w:t>
      </w:r>
      <w:hyperlink r:id="rId57" w:anchor="p7" w:tgtFrame="_blank" w:history="1">
        <w:r w:rsidRPr="009F7EC4">
          <w:rPr>
            <w:rStyle w:val="Hyperlink"/>
            <w:rFonts w:eastAsiaTheme="majorEastAsia"/>
            <w:color w:val="auto"/>
          </w:rPr>
          <w:t>7. panta</w:t>
        </w:r>
      </w:hyperlink>
      <w:r w:rsidRPr="009F7EC4">
        <w:t> trešās daļas un </w:t>
      </w:r>
      <w:hyperlink r:id="rId58" w:anchor="p9" w:tgtFrame="_blank" w:history="1">
        <w:r w:rsidRPr="009F7EC4">
          <w:rPr>
            <w:rStyle w:val="Hyperlink"/>
            <w:rFonts w:eastAsiaTheme="majorEastAsia"/>
            <w:color w:val="auto"/>
          </w:rPr>
          <w:t>9.</w:t>
        </w:r>
      </w:hyperlink>
      <w:r w:rsidRPr="009F7EC4">
        <w:t>, </w:t>
      </w:r>
      <w:hyperlink r:id="rId59" w:anchor="p10" w:tgtFrame="_blank" w:history="1">
        <w:r w:rsidRPr="009F7EC4">
          <w:rPr>
            <w:rStyle w:val="Hyperlink"/>
            <w:rFonts w:eastAsiaTheme="majorEastAsia"/>
            <w:color w:val="auto"/>
          </w:rPr>
          <w:t>10. </w:t>
        </w:r>
      </w:hyperlink>
      <w:r w:rsidRPr="009F7EC4">
        <w:t>un </w:t>
      </w:r>
      <w:hyperlink r:id="rId60" w:anchor="p13" w:tgtFrame="_blank" w:history="1">
        <w:r w:rsidRPr="009F7EC4">
          <w:rPr>
            <w:rStyle w:val="Hyperlink"/>
            <w:rFonts w:eastAsiaTheme="majorEastAsia"/>
            <w:color w:val="auto"/>
          </w:rPr>
          <w:t>13. panta</w:t>
        </w:r>
      </w:hyperlink>
      <w:r w:rsidRPr="009F7EC4">
        <w:t> nosacījumi, bet tiek piemēroti saskaņā ar Padomes 1997. gada 7. jūlija regulas (EK) Nr. </w:t>
      </w:r>
      <w:hyperlink r:id="rId61" w:tgtFrame="_blank" w:history="1">
        <w:r w:rsidRPr="009F7EC4">
          <w:rPr>
            <w:rStyle w:val="Hyperlink"/>
            <w:rFonts w:eastAsiaTheme="majorEastAsia"/>
            <w:color w:val="auto"/>
          </w:rPr>
          <w:t>1466/97</w:t>
        </w:r>
      </w:hyperlink>
      <w:r w:rsidRPr="009F7EC4">
        <w:t> par budžeta stāvokļa uzraudzības un ekonomikas politikas uzraudzības un koordinācijas stiprināšanu 5. panta otro daļu izdotā atzinuma nosacījumi.</w:t>
      </w:r>
    </w:p>
    <w:p w14:paraId="222593FD" w14:textId="77777777" w:rsidR="00EA07DF" w:rsidRDefault="00EA07DF" w:rsidP="00EA07DF">
      <w:pPr>
        <w:ind w:firstLine="300"/>
        <w:rPr>
          <w:rFonts w:cs="Times New Roman"/>
          <w:szCs w:val="24"/>
        </w:rPr>
      </w:pPr>
    </w:p>
    <w:p w14:paraId="22AF28DD" w14:textId="690FC8B9" w:rsidR="009F7EC4" w:rsidRPr="009F7EC4" w:rsidRDefault="009F7EC4" w:rsidP="00EA07DF">
      <w:pPr>
        <w:ind w:firstLine="300"/>
        <w:rPr>
          <w:rFonts w:cs="Times New Roman"/>
          <w:szCs w:val="24"/>
        </w:rPr>
      </w:pPr>
      <w:r w:rsidRPr="009F7EC4">
        <w:rPr>
          <w:rFonts w:cs="Times New Roman"/>
          <w:szCs w:val="24"/>
        </w:rPr>
        <w:t xml:space="preserve">Augstāk minētais regulējums paredz, ka </w:t>
      </w:r>
      <w:r w:rsidR="00EA07DF">
        <w:rPr>
          <w:rFonts w:cs="Times New Roman"/>
          <w:szCs w:val="24"/>
        </w:rPr>
        <w:t>likuma “Fiskālās disciplīnas likums”</w:t>
      </w:r>
      <w:r w:rsidRPr="009F7EC4">
        <w:rPr>
          <w:rFonts w:cs="Times New Roman"/>
          <w:szCs w:val="24"/>
        </w:rPr>
        <w:t xml:space="preserve"> skaitlisko fiskālo nosacījumu vietā 2022.</w:t>
      </w:r>
      <w:r w:rsidR="005C04B6">
        <w:rPr>
          <w:rFonts w:cs="Times New Roman"/>
          <w:szCs w:val="24"/>
        </w:rPr>
        <w:t xml:space="preserve"> </w:t>
      </w:r>
      <w:r w:rsidRPr="009F7EC4">
        <w:rPr>
          <w:rFonts w:cs="Times New Roman"/>
          <w:szCs w:val="24"/>
        </w:rPr>
        <w:t>gada budžeta un šī vidēja termiņa budžeta ietvara likumproj</w:t>
      </w:r>
      <w:r w:rsidR="005C04B6">
        <w:rPr>
          <w:rFonts w:cs="Times New Roman"/>
          <w:szCs w:val="24"/>
        </w:rPr>
        <w:t>ekta izstrādē tiek piemērotas Eiropas Savienības</w:t>
      </w:r>
      <w:r w:rsidRPr="009F7EC4">
        <w:rPr>
          <w:rFonts w:cs="Times New Roman"/>
          <w:szCs w:val="24"/>
        </w:rPr>
        <w:t xml:space="preserve"> Padomes rekomendācijas fiskālās politikas jomā. Būtiski, ka atšķirībā no rekomendācijām 2021. gada budžeta izstrādei, šoreiz rekomendācijas ietver ne tikai kvalitatīva rakstura nosacījumus, bet arī kvantitatīva rakstura nosacījumus.</w:t>
      </w:r>
    </w:p>
    <w:p w14:paraId="2EECEC88" w14:textId="66F663E7" w:rsidR="009F7EC4" w:rsidRPr="009F7EC4" w:rsidRDefault="005C04B6" w:rsidP="009F7EC4">
      <w:pPr>
        <w:rPr>
          <w:rFonts w:cs="Times New Roman"/>
          <w:szCs w:val="24"/>
        </w:rPr>
      </w:pPr>
      <w:r>
        <w:rPr>
          <w:rFonts w:cs="Times New Roman"/>
          <w:szCs w:val="24"/>
        </w:rPr>
        <w:t>Eiropas Komisija</w:t>
      </w:r>
      <w:r w:rsidR="009F7EC4" w:rsidRPr="009F7EC4">
        <w:rPr>
          <w:rFonts w:cs="Times New Roman"/>
          <w:szCs w:val="24"/>
        </w:rPr>
        <w:t xml:space="preserve"> 2021. gada 2. jūnija fiskālās politikas rekomendācijas, kas  ES Padomē i</w:t>
      </w:r>
      <w:r>
        <w:rPr>
          <w:rFonts w:cs="Times New Roman"/>
          <w:szCs w:val="24"/>
        </w:rPr>
        <w:t>r pieņemtas šī gada</w:t>
      </w:r>
      <w:r w:rsidR="009F7EC4" w:rsidRPr="009F7EC4">
        <w:rPr>
          <w:rFonts w:cs="Times New Roman"/>
          <w:szCs w:val="24"/>
        </w:rPr>
        <w:t xml:space="preserve"> 18. jūnijā, 2022. gada budžeta sagatavošanā cita starpā paredz šādus nosacījumus:</w:t>
      </w:r>
    </w:p>
    <w:p w14:paraId="523AE167" w14:textId="348CA21D" w:rsidR="009F7EC4" w:rsidRPr="009F7EC4" w:rsidRDefault="009F7EC4" w:rsidP="00F70213">
      <w:pPr>
        <w:pStyle w:val="ListParagraph"/>
        <w:numPr>
          <w:ilvl w:val="0"/>
          <w:numId w:val="7"/>
        </w:numPr>
        <w:spacing w:after="0"/>
        <w:rPr>
          <w:rFonts w:cs="Times New Roman"/>
          <w:szCs w:val="24"/>
        </w:rPr>
      </w:pPr>
      <w:r w:rsidRPr="009F7EC4">
        <w:rPr>
          <w:rFonts w:cs="Times New Roman"/>
          <w:szCs w:val="24"/>
        </w:rPr>
        <w:lastRenderedPageBreak/>
        <w:t xml:space="preserve">Ir jākontrolē </w:t>
      </w:r>
      <w:r w:rsidRPr="009F7EC4">
        <w:rPr>
          <w:rFonts w:cs="Times New Roman"/>
          <w:b/>
          <w:bCs/>
          <w:szCs w:val="24"/>
        </w:rPr>
        <w:t>nacionāli finansēto primāro kārtējo izdevumu pieaugums</w:t>
      </w:r>
      <w:r w:rsidR="005C04B6">
        <w:rPr>
          <w:rFonts w:cs="Times New Roman"/>
          <w:szCs w:val="24"/>
        </w:rPr>
        <w:t>. Eiropas Komisija</w:t>
      </w:r>
      <w:r w:rsidRPr="009F7EC4">
        <w:rPr>
          <w:rFonts w:cs="Times New Roman"/>
          <w:szCs w:val="24"/>
        </w:rPr>
        <w:t xml:space="preserve"> nacionāli finansētos primāros kārtējos izdevumus definē kā vispārējās valdības budžeta izdevumus, no kuriem atskaitīti parāda apkalpošanas izdevumi,</w:t>
      </w:r>
      <w:r w:rsidR="005C04B6">
        <w:rPr>
          <w:rFonts w:cs="Times New Roman"/>
          <w:szCs w:val="24"/>
        </w:rPr>
        <w:t xml:space="preserve"> kapitālie izdevumi, kārtējie Eiropas Savienības fondu izdevumi (Eiropas Savienības</w:t>
      </w:r>
      <w:r w:rsidRPr="009F7EC4">
        <w:rPr>
          <w:rFonts w:cs="Times New Roman"/>
          <w:szCs w:val="24"/>
        </w:rPr>
        <w:t xml:space="preserve"> budžeta daļa), kā arī Covid-19 ārkārtas atbalsta izdevumi. Savukārt pieļaujamais izdevumu pieaugums kārtējā gadā tiek noteikts balstoties uz iepriekšējā gada kārtējo izdevumu apmēru, kas ņem vērā par 10 gadu vidējā potenciālā </w:t>
      </w:r>
      <w:r w:rsidR="005C04B6">
        <w:rPr>
          <w:rFonts w:cs="Times New Roman"/>
          <w:szCs w:val="24"/>
        </w:rPr>
        <w:t>iekšzemes kopprodukta</w:t>
      </w:r>
      <w:r w:rsidRPr="009F7EC4">
        <w:rPr>
          <w:rFonts w:cs="Times New Roman"/>
          <w:szCs w:val="24"/>
        </w:rPr>
        <w:t xml:space="preserve"> pieaugumu, </w:t>
      </w:r>
      <w:r w:rsidR="005C04B6">
        <w:rPr>
          <w:rFonts w:cs="Times New Roman"/>
          <w:szCs w:val="24"/>
        </w:rPr>
        <w:t>iekšzemes kopprodukta</w:t>
      </w:r>
      <w:r w:rsidRPr="009F7EC4">
        <w:rPr>
          <w:rFonts w:cs="Times New Roman"/>
          <w:szCs w:val="24"/>
        </w:rPr>
        <w:t xml:space="preserve"> deflatoru un diskrecionāros ieņēmumu pasākumus;</w:t>
      </w:r>
    </w:p>
    <w:p w14:paraId="37E61342" w14:textId="77777777" w:rsidR="009F7EC4" w:rsidRPr="009F7EC4" w:rsidRDefault="009F7EC4" w:rsidP="00F70213">
      <w:pPr>
        <w:pStyle w:val="ListParagraph"/>
        <w:numPr>
          <w:ilvl w:val="0"/>
          <w:numId w:val="7"/>
        </w:numPr>
        <w:spacing w:after="0"/>
        <w:rPr>
          <w:rFonts w:cs="Times New Roman"/>
          <w:szCs w:val="24"/>
        </w:rPr>
      </w:pPr>
      <w:r w:rsidRPr="009F7EC4">
        <w:rPr>
          <w:rFonts w:cs="Times New Roman"/>
          <w:b/>
          <w:bCs/>
          <w:szCs w:val="24"/>
        </w:rPr>
        <w:t>Covid-19  ārkārtas vienreizējie pasākumi</w:t>
      </w:r>
      <w:r w:rsidRPr="009F7EC4">
        <w:rPr>
          <w:rFonts w:cs="Times New Roman"/>
          <w:szCs w:val="24"/>
        </w:rPr>
        <w:t xml:space="preserve"> ir finansējami uz deficīta pieauguma rēķina atbilstoši nepieciešamībai. Kvantitatīvi ierobežojumi netiek noteikti;</w:t>
      </w:r>
    </w:p>
    <w:p w14:paraId="3E0664A9" w14:textId="1F7A1E03" w:rsidR="009F7EC4" w:rsidRPr="009F7EC4" w:rsidRDefault="009F7EC4" w:rsidP="00F70213">
      <w:pPr>
        <w:pStyle w:val="ListParagraph"/>
        <w:numPr>
          <w:ilvl w:val="0"/>
          <w:numId w:val="7"/>
        </w:numPr>
        <w:ind w:left="714" w:hanging="357"/>
        <w:rPr>
          <w:rFonts w:cs="Times New Roman"/>
          <w:szCs w:val="24"/>
        </w:rPr>
      </w:pPr>
      <w:r w:rsidRPr="009F7EC4">
        <w:rPr>
          <w:rFonts w:cs="Times New Roman"/>
          <w:b/>
          <w:bCs/>
          <w:szCs w:val="24"/>
        </w:rPr>
        <w:t>Nacionāli finansēto investīciju</w:t>
      </w:r>
      <w:r w:rsidRPr="009F7EC4">
        <w:rPr>
          <w:rFonts w:cs="Times New Roman"/>
          <w:szCs w:val="24"/>
        </w:rPr>
        <w:t xml:space="preserve"> apjoms 2022. gadā ir jāsaglabā. Rekomendācijas mērķis ir novērst risku, ka nacionāli finansētās investīcijas 2022. gadā tiek mazinātas, samazinot atbalstu Covid -19 pēcpandēmijas periodā, tai skaitā atbalstu ekonomikas sildīšanas mērķiem. Faktiski rekomendācija neliedz investīciju apjoma palielināšanu virs 2021. gada līmeņa, ja vien tas nerada risku publisko finanšu ilgtspējai, tātad, ja tie ir vienreizēji projekti, kas tiek pabeigti vidējā termiņā. </w:t>
      </w:r>
    </w:p>
    <w:p w14:paraId="16507B04" w14:textId="77777777" w:rsidR="009F7EC4" w:rsidRPr="009F7EC4" w:rsidRDefault="009F7EC4" w:rsidP="009F7EC4">
      <w:pPr>
        <w:rPr>
          <w:rFonts w:cs="Times New Roman"/>
          <w:szCs w:val="24"/>
        </w:rPr>
      </w:pPr>
      <w:r w:rsidRPr="009F7EC4">
        <w:rPr>
          <w:rFonts w:cs="Times New Roman"/>
          <w:szCs w:val="24"/>
        </w:rPr>
        <w:t xml:space="preserve">Vienlaikus pašreizējā brīdī pastāv liela nenoteiktība par fiskālo nosacījumu darbību 2023. gadā un turpmākajos gados, kas apgrūtina vidēja termiņa budžeta plānošanu. Vispārējā izņēmuma klauzula ar augstu varbūtību tiks atcelta 2023. gadā, bet saglabājas neskaidrība par to, kāda būs deficīta samazināšanas trajektorija un vai Stabilitātes un izaugsmes pakta noteikumi līdz tam laikam netiks grozīti. </w:t>
      </w:r>
    </w:p>
    <w:p w14:paraId="288C1734" w14:textId="4EA39DAC" w:rsidR="009F7EC4" w:rsidRPr="00AA405C" w:rsidRDefault="009F7EC4" w:rsidP="009F7EC4">
      <w:pPr>
        <w:rPr>
          <w:rFonts w:cs="Times New Roman"/>
          <w:sz w:val="28"/>
          <w:szCs w:val="28"/>
        </w:rPr>
      </w:pPr>
      <w:r w:rsidRPr="009F7EC4">
        <w:rPr>
          <w:rFonts w:cs="Times New Roman"/>
          <w:szCs w:val="24"/>
        </w:rPr>
        <w:t xml:space="preserve">Ņemot vērā šos apstākļus, šī vidēja termiņa budžeta ietvara likumprojekta izstrādē </w:t>
      </w:r>
      <w:r w:rsidR="005C04B6">
        <w:rPr>
          <w:rFonts w:cs="Times New Roman"/>
          <w:szCs w:val="24"/>
        </w:rPr>
        <w:t>2022. </w:t>
      </w:r>
      <w:r w:rsidRPr="009F7EC4">
        <w:rPr>
          <w:rFonts w:cs="Times New Roman"/>
          <w:szCs w:val="24"/>
        </w:rPr>
        <w:t xml:space="preserve">gadam tiek piemērotas Padomes rekomendācijas fiskālās politikas jomā. Vienlaikus apstākļos, kad deficīta samazināšanas trajektorija vidējā termiņā normatīvajā regulējumā nav noteikta, 2022. gada budžeta un šī </w:t>
      </w:r>
      <w:r w:rsidRPr="009F7EC4">
        <w:rPr>
          <w:rFonts w:eastAsia="Times New Roman" w:cs="Times New Roman"/>
          <w:szCs w:val="24"/>
        </w:rPr>
        <w:t>vidēja termiņa budžeta ietvara likumprojekta</w:t>
      </w:r>
      <w:r w:rsidRPr="009F7EC4">
        <w:rPr>
          <w:rFonts w:cs="Times New Roman"/>
          <w:szCs w:val="24"/>
        </w:rPr>
        <w:t xml:space="preserve"> izstrādē  strukturālās bilances mērķi tiek noteikti, gan ņemot vērā minētās rekomendācijas, gan arī ņemot vērā strukturālās bilances mērķu ietekmi uz vispārējās valdības parāda līmeni.   </w:t>
      </w:r>
    </w:p>
    <w:p w14:paraId="5BA47DAE" w14:textId="5F0CCE49" w:rsidR="00B02A36" w:rsidRPr="00B02A36" w:rsidRDefault="00A7117E" w:rsidP="00B02A36">
      <w:pPr>
        <w:pStyle w:val="Heading3"/>
        <w:numPr>
          <w:ilvl w:val="0"/>
          <w:numId w:val="0"/>
        </w:numPr>
        <w:spacing w:before="240" w:after="240"/>
        <w:ind w:left="1225"/>
        <w:jc w:val="both"/>
        <w:rPr>
          <w:sz w:val="24"/>
          <w:szCs w:val="24"/>
        </w:rPr>
      </w:pPr>
      <w:bookmarkStart w:id="40" w:name="_Toc84756406"/>
      <w:r w:rsidRPr="00B02A36">
        <w:rPr>
          <w:szCs w:val="24"/>
        </w:rPr>
        <w:t xml:space="preserve">2.1.1. </w:t>
      </w:r>
      <w:r w:rsidRPr="00B02A36">
        <w:t>2022., 2023. un 2024.gada strukturālās bilances mērķi</w:t>
      </w:r>
      <w:bookmarkEnd w:id="40"/>
    </w:p>
    <w:p w14:paraId="25B4A402" w14:textId="065A3E67" w:rsidR="00071293" w:rsidRPr="00071293" w:rsidRDefault="00071293" w:rsidP="00071293">
      <w:pPr>
        <w:widowControl w:val="0"/>
        <w:rPr>
          <w:rFonts w:cs="Times New Roman"/>
          <w:bCs/>
          <w:szCs w:val="24"/>
        </w:rPr>
      </w:pPr>
      <w:r w:rsidRPr="00071293">
        <w:rPr>
          <w:rFonts w:eastAsia="Times New Roman" w:cs="Times New Roman"/>
          <w:bCs/>
          <w:color w:val="000000"/>
          <w:szCs w:val="24"/>
        </w:rPr>
        <w:t xml:space="preserve">Kā tika norādīts iepriekš, strukturālās bilances mērķu noteikšanā šajā  </w:t>
      </w:r>
      <w:r w:rsidRPr="00071293">
        <w:rPr>
          <w:rFonts w:eastAsia="Times New Roman" w:cs="Times New Roman"/>
          <w:color w:val="000000"/>
          <w:szCs w:val="24"/>
        </w:rPr>
        <w:t>vidēja termiņa budžeta ietvara likumprojektā</w:t>
      </w:r>
      <w:r w:rsidRPr="00071293">
        <w:rPr>
          <w:rFonts w:eastAsia="Times New Roman" w:cs="Times New Roman"/>
          <w:bCs/>
          <w:color w:val="000000"/>
          <w:szCs w:val="24"/>
        </w:rPr>
        <w:t xml:space="preserve"> 2022., 2023. un</w:t>
      </w:r>
      <w:r w:rsidR="005C04B6">
        <w:rPr>
          <w:rFonts w:eastAsia="Times New Roman" w:cs="Times New Roman"/>
          <w:bCs/>
          <w:color w:val="000000"/>
          <w:szCs w:val="24"/>
        </w:rPr>
        <w:t xml:space="preserve"> 2024.gadam netiek piemēroti Stabilitātes un izaugsmes paktā un likumā</w:t>
      </w:r>
      <w:r w:rsidRPr="00071293">
        <w:rPr>
          <w:rFonts w:eastAsia="Times New Roman" w:cs="Times New Roman"/>
          <w:bCs/>
          <w:color w:val="000000"/>
          <w:szCs w:val="24"/>
        </w:rPr>
        <w:t xml:space="preserve"> </w:t>
      </w:r>
      <w:r w:rsidR="005C04B6">
        <w:rPr>
          <w:rFonts w:eastAsia="Times New Roman" w:cs="Times New Roman"/>
          <w:bCs/>
          <w:color w:val="000000"/>
          <w:szCs w:val="24"/>
        </w:rPr>
        <w:t xml:space="preserve">“Fiskālās disciplīnas likums” </w:t>
      </w:r>
      <w:r w:rsidRPr="00071293">
        <w:rPr>
          <w:rFonts w:eastAsia="Times New Roman" w:cs="Times New Roman"/>
          <w:bCs/>
          <w:color w:val="000000"/>
          <w:szCs w:val="24"/>
        </w:rPr>
        <w:t>noteiktie fiskālie nosacījumi</w:t>
      </w:r>
      <w:r w:rsidRPr="00071293">
        <w:rPr>
          <w:rFonts w:cs="Times New Roman"/>
          <w:bCs/>
          <w:szCs w:val="24"/>
        </w:rPr>
        <w:t xml:space="preserve">. </w:t>
      </w:r>
    </w:p>
    <w:p w14:paraId="35CF65D9" w14:textId="30DC911E" w:rsidR="00071293" w:rsidRPr="00071293" w:rsidRDefault="005C04B6" w:rsidP="00071293">
      <w:pPr>
        <w:widowControl w:val="0"/>
        <w:rPr>
          <w:rFonts w:eastAsia="Times New Roman" w:cs="Times New Roman"/>
          <w:b/>
          <w:color w:val="000000"/>
          <w:szCs w:val="24"/>
        </w:rPr>
      </w:pPr>
      <w:r>
        <w:rPr>
          <w:rFonts w:eastAsia="Times New Roman" w:cs="Times New Roman"/>
          <w:b/>
          <w:color w:val="000000"/>
          <w:szCs w:val="24"/>
        </w:rPr>
        <w:t xml:space="preserve"> Šajā vidēja termiņa budžeta ietvara likumprojekta</w:t>
      </w:r>
      <w:r w:rsidR="00071293" w:rsidRPr="00071293">
        <w:rPr>
          <w:rFonts w:eastAsia="Times New Roman" w:cs="Times New Roman"/>
          <w:b/>
          <w:color w:val="000000"/>
          <w:szCs w:val="24"/>
        </w:rPr>
        <w:t xml:space="preserve"> strukturālās bilances mērķis tiek aprēķināts: </w:t>
      </w:r>
    </w:p>
    <w:p w14:paraId="703EFCAB" w14:textId="464F7986" w:rsidR="00071293" w:rsidRPr="00071293" w:rsidRDefault="00071293" w:rsidP="00071293">
      <w:pPr>
        <w:widowControl w:val="0"/>
        <w:rPr>
          <w:rFonts w:eastAsia="Times New Roman" w:cs="Times New Roman"/>
          <w:b/>
          <w:color w:val="000000"/>
          <w:szCs w:val="24"/>
        </w:rPr>
      </w:pPr>
      <w:r w:rsidRPr="00071293">
        <w:rPr>
          <w:rFonts w:eastAsia="Times New Roman" w:cs="Times New Roman"/>
          <w:b/>
          <w:color w:val="000000"/>
          <w:szCs w:val="24"/>
        </w:rPr>
        <w:t>1)</w:t>
      </w:r>
      <w:r>
        <w:rPr>
          <w:rFonts w:eastAsia="Times New Roman" w:cs="Times New Roman"/>
          <w:b/>
          <w:color w:val="000000"/>
          <w:szCs w:val="24"/>
        </w:rPr>
        <w:t xml:space="preserve"> </w:t>
      </w:r>
      <w:r w:rsidRPr="00071293">
        <w:rPr>
          <w:rFonts w:eastAsia="Times New Roman" w:cs="Times New Roman"/>
          <w:b/>
          <w:color w:val="000000"/>
          <w:szCs w:val="24"/>
        </w:rPr>
        <w:t>pie nominālās budžeta bilances pie nemainīgas politikas</w:t>
      </w:r>
    </w:p>
    <w:p w14:paraId="3B702AD3" w14:textId="77777777" w:rsidR="00071293" w:rsidRPr="00071293" w:rsidRDefault="00071293" w:rsidP="00071293">
      <w:pPr>
        <w:widowControl w:val="0"/>
        <w:ind w:left="720" w:firstLine="0"/>
        <w:rPr>
          <w:rFonts w:eastAsia="Times New Roman" w:cs="Times New Roman"/>
          <w:bCs/>
          <w:i/>
          <w:iCs/>
          <w:color w:val="000000"/>
          <w:szCs w:val="24"/>
        </w:rPr>
      </w:pPr>
      <w:r w:rsidRPr="00071293">
        <w:rPr>
          <w:rFonts w:eastAsia="Times New Roman" w:cs="Times New Roman"/>
          <w:bCs/>
          <w:i/>
          <w:iCs/>
          <w:color w:val="000000"/>
          <w:szCs w:val="24"/>
        </w:rPr>
        <w:t xml:space="preserve">+pieskaita pieļaujamo fiskālo telpu, kas izlietojama nacionāli finansēto kārtējo primāro budžeta izdevumu finansēšanai; </w:t>
      </w:r>
    </w:p>
    <w:p w14:paraId="5927C07C" w14:textId="77777777" w:rsidR="00071293" w:rsidRPr="00071293" w:rsidRDefault="00071293" w:rsidP="00071293">
      <w:pPr>
        <w:widowControl w:val="0"/>
        <w:ind w:left="720" w:firstLine="0"/>
        <w:rPr>
          <w:rFonts w:eastAsia="Times New Roman" w:cs="Times New Roman"/>
          <w:bCs/>
          <w:i/>
          <w:iCs/>
          <w:color w:val="000000"/>
          <w:szCs w:val="24"/>
        </w:rPr>
      </w:pPr>
      <w:r w:rsidRPr="00071293">
        <w:rPr>
          <w:rFonts w:eastAsia="Times New Roman" w:cs="Times New Roman"/>
          <w:bCs/>
          <w:i/>
          <w:iCs/>
          <w:color w:val="000000"/>
          <w:szCs w:val="24"/>
        </w:rPr>
        <w:t xml:space="preserve">+pieskaita budžeta izstrādes procesā pieņemto </w:t>
      </w:r>
      <w:bookmarkStart w:id="41" w:name="_Hlk83919990"/>
      <w:r w:rsidRPr="00071293">
        <w:rPr>
          <w:rFonts w:eastAsia="Times New Roman" w:cs="Times New Roman"/>
          <w:bCs/>
          <w:i/>
          <w:iCs/>
          <w:color w:val="000000"/>
          <w:szCs w:val="24"/>
        </w:rPr>
        <w:t>Covid-19 atbalsta pasākumu un publisko investīciju fiskālo ietekmi</w:t>
      </w:r>
      <w:bookmarkEnd w:id="41"/>
      <w:r w:rsidRPr="00071293">
        <w:rPr>
          <w:rFonts w:eastAsia="Times New Roman" w:cs="Times New Roman"/>
          <w:bCs/>
          <w:i/>
          <w:iCs/>
          <w:color w:val="000000"/>
          <w:szCs w:val="24"/>
        </w:rPr>
        <w:t>;</w:t>
      </w:r>
    </w:p>
    <w:p w14:paraId="3AB8170F" w14:textId="3030FF73" w:rsidR="00071293" w:rsidRPr="00071293" w:rsidRDefault="00071293" w:rsidP="00071293">
      <w:pPr>
        <w:widowControl w:val="0"/>
        <w:rPr>
          <w:rFonts w:eastAsia="Times New Roman" w:cs="Times New Roman"/>
          <w:bCs/>
          <w:i/>
          <w:iCs/>
          <w:color w:val="000000"/>
          <w:szCs w:val="24"/>
        </w:rPr>
      </w:pPr>
      <w:r w:rsidRPr="00071293">
        <w:rPr>
          <w:rFonts w:eastAsia="Times New Roman" w:cs="Times New Roman"/>
          <w:bCs/>
          <w:color w:val="000000"/>
          <w:szCs w:val="24"/>
        </w:rPr>
        <w:t>Rezultātā tiek iegūta nominālā budžeta bilance.</w:t>
      </w:r>
      <w:r w:rsidRPr="00071293">
        <w:rPr>
          <w:rFonts w:eastAsia="Times New Roman" w:cs="Times New Roman"/>
          <w:bCs/>
          <w:i/>
          <w:iCs/>
          <w:color w:val="000000"/>
          <w:szCs w:val="24"/>
        </w:rPr>
        <w:t xml:space="preserve"> </w:t>
      </w:r>
    </w:p>
    <w:p w14:paraId="56CF8F15" w14:textId="16CD5AE8" w:rsidR="00071293" w:rsidRPr="00071293" w:rsidRDefault="00071293" w:rsidP="00071293">
      <w:pPr>
        <w:widowControl w:val="0"/>
        <w:rPr>
          <w:rFonts w:eastAsia="Times New Roman" w:cs="Times New Roman"/>
          <w:b/>
          <w:color w:val="000000"/>
          <w:szCs w:val="24"/>
        </w:rPr>
      </w:pPr>
      <w:r w:rsidRPr="00071293">
        <w:rPr>
          <w:rFonts w:eastAsia="Times New Roman" w:cs="Times New Roman"/>
          <w:b/>
          <w:color w:val="000000"/>
          <w:szCs w:val="24"/>
        </w:rPr>
        <w:t>2)</w:t>
      </w:r>
      <w:r>
        <w:rPr>
          <w:rFonts w:eastAsia="Times New Roman" w:cs="Times New Roman"/>
          <w:b/>
          <w:color w:val="000000"/>
          <w:szCs w:val="24"/>
        </w:rPr>
        <w:t xml:space="preserve"> </w:t>
      </w:r>
      <w:r w:rsidRPr="00071293">
        <w:rPr>
          <w:rFonts w:eastAsia="Times New Roman" w:cs="Times New Roman"/>
          <w:b/>
          <w:color w:val="000000"/>
          <w:szCs w:val="24"/>
        </w:rPr>
        <w:t xml:space="preserve">pie nominālās budžeta bilances </w:t>
      </w:r>
    </w:p>
    <w:p w14:paraId="73B10C2A" w14:textId="77777777" w:rsidR="00071293" w:rsidRPr="00071293" w:rsidRDefault="00071293" w:rsidP="00071293">
      <w:pPr>
        <w:widowControl w:val="0"/>
        <w:rPr>
          <w:rFonts w:eastAsia="Times New Roman" w:cs="Times New Roman"/>
          <w:bCs/>
          <w:i/>
          <w:iCs/>
          <w:color w:val="000000"/>
          <w:szCs w:val="24"/>
        </w:rPr>
      </w:pPr>
      <w:r w:rsidRPr="00071293">
        <w:rPr>
          <w:rFonts w:eastAsia="Times New Roman" w:cs="Times New Roman"/>
          <w:bCs/>
          <w:i/>
          <w:iCs/>
          <w:color w:val="000000"/>
          <w:szCs w:val="24"/>
        </w:rPr>
        <w:t xml:space="preserve">+pieskaita fiskālā nodrošinājuma rezervi; </w:t>
      </w:r>
    </w:p>
    <w:p w14:paraId="6A2CAAE8" w14:textId="77777777" w:rsidR="00071293" w:rsidRPr="00071293" w:rsidRDefault="00071293" w:rsidP="00071293">
      <w:pPr>
        <w:widowControl w:val="0"/>
        <w:rPr>
          <w:rFonts w:eastAsia="Times New Roman" w:cs="Times New Roman"/>
          <w:bCs/>
          <w:i/>
          <w:iCs/>
          <w:color w:val="000000"/>
          <w:szCs w:val="24"/>
        </w:rPr>
      </w:pPr>
      <w:r w:rsidRPr="00071293">
        <w:rPr>
          <w:rFonts w:eastAsia="Times New Roman" w:cs="Times New Roman"/>
          <w:bCs/>
          <w:i/>
          <w:iCs/>
          <w:color w:val="000000"/>
          <w:szCs w:val="24"/>
        </w:rPr>
        <w:lastRenderedPageBreak/>
        <w:t>-atskaita bilances ciklisko komponenti un vienreizējus pasākumus.</w:t>
      </w:r>
    </w:p>
    <w:p w14:paraId="341C8336" w14:textId="51EA181D" w:rsidR="00071293" w:rsidRPr="00071293" w:rsidRDefault="00071293" w:rsidP="00071293">
      <w:pPr>
        <w:widowControl w:val="0"/>
        <w:rPr>
          <w:rFonts w:eastAsia="Times New Roman" w:cs="Times New Roman"/>
          <w:bCs/>
          <w:i/>
          <w:iCs/>
          <w:color w:val="000000"/>
          <w:szCs w:val="24"/>
        </w:rPr>
      </w:pPr>
      <w:r w:rsidRPr="00071293">
        <w:rPr>
          <w:rFonts w:eastAsia="Times New Roman" w:cs="Times New Roman"/>
          <w:bCs/>
          <w:color w:val="000000"/>
          <w:szCs w:val="24"/>
        </w:rPr>
        <w:t xml:space="preserve">Rezultātā tiek iegūts </w:t>
      </w:r>
      <w:r w:rsidRPr="00071293">
        <w:rPr>
          <w:rFonts w:eastAsia="Times New Roman" w:cs="Times New Roman"/>
          <w:bCs/>
          <w:color w:val="000000"/>
          <w:szCs w:val="24"/>
          <w:u w:val="single"/>
        </w:rPr>
        <w:t>strukturālās bilances mērķis</w:t>
      </w:r>
      <w:r w:rsidRPr="00071293">
        <w:rPr>
          <w:rFonts w:eastAsia="Times New Roman" w:cs="Times New Roman"/>
          <w:bCs/>
          <w:color w:val="000000"/>
          <w:szCs w:val="24"/>
        </w:rPr>
        <w:t>.</w:t>
      </w:r>
      <w:r w:rsidRPr="00071293">
        <w:rPr>
          <w:rFonts w:eastAsia="Times New Roman" w:cs="Times New Roman"/>
          <w:bCs/>
          <w:i/>
          <w:iCs/>
          <w:color w:val="000000"/>
          <w:szCs w:val="24"/>
        </w:rPr>
        <w:t xml:space="preserve"> </w:t>
      </w:r>
    </w:p>
    <w:p w14:paraId="40AE0CC8" w14:textId="5540A76A" w:rsidR="00071293" w:rsidRPr="00071293" w:rsidRDefault="00071293" w:rsidP="00071293">
      <w:pPr>
        <w:widowControl w:val="0"/>
        <w:rPr>
          <w:rFonts w:cs="Times New Roman"/>
          <w:bCs/>
          <w:szCs w:val="24"/>
        </w:rPr>
      </w:pPr>
      <w:r w:rsidRPr="00071293">
        <w:rPr>
          <w:rFonts w:cs="Times New Roman"/>
          <w:bCs/>
          <w:szCs w:val="24"/>
        </w:rPr>
        <w:t>Fiskālā telpa, savukārt, šoreiz tiek aprēķināta kā starpība starp vispārējās valdības parāda prognozēto līmeni pie nemainīgas politikas un vispārējās valdības parāda mērķa vērtību.</w:t>
      </w:r>
    </w:p>
    <w:p w14:paraId="0F329D43" w14:textId="7BC41575" w:rsidR="00071293" w:rsidRPr="00071293" w:rsidRDefault="00071293" w:rsidP="00071293">
      <w:pPr>
        <w:widowControl w:val="0"/>
        <w:spacing w:before="240" w:after="240"/>
        <w:jc w:val="center"/>
        <w:rPr>
          <w:rFonts w:cs="Times New Roman"/>
          <w:b/>
          <w:szCs w:val="24"/>
        </w:rPr>
      </w:pPr>
      <w:r w:rsidRPr="00071293">
        <w:rPr>
          <w:rFonts w:cs="Times New Roman"/>
          <w:b/>
          <w:szCs w:val="24"/>
        </w:rPr>
        <w:t>Fiskālās telpas aprēķins</w:t>
      </w:r>
    </w:p>
    <w:p w14:paraId="431486BC" w14:textId="1876A9C5" w:rsidR="00071293" w:rsidRPr="00071293" w:rsidRDefault="00071293" w:rsidP="00071293">
      <w:pPr>
        <w:widowControl w:val="0"/>
        <w:rPr>
          <w:rFonts w:cs="Times New Roman"/>
          <w:bCs/>
          <w:szCs w:val="24"/>
        </w:rPr>
      </w:pPr>
      <w:r w:rsidRPr="00071293">
        <w:rPr>
          <w:rFonts w:cs="Times New Roman"/>
          <w:bCs/>
          <w:szCs w:val="24"/>
        </w:rPr>
        <w:t>Saskaņā ar nemainīgas politikas scenāriju, vispārējās valdības parāds 2022.</w:t>
      </w:r>
      <w:r w:rsidR="005C04B6">
        <w:rPr>
          <w:rFonts w:cs="Times New Roman"/>
          <w:bCs/>
          <w:szCs w:val="24"/>
        </w:rPr>
        <w:t xml:space="preserve"> gadā sasniedz 50% no iekšzemes kopprodukta</w:t>
      </w:r>
      <w:r w:rsidRPr="00071293">
        <w:rPr>
          <w:rFonts w:cs="Times New Roman"/>
          <w:bCs/>
          <w:szCs w:val="24"/>
        </w:rPr>
        <w:t>, bet nākamajos divos gados s</w:t>
      </w:r>
      <w:r w:rsidR="005C04B6">
        <w:rPr>
          <w:rFonts w:cs="Times New Roman"/>
          <w:bCs/>
          <w:szCs w:val="24"/>
        </w:rPr>
        <w:t>amazinās zem 50% līmeņa (skat. 2.1</w:t>
      </w:r>
      <w:r w:rsidRPr="00071293">
        <w:rPr>
          <w:rFonts w:cs="Times New Roman"/>
          <w:bCs/>
          <w:szCs w:val="24"/>
        </w:rPr>
        <w:t>. tabulu).</w:t>
      </w:r>
    </w:p>
    <w:p w14:paraId="5BB4B6B7" w14:textId="749F866F" w:rsidR="00071293" w:rsidRPr="00071293" w:rsidRDefault="00071293" w:rsidP="00071293">
      <w:pPr>
        <w:widowControl w:val="0"/>
        <w:jc w:val="right"/>
        <w:rPr>
          <w:rFonts w:cs="Times New Roman"/>
          <w:b/>
          <w:bCs/>
          <w:i/>
          <w:szCs w:val="24"/>
        </w:rPr>
      </w:pPr>
      <w:r w:rsidRPr="00071293">
        <w:rPr>
          <w:rFonts w:cs="Times New Roman"/>
          <w:b/>
          <w:bCs/>
          <w:szCs w:val="24"/>
        </w:rPr>
        <w:t xml:space="preserve">  </w:t>
      </w:r>
      <w:r w:rsidR="005C04B6">
        <w:rPr>
          <w:rFonts w:cs="Times New Roman"/>
          <w:b/>
          <w:bCs/>
          <w:i/>
          <w:szCs w:val="24"/>
        </w:rPr>
        <w:t>2.1</w:t>
      </w:r>
      <w:r w:rsidRPr="00071293">
        <w:rPr>
          <w:rFonts w:cs="Times New Roman"/>
          <w:b/>
          <w:bCs/>
          <w:i/>
          <w:szCs w:val="24"/>
        </w:rPr>
        <w:t>. tabula. Vispārējās valdības parāda prognozes 2021.-2024. gadam, nemainīgas politikas scenārijs</w:t>
      </w:r>
    </w:p>
    <w:tbl>
      <w:tblPr>
        <w:tblW w:w="8815" w:type="dxa"/>
        <w:tblLayout w:type="fixed"/>
        <w:tblLook w:val="04A0" w:firstRow="1" w:lastRow="0" w:firstColumn="1" w:lastColumn="0" w:noHBand="0" w:noVBand="1"/>
      </w:tblPr>
      <w:tblGrid>
        <w:gridCol w:w="4815"/>
        <w:gridCol w:w="992"/>
        <w:gridCol w:w="992"/>
        <w:gridCol w:w="993"/>
        <w:gridCol w:w="1023"/>
      </w:tblGrid>
      <w:tr w:rsidR="00071293" w:rsidRPr="00071293" w14:paraId="399098BD" w14:textId="77777777" w:rsidTr="007E74B0">
        <w:trPr>
          <w:trHeight w:val="297"/>
        </w:trPr>
        <w:tc>
          <w:tcPr>
            <w:tcW w:w="4815"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3ED26153" w14:textId="77777777" w:rsidR="00071293" w:rsidRPr="00071293" w:rsidRDefault="00071293" w:rsidP="007E74B0">
            <w:pPr>
              <w:jc w:val="right"/>
              <w:rPr>
                <w:rFonts w:eastAsia="Times New Roman" w:cs="Times New Roman"/>
                <w:color w:val="000000"/>
                <w:sz w:val="18"/>
                <w:szCs w:val="24"/>
              </w:rPr>
            </w:pPr>
            <w:r w:rsidRPr="00071293">
              <w:rPr>
                <w:rFonts w:eastAsia="Times New Roman" w:cs="Times New Roman"/>
                <w:color w:val="000000"/>
                <w:sz w:val="18"/>
                <w:szCs w:val="24"/>
              </w:rPr>
              <w:t> </w:t>
            </w:r>
          </w:p>
        </w:tc>
        <w:tc>
          <w:tcPr>
            <w:tcW w:w="99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27EC74A3" w14:textId="77777777" w:rsidR="00071293" w:rsidRPr="00071293" w:rsidRDefault="00071293" w:rsidP="00071293">
            <w:pPr>
              <w:ind w:firstLine="0"/>
              <w:jc w:val="center"/>
              <w:rPr>
                <w:rFonts w:eastAsia="Times New Roman" w:cs="Times New Roman"/>
                <w:b/>
                <w:bCs/>
                <w:color w:val="000000"/>
                <w:sz w:val="18"/>
                <w:szCs w:val="24"/>
              </w:rPr>
            </w:pPr>
            <w:r w:rsidRPr="00071293">
              <w:rPr>
                <w:rFonts w:eastAsia="Times New Roman" w:cs="Times New Roman"/>
                <w:b/>
                <w:bCs/>
                <w:color w:val="000000"/>
                <w:sz w:val="18"/>
                <w:szCs w:val="24"/>
              </w:rPr>
              <w:t>2021</w:t>
            </w:r>
          </w:p>
        </w:tc>
        <w:tc>
          <w:tcPr>
            <w:tcW w:w="99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5434FA2" w14:textId="77777777" w:rsidR="00071293" w:rsidRPr="00071293" w:rsidRDefault="00071293" w:rsidP="00071293">
            <w:pPr>
              <w:ind w:firstLine="0"/>
              <w:jc w:val="center"/>
              <w:rPr>
                <w:rFonts w:eastAsia="Times New Roman" w:cs="Times New Roman"/>
                <w:b/>
                <w:bCs/>
                <w:color w:val="000000"/>
                <w:sz w:val="18"/>
                <w:szCs w:val="24"/>
              </w:rPr>
            </w:pPr>
            <w:r w:rsidRPr="00071293">
              <w:rPr>
                <w:rFonts w:eastAsia="Times New Roman" w:cs="Times New Roman"/>
                <w:b/>
                <w:bCs/>
                <w:color w:val="000000"/>
                <w:sz w:val="18"/>
                <w:szCs w:val="24"/>
              </w:rPr>
              <w:t>2022</w:t>
            </w:r>
          </w:p>
        </w:tc>
        <w:tc>
          <w:tcPr>
            <w:tcW w:w="99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7252B917" w14:textId="77777777" w:rsidR="00071293" w:rsidRPr="00071293" w:rsidRDefault="00071293" w:rsidP="00071293">
            <w:pPr>
              <w:ind w:firstLine="0"/>
              <w:jc w:val="center"/>
              <w:rPr>
                <w:rFonts w:eastAsia="Times New Roman" w:cs="Times New Roman"/>
                <w:b/>
                <w:bCs/>
                <w:color w:val="000000"/>
                <w:sz w:val="18"/>
                <w:szCs w:val="24"/>
              </w:rPr>
            </w:pPr>
            <w:r w:rsidRPr="00071293">
              <w:rPr>
                <w:rFonts w:eastAsia="Times New Roman" w:cs="Times New Roman"/>
                <w:b/>
                <w:bCs/>
                <w:color w:val="000000"/>
                <w:sz w:val="18"/>
                <w:szCs w:val="24"/>
              </w:rPr>
              <w:t>2023</w:t>
            </w:r>
          </w:p>
        </w:tc>
        <w:tc>
          <w:tcPr>
            <w:tcW w:w="102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6A938CE2" w14:textId="77777777" w:rsidR="00071293" w:rsidRPr="00071293" w:rsidRDefault="00071293" w:rsidP="00071293">
            <w:pPr>
              <w:ind w:firstLine="0"/>
              <w:jc w:val="center"/>
              <w:rPr>
                <w:rFonts w:eastAsia="Times New Roman" w:cs="Times New Roman"/>
                <w:b/>
                <w:bCs/>
                <w:color w:val="000000"/>
                <w:sz w:val="18"/>
                <w:szCs w:val="24"/>
              </w:rPr>
            </w:pPr>
            <w:r w:rsidRPr="00071293">
              <w:rPr>
                <w:rFonts w:eastAsia="Times New Roman" w:cs="Times New Roman"/>
                <w:b/>
                <w:bCs/>
                <w:color w:val="000000"/>
                <w:sz w:val="18"/>
                <w:szCs w:val="24"/>
              </w:rPr>
              <w:t>2024</w:t>
            </w:r>
          </w:p>
        </w:tc>
      </w:tr>
      <w:tr w:rsidR="00071293" w:rsidRPr="00071293" w14:paraId="621FEEA1" w14:textId="77777777" w:rsidTr="007E74B0">
        <w:trPr>
          <w:trHeight w:val="297"/>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B404DF1" w14:textId="0C444036" w:rsidR="00071293" w:rsidRPr="00071293" w:rsidRDefault="005C04B6" w:rsidP="005C04B6">
            <w:pPr>
              <w:ind w:firstLine="34"/>
              <w:jc w:val="left"/>
              <w:rPr>
                <w:rFonts w:eastAsia="Times New Roman" w:cs="Times New Roman"/>
                <w:color w:val="000000"/>
                <w:sz w:val="18"/>
                <w:szCs w:val="24"/>
              </w:rPr>
            </w:pPr>
            <w:r>
              <w:rPr>
                <w:rFonts w:eastAsia="Times New Roman" w:cs="Times New Roman"/>
                <w:color w:val="000000"/>
                <w:sz w:val="18"/>
                <w:szCs w:val="24"/>
              </w:rPr>
              <w:t>Iekšzemes kopprodukts</w:t>
            </w:r>
            <w:r w:rsidR="00071293" w:rsidRPr="00071293">
              <w:rPr>
                <w:rFonts w:eastAsia="Times New Roman" w:cs="Times New Roman"/>
                <w:color w:val="000000"/>
                <w:sz w:val="18"/>
                <w:szCs w:val="24"/>
              </w:rPr>
              <w:t>, milj.</w:t>
            </w:r>
            <w:r>
              <w:rPr>
                <w:rFonts w:eastAsia="Times New Roman" w:cs="Times New Roman"/>
                <w:color w:val="000000"/>
                <w:sz w:val="18"/>
                <w:szCs w:val="24"/>
              </w:rPr>
              <w:t xml:space="preserve"> </w:t>
            </w:r>
            <w:r w:rsidR="00071293" w:rsidRPr="005C04B6">
              <w:rPr>
                <w:rFonts w:eastAsia="Times New Roman" w:cs="Times New Roman"/>
                <w:i/>
                <w:color w:val="000000"/>
                <w:sz w:val="18"/>
                <w:szCs w:val="24"/>
              </w:rPr>
              <w:t>euro</w:t>
            </w:r>
          </w:p>
        </w:tc>
        <w:tc>
          <w:tcPr>
            <w:tcW w:w="992" w:type="dxa"/>
            <w:tcBorders>
              <w:top w:val="nil"/>
              <w:left w:val="nil"/>
              <w:bottom w:val="single" w:sz="4" w:space="0" w:color="auto"/>
              <w:right w:val="single" w:sz="4" w:space="0" w:color="auto"/>
            </w:tcBorders>
            <w:shd w:val="clear" w:color="auto" w:fill="auto"/>
            <w:noWrap/>
            <w:vAlign w:val="center"/>
            <w:hideMark/>
          </w:tcPr>
          <w:p w14:paraId="6CFB1B19" w14:textId="77777777" w:rsidR="00071293" w:rsidRPr="00071293" w:rsidRDefault="00071293" w:rsidP="00071293">
            <w:pPr>
              <w:ind w:firstLine="0"/>
              <w:jc w:val="center"/>
              <w:rPr>
                <w:rFonts w:eastAsia="Times New Roman" w:cs="Times New Roman"/>
                <w:color w:val="000000"/>
                <w:sz w:val="18"/>
                <w:szCs w:val="24"/>
              </w:rPr>
            </w:pPr>
            <w:r w:rsidRPr="00071293">
              <w:rPr>
                <w:rFonts w:eastAsia="Times New Roman" w:cs="Times New Roman"/>
                <w:color w:val="000000"/>
                <w:sz w:val="18"/>
                <w:szCs w:val="24"/>
              </w:rPr>
              <w:t>31 364</w:t>
            </w:r>
          </w:p>
        </w:tc>
        <w:tc>
          <w:tcPr>
            <w:tcW w:w="992" w:type="dxa"/>
            <w:tcBorders>
              <w:top w:val="nil"/>
              <w:left w:val="nil"/>
              <w:bottom w:val="single" w:sz="4" w:space="0" w:color="auto"/>
              <w:right w:val="single" w:sz="4" w:space="0" w:color="auto"/>
            </w:tcBorders>
            <w:shd w:val="clear" w:color="auto" w:fill="auto"/>
            <w:noWrap/>
            <w:vAlign w:val="center"/>
            <w:hideMark/>
          </w:tcPr>
          <w:p w14:paraId="784B745B" w14:textId="77777777" w:rsidR="00071293" w:rsidRPr="00071293" w:rsidRDefault="00071293" w:rsidP="00071293">
            <w:pPr>
              <w:ind w:firstLine="0"/>
              <w:jc w:val="center"/>
              <w:rPr>
                <w:rFonts w:eastAsia="Times New Roman" w:cs="Times New Roman"/>
                <w:color w:val="000000"/>
                <w:sz w:val="18"/>
                <w:szCs w:val="24"/>
              </w:rPr>
            </w:pPr>
            <w:r w:rsidRPr="00071293">
              <w:rPr>
                <w:rFonts w:eastAsia="Times New Roman" w:cs="Times New Roman"/>
                <w:color w:val="000000"/>
                <w:sz w:val="18"/>
                <w:szCs w:val="24"/>
              </w:rPr>
              <w:t>34 022</w:t>
            </w:r>
          </w:p>
        </w:tc>
        <w:tc>
          <w:tcPr>
            <w:tcW w:w="993" w:type="dxa"/>
            <w:tcBorders>
              <w:top w:val="nil"/>
              <w:left w:val="nil"/>
              <w:bottom w:val="single" w:sz="4" w:space="0" w:color="auto"/>
              <w:right w:val="single" w:sz="4" w:space="0" w:color="auto"/>
            </w:tcBorders>
            <w:shd w:val="clear" w:color="auto" w:fill="auto"/>
            <w:noWrap/>
            <w:vAlign w:val="center"/>
            <w:hideMark/>
          </w:tcPr>
          <w:p w14:paraId="01BBC504" w14:textId="77777777" w:rsidR="00071293" w:rsidRPr="00071293" w:rsidRDefault="00071293" w:rsidP="00071293">
            <w:pPr>
              <w:ind w:firstLine="0"/>
              <w:jc w:val="center"/>
              <w:rPr>
                <w:rFonts w:eastAsia="Times New Roman" w:cs="Times New Roman"/>
                <w:color w:val="000000"/>
                <w:sz w:val="18"/>
                <w:szCs w:val="24"/>
              </w:rPr>
            </w:pPr>
            <w:r w:rsidRPr="00071293">
              <w:rPr>
                <w:rFonts w:eastAsia="Times New Roman" w:cs="Times New Roman"/>
                <w:color w:val="000000"/>
                <w:sz w:val="18"/>
                <w:szCs w:val="24"/>
              </w:rPr>
              <w:t>36 115</w:t>
            </w:r>
          </w:p>
        </w:tc>
        <w:tc>
          <w:tcPr>
            <w:tcW w:w="1023" w:type="dxa"/>
            <w:tcBorders>
              <w:top w:val="nil"/>
              <w:left w:val="nil"/>
              <w:bottom w:val="single" w:sz="4" w:space="0" w:color="auto"/>
              <w:right w:val="single" w:sz="4" w:space="0" w:color="auto"/>
            </w:tcBorders>
            <w:shd w:val="clear" w:color="auto" w:fill="auto"/>
            <w:noWrap/>
            <w:vAlign w:val="center"/>
            <w:hideMark/>
          </w:tcPr>
          <w:p w14:paraId="1B81EAF8" w14:textId="77777777" w:rsidR="00071293" w:rsidRPr="00071293" w:rsidRDefault="00071293" w:rsidP="00071293">
            <w:pPr>
              <w:ind w:firstLine="0"/>
              <w:jc w:val="center"/>
              <w:rPr>
                <w:rFonts w:eastAsia="Times New Roman" w:cs="Times New Roman"/>
                <w:color w:val="000000"/>
                <w:sz w:val="18"/>
                <w:szCs w:val="24"/>
              </w:rPr>
            </w:pPr>
            <w:r w:rsidRPr="00071293">
              <w:rPr>
                <w:rFonts w:eastAsia="Times New Roman" w:cs="Times New Roman"/>
                <w:color w:val="000000"/>
                <w:sz w:val="18"/>
                <w:szCs w:val="24"/>
              </w:rPr>
              <w:t>38 033</w:t>
            </w:r>
          </w:p>
        </w:tc>
      </w:tr>
      <w:tr w:rsidR="00071293" w:rsidRPr="00071293" w14:paraId="1EA9E908" w14:textId="77777777" w:rsidTr="007E74B0">
        <w:trPr>
          <w:trHeight w:val="297"/>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E1292B7" w14:textId="77777777" w:rsidR="00071293" w:rsidRPr="00071293" w:rsidRDefault="00071293" w:rsidP="005C04B6">
            <w:pPr>
              <w:ind w:firstLine="34"/>
              <w:jc w:val="left"/>
              <w:rPr>
                <w:rFonts w:eastAsia="Times New Roman" w:cs="Times New Roman"/>
                <w:color w:val="000000"/>
                <w:sz w:val="18"/>
                <w:szCs w:val="24"/>
              </w:rPr>
            </w:pPr>
            <w:r w:rsidRPr="00071293">
              <w:rPr>
                <w:rFonts w:eastAsia="Times New Roman" w:cs="Times New Roman"/>
                <w:color w:val="000000"/>
                <w:sz w:val="18"/>
                <w:szCs w:val="24"/>
              </w:rPr>
              <w:t>Valsts budžeta bilance (pēc naudas plūsmas), milj. euro</w:t>
            </w:r>
          </w:p>
        </w:tc>
        <w:tc>
          <w:tcPr>
            <w:tcW w:w="992" w:type="dxa"/>
            <w:tcBorders>
              <w:top w:val="nil"/>
              <w:left w:val="nil"/>
              <w:bottom w:val="single" w:sz="4" w:space="0" w:color="auto"/>
              <w:right w:val="single" w:sz="4" w:space="0" w:color="auto"/>
            </w:tcBorders>
            <w:shd w:val="clear" w:color="auto" w:fill="auto"/>
            <w:noWrap/>
            <w:vAlign w:val="center"/>
            <w:hideMark/>
          </w:tcPr>
          <w:p w14:paraId="29937CD4" w14:textId="77777777" w:rsidR="00071293" w:rsidRPr="00071293" w:rsidRDefault="00071293" w:rsidP="00071293">
            <w:pPr>
              <w:ind w:firstLine="0"/>
              <w:jc w:val="center"/>
              <w:rPr>
                <w:rFonts w:eastAsia="Times New Roman" w:cs="Times New Roman"/>
                <w:color w:val="000000"/>
                <w:sz w:val="18"/>
                <w:szCs w:val="24"/>
              </w:rPr>
            </w:pPr>
            <w:r w:rsidRPr="00071293">
              <w:rPr>
                <w:rFonts w:eastAsia="Times New Roman" w:cs="Times New Roman"/>
                <w:color w:val="000000"/>
                <w:sz w:val="18"/>
                <w:szCs w:val="24"/>
              </w:rPr>
              <w:t>-2 842</w:t>
            </w:r>
          </w:p>
        </w:tc>
        <w:tc>
          <w:tcPr>
            <w:tcW w:w="992" w:type="dxa"/>
            <w:tcBorders>
              <w:top w:val="nil"/>
              <w:left w:val="nil"/>
              <w:bottom w:val="single" w:sz="4" w:space="0" w:color="auto"/>
              <w:right w:val="single" w:sz="4" w:space="0" w:color="auto"/>
            </w:tcBorders>
            <w:shd w:val="clear" w:color="auto" w:fill="auto"/>
            <w:noWrap/>
            <w:vAlign w:val="center"/>
            <w:hideMark/>
          </w:tcPr>
          <w:p w14:paraId="1A289EB8" w14:textId="77777777" w:rsidR="00071293" w:rsidRPr="00071293" w:rsidRDefault="00071293" w:rsidP="00071293">
            <w:pPr>
              <w:ind w:firstLine="0"/>
              <w:jc w:val="center"/>
              <w:rPr>
                <w:rFonts w:eastAsia="Times New Roman" w:cs="Times New Roman"/>
                <w:color w:val="000000"/>
                <w:sz w:val="18"/>
                <w:szCs w:val="24"/>
              </w:rPr>
            </w:pPr>
            <w:r w:rsidRPr="00071293">
              <w:rPr>
                <w:rFonts w:eastAsia="Times New Roman" w:cs="Times New Roman"/>
                <w:color w:val="000000"/>
                <w:sz w:val="18"/>
                <w:szCs w:val="24"/>
              </w:rPr>
              <w:t>-1 285</w:t>
            </w:r>
          </w:p>
        </w:tc>
        <w:tc>
          <w:tcPr>
            <w:tcW w:w="993" w:type="dxa"/>
            <w:tcBorders>
              <w:top w:val="nil"/>
              <w:left w:val="nil"/>
              <w:bottom w:val="single" w:sz="4" w:space="0" w:color="auto"/>
              <w:right w:val="single" w:sz="4" w:space="0" w:color="auto"/>
            </w:tcBorders>
            <w:shd w:val="clear" w:color="auto" w:fill="auto"/>
            <w:noWrap/>
            <w:vAlign w:val="center"/>
            <w:hideMark/>
          </w:tcPr>
          <w:p w14:paraId="235DBA2F" w14:textId="77777777" w:rsidR="00071293" w:rsidRPr="00071293" w:rsidRDefault="00071293" w:rsidP="00071293">
            <w:pPr>
              <w:ind w:firstLine="0"/>
              <w:jc w:val="center"/>
              <w:rPr>
                <w:rFonts w:eastAsia="Times New Roman" w:cs="Times New Roman"/>
                <w:color w:val="000000"/>
                <w:sz w:val="18"/>
                <w:szCs w:val="24"/>
              </w:rPr>
            </w:pPr>
            <w:r w:rsidRPr="00071293">
              <w:rPr>
                <w:rFonts w:eastAsia="Times New Roman" w:cs="Times New Roman"/>
                <w:color w:val="000000"/>
                <w:sz w:val="18"/>
                <w:szCs w:val="24"/>
              </w:rPr>
              <w:t>-125</w:t>
            </w:r>
          </w:p>
        </w:tc>
        <w:tc>
          <w:tcPr>
            <w:tcW w:w="1023" w:type="dxa"/>
            <w:tcBorders>
              <w:top w:val="nil"/>
              <w:left w:val="nil"/>
              <w:bottom w:val="single" w:sz="4" w:space="0" w:color="auto"/>
              <w:right w:val="single" w:sz="4" w:space="0" w:color="auto"/>
            </w:tcBorders>
            <w:shd w:val="clear" w:color="auto" w:fill="auto"/>
            <w:noWrap/>
            <w:vAlign w:val="center"/>
            <w:hideMark/>
          </w:tcPr>
          <w:p w14:paraId="5DBC5F89" w14:textId="77777777" w:rsidR="00071293" w:rsidRPr="00071293" w:rsidRDefault="00071293" w:rsidP="00071293">
            <w:pPr>
              <w:ind w:firstLine="0"/>
              <w:jc w:val="center"/>
              <w:rPr>
                <w:rFonts w:eastAsia="Times New Roman" w:cs="Times New Roman"/>
                <w:color w:val="000000"/>
                <w:sz w:val="18"/>
                <w:szCs w:val="24"/>
              </w:rPr>
            </w:pPr>
            <w:r w:rsidRPr="00071293">
              <w:rPr>
                <w:rFonts w:eastAsia="Times New Roman" w:cs="Times New Roman"/>
                <w:color w:val="000000"/>
                <w:sz w:val="18"/>
                <w:szCs w:val="24"/>
              </w:rPr>
              <w:t>-77</w:t>
            </w:r>
          </w:p>
        </w:tc>
      </w:tr>
      <w:tr w:rsidR="00071293" w:rsidRPr="00071293" w14:paraId="26FD6498" w14:textId="77777777" w:rsidTr="007E74B0">
        <w:trPr>
          <w:trHeight w:val="297"/>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75D9EB6" w14:textId="1065B8A1" w:rsidR="00071293" w:rsidRPr="00071293" w:rsidRDefault="00071293" w:rsidP="005C04B6">
            <w:pPr>
              <w:ind w:firstLine="34"/>
              <w:jc w:val="left"/>
              <w:rPr>
                <w:rFonts w:eastAsia="Times New Roman" w:cs="Times New Roman"/>
                <w:color w:val="000000"/>
                <w:sz w:val="18"/>
                <w:szCs w:val="24"/>
              </w:rPr>
            </w:pPr>
            <w:r w:rsidRPr="00071293">
              <w:rPr>
                <w:rFonts w:eastAsia="Times New Roman" w:cs="Times New Roman"/>
                <w:color w:val="000000"/>
                <w:sz w:val="18"/>
                <w:szCs w:val="24"/>
              </w:rPr>
              <w:t xml:space="preserve">Valsts budžeta bilance, % no </w:t>
            </w:r>
            <w:r w:rsidR="005C04B6">
              <w:rPr>
                <w:rFonts w:eastAsia="Times New Roman" w:cs="Times New Roman"/>
                <w:color w:val="000000"/>
                <w:sz w:val="18"/>
                <w:szCs w:val="24"/>
              </w:rPr>
              <w:t>iekšzemes kopprodukta</w:t>
            </w:r>
            <w:r w:rsidRPr="00071293">
              <w:rPr>
                <w:rFonts w:eastAsia="Times New Roman" w:cs="Times New Roman"/>
                <w:color w:val="000000"/>
                <w:sz w:val="18"/>
                <w:szCs w:val="24"/>
              </w:rPr>
              <w:t xml:space="preserve"> (pie nemainīgas politikas)</w:t>
            </w:r>
          </w:p>
        </w:tc>
        <w:tc>
          <w:tcPr>
            <w:tcW w:w="992" w:type="dxa"/>
            <w:tcBorders>
              <w:top w:val="nil"/>
              <w:left w:val="nil"/>
              <w:bottom w:val="single" w:sz="4" w:space="0" w:color="auto"/>
              <w:right w:val="single" w:sz="4" w:space="0" w:color="auto"/>
            </w:tcBorders>
            <w:shd w:val="clear" w:color="auto" w:fill="auto"/>
            <w:noWrap/>
            <w:vAlign w:val="center"/>
            <w:hideMark/>
          </w:tcPr>
          <w:p w14:paraId="5D9E9EE8" w14:textId="77777777" w:rsidR="00071293" w:rsidRPr="00071293" w:rsidRDefault="00071293" w:rsidP="00071293">
            <w:pPr>
              <w:ind w:firstLine="0"/>
              <w:jc w:val="center"/>
              <w:rPr>
                <w:rFonts w:eastAsia="Times New Roman" w:cs="Times New Roman"/>
                <w:color w:val="000000"/>
                <w:sz w:val="18"/>
                <w:szCs w:val="24"/>
              </w:rPr>
            </w:pPr>
            <w:r w:rsidRPr="00071293">
              <w:rPr>
                <w:rFonts w:eastAsia="Times New Roman" w:cs="Times New Roman"/>
                <w:color w:val="000000"/>
                <w:sz w:val="18"/>
                <w:szCs w:val="24"/>
              </w:rPr>
              <w:t>-9,1</w:t>
            </w:r>
          </w:p>
        </w:tc>
        <w:tc>
          <w:tcPr>
            <w:tcW w:w="992" w:type="dxa"/>
            <w:tcBorders>
              <w:top w:val="nil"/>
              <w:left w:val="nil"/>
              <w:bottom w:val="single" w:sz="4" w:space="0" w:color="auto"/>
              <w:right w:val="single" w:sz="4" w:space="0" w:color="auto"/>
            </w:tcBorders>
            <w:shd w:val="clear" w:color="auto" w:fill="auto"/>
            <w:noWrap/>
            <w:vAlign w:val="center"/>
            <w:hideMark/>
          </w:tcPr>
          <w:p w14:paraId="29430E9D" w14:textId="77777777" w:rsidR="00071293" w:rsidRPr="00071293" w:rsidRDefault="00071293" w:rsidP="00071293">
            <w:pPr>
              <w:ind w:firstLine="0"/>
              <w:jc w:val="center"/>
              <w:rPr>
                <w:rFonts w:eastAsia="Times New Roman" w:cs="Times New Roman"/>
                <w:color w:val="000000"/>
                <w:sz w:val="18"/>
                <w:szCs w:val="24"/>
              </w:rPr>
            </w:pPr>
            <w:r w:rsidRPr="00071293">
              <w:rPr>
                <w:rFonts w:eastAsia="Times New Roman" w:cs="Times New Roman"/>
                <w:color w:val="000000"/>
                <w:sz w:val="18"/>
                <w:szCs w:val="24"/>
              </w:rPr>
              <w:t>-3,8</w:t>
            </w:r>
          </w:p>
        </w:tc>
        <w:tc>
          <w:tcPr>
            <w:tcW w:w="993" w:type="dxa"/>
            <w:tcBorders>
              <w:top w:val="nil"/>
              <w:left w:val="nil"/>
              <w:bottom w:val="single" w:sz="4" w:space="0" w:color="auto"/>
              <w:right w:val="single" w:sz="4" w:space="0" w:color="auto"/>
            </w:tcBorders>
            <w:shd w:val="clear" w:color="auto" w:fill="auto"/>
            <w:noWrap/>
            <w:vAlign w:val="center"/>
            <w:hideMark/>
          </w:tcPr>
          <w:p w14:paraId="0C9458D5" w14:textId="77777777" w:rsidR="00071293" w:rsidRPr="00071293" w:rsidRDefault="00071293" w:rsidP="00071293">
            <w:pPr>
              <w:ind w:firstLine="0"/>
              <w:jc w:val="center"/>
              <w:rPr>
                <w:rFonts w:eastAsia="Times New Roman" w:cs="Times New Roman"/>
                <w:color w:val="000000"/>
                <w:sz w:val="18"/>
                <w:szCs w:val="24"/>
              </w:rPr>
            </w:pPr>
            <w:r w:rsidRPr="00071293">
              <w:rPr>
                <w:rFonts w:eastAsia="Times New Roman" w:cs="Times New Roman"/>
                <w:color w:val="000000"/>
                <w:sz w:val="18"/>
                <w:szCs w:val="24"/>
              </w:rPr>
              <w:t>-0,3</w:t>
            </w:r>
          </w:p>
        </w:tc>
        <w:tc>
          <w:tcPr>
            <w:tcW w:w="1023" w:type="dxa"/>
            <w:tcBorders>
              <w:top w:val="nil"/>
              <w:left w:val="nil"/>
              <w:bottom w:val="single" w:sz="4" w:space="0" w:color="auto"/>
              <w:right w:val="single" w:sz="4" w:space="0" w:color="auto"/>
            </w:tcBorders>
            <w:shd w:val="clear" w:color="auto" w:fill="auto"/>
            <w:noWrap/>
            <w:vAlign w:val="center"/>
            <w:hideMark/>
          </w:tcPr>
          <w:p w14:paraId="322094E8" w14:textId="77777777" w:rsidR="00071293" w:rsidRPr="00071293" w:rsidRDefault="00071293" w:rsidP="00071293">
            <w:pPr>
              <w:ind w:firstLine="0"/>
              <w:jc w:val="center"/>
              <w:rPr>
                <w:rFonts w:eastAsia="Times New Roman" w:cs="Times New Roman"/>
                <w:color w:val="000000"/>
                <w:sz w:val="18"/>
                <w:szCs w:val="24"/>
              </w:rPr>
            </w:pPr>
            <w:r w:rsidRPr="00071293">
              <w:rPr>
                <w:rFonts w:eastAsia="Times New Roman" w:cs="Times New Roman"/>
                <w:color w:val="000000"/>
                <w:sz w:val="18"/>
                <w:szCs w:val="24"/>
              </w:rPr>
              <w:t>-0,2</w:t>
            </w:r>
          </w:p>
        </w:tc>
      </w:tr>
      <w:tr w:rsidR="00071293" w:rsidRPr="00071293" w14:paraId="66129271" w14:textId="77777777" w:rsidTr="007E74B0">
        <w:trPr>
          <w:trHeight w:val="594"/>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208ECAA" w14:textId="77777777" w:rsidR="00071293" w:rsidRPr="00071293" w:rsidRDefault="00071293" w:rsidP="005C04B6">
            <w:pPr>
              <w:ind w:firstLine="34"/>
              <w:jc w:val="left"/>
              <w:rPr>
                <w:rFonts w:eastAsia="Times New Roman" w:cs="Times New Roman"/>
                <w:color w:val="000000"/>
                <w:sz w:val="18"/>
                <w:szCs w:val="24"/>
              </w:rPr>
            </w:pPr>
            <w:r w:rsidRPr="00071293">
              <w:rPr>
                <w:rFonts w:eastAsia="Times New Roman" w:cs="Times New Roman"/>
                <w:color w:val="000000"/>
                <w:sz w:val="18"/>
                <w:szCs w:val="24"/>
              </w:rPr>
              <w:t xml:space="preserve">Vispārējās valdības parāda prognoze, milj. </w:t>
            </w:r>
            <w:r w:rsidRPr="005C04B6">
              <w:rPr>
                <w:rFonts w:eastAsia="Times New Roman" w:cs="Times New Roman"/>
                <w:i/>
                <w:color w:val="000000"/>
                <w:sz w:val="18"/>
                <w:szCs w:val="24"/>
              </w:rPr>
              <w:t>euro</w:t>
            </w:r>
            <w:r w:rsidRPr="00071293">
              <w:rPr>
                <w:rFonts w:eastAsia="Times New Roman" w:cs="Times New Roman"/>
                <w:color w:val="000000"/>
                <w:sz w:val="18"/>
                <w:szCs w:val="24"/>
              </w:rPr>
              <w:t xml:space="preserve"> (pie nemainīgas politikas)*</w:t>
            </w:r>
          </w:p>
        </w:tc>
        <w:tc>
          <w:tcPr>
            <w:tcW w:w="992" w:type="dxa"/>
            <w:tcBorders>
              <w:top w:val="nil"/>
              <w:left w:val="nil"/>
              <w:bottom w:val="single" w:sz="4" w:space="0" w:color="auto"/>
              <w:right w:val="single" w:sz="4" w:space="0" w:color="auto"/>
            </w:tcBorders>
            <w:shd w:val="clear" w:color="auto" w:fill="auto"/>
            <w:noWrap/>
            <w:vAlign w:val="center"/>
            <w:hideMark/>
          </w:tcPr>
          <w:p w14:paraId="0B6C209C" w14:textId="77777777" w:rsidR="00071293" w:rsidRPr="00071293" w:rsidRDefault="00071293" w:rsidP="00071293">
            <w:pPr>
              <w:ind w:firstLine="0"/>
              <w:jc w:val="center"/>
              <w:rPr>
                <w:rFonts w:eastAsia="Times New Roman" w:cs="Times New Roman"/>
                <w:color w:val="000000"/>
                <w:sz w:val="18"/>
                <w:szCs w:val="24"/>
              </w:rPr>
            </w:pPr>
            <w:r w:rsidRPr="00071293">
              <w:rPr>
                <w:rFonts w:eastAsia="Times New Roman" w:cs="Times New Roman"/>
                <w:color w:val="000000"/>
                <w:sz w:val="18"/>
                <w:szCs w:val="24"/>
              </w:rPr>
              <w:t>15 566</w:t>
            </w:r>
          </w:p>
        </w:tc>
        <w:tc>
          <w:tcPr>
            <w:tcW w:w="992" w:type="dxa"/>
            <w:tcBorders>
              <w:top w:val="nil"/>
              <w:left w:val="nil"/>
              <w:bottom w:val="single" w:sz="4" w:space="0" w:color="auto"/>
              <w:right w:val="single" w:sz="4" w:space="0" w:color="auto"/>
            </w:tcBorders>
            <w:shd w:val="clear" w:color="auto" w:fill="auto"/>
            <w:noWrap/>
            <w:vAlign w:val="center"/>
            <w:hideMark/>
          </w:tcPr>
          <w:p w14:paraId="4E2BB4E5" w14:textId="77777777" w:rsidR="00071293" w:rsidRPr="00071293" w:rsidRDefault="00071293" w:rsidP="00071293">
            <w:pPr>
              <w:ind w:firstLine="0"/>
              <w:jc w:val="center"/>
              <w:rPr>
                <w:rFonts w:eastAsia="Times New Roman" w:cs="Times New Roman"/>
                <w:color w:val="000000"/>
                <w:sz w:val="18"/>
                <w:szCs w:val="24"/>
              </w:rPr>
            </w:pPr>
            <w:r w:rsidRPr="00071293">
              <w:rPr>
                <w:rFonts w:eastAsia="Times New Roman" w:cs="Times New Roman"/>
                <w:color w:val="000000"/>
                <w:sz w:val="18"/>
                <w:szCs w:val="24"/>
              </w:rPr>
              <w:t>17 015</w:t>
            </w:r>
          </w:p>
        </w:tc>
        <w:tc>
          <w:tcPr>
            <w:tcW w:w="993" w:type="dxa"/>
            <w:tcBorders>
              <w:top w:val="nil"/>
              <w:left w:val="nil"/>
              <w:bottom w:val="single" w:sz="4" w:space="0" w:color="auto"/>
              <w:right w:val="single" w:sz="4" w:space="0" w:color="auto"/>
            </w:tcBorders>
            <w:shd w:val="clear" w:color="auto" w:fill="auto"/>
            <w:noWrap/>
            <w:vAlign w:val="center"/>
            <w:hideMark/>
          </w:tcPr>
          <w:p w14:paraId="7DC7A62E" w14:textId="77777777" w:rsidR="00071293" w:rsidRPr="00071293" w:rsidRDefault="00071293" w:rsidP="00071293">
            <w:pPr>
              <w:ind w:firstLine="0"/>
              <w:jc w:val="center"/>
              <w:rPr>
                <w:rFonts w:eastAsia="Times New Roman" w:cs="Times New Roman"/>
                <w:color w:val="000000"/>
                <w:sz w:val="18"/>
                <w:szCs w:val="24"/>
              </w:rPr>
            </w:pPr>
            <w:r w:rsidRPr="00071293">
              <w:rPr>
                <w:rFonts w:eastAsia="Times New Roman" w:cs="Times New Roman"/>
                <w:color w:val="000000"/>
                <w:sz w:val="18"/>
                <w:szCs w:val="24"/>
              </w:rPr>
              <w:t>17 369</w:t>
            </w:r>
          </w:p>
        </w:tc>
        <w:tc>
          <w:tcPr>
            <w:tcW w:w="1023" w:type="dxa"/>
            <w:tcBorders>
              <w:top w:val="nil"/>
              <w:left w:val="nil"/>
              <w:bottom w:val="single" w:sz="4" w:space="0" w:color="auto"/>
              <w:right w:val="single" w:sz="4" w:space="0" w:color="auto"/>
            </w:tcBorders>
            <w:shd w:val="clear" w:color="auto" w:fill="auto"/>
            <w:noWrap/>
            <w:vAlign w:val="center"/>
            <w:hideMark/>
          </w:tcPr>
          <w:p w14:paraId="6F3F2F9D" w14:textId="77777777" w:rsidR="00071293" w:rsidRPr="00071293" w:rsidRDefault="00071293" w:rsidP="00071293">
            <w:pPr>
              <w:ind w:firstLine="0"/>
              <w:jc w:val="center"/>
              <w:rPr>
                <w:rFonts w:eastAsia="Times New Roman" w:cs="Times New Roman"/>
                <w:color w:val="000000"/>
                <w:sz w:val="18"/>
                <w:szCs w:val="24"/>
              </w:rPr>
            </w:pPr>
            <w:r w:rsidRPr="00071293">
              <w:rPr>
                <w:rFonts w:eastAsia="Times New Roman" w:cs="Times New Roman"/>
                <w:color w:val="000000"/>
                <w:sz w:val="18"/>
                <w:szCs w:val="24"/>
              </w:rPr>
              <w:t>18 088</w:t>
            </w:r>
          </w:p>
        </w:tc>
      </w:tr>
      <w:tr w:rsidR="00071293" w:rsidRPr="00071293" w14:paraId="4D3D3B31" w14:textId="77777777" w:rsidTr="007E74B0">
        <w:trPr>
          <w:trHeight w:val="594"/>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188F55B" w14:textId="6CD46579" w:rsidR="00071293" w:rsidRPr="00071293" w:rsidRDefault="00071293" w:rsidP="005C04B6">
            <w:pPr>
              <w:ind w:firstLine="34"/>
              <w:jc w:val="left"/>
              <w:rPr>
                <w:rFonts w:eastAsia="Times New Roman" w:cs="Times New Roman"/>
                <w:color w:val="000000"/>
                <w:sz w:val="18"/>
                <w:szCs w:val="24"/>
              </w:rPr>
            </w:pPr>
            <w:r w:rsidRPr="00071293">
              <w:rPr>
                <w:rFonts w:eastAsia="Times New Roman" w:cs="Times New Roman"/>
                <w:color w:val="000000"/>
                <w:sz w:val="18"/>
                <w:szCs w:val="24"/>
              </w:rPr>
              <w:t xml:space="preserve">Vispārējās valdības parāda prognoze, % no </w:t>
            </w:r>
            <w:r w:rsidR="005C04B6">
              <w:rPr>
                <w:rFonts w:eastAsia="Times New Roman" w:cs="Times New Roman"/>
                <w:color w:val="000000"/>
                <w:sz w:val="18"/>
                <w:szCs w:val="24"/>
              </w:rPr>
              <w:t>iekšzemes kopprodukta</w:t>
            </w:r>
            <w:r w:rsidRPr="00071293">
              <w:rPr>
                <w:rFonts w:eastAsia="Times New Roman" w:cs="Times New Roman"/>
                <w:color w:val="000000"/>
                <w:sz w:val="18"/>
                <w:szCs w:val="24"/>
              </w:rPr>
              <w:t xml:space="preserve"> (pie nemainīgas politikas)*</w:t>
            </w:r>
          </w:p>
        </w:tc>
        <w:tc>
          <w:tcPr>
            <w:tcW w:w="992" w:type="dxa"/>
            <w:tcBorders>
              <w:top w:val="nil"/>
              <w:left w:val="nil"/>
              <w:bottom w:val="single" w:sz="4" w:space="0" w:color="auto"/>
              <w:right w:val="single" w:sz="4" w:space="0" w:color="auto"/>
            </w:tcBorders>
            <w:shd w:val="clear" w:color="auto" w:fill="auto"/>
            <w:noWrap/>
            <w:vAlign w:val="center"/>
            <w:hideMark/>
          </w:tcPr>
          <w:p w14:paraId="2E398B03" w14:textId="77777777" w:rsidR="00071293" w:rsidRPr="00071293" w:rsidRDefault="00071293" w:rsidP="00071293">
            <w:pPr>
              <w:ind w:firstLine="0"/>
              <w:jc w:val="center"/>
              <w:rPr>
                <w:rFonts w:eastAsia="Times New Roman" w:cs="Times New Roman"/>
                <w:sz w:val="18"/>
                <w:szCs w:val="24"/>
              </w:rPr>
            </w:pPr>
            <w:r w:rsidRPr="00071293">
              <w:rPr>
                <w:rFonts w:eastAsia="Times New Roman" w:cs="Times New Roman"/>
                <w:sz w:val="18"/>
                <w:szCs w:val="24"/>
              </w:rPr>
              <w:t>49,6</w:t>
            </w:r>
          </w:p>
        </w:tc>
        <w:tc>
          <w:tcPr>
            <w:tcW w:w="992" w:type="dxa"/>
            <w:tcBorders>
              <w:top w:val="nil"/>
              <w:left w:val="nil"/>
              <w:bottom w:val="single" w:sz="4" w:space="0" w:color="auto"/>
              <w:right w:val="single" w:sz="4" w:space="0" w:color="auto"/>
            </w:tcBorders>
            <w:shd w:val="clear" w:color="auto" w:fill="auto"/>
            <w:noWrap/>
            <w:vAlign w:val="center"/>
            <w:hideMark/>
          </w:tcPr>
          <w:p w14:paraId="7096BBBE" w14:textId="77777777" w:rsidR="00071293" w:rsidRPr="005C04B6" w:rsidRDefault="00071293" w:rsidP="00071293">
            <w:pPr>
              <w:ind w:firstLine="0"/>
              <w:jc w:val="center"/>
              <w:rPr>
                <w:rFonts w:eastAsia="Times New Roman" w:cs="Times New Roman"/>
                <w:b/>
                <w:bCs/>
                <w:sz w:val="18"/>
                <w:szCs w:val="24"/>
              </w:rPr>
            </w:pPr>
            <w:r w:rsidRPr="005C04B6">
              <w:rPr>
                <w:rFonts w:eastAsia="Times New Roman" w:cs="Times New Roman"/>
                <w:b/>
                <w:bCs/>
                <w:sz w:val="18"/>
                <w:szCs w:val="24"/>
              </w:rPr>
              <w:t>50,0</w:t>
            </w:r>
          </w:p>
        </w:tc>
        <w:tc>
          <w:tcPr>
            <w:tcW w:w="993" w:type="dxa"/>
            <w:tcBorders>
              <w:top w:val="nil"/>
              <w:left w:val="nil"/>
              <w:bottom w:val="single" w:sz="4" w:space="0" w:color="auto"/>
              <w:right w:val="single" w:sz="4" w:space="0" w:color="auto"/>
            </w:tcBorders>
            <w:shd w:val="clear" w:color="auto" w:fill="auto"/>
            <w:noWrap/>
            <w:vAlign w:val="center"/>
            <w:hideMark/>
          </w:tcPr>
          <w:p w14:paraId="61AD5711" w14:textId="77777777" w:rsidR="00071293" w:rsidRPr="005C04B6" w:rsidRDefault="00071293" w:rsidP="00071293">
            <w:pPr>
              <w:ind w:firstLine="0"/>
              <w:jc w:val="center"/>
              <w:rPr>
                <w:rFonts w:eastAsia="Times New Roman" w:cs="Times New Roman"/>
                <w:b/>
                <w:bCs/>
                <w:sz w:val="18"/>
                <w:szCs w:val="24"/>
              </w:rPr>
            </w:pPr>
            <w:r w:rsidRPr="005C04B6">
              <w:rPr>
                <w:rFonts w:eastAsia="Times New Roman" w:cs="Times New Roman"/>
                <w:b/>
                <w:bCs/>
                <w:sz w:val="18"/>
                <w:szCs w:val="24"/>
              </w:rPr>
              <w:t>48,1</w:t>
            </w:r>
          </w:p>
        </w:tc>
        <w:tc>
          <w:tcPr>
            <w:tcW w:w="1023" w:type="dxa"/>
            <w:tcBorders>
              <w:top w:val="nil"/>
              <w:left w:val="nil"/>
              <w:bottom w:val="single" w:sz="4" w:space="0" w:color="auto"/>
              <w:right w:val="single" w:sz="4" w:space="0" w:color="auto"/>
            </w:tcBorders>
            <w:shd w:val="clear" w:color="auto" w:fill="auto"/>
            <w:noWrap/>
            <w:vAlign w:val="center"/>
            <w:hideMark/>
          </w:tcPr>
          <w:p w14:paraId="51F20882" w14:textId="77777777" w:rsidR="00071293" w:rsidRPr="005C04B6" w:rsidRDefault="00071293" w:rsidP="00071293">
            <w:pPr>
              <w:ind w:firstLine="0"/>
              <w:jc w:val="center"/>
              <w:rPr>
                <w:rFonts w:eastAsia="Times New Roman" w:cs="Times New Roman"/>
                <w:b/>
                <w:bCs/>
                <w:sz w:val="18"/>
                <w:szCs w:val="24"/>
              </w:rPr>
            </w:pPr>
            <w:r w:rsidRPr="005C04B6">
              <w:rPr>
                <w:rFonts w:eastAsia="Times New Roman" w:cs="Times New Roman"/>
                <w:b/>
                <w:bCs/>
                <w:sz w:val="18"/>
                <w:szCs w:val="24"/>
              </w:rPr>
              <w:t>47,6</w:t>
            </w:r>
          </w:p>
        </w:tc>
      </w:tr>
    </w:tbl>
    <w:p w14:paraId="7EA3DFDC" w14:textId="7DA7DE6D" w:rsidR="00071293" w:rsidRPr="005C04B6" w:rsidRDefault="005C04B6" w:rsidP="005C04B6">
      <w:pPr>
        <w:ind w:firstLine="0"/>
        <w:rPr>
          <w:rFonts w:cs="Times New Roman"/>
          <w:bCs/>
          <w:i/>
          <w:sz w:val="18"/>
          <w:szCs w:val="18"/>
        </w:rPr>
      </w:pPr>
      <w:r>
        <w:rPr>
          <w:rFonts w:cs="Times New Roman"/>
          <w:bCs/>
          <w:i/>
          <w:sz w:val="18"/>
          <w:szCs w:val="18"/>
        </w:rPr>
        <w:t>*ņemot vērā Finanšu ministrijas</w:t>
      </w:r>
      <w:r w:rsidR="00071293" w:rsidRPr="00071293">
        <w:rPr>
          <w:rFonts w:cs="Times New Roman"/>
          <w:bCs/>
          <w:i/>
          <w:sz w:val="18"/>
          <w:szCs w:val="18"/>
        </w:rPr>
        <w:t xml:space="preserve"> valsts budžeta bilances prognozi, valsts parāda atmaksas grafiku, pieņemtos lēmumus par valsts atbalsta sniegšanu uzņēmumiem (ieguldījumi p/k), valsts aizdevumu prognozi u.c. plūsmas Valsts kases kontos</w:t>
      </w:r>
      <w:r>
        <w:rPr>
          <w:rFonts w:cs="Times New Roman"/>
          <w:bCs/>
          <w:i/>
          <w:sz w:val="18"/>
          <w:szCs w:val="18"/>
        </w:rPr>
        <w:t>.</w:t>
      </w:r>
    </w:p>
    <w:p w14:paraId="6FCFF859" w14:textId="73E0C75B" w:rsidR="00071293" w:rsidRPr="00071293" w:rsidRDefault="00071293" w:rsidP="005C04B6">
      <w:pPr>
        <w:widowControl w:val="0"/>
        <w:spacing w:before="240"/>
        <w:rPr>
          <w:rFonts w:cs="Times New Roman"/>
          <w:bCs/>
          <w:szCs w:val="24"/>
        </w:rPr>
      </w:pPr>
      <w:r w:rsidRPr="00071293">
        <w:rPr>
          <w:rFonts w:cs="Times New Roman"/>
          <w:bCs/>
          <w:szCs w:val="24"/>
        </w:rPr>
        <w:t>Pašreizējā fiskālā politika balstās viedoklī, ka 2022</w:t>
      </w:r>
      <w:r w:rsidR="005C04B6">
        <w:rPr>
          <w:rFonts w:cs="Times New Roman"/>
          <w:bCs/>
          <w:szCs w:val="24"/>
        </w:rPr>
        <w:t xml:space="preserve"> </w:t>
      </w:r>
      <w:r w:rsidRPr="00071293">
        <w:rPr>
          <w:rFonts w:cs="Times New Roman"/>
          <w:bCs/>
          <w:szCs w:val="24"/>
        </w:rPr>
        <w:t xml:space="preserve">.gadā un turpmākajos gados vispārējās valdības parāds būtu saglabājams tuvu 50% no </w:t>
      </w:r>
      <w:r w:rsidR="005C04B6" w:rsidRPr="005C04B6">
        <w:rPr>
          <w:rFonts w:cs="Times New Roman"/>
          <w:bCs/>
          <w:szCs w:val="24"/>
        </w:rPr>
        <w:t>iekšzemes kopprodukta</w:t>
      </w:r>
      <w:r w:rsidRPr="00071293">
        <w:rPr>
          <w:rFonts w:cs="Times New Roman"/>
          <w:bCs/>
          <w:szCs w:val="24"/>
        </w:rPr>
        <w:t xml:space="preserve">. </w:t>
      </w:r>
    </w:p>
    <w:p w14:paraId="1877713C" w14:textId="7F5027A8" w:rsidR="00071293" w:rsidRPr="00071293" w:rsidRDefault="00071293" w:rsidP="00071293">
      <w:pPr>
        <w:widowControl w:val="0"/>
        <w:rPr>
          <w:rFonts w:cs="Times New Roman"/>
          <w:bCs/>
          <w:szCs w:val="24"/>
        </w:rPr>
      </w:pPr>
      <w:r w:rsidRPr="00071293">
        <w:rPr>
          <w:rFonts w:cs="Times New Roman"/>
          <w:bCs/>
          <w:szCs w:val="24"/>
        </w:rPr>
        <w:t xml:space="preserve">Jāatzīmē, ka atšķirībā no situācijas, kad fiskālo telpu var noteikt precīzi pēc skaitliskajiem </w:t>
      </w:r>
      <w:r w:rsidR="005C04B6" w:rsidRPr="00071293">
        <w:rPr>
          <w:rFonts w:cs="Times New Roman"/>
          <w:bCs/>
          <w:szCs w:val="24"/>
        </w:rPr>
        <w:t>fiskālajiem</w:t>
      </w:r>
      <w:r w:rsidRPr="00071293">
        <w:rPr>
          <w:rFonts w:cs="Times New Roman"/>
          <w:bCs/>
          <w:szCs w:val="24"/>
        </w:rPr>
        <w:t xml:space="preserve"> nosacījumiem, telpas noteikšana pēc parāda līmeņa, kas, savukārt, tiek noteikts pēc parāda ilgtspējas kritērija, ir saistīts ar augstu nenoteiktību, jo to ietekmē ilgtermiņa izaugsmes, </w:t>
      </w:r>
      <w:r w:rsidR="005C04B6" w:rsidRPr="005C04B6">
        <w:rPr>
          <w:rFonts w:cs="Times New Roman"/>
          <w:bCs/>
          <w:szCs w:val="24"/>
        </w:rPr>
        <w:t>iekšzemes kopprodukta</w:t>
      </w:r>
      <w:r w:rsidRPr="00071293">
        <w:rPr>
          <w:rFonts w:cs="Times New Roman"/>
          <w:bCs/>
          <w:szCs w:val="24"/>
        </w:rPr>
        <w:t xml:space="preserve"> deflatora un procentu likmju  dinamika. Līdz ar to parāda līmeņa noteikšana pēc šī kritērija ar precizitāti līdz decimāldaļai nav iespējama. Līdz ar to parāda līmeņa nospraušana ar precizitāti, kas nepieciešama fiskālās telpas aprēķināšanai ietver zināmu arbitraritātes elementu.</w:t>
      </w:r>
    </w:p>
    <w:p w14:paraId="393FCADC" w14:textId="1F84D55C" w:rsidR="00071293" w:rsidRPr="00071293" w:rsidRDefault="005C04B6" w:rsidP="00071293">
      <w:pPr>
        <w:widowControl w:val="0"/>
        <w:rPr>
          <w:rFonts w:cs="Times New Roman"/>
          <w:bCs/>
          <w:szCs w:val="24"/>
        </w:rPr>
      </w:pPr>
      <w:r>
        <w:rPr>
          <w:rFonts w:cs="Times New Roman"/>
          <w:bCs/>
          <w:szCs w:val="24"/>
        </w:rPr>
        <w:t>Ņemot vērā minēto un sekojot Eiropas Savienības</w:t>
      </w:r>
      <w:r w:rsidR="00071293" w:rsidRPr="00071293">
        <w:rPr>
          <w:rFonts w:cs="Times New Roman"/>
          <w:bCs/>
          <w:szCs w:val="24"/>
        </w:rPr>
        <w:t xml:space="preserve"> rekomendācijām par fiskālo politiku 2022. gadā, pieļaujamais parāda līmenis tika nosprausts 50,9% no </w:t>
      </w:r>
      <w:r w:rsidRPr="005C04B6">
        <w:rPr>
          <w:rFonts w:cs="Times New Roman"/>
          <w:bCs/>
          <w:szCs w:val="24"/>
        </w:rPr>
        <w:t>iekšzemes kopprodukta</w:t>
      </w:r>
      <w:r w:rsidR="00071293" w:rsidRPr="00071293">
        <w:rPr>
          <w:rFonts w:cs="Times New Roman"/>
          <w:bCs/>
          <w:szCs w:val="24"/>
        </w:rPr>
        <w:t xml:space="preserve"> līmenī, šo robežvērtību ļaujot sasniegt ar kārtējiem izdevumiem. Šo robežvērtību var pārkāpt ar investīciju izdevumiem</w:t>
      </w:r>
      <w:r>
        <w:rPr>
          <w:rFonts w:cs="Times New Roman"/>
          <w:bCs/>
          <w:szCs w:val="24"/>
        </w:rPr>
        <w:t xml:space="preserve"> un ārkārtas izdevumiem Covid-</w:t>
      </w:r>
      <w:r w:rsidR="00071293" w:rsidRPr="00071293">
        <w:rPr>
          <w:rFonts w:cs="Times New Roman"/>
          <w:bCs/>
          <w:szCs w:val="24"/>
        </w:rPr>
        <w:t xml:space="preserve">19 pandēmijas negatīvas ietekmes mazināšanai. </w:t>
      </w:r>
    </w:p>
    <w:p w14:paraId="5F563F60" w14:textId="65A30A69" w:rsidR="00071293" w:rsidRPr="00071293" w:rsidRDefault="00071293" w:rsidP="00071293">
      <w:pPr>
        <w:widowControl w:val="0"/>
        <w:rPr>
          <w:rFonts w:cs="Times New Roman"/>
          <w:bCs/>
          <w:szCs w:val="24"/>
        </w:rPr>
      </w:pPr>
      <w:r w:rsidRPr="00071293">
        <w:rPr>
          <w:rFonts w:cs="Times New Roman"/>
          <w:bCs/>
          <w:szCs w:val="24"/>
        </w:rPr>
        <w:t xml:space="preserve">Jāatzīmē, ka ikviens jaunās politikas lēmums, kas tiek finansēts ar kārtējiem izdevumiem uz deficīta pieauguma rēķina, nominālā izteiksmē valsts parādu palielina ne tikai tajā gadā, kad pasākums tiek ieviests, bet parāds turpina augt visos turpmākajos gados. Līdz ar to kārtējo izdevumu finansēšana uz deficīta pieauguma rēķina būtiskāk ietekmē parāda pieaugumu, nekā vienreizējie pasākumi, kā investīcijas un Covid-19 ārkārtas pasākumi.  Parāda attiecība pret </w:t>
      </w:r>
      <w:r w:rsidR="005C04B6">
        <w:rPr>
          <w:rFonts w:cs="Times New Roman"/>
          <w:bCs/>
          <w:szCs w:val="24"/>
        </w:rPr>
        <w:t>iekšzemes kopproduktu</w:t>
      </w:r>
      <w:r w:rsidRPr="00071293">
        <w:rPr>
          <w:rFonts w:cs="Times New Roman"/>
          <w:bCs/>
          <w:szCs w:val="24"/>
        </w:rPr>
        <w:t xml:space="preserve">, savukārt, ir atkarīga no parāda kumulatīvā pieauguma </w:t>
      </w:r>
      <w:r w:rsidRPr="00071293">
        <w:rPr>
          <w:rFonts w:cs="Times New Roman"/>
          <w:bCs/>
          <w:szCs w:val="24"/>
        </w:rPr>
        <w:lastRenderedPageBreak/>
        <w:t xml:space="preserve">ātruma attiecības pret </w:t>
      </w:r>
      <w:r w:rsidR="005C04B6" w:rsidRPr="005C04B6">
        <w:rPr>
          <w:rFonts w:cs="Times New Roman"/>
          <w:bCs/>
          <w:szCs w:val="24"/>
        </w:rPr>
        <w:t>iekšzemes kopprodukta</w:t>
      </w:r>
      <w:r w:rsidRPr="00071293">
        <w:rPr>
          <w:rFonts w:cs="Times New Roman"/>
          <w:bCs/>
          <w:szCs w:val="24"/>
        </w:rPr>
        <w:t xml:space="preserve"> pieaugumu. Līdz ar to, situācijā, kad 2022. gada parāda līmenis pret </w:t>
      </w:r>
      <w:r w:rsidR="005C04B6">
        <w:rPr>
          <w:rFonts w:cs="Times New Roman"/>
          <w:bCs/>
          <w:szCs w:val="24"/>
        </w:rPr>
        <w:t>iekšzemes kopproduktu</w:t>
      </w:r>
      <w:r w:rsidRPr="00071293">
        <w:rPr>
          <w:rFonts w:cs="Times New Roman"/>
          <w:bCs/>
          <w:szCs w:val="24"/>
        </w:rPr>
        <w:t xml:space="preserve"> Latvijai nav kritisks rādītājs (ja tas paliek 50-55% robežās), bet būtiski ir nodrošināt parāda samazināšanas trajektoriju vidējā termiņā, fiskālā telpa šoreiz tiek noteikta kārtējiem izdevumiem. Tās apmērs tiek kalibrēts tā, lai saskaņā ar makroekonomiskajām un fiskālajām prognozēm, parāds samazinātos vidējā termiņā. Savukārt, </w:t>
      </w:r>
      <w:r w:rsidR="005C04B6">
        <w:rPr>
          <w:rFonts w:cs="Times New Roman"/>
          <w:bCs/>
          <w:szCs w:val="24"/>
        </w:rPr>
        <w:t>investīcijas un ārkārtas Covid-</w:t>
      </w:r>
      <w:r w:rsidRPr="00071293">
        <w:rPr>
          <w:rFonts w:cs="Times New Roman"/>
          <w:bCs/>
          <w:szCs w:val="24"/>
        </w:rPr>
        <w:t xml:space="preserve">19 pasākumus  var finansēt virs nospraustā 50,9% no </w:t>
      </w:r>
      <w:r w:rsidR="005C04B6" w:rsidRPr="005C04B6">
        <w:rPr>
          <w:rFonts w:cs="Times New Roman"/>
          <w:bCs/>
          <w:szCs w:val="24"/>
        </w:rPr>
        <w:t>iekšzemes kopprodukta</w:t>
      </w:r>
      <w:r w:rsidRPr="00071293">
        <w:rPr>
          <w:rFonts w:cs="Times New Roman"/>
          <w:bCs/>
          <w:szCs w:val="24"/>
        </w:rPr>
        <w:t xml:space="preserve"> līmeņa.   </w:t>
      </w:r>
    </w:p>
    <w:p w14:paraId="0ACA1D78" w14:textId="39D0E28C" w:rsidR="00071293" w:rsidRPr="00071293" w:rsidRDefault="005C04B6" w:rsidP="00071293">
      <w:pPr>
        <w:widowControl w:val="0"/>
        <w:rPr>
          <w:rFonts w:cs="Times New Roman"/>
          <w:bCs/>
          <w:szCs w:val="24"/>
        </w:rPr>
      </w:pPr>
      <w:r>
        <w:rPr>
          <w:rFonts w:cs="Times New Roman"/>
          <w:bCs/>
          <w:szCs w:val="24"/>
        </w:rPr>
        <w:t xml:space="preserve"> Kā redzams 2.2</w:t>
      </w:r>
      <w:r w:rsidR="00071293" w:rsidRPr="00071293">
        <w:rPr>
          <w:rFonts w:cs="Times New Roman"/>
          <w:bCs/>
          <w:szCs w:val="24"/>
        </w:rPr>
        <w:t xml:space="preserve">. tabulā, valsts parāda pieaugums no 50,0% no </w:t>
      </w:r>
      <w:r w:rsidRPr="005C04B6">
        <w:rPr>
          <w:rFonts w:cs="Times New Roman"/>
          <w:bCs/>
          <w:szCs w:val="24"/>
        </w:rPr>
        <w:t xml:space="preserve">iekšzemes kopprodukta </w:t>
      </w:r>
      <w:r>
        <w:rPr>
          <w:rFonts w:cs="Times New Roman"/>
          <w:bCs/>
          <w:szCs w:val="24"/>
        </w:rPr>
        <w:t>(</w:t>
      </w:r>
      <w:r w:rsidR="00071293" w:rsidRPr="00071293">
        <w:rPr>
          <w:rFonts w:cs="Times New Roman"/>
          <w:bCs/>
          <w:szCs w:val="24"/>
        </w:rPr>
        <w:t xml:space="preserve">nemainīgas politikas scenārijs) līdz 50,9% no </w:t>
      </w:r>
      <w:r w:rsidRPr="005C04B6">
        <w:rPr>
          <w:rFonts w:cs="Times New Roman"/>
          <w:bCs/>
          <w:szCs w:val="24"/>
        </w:rPr>
        <w:t>iekšzemes kopprodukta</w:t>
      </w:r>
      <w:r w:rsidR="00071293" w:rsidRPr="00071293">
        <w:rPr>
          <w:rFonts w:cs="Times New Roman"/>
          <w:bCs/>
          <w:szCs w:val="24"/>
        </w:rPr>
        <w:t xml:space="preserve"> dod iespēju kārtējos izdevumus palielināt par 302 milj. </w:t>
      </w:r>
      <w:r w:rsidR="00071293" w:rsidRPr="00071293">
        <w:rPr>
          <w:rFonts w:cs="Times New Roman"/>
          <w:bCs/>
          <w:i/>
          <w:iCs/>
          <w:szCs w:val="24"/>
        </w:rPr>
        <w:t>euro</w:t>
      </w:r>
      <w:r w:rsidR="00071293" w:rsidRPr="00071293">
        <w:rPr>
          <w:rFonts w:cs="Times New Roman"/>
          <w:bCs/>
          <w:szCs w:val="24"/>
        </w:rPr>
        <w:t xml:space="preserve">. Vienlaicīgi šāds kārtējo izdevumu palielinājuma izsauktais parāda pieaugums 2022. gadā nodrošina, ka turpmākajos gados parāds samazinās un 2024. gadā ir 49,9% no </w:t>
      </w:r>
      <w:r w:rsidRPr="005C04B6">
        <w:rPr>
          <w:rFonts w:cs="Times New Roman"/>
          <w:bCs/>
          <w:szCs w:val="24"/>
        </w:rPr>
        <w:t>iekšzemes kopprodukta</w:t>
      </w:r>
      <w:r w:rsidR="00071293" w:rsidRPr="00071293">
        <w:rPr>
          <w:rFonts w:cs="Times New Roman"/>
          <w:bCs/>
          <w:szCs w:val="24"/>
        </w:rPr>
        <w:t>.</w:t>
      </w:r>
    </w:p>
    <w:p w14:paraId="75A19707" w14:textId="30E6B098" w:rsidR="00071293" w:rsidRPr="00071293" w:rsidRDefault="00071293" w:rsidP="008A4FF5">
      <w:pPr>
        <w:widowControl w:val="0"/>
        <w:rPr>
          <w:rFonts w:cs="Times New Roman"/>
          <w:bCs/>
          <w:szCs w:val="24"/>
        </w:rPr>
      </w:pPr>
      <w:r w:rsidRPr="00071293">
        <w:rPr>
          <w:rFonts w:cs="Times New Roman"/>
          <w:bCs/>
          <w:szCs w:val="24"/>
        </w:rPr>
        <w:t>Tai pat laikā publiskās investīcijas un Covid-19 pasākumi palielina valsts parāda līmeni, bet saglabā parāda samazināšanās dinamiku vidējā termiņ</w:t>
      </w:r>
      <w:r w:rsidR="008A4FF5">
        <w:rPr>
          <w:rFonts w:cs="Times New Roman"/>
          <w:bCs/>
          <w:szCs w:val="24"/>
        </w:rPr>
        <w:t>ā</w:t>
      </w:r>
      <w:r w:rsidRPr="00071293">
        <w:rPr>
          <w:rFonts w:cs="Times New Roman"/>
          <w:bCs/>
          <w:szCs w:val="24"/>
        </w:rPr>
        <w:t xml:space="preserve"> (skat.</w:t>
      </w:r>
      <w:r w:rsidR="008A4FF5">
        <w:rPr>
          <w:rFonts w:cs="Times New Roman"/>
          <w:bCs/>
          <w:szCs w:val="24"/>
        </w:rPr>
        <w:t xml:space="preserve"> </w:t>
      </w:r>
      <w:r w:rsidR="005C04B6">
        <w:rPr>
          <w:rFonts w:cs="Times New Roman"/>
          <w:bCs/>
          <w:szCs w:val="24"/>
        </w:rPr>
        <w:t>2.2</w:t>
      </w:r>
      <w:r w:rsidRPr="00071293">
        <w:rPr>
          <w:rFonts w:cs="Times New Roman"/>
          <w:bCs/>
          <w:szCs w:val="24"/>
        </w:rPr>
        <w:t>. tabulu).</w:t>
      </w:r>
    </w:p>
    <w:p w14:paraId="54F94C7B" w14:textId="07523709" w:rsidR="00071293" w:rsidRPr="008A4FF5" w:rsidRDefault="005C04B6" w:rsidP="008A4FF5">
      <w:pPr>
        <w:widowControl w:val="0"/>
        <w:jc w:val="right"/>
        <w:rPr>
          <w:rFonts w:cs="Times New Roman"/>
          <w:b/>
          <w:bCs/>
          <w:i/>
          <w:szCs w:val="24"/>
        </w:rPr>
      </w:pPr>
      <w:r>
        <w:rPr>
          <w:rFonts w:cs="Times New Roman"/>
          <w:b/>
          <w:bCs/>
          <w:i/>
          <w:szCs w:val="24"/>
        </w:rPr>
        <w:t xml:space="preserve">  2.2</w:t>
      </w:r>
      <w:r w:rsidR="00071293" w:rsidRPr="008A4FF5">
        <w:rPr>
          <w:rFonts w:cs="Times New Roman"/>
          <w:b/>
          <w:bCs/>
          <w:i/>
          <w:szCs w:val="24"/>
        </w:rPr>
        <w:t xml:space="preserve">. tabula. Vispārējās valdības parāda prognozes 2021.-2024. gadam, “tuvu 50% no </w:t>
      </w:r>
      <w:r w:rsidRPr="005C04B6">
        <w:rPr>
          <w:rFonts w:cs="Times New Roman"/>
          <w:b/>
          <w:bCs/>
          <w:i/>
          <w:szCs w:val="24"/>
        </w:rPr>
        <w:t>iekšzemes kopprodukta</w:t>
      </w:r>
      <w:r w:rsidR="00071293" w:rsidRPr="008A4FF5">
        <w:rPr>
          <w:rFonts w:cs="Times New Roman"/>
          <w:b/>
          <w:bCs/>
          <w:i/>
          <w:szCs w:val="24"/>
        </w:rPr>
        <w:t>” scenārijs</w:t>
      </w:r>
    </w:p>
    <w:tbl>
      <w:tblPr>
        <w:tblW w:w="8815" w:type="dxa"/>
        <w:tblLayout w:type="fixed"/>
        <w:tblLook w:val="04A0" w:firstRow="1" w:lastRow="0" w:firstColumn="1" w:lastColumn="0" w:noHBand="0" w:noVBand="1"/>
      </w:tblPr>
      <w:tblGrid>
        <w:gridCol w:w="4815"/>
        <w:gridCol w:w="992"/>
        <w:gridCol w:w="992"/>
        <w:gridCol w:w="993"/>
        <w:gridCol w:w="1023"/>
      </w:tblGrid>
      <w:tr w:rsidR="00071293" w:rsidRPr="008A4FF5" w14:paraId="7613A80A" w14:textId="77777777" w:rsidTr="007E74B0">
        <w:trPr>
          <w:trHeight w:val="297"/>
        </w:trPr>
        <w:tc>
          <w:tcPr>
            <w:tcW w:w="4815"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7AF7FCB9" w14:textId="77777777" w:rsidR="00071293" w:rsidRPr="008A4FF5" w:rsidRDefault="00071293" w:rsidP="007E74B0">
            <w:pPr>
              <w:jc w:val="right"/>
              <w:rPr>
                <w:rFonts w:eastAsia="Times New Roman" w:cs="Times New Roman"/>
                <w:color w:val="000000"/>
                <w:sz w:val="18"/>
                <w:szCs w:val="24"/>
              </w:rPr>
            </w:pPr>
            <w:r w:rsidRPr="008A4FF5">
              <w:rPr>
                <w:rFonts w:eastAsia="Times New Roman" w:cs="Times New Roman"/>
                <w:color w:val="000000"/>
                <w:sz w:val="18"/>
                <w:szCs w:val="24"/>
              </w:rPr>
              <w:t> </w:t>
            </w:r>
          </w:p>
        </w:tc>
        <w:tc>
          <w:tcPr>
            <w:tcW w:w="99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16A73095" w14:textId="77777777" w:rsidR="00071293" w:rsidRPr="008A4FF5" w:rsidRDefault="00071293" w:rsidP="008A4FF5">
            <w:pPr>
              <w:ind w:firstLine="0"/>
              <w:jc w:val="center"/>
              <w:rPr>
                <w:rFonts w:eastAsia="Times New Roman" w:cs="Times New Roman"/>
                <w:b/>
                <w:bCs/>
                <w:color w:val="000000"/>
                <w:sz w:val="18"/>
                <w:szCs w:val="24"/>
              </w:rPr>
            </w:pPr>
            <w:r w:rsidRPr="008A4FF5">
              <w:rPr>
                <w:rFonts w:eastAsia="Times New Roman" w:cs="Times New Roman"/>
                <w:b/>
                <w:bCs/>
                <w:color w:val="000000"/>
                <w:sz w:val="18"/>
                <w:szCs w:val="24"/>
              </w:rPr>
              <w:t>2021</w:t>
            </w:r>
          </w:p>
        </w:tc>
        <w:tc>
          <w:tcPr>
            <w:tcW w:w="99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26FF82D9" w14:textId="77777777" w:rsidR="00071293" w:rsidRPr="008A4FF5" w:rsidRDefault="00071293" w:rsidP="008A4FF5">
            <w:pPr>
              <w:ind w:firstLine="0"/>
              <w:jc w:val="center"/>
              <w:rPr>
                <w:rFonts w:eastAsia="Times New Roman" w:cs="Times New Roman"/>
                <w:b/>
                <w:bCs/>
                <w:color w:val="000000"/>
                <w:sz w:val="18"/>
                <w:szCs w:val="24"/>
              </w:rPr>
            </w:pPr>
            <w:r w:rsidRPr="008A4FF5">
              <w:rPr>
                <w:rFonts w:eastAsia="Times New Roman" w:cs="Times New Roman"/>
                <w:b/>
                <w:bCs/>
                <w:color w:val="000000"/>
                <w:sz w:val="18"/>
                <w:szCs w:val="24"/>
              </w:rPr>
              <w:t>2022</w:t>
            </w:r>
          </w:p>
        </w:tc>
        <w:tc>
          <w:tcPr>
            <w:tcW w:w="99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34B7395" w14:textId="77777777" w:rsidR="00071293" w:rsidRPr="008A4FF5" w:rsidRDefault="00071293" w:rsidP="008A4FF5">
            <w:pPr>
              <w:ind w:firstLine="0"/>
              <w:jc w:val="center"/>
              <w:rPr>
                <w:rFonts w:eastAsia="Times New Roman" w:cs="Times New Roman"/>
                <w:b/>
                <w:bCs/>
                <w:color w:val="000000"/>
                <w:sz w:val="18"/>
                <w:szCs w:val="24"/>
              </w:rPr>
            </w:pPr>
            <w:r w:rsidRPr="008A4FF5">
              <w:rPr>
                <w:rFonts w:eastAsia="Times New Roman" w:cs="Times New Roman"/>
                <w:b/>
                <w:bCs/>
                <w:color w:val="000000"/>
                <w:sz w:val="18"/>
                <w:szCs w:val="24"/>
              </w:rPr>
              <w:t>2023</w:t>
            </w:r>
          </w:p>
        </w:tc>
        <w:tc>
          <w:tcPr>
            <w:tcW w:w="102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709DF02B" w14:textId="77777777" w:rsidR="00071293" w:rsidRPr="008A4FF5" w:rsidRDefault="00071293" w:rsidP="008A4FF5">
            <w:pPr>
              <w:ind w:firstLine="0"/>
              <w:jc w:val="center"/>
              <w:rPr>
                <w:rFonts w:eastAsia="Times New Roman" w:cs="Times New Roman"/>
                <w:b/>
                <w:bCs/>
                <w:color w:val="000000"/>
                <w:sz w:val="18"/>
                <w:szCs w:val="24"/>
              </w:rPr>
            </w:pPr>
            <w:r w:rsidRPr="008A4FF5">
              <w:rPr>
                <w:rFonts w:eastAsia="Times New Roman" w:cs="Times New Roman"/>
                <w:b/>
                <w:bCs/>
                <w:color w:val="000000"/>
                <w:sz w:val="18"/>
                <w:szCs w:val="24"/>
              </w:rPr>
              <w:t>2024</w:t>
            </w:r>
          </w:p>
        </w:tc>
      </w:tr>
      <w:tr w:rsidR="00071293" w:rsidRPr="008A4FF5" w14:paraId="604C4021" w14:textId="77777777" w:rsidTr="007E74B0">
        <w:trPr>
          <w:trHeight w:val="594"/>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B2282BD" w14:textId="5A453265" w:rsidR="00071293" w:rsidRPr="008A4FF5" w:rsidRDefault="00071293" w:rsidP="005C04B6">
            <w:pPr>
              <w:ind w:firstLine="0"/>
              <w:jc w:val="left"/>
              <w:rPr>
                <w:rFonts w:eastAsia="Times New Roman" w:cs="Times New Roman"/>
                <w:color w:val="000000"/>
                <w:sz w:val="18"/>
                <w:szCs w:val="24"/>
              </w:rPr>
            </w:pPr>
            <w:r w:rsidRPr="008A4FF5">
              <w:rPr>
                <w:rFonts w:eastAsia="Times New Roman" w:cs="Times New Roman"/>
                <w:color w:val="000000"/>
                <w:sz w:val="18"/>
                <w:szCs w:val="24"/>
              </w:rPr>
              <w:t xml:space="preserve">Vispārējās valdības parāda prognoze, % no </w:t>
            </w:r>
            <w:r w:rsidR="005C04B6">
              <w:rPr>
                <w:rFonts w:eastAsia="Times New Roman" w:cs="Times New Roman"/>
                <w:color w:val="000000"/>
                <w:sz w:val="18"/>
                <w:szCs w:val="24"/>
              </w:rPr>
              <w:t>iekšzemes kopprodukta</w:t>
            </w:r>
            <w:r w:rsidRPr="008A4FF5">
              <w:rPr>
                <w:rFonts w:eastAsia="Times New Roman" w:cs="Times New Roman"/>
                <w:color w:val="000000"/>
                <w:sz w:val="18"/>
                <w:szCs w:val="24"/>
              </w:rPr>
              <w:t xml:space="preserve"> (pie nemainīgas politikas)</w:t>
            </w:r>
          </w:p>
        </w:tc>
        <w:tc>
          <w:tcPr>
            <w:tcW w:w="992" w:type="dxa"/>
            <w:tcBorders>
              <w:top w:val="nil"/>
              <w:left w:val="nil"/>
              <w:bottom w:val="single" w:sz="4" w:space="0" w:color="auto"/>
              <w:right w:val="single" w:sz="4" w:space="0" w:color="auto"/>
            </w:tcBorders>
            <w:shd w:val="clear" w:color="auto" w:fill="auto"/>
            <w:noWrap/>
            <w:vAlign w:val="center"/>
            <w:hideMark/>
          </w:tcPr>
          <w:p w14:paraId="25FE7749" w14:textId="77777777" w:rsidR="00071293" w:rsidRPr="008A4FF5" w:rsidRDefault="00071293" w:rsidP="008A4FF5">
            <w:pPr>
              <w:ind w:firstLine="0"/>
              <w:jc w:val="center"/>
              <w:rPr>
                <w:rFonts w:eastAsia="Times New Roman" w:cs="Times New Roman"/>
                <w:sz w:val="18"/>
                <w:szCs w:val="24"/>
              </w:rPr>
            </w:pPr>
            <w:r w:rsidRPr="008A4FF5">
              <w:rPr>
                <w:rFonts w:eastAsia="Times New Roman" w:cs="Times New Roman"/>
                <w:sz w:val="18"/>
                <w:szCs w:val="24"/>
              </w:rPr>
              <w:t>49,6</w:t>
            </w:r>
          </w:p>
        </w:tc>
        <w:tc>
          <w:tcPr>
            <w:tcW w:w="992" w:type="dxa"/>
            <w:tcBorders>
              <w:top w:val="nil"/>
              <w:left w:val="nil"/>
              <w:bottom w:val="single" w:sz="4" w:space="0" w:color="auto"/>
              <w:right w:val="single" w:sz="4" w:space="0" w:color="auto"/>
            </w:tcBorders>
            <w:shd w:val="clear" w:color="auto" w:fill="auto"/>
            <w:noWrap/>
            <w:vAlign w:val="center"/>
            <w:hideMark/>
          </w:tcPr>
          <w:p w14:paraId="2E32F147" w14:textId="77777777" w:rsidR="00071293" w:rsidRPr="005C04B6" w:rsidRDefault="00071293" w:rsidP="008A4FF5">
            <w:pPr>
              <w:ind w:firstLine="0"/>
              <w:jc w:val="center"/>
              <w:rPr>
                <w:rFonts w:eastAsia="Times New Roman" w:cs="Times New Roman"/>
                <w:b/>
                <w:bCs/>
                <w:sz w:val="18"/>
                <w:szCs w:val="24"/>
              </w:rPr>
            </w:pPr>
            <w:r w:rsidRPr="005C04B6">
              <w:rPr>
                <w:rFonts w:eastAsia="Times New Roman" w:cs="Times New Roman"/>
                <w:b/>
                <w:bCs/>
                <w:sz w:val="18"/>
                <w:szCs w:val="24"/>
              </w:rPr>
              <w:t>50,0</w:t>
            </w:r>
          </w:p>
        </w:tc>
        <w:tc>
          <w:tcPr>
            <w:tcW w:w="993" w:type="dxa"/>
            <w:tcBorders>
              <w:top w:val="nil"/>
              <w:left w:val="nil"/>
              <w:bottom w:val="single" w:sz="4" w:space="0" w:color="auto"/>
              <w:right w:val="single" w:sz="4" w:space="0" w:color="auto"/>
            </w:tcBorders>
            <w:shd w:val="clear" w:color="auto" w:fill="auto"/>
            <w:noWrap/>
            <w:vAlign w:val="center"/>
            <w:hideMark/>
          </w:tcPr>
          <w:p w14:paraId="735F0EC0" w14:textId="77777777" w:rsidR="00071293" w:rsidRPr="008A4FF5" w:rsidRDefault="00071293" w:rsidP="008A4FF5">
            <w:pPr>
              <w:ind w:firstLine="0"/>
              <w:jc w:val="center"/>
              <w:rPr>
                <w:rFonts w:eastAsia="Times New Roman" w:cs="Times New Roman"/>
                <w:sz w:val="18"/>
                <w:szCs w:val="24"/>
              </w:rPr>
            </w:pPr>
            <w:r w:rsidRPr="008A4FF5">
              <w:rPr>
                <w:rFonts w:eastAsia="Times New Roman" w:cs="Times New Roman"/>
                <w:sz w:val="18"/>
                <w:szCs w:val="24"/>
              </w:rPr>
              <w:t>48,1</w:t>
            </w:r>
          </w:p>
        </w:tc>
        <w:tc>
          <w:tcPr>
            <w:tcW w:w="1023" w:type="dxa"/>
            <w:tcBorders>
              <w:top w:val="nil"/>
              <w:left w:val="nil"/>
              <w:bottom w:val="single" w:sz="4" w:space="0" w:color="auto"/>
              <w:right w:val="single" w:sz="4" w:space="0" w:color="auto"/>
            </w:tcBorders>
            <w:shd w:val="clear" w:color="auto" w:fill="auto"/>
            <w:noWrap/>
            <w:vAlign w:val="center"/>
            <w:hideMark/>
          </w:tcPr>
          <w:p w14:paraId="20C5D36A" w14:textId="77777777" w:rsidR="00071293" w:rsidRPr="008A4FF5" w:rsidRDefault="00071293" w:rsidP="008A4FF5">
            <w:pPr>
              <w:ind w:firstLine="0"/>
              <w:jc w:val="center"/>
              <w:rPr>
                <w:rFonts w:eastAsia="Times New Roman" w:cs="Times New Roman"/>
                <w:sz w:val="18"/>
                <w:szCs w:val="24"/>
              </w:rPr>
            </w:pPr>
            <w:r w:rsidRPr="008A4FF5">
              <w:rPr>
                <w:rFonts w:eastAsia="Times New Roman" w:cs="Times New Roman"/>
                <w:sz w:val="18"/>
                <w:szCs w:val="24"/>
              </w:rPr>
              <w:t>47,6</w:t>
            </w:r>
          </w:p>
        </w:tc>
      </w:tr>
      <w:tr w:rsidR="00071293" w:rsidRPr="008A4FF5" w14:paraId="35254358" w14:textId="77777777" w:rsidTr="007E74B0">
        <w:trPr>
          <w:trHeight w:val="594"/>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8451BC9" w14:textId="2CA41B41" w:rsidR="00071293" w:rsidRPr="008A4FF5" w:rsidRDefault="00071293" w:rsidP="005C04B6">
            <w:pPr>
              <w:ind w:firstLine="0"/>
              <w:jc w:val="left"/>
              <w:rPr>
                <w:rFonts w:eastAsia="Times New Roman" w:cs="Times New Roman"/>
                <w:color w:val="000000"/>
                <w:sz w:val="18"/>
                <w:szCs w:val="24"/>
              </w:rPr>
            </w:pPr>
            <w:r w:rsidRPr="008A4FF5">
              <w:rPr>
                <w:rFonts w:eastAsia="Times New Roman" w:cs="Times New Roman"/>
                <w:color w:val="000000"/>
                <w:sz w:val="18"/>
                <w:szCs w:val="24"/>
              </w:rPr>
              <w:t xml:space="preserve">Vispārējās valdības parāda prognoze, % no </w:t>
            </w:r>
            <w:r w:rsidR="005C04B6">
              <w:rPr>
                <w:rFonts w:eastAsia="Times New Roman" w:cs="Times New Roman"/>
                <w:color w:val="000000"/>
                <w:sz w:val="18"/>
                <w:szCs w:val="24"/>
              </w:rPr>
              <w:t>iekšzemes kopprodukta</w:t>
            </w:r>
            <w:r w:rsidRPr="008A4FF5">
              <w:rPr>
                <w:rFonts w:eastAsia="Times New Roman" w:cs="Times New Roman"/>
                <w:color w:val="000000"/>
                <w:sz w:val="18"/>
                <w:szCs w:val="24"/>
              </w:rPr>
              <w:t xml:space="preserve"> (pi</w:t>
            </w:r>
            <w:r w:rsidR="002B2F86">
              <w:rPr>
                <w:rFonts w:eastAsia="Times New Roman" w:cs="Times New Roman"/>
                <w:color w:val="000000"/>
                <w:sz w:val="18"/>
                <w:szCs w:val="24"/>
              </w:rPr>
              <w:t>e mērķis 2022.gadā 50,9 % no iekšzemes kopprodukta</w:t>
            </w:r>
            <w:r w:rsidRPr="008A4FF5">
              <w:rPr>
                <w:rFonts w:eastAsia="Times New Roman" w:cs="Times New Roman"/>
                <w:color w:val="000000"/>
                <w:sz w:val="18"/>
                <w:szCs w:val="24"/>
              </w:rPr>
              <w:t>)</w:t>
            </w:r>
          </w:p>
        </w:tc>
        <w:tc>
          <w:tcPr>
            <w:tcW w:w="992" w:type="dxa"/>
            <w:tcBorders>
              <w:top w:val="nil"/>
              <w:left w:val="nil"/>
              <w:bottom w:val="single" w:sz="4" w:space="0" w:color="auto"/>
              <w:right w:val="single" w:sz="4" w:space="0" w:color="auto"/>
            </w:tcBorders>
            <w:shd w:val="clear" w:color="auto" w:fill="auto"/>
            <w:vAlign w:val="center"/>
            <w:hideMark/>
          </w:tcPr>
          <w:p w14:paraId="3E47DA24" w14:textId="77777777" w:rsidR="00071293" w:rsidRPr="008A4FF5" w:rsidRDefault="00071293" w:rsidP="008A4FF5">
            <w:pPr>
              <w:ind w:firstLine="0"/>
              <w:jc w:val="center"/>
              <w:rPr>
                <w:rFonts w:eastAsia="Times New Roman" w:cs="Times New Roman"/>
                <w:sz w:val="18"/>
                <w:szCs w:val="24"/>
              </w:rPr>
            </w:pPr>
            <w:r w:rsidRPr="008A4FF5">
              <w:rPr>
                <w:rFonts w:eastAsia="Times New Roman" w:cs="Times New Roman"/>
                <w:sz w:val="18"/>
                <w:szCs w:val="24"/>
              </w:rPr>
              <w:t>49,6</w:t>
            </w:r>
          </w:p>
        </w:tc>
        <w:tc>
          <w:tcPr>
            <w:tcW w:w="992" w:type="dxa"/>
            <w:tcBorders>
              <w:top w:val="nil"/>
              <w:left w:val="nil"/>
              <w:bottom w:val="single" w:sz="4" w:space="0" w:color="auto"/>
              <w:right w:val="single" w:sz="4" w:space="0" w:color="auto"/>
            </w:tcBorders>
            <w:shd w:val="clear" w:color="auto" w:fill="auto"/>
            <w:vAlign w:val="center"/>
            <w:hideMark/>
          </w:tcPr>
          <w:p w14:paraId="65887509" w14:textId="77777777" w:rsidR="00071293" w:rsidRPr="005C04B6" w:rsidRDefault="00071293" w:rsidP="008A4FF5">
            <w:pPr>
              <w:ind w:firstLine="0"/>
              <w:jc w:val="center"/>
              <w:rPr>
                <w:rFonts w:eastAsia="Times New Roman" w:cs="Times New Roman"/>
                <w:b/>
                <w:bCs/>
                <w:sz w:val="18"/>
                <w:szCs w:val="24"/>
              </w:rPr>
            </w:pPr>
            <w:r w:rsidRPr="005C04B6">
              <w:rPr>
                <w:rFonts w:eastAsia="Times New Roman" w:cs="Times New Roman"/>
                <w:b/>
                <w:bCs/>
                <w:sz w:val="18"/>
                <w:szCs w:val="24"/>
              </w:rPr>
              <w:t>50,9</w:t>
            </w:r>
          </w:p>
        </w:tc>
        <w:tc>
          <w:tcPr>
            <w:tcW w:w="993" w:type="dxa"/>
            <w:tcBorders>
              <w:top w:val="nil"/>
              <w:left w:val="nil"/>
              <w:bottom w:val="single" w:sz="4" w:space="0" w:color="auto"/>
              <w:right w:val="single" w:sz="4" w:space="0" w:color="auto"/>
            </w:tcBorders>
            <w:shd w:val="clear" w:color="auto" w:fill="auto"/>
            <w:vAlign w:val="center"/>
            <w:hideMark/>
          </w:tcPr>
          <w:p w14:paraId="3EFED1EE" w14:textId="77777777" w:rsidR="00071293" w:rsidRPr="008A4FF5" w:rsidRDefault="00071293" w:rsidP="008A4FF5">
            <w:pPr>
              <w:ind w:firstLine="0"/>
              <w:jc w:val="center"/>
              <w:rPr>
                <w:rFonts w:eastAsia="Times New Roman" w:cs="Times New Roman"/>
                <w:sz w:val="18"/>
                <w:szCs w:val="24"/>
              </w:rPr>
            </w:pPr>
            <w:r w:rsidRPr="008A4FF5">
              <w:rPr>
                <w:rFonts w:eastAsia="Times New Roman" w:cs="Times New Roman"/>
                <w:sz w:val="18"/>
                <w:szCs w:val="24"/>
              </w:rPr>
              <w:t>49,8</w:t>
            </w:r>
          </w:p>
        </w:tc>
        <w:tc>
          <w:tcPr>
            <w:tcW w:w="1023" w:type="dxa"/>
            <w:tcBorders>
              <w:top w:val="nil"/>
              <w:left w:val="nil"/>
              <w:bottom w:val="single" w:sz="4" w:space="0" w:color="auto"/>
              <w:right w:val="single" w:sz="4" w:space="0" w:color="auto"/>
            </w:tcBorders>
            <w:shd w:val="clear" w:color="auto" w:fill="auto"/>
            <w:vAlign w:val="center"/>
            <w:hideMark/>
          </w:tcPr>
          <w:p w14:paraId="50C8745F" w14:textId="77777777" w:rsidR="00071293" w:rsidRPr="008A4FF5" w:rsidRDefault="00071293" w:rsidP="008A4FF5">
            <w:pPr>
              <w:ind w:firstLine="0"/>
              <w:jc w:val="center"/>
              <w:rPr>
                <w:rFonts w:eastAsia="Times New Roman" w:cs="Times New Roman"/>
                <w:sz w:val="18"/>
                <w:szCs w:val="24"/>
              </w:rPr>
            </w:pPr>
            <w:r w:rsidRPr="008A4FF5">
              <w:rPr>
                <w:rFonts w:eastAsia="Times New Roman" w:cs="Times New Roman"/>
                <w:sz w:val="18"/>
                <w:szCs w:val="24"/>
              </w:rPr>
              <w:t>49,9</w:t>
            </w:r>
          </w:p>
        </w:tc>
      </w:tr>
      <w:tr w:rsidR="00071293" w:rsidRPr="008A4FF5" w14:paraId="59A73DC6" w14:textId="77777777" w:rsidTr="007E74B0">
        <w:trPr>
          <w:trHeight w:val="594"/>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19550D8" w14:textId="2F8F393E" w:rsidR="00071293" w:rsidRPr="002B2F86" w:rsidRDefault="00071293" w:rsidP="005C04B6">
            <w:pPr>
              <w:ind w:firstLine="0"/>
              <w:jc w:val="left"/>
              <w:rPr>
                <w:rFonts w:eastAsia="Times New Roman" w:cs="Times New Roman"/>
                <w:sz w:val="18"/>
                <w:szCs w:val="24"/>
              </w:rPr>
            </w:pPr>
            <w:r w:rsidRPr="002B2F86">
              <w:rPr>
                <w:rFonts w:eastAsia="Times New Roman" w:cs="Times New Roman"/>
                <w:sz w:val="18"/>
                <w:szCs w:val="24"/>
              </w:rPr>
              <w:t>Pieļaujamais parāda pieaugu</w:t>
            </w:r>
            <w:r w:rsidR="005C04B6" w:rsidRPr="002B2F86">
              <w:rPr>
                <w:rFonts w:eastAsia="Times New Roman" w:cs="Times New Roman"/>
                <w:sz w:val="18"/>
                <w:szCs w:val="24"/>
              </w:rPr>
              <w:t>ms 2022. gadā līdz mērķim, milj</w:t>
            </w:r>
            <w:r w:rsidRPr="002B2F86">
              <w:rPr>
                <w:rFonts w:eastAsia="Times New Roman" w:cs="Times New Roman"/>
                <w:sz w:val="18"/>
                <w:szCs w:val="24"/>
              </w:rPr>
              <w:t>.</w:t>
            </w:r>
            <w:r w:rsidR="005C04B6" w:rsidRPr="002B2F86">
              <w:rPr>
                <w:rFonts w:eastAsia="Times New Roman" w:cs="Times New Roman"/>
                <w:sz w:val="18"/>
                <w:szCs w:val="24"/>
              </w:rPr>
              <w:t xml:space="preserve"> </w:t>
            </w:r>
            <w:r w:rsidRPr="002B2F86">
              <w:rPr>
                <w:rFonts w:eastAsia="Times New Roman" w:cs="Times New Roman"/>
                <w:i/>
                <w:sz w:val="18"/>
                <w:szCs w:val="24"/>
              </w:rPr>
              <w:t>euro</w:t>
            </w:r>
          </w:p>
        </w:tc>
        <w:tc>
          <w:tcPr>
            <w:tcW w:w="992" w:type="dxa"/>
            <w:tcBorders>
              <w:top w:val="nil"/>
              <w:left w:val="nil"/>
              <w:bottom w:val="single" w:sz="4" w:space="0" w:color="auto"/>
              <w:right w:val="single" w:sz="4" w:space="0" w:color="auto"/>
            </w:tcBorders>
            <w:shd w:val="clear" w:color="auto" w:fill="auto"/>
            <w:vAlign w:val="center"/>
            <w:hideMark/>
          </w:tcPr>
          <w:p w14:paraId="084B726C" w14:textId="77777777" w:rsidR="00071293" w:rsidRPr="008A4FF5" w:rsidRDefault="00071293" w:rsidP="008A4FF5">
            <w:pPr>
              <w:ind w:firstLine="0"/>
              <w:rPr>
                <w:rFonts w:eastAsia="Times New Roman" w:cs="Times New Roman"/>
                <w:color w:val="222B35"/>
                <w:sz w:val="18"/>
                <w:szCs w:val="24"/>
              </w:rPr>
            </w:pPr>
            <w:r w:rsidRPr="008A4FF5">
              <w:rPr>
                <w:rFonts w:eastAsia="Times New Roman" w:cs="Times New Roman"/>
                <w:color w:val="222B35"/>
                <w:sz w:val="18"/>
                <w:szCs w:val="24"/>
              </w:rPr>
              <w:t> </w:t>
            </w:r>
          </w:p>
        </w:tc>
        <w:tc>
          <w:tcPr>
            <w:tcW w:w="992" w:type="dxa"/>
            <w:tcBorders>
              <w:top w:val="nil"/>
              <w:left w:val="nil"/>
              <w:bottom w:val="single" w:sz="4" w:space="0" w:color="auto"/>
              <w:right w:val="single" w:sz="4" w:space="0" w:color="auto"/>
            </w:tcBorders>
            <w:shd w:val="clear" w:color="auto" w:fill="auto"/>
            <w:vAlign w:val="center"/>
            <w:hideMark/>
          </w:tcPr>
          <w:p w14:paraId="517147C4" w14:textId="77777777" w:rsidR="00071293" w:rsidRPr="008A4FF5" w:rsidRDefault="00071293" w:rsidP="008A4FF5">
            <w:pPr>
              <w:ind w:firstLine="0"/>
              <w:jc w:val="center"/>
              <w:rPr>
                <w:rFonts w:eastAsia="Times New Roman" w:cs="Times New Roman"/>
                <w:color w:val="222B35"/>
                <w:sz w:val="18"/>
                <w:szCs w:val="24"/>
              </w:rPr>
            </w:pPr>
            <w:r w:rsidRPr="008A4FF5">
              <w:rPr>
                <w:rFonts w:eastAsia="Times New Roman" w:cs="Times New Roman"/>
                <w:color w:val="222B35"/>
                <w:sz w:val="18"/>
                <w:szCs w:val="24"/>
              </w:rPr>
              <w:t>1 751</w:t>
            </w:r>
          </w:p>
        </w:tc>
        <w:tc>
          <w:tcPr>
            <w:tcW w:w="993" w:type="dxa"/>
            <w:tcBorders>
              <w:top w:val="nil"/>
              <w:left w:val="nil"/>
              <w:bottom w:val="single" w:sz="4" w:space="0" w:color="auto"/>
              <w:right w:val="single" w:sz="4" w:space="0" w:color="auto"/>
            </w:tcBorders>
            <w:shd w:val="clear" w:color="auto" w:fill="auto"/>
            <w:vAlign w:val="center"/>
            <w:hideMark/>
          </w:tcPr>
          <w:p w14:paraId="01DAFC54" w14:textId="77777777" w:rsidR="00071293" w:rsidRPr="008A4FF5" w:rsidRDefault="00071293" w:rsidP="008A4FF5">
            <w:pPr>
              <w:ind w:firstLine="0"/>
              <w:rPr>
                <w:rFonts w:eastAsia="Times New Roman" w:cs="Times New Roman"/>
                <w:color w:val="000000"/>
                <w:sz w:val="18"/>
                <w:szCs w:val="24"/>
              </w:rPr>
            </w:pPr>
            <w:r w:rsidRPr="008A4FF5">
              <w:rPr>
                <w:rFonts w:eastAsia="Times New Roman" w:cs="Times New Roman"/>
                <w:color w:val="000000"/>
                <w:sz w:val="18"/>
                <w:szCs w:val="24"/>
              </w:rPr>
              <w:t> </w:t>
            </w:r>
          </w:p>
        </w:tc>
        <w:tc>
          <w:tcPr>
            <w:tcW w:w="1023" w:type="dxa"/>
            <w:tcBorders>
              <w:top w:val="nil"/>
              <w:left w:val="nil"/>
              <w:bottom w:val="single" w:sz="4" w:space="0" w:color="auto"/>
              <w:right w:val="single" w:sz="4" w:space="0" w:color="auto"/>
            </w:tcBorders>
            <w:shd w:val="clear" w:color="auto" w:fill="auto"/>
            <w:vAlign w:val="center"/>
            <w:hideMark/>
          </w:tcPr>
          <w:p w14:paraId="490ED8FD" w14:textId="77777777" w:rsidR="00071293" w:rsidRPr="008A4FF5" w:rsidRDefault="00071293" w:rsidP="008A4FF5">
            <w:pPr>
              <w:ind w:firstLine="0"/>
              <w:rPr>
                <w:rFonts w:eastAsia="Times New Roman" w:cs="Times New Roman"/>
                <w:color w:val="000000"/>
                <w:sz w:val="18"/>
                <w:szCs w:val="24"/>
              </w:rPr>
            </w:pPr>
            <w:r w:rsidRPr="008A4FF5">
              <w:rPr>
                <w:rFonts w:eastAsia="Times New Roman" w:cs="Times New Roman"/>
                <w:color w:val="000000"/>
                <w:sz w:val="18"/>
                <w:szCs w:val="24"/>
              </w:rPr>
              <w:t> </w:t>
            </w:r>
          </w:p>
        </w:tc>
      </w:tr>
      <w:tr w:rsidR="00071293" w:rsidRPr="008A4FF5" w14:paraId="2992AEA6" w14:textId="77777777" w:rsidTr="007E74B0">
        <w:trPr>
          <w:trHeight w:val="351"/>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FF9B9EE" w14:textId="77777777" w:rsidR="00071293" w:rsidRPr="002B2F86" w:rsidRDefault="00071293" w:rsidP="008A4FF5">
            <w:pPr>
              <w:ind w:left="720" w:firstLine="0"/>
              <w:rPr>
                <w:rFonts w:eastAsia="Times New Roman" w:cs="Times New Roman"/>
                <w:sz w:val="18"/>
                <w:szCs w:val="24"/>
              </w:rPr>
            </w:pPr>
            <w:r w:rsidRPr="002B2F86">
              <w:rPr>
                <w:rFonts w:eastAsia="Times New Roman" w:cs="Times New Roman"/>
                <w:sz w:val="18"/>
                <w:szCs w:val="24"/>
              </w:rPr>
              <w:t xml:space="preserve">t.sk. plānotais pieaugums pie nemainīgas politikas, milj. </w:t>
            </w:r>
            <w:r w:rsidRPr="002B2F86">
              <w:rPr>
                <w:rFonts w:eastAsia="Times New Roman" w:cs="Times New Roman"/>
                <w:i/>
                <w:sz w:val="18"/>
                <w:szCs w:val="24"/>
              </w:rPr>
              <w:t>euro</w:t>
            </w:r>
          </w:p>
        </w:tc>
        <w:tc>
          <w:tcPr>
            <w:tcW w:w="992" w:type="dxa"/>
            <w:tcBorders>
              <w:top w:val="nil"/>
              <w:left w:val="nil"/>
              <w:bottom w:val="single" w:sz="4" w:space="0" w:color="auto"/>
              <w:right w:val="single" w:sz="4" w:space="0" w:color="auto"/>
            </w:tcBorders>
            <w:shd w:val="clear" w:color="auto" w:fill="auto"/>
            <w:vAlign w:val="center"/>
            <w:hideMark/>
          </w:tcPr>
          <w:p w14:paraId="2A5ED9F8" w14:textId="77777777" w:rsidR="00071293" w:rsidRPr="008A4FF5" w:rsidRDefault="00071293" w:rsidP="008A4FF5">
            <w:pPr>
              <w:ind w:firstLine="0"/>
              <w:rPr>
                <w:rFonts w:eastAsia="Times New Roman" w:cs="Times New Roman"/>
                <w:color w:val="222B35"/>
                <w:sz w:val="18"/>
                <w:szCs w:val="24"/>
              </w:rPr>
            </w:pPr>
            <w:r w:rsidRPr="008A4FF5">
              <w:rPr>
                <w:rFonts w:eastAsia="Times New Roman" w:cs="Times New Roman"/>
                <w:color w:val="222B35"/>
                <w:sz w:val="18"/>
                <w:szCs w:val="24"/>
              </w:rPr>
              <w:t> </w:t>
            </w:r>
          </w:p>
        </w:tc>
        <w:tc>
          <w:tcPr>
            <w:tcW w:w="992" w:type="dxa"/>
            <w:tcBorders>
              <w:top w:val="nil"/>
              <w:left w:val="nil"/>
              <w:bottom w:val="single" w:sz="4" w:space="0" w:color="auto"/>
              <w:right w:val="single" w:sz="4" w:space="0" w:color="auto"/>
            </w:tcBorders>
            <w:shd w:val="clear" w:color="auto" w:fill="auto"/>
            <w:vAlign w:val="center"/>
            <w:hideMark/>
          </w:tcPr>
          <w:p w14:paraId="13DCD856" w14:textId="77777777" w:rsidR="00071293" w:rsidRPr="008A4FF5" w:rsidRDefault="00071293" w:rsidP="008A4FF5">
            <w:pPr>
              <w:ind w:firstLine="0"/>
              <w:jc w:val="center"/>
              <w:rPr>
                <w:rFonts w:eastAsia="Times New Roman" w:cs="Times New Roman"/>
                <w:color w:val="222B35"/>
                <w:sz w:val="18"/>
                <w:szCs w:val="24"/>
              </w:rPr>
            </w:pPr>
            <w:r w:rsidRPr="008A4FF5">
              <w:rPr>
                <w:rFonts w:eastAsia="Times New Roman" w:cs="Times New Roman"/>
                <w:color w:val="222B35"/>
                <w:sz w:val="18"/>
                <w:szCs w:val="24"/>
              </w:rPr>
              <w:t>1 449</w:t>
            </w:r>
          </w:p>
        </w:tc>
        <w:tc>
          <w:tcPr>
            <w:tcW w:w="993" w:type="dxa"/>
            <w:tcBorders>
              <w:top w:val="nil"/>
              <w:left w:val="nil"/>
              <w:bottom w:val="single" w:sz="4" w:space="0" w:color="auto"/>
              <w:right w:val="single" w:sz="4" w:space="0" w:color="auto"/>
            </w:tcBorders>
            <w:shd w:val="clear" w:color="auto" w:fill="auto"/>
            <w:vAlign w:val="center"/>
            <w:hideMark/>
          </w:tcPr>
          <w:p w14:paraId="1A641B89" w14:textId="77777777" w:rsidR="00071293" w:rsidRPr="008A4FF5" w:rsidRDefault="00071293" w:rsidP="008A4FF5">
            <w:pPr>
              <w:ind w:firstLine="0"/>
              <w:jc w:val="center"/>
              <w:rPr>
                <w:rFonts w:eastAsia="Times New Roman" w:cs="Times New Roman"/>
                <w:color w:val="222B35"/>
                <w:sz w:val="18"/>
                <w:szCs w:val="24"/>
              </w:rPr>
            </w:pPr>
            <w:r w:rsidRPr="008A4FF5">
              <w:rPr>
                <w:rFonts w:eastAsia="Times New Roman" w:cs="Times New Roman"/>
                <w:color w:val="222B35"/>
                <w:sz w:val="18"/>
                <w:szCs w:val="24"/>
              </w:rPr>
              <w:t>354</w:t>
            </w:r>
          </w:p>
        </w:tc>
        <w:tc>
          <w:tcPr>
            <w:tcW w:w="1023" w:type="dxa"/>
            <w:tcBorders>
              <w:top w:val="nil"/>
              <w:left w:val="nil"/>
              <w:bottom w:val="single" w:sz="4" w:space="0" w:color="auto"/>
              <w:right w:val="single" w:sz="4" w:space="0" w:color="auto"/>
            </w:tcBorders>
            <w:shd w:val="clear" w:color="auto" w:fill="auto"/>
            <w:vAlign w:val="center"/>
            <w:hideMark/>
          </w:tcPr>
          <w:p w14:paraId="0D810467" w14:textId="77777777" w:rsidR="00071293" w:rsidRPr="008A4FF5" w:rsidRDefault="00071293" w:rsidP="008A4FF5">
            <w:pPr>
              <w:ind w:firstLine="0"/>
              <w:jc w:val="center"/>
              <w:rPr>
                <w:rFonts w:eastAsia="Times New Roman" w:cs="Times New Roman"/>
                <w:color w:val="222B35"/>
                <w:sz w:val="18"/>
                <w:szCs w:val="24"/>
              </w:rPr>
            </w:pPr>
            <w:r w:rsidRPr="008A4FF5">
              <w:rPr>
                <w:rFonts w:eastAsia="Times New Roman" w:cs="Times New Roman"/>
                <w:color w:val="222B35"/>
                <w:sz w:val="18"/>
                <w:szCs w:val="24"/>
              </w:rPr>
              <w:t>720</w:t>
            </w:r>
          </w:p>
        </w:tc>
      </w:tr>
      <w:tr w:rsidR="00071293" w:rsidRPr="008A4FF5" w14:paraId="260165FB" w14:textId="77777777" w:rsidTr="007E74B0">
        <w:trPr>
          <w:trHeight w:val="297"/>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2D7DD" w14:textId="77777777" w:rsidR="00071293" w:rsidRPr="002B2F86" w:rsidRDefault="00071293" w:rsidP="008A4FF5">
            <w:pPr>
              <w:ind w:left="720" w:firstLine="0"/>
              <w:rPr>
                <w:rFonts w:eastAsia="Times New Roman" w:cs="Times New Roman"/>
                <w:sz w:val="18"/>
                <w:szCs w:val="24"/>
              </w:rPr>
            </w:pPr>
            <w:r w:rsidRPr="002B2F86">
              <w:rPr>
                <w:rFonts w:eastAsia="Times New Roman" w:cs="Times New Roman"/>
                <w:sz w:val="18"/>
                <w:szCs w:val="24"/>
              </w:rPr>
              <w:t xml:space="preserve">fiskālā telpa, milj. </w:t>
            </w:r>
            <w:r w:rsidRPr="002B2F86">
              <w:rPr>
                <w:rFonts w:eastAsia="Times New Roman" w:cs="Times New Roman"/>
                <w:i/>
                <w:sz w:val="18"/>
                <w:szCs w:val="24"/>
              </w:rPr>
              <w:t>euro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E603704" w14:textId="77777777" w:rsidR="00071293" w:rsidRPr="008A4FF5" w:rsidRDefault="00071293" w:rsidP="008A4FF5">
            <w:pPr>
              <w:ind w:firstLine="0"/>
              <w:jc w:val="center"/>
              <w:rPr>
                <w:rFonts w:eastAsia="Times New Roman" w:cs="Times New Roman"/>
                <w:color w:val="FF0000"/>
                <w:sz w:val="18"/>
                <w:szCs w:val="24"/>
              </w:rPr>
            </w:pPr>
            <w:r w:rsidRPr="008A4FF5">
              <w:rPr>
                <w:rFonts w:eastAsia="Times New Roman" w:cs="Times New Roman"/>
                <w:color w:val="FF0000"/>
                <w:sz w:val="18"/>
                <w:szCs w:val="24"/>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C2B6680" w14:textId="77777777" w:rsidR="00071293" w:rsidRPr="008A4FF5" w:rsidRDefault="00071293" w:rsidP="008A4FF5">
            <w:pPr>
              <w:ind w:firstLine="0"/>
              <w:jc w:val="center"/>
              <w:rPr>
                <w:rFonts w:eastAsia="Times New Roman" w:cs="Times New Roman"/>
                <w:color w:val="000000"/>
                <w:sz w:val="18"/>
                <w:szCs w:val="24"/>
              </w:rPr>
            </w:pPr>
            <w:r w:rsidRPr="008A4FF5">
              <w:rPr>
                <w:rFonts w:eastAsia="Times New Roman" w:cs="Times New Roman"/>
                <w:color w:val="000000"/>
                <w:sz w:val="18"/>
                <w:szCs w:val="24"/>
              </w:rPr>
              <w:t>302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808125F" w14:textId="77777777" w:rsidR="00071293" w:rsidRPr="008A4FF5" w:rsidRDefault="00071293" w:rsidP="008A4FF5">
            <w:pPr>
              <w:ind w:firstLine="0"/>
              <w:jc w:val="center"/>
              <w:rPr>
                <w:rFonts w:eastAsia="Times New Roman" w:cs="Times New Roman"/>
                <w:color w:val="000000"/>
                <w:sz w:val="18"/>
                <w:szCs w:val="24"/>
              </w:rPr>
            </w:pPr>
            <w:r w:rsidRPr="008A4FF5">
              <w:rPr>
                <w:rFonts w:eastAsia="Times New Roman" w:cs="Times New Roman"/>
                <w:color w:val="000000"/>
                <w:sz w:val="18"/>
                <w:szCs w:val="24"/>
              </w:rPr>
              <w:t>302</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38B58022" w14:textId="77777777" w:rsidR="00071293" w:rsidRPr="008A4FF5" w:rsidRDefault="00071293" w:rsidP="008A4FF5">
            <w:pPr>
              <w:ind w:firstLine="0"/>
              <w:jc w:val="center"/>
              <w:rPr>
                <w:rFonts w:eastAsia="Times New Roman" w:cs="Times New Roman"/>
                <w:color w:val="000000"/>
                <w:sz w:val="18"/>
                <w:szCs w:val="24"/>
              </w:rPr>
            </w:pPr>
            <w:r w:rsidRPr="008A4FF5">
              <w:rPr>
                <w:rFonts w:eastAsia="Times New Roman" w:cs="Times New Roman"/>
                <w:color w:val="000000"/>
                <w:sz w:val="18"/>
                <w:szCs w:val="24"/>
              </w:rPr>
              <w:t>302</w:t>
            </w:r>
          </w:p>
        </w:tc>
      </w:tr>
      <w:tr w:rsidR="00071293" w:rsidRPr="008A4FF5" w14:paraId="0FFDA5EF" w14:textId="77777777" w:rsidTr="007E74B0">
        <w:trPr>
          <w:trHeight w:val="297"/>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1EB2088E" w14:textId="3D0C5A50" w:rsidR="00071293" w:rsidRPr="002B2F86" w:rsidRDefault="00071293" w:rsidP="008A4FF5">
            <w:pPr>
              <w:ind w:left="720" w:firstLine="0"/>
              <w:rPr>
                <w:rFonts w:eastAsia="Times New Roman" w:cs="Times New Roman"/>
                <w:sz w:val="18"/>
                <w:szCs w:val="24"/>
              </w:rPr>
            </w:pPr>
            <w:r w:rsidRPr="002B2F86">
              <w:rPr>
                <w:rFonts w:eastAsia="Times New Roman" w:cs="Times New Roman"/>
                <w:sz w:val="18"/>
                <w:szCs w:val="24"/>
              </w:rPr>
              <w:t xml:space="preserve">fiskālā telpa, % no </w:t>
            </w:r>
            <w:r w:rsidR="005C04B6" w:rsidRPr="002B2F86">
              <w:rPr>
                <w:rFonts w:eastAsia="Times New Roman" w:cs="Times New Roman"/>
                <w:sz w:val="18"/>
                <w:szCs w:val="24"/>
              </w:rPr>
              <w:t>iekšzemes kopprodukta</w:t>
            </w:r>
          </w:p>
        </w:tc>
        <w:tc>
          <w:tcPr>
            <w:tcW w:w="992" w:type="dxa"/>
            <w:tcBorders>
              <w:top w:val="single" w:sz="4" w:space="0" w:color="auto"/>
              <w:left w:val="nil"/>
              <w:bottom w:val="single" w:sz="4" w:space="0" w:color="auto"/>
              <w:right w:val="single" w:sz="4" w:space="0" w:color="auto"/>
            </w:tcBorders>
            <w:shd w:val="clear" w:color="auto" w:fill="auto"/>
            <w:vAlign w:val="center"/>
          </w:tcPr>
          <w:p w14:paraId="2EFEF62B" w14:textId="77777777" w:rsidR="00071293" w:rsidRPr="008A4FF5" w:rsidRDefault="00071293" w:rsidP="008A4FF5">
            <w:pPr>
              <w:ind w:firstLine="0"/>
              <w:jc w:val="center"/>
              <w:rPr>
                <w:rFonts w:eastAsia="Times New Roman" w:cs="Times New Roman"/>
                <w:color w:val="FF0000"/>
                <w:sz w:val="18"/>
                <w:szCs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636AD83" w14:textId="77777777" w:rsidR="00071293" w:rsidRPr="008A4FF5" w:rsidRDefault="00071293" w:rsidP="008A4FF5">
            <w:pPr>
              <w:ind w:firstLine="0"/>
              <w:jc w:val="center"/>
              <w:rPr>
                <w:rFonts w:eastAsia="Times New Roman" w:cs="Times New Roman"/>
                <w:color w:val="000000"/>
                <w:sz w:val="18"/>
                <w:szCs w:val="24"/>
              </w:rPr>
            </w:pPr>
            <w:r w:rsidRPr="008A4FF5">
              <w:rPr>
                <w:rFonts w:eastAsia="Times New Roman" w:cs="Times New Roman"/>
                <w:color w:val="000000"/>
                <w:sz w:val="18"/>
                <w:szCs w:val="24"/>
              </w:rPr>
              <w:t>0,9</w:t>
            </w:r>
          </w:p>
        </w:tc>
        <w:tc>
          <w:tcPr>
            <w:tcW w:w="993" w:type="dxa"/>
            <w:tcBorders>
              <w:top w:val="single" w:sz="4" w:space="0" w:color="auto"/>
              <w:left w:val="nil"/>
              <w:bottom w:val="single" w:sz="4" w:space="0" w:color="auto"/>
              <w:right w:val="single" w:sz="4" w:space="0" w:color="auto"/>
            </w:tcBorders>
            <w:shd w:val="clear" w:color="auto" w:fill="auto"/>
            <w:vAlign w:val="center"/>
          </w:tcPr>
          <w:p w14:paraId="7AAB1E8D" w14:textId="77777777" w:rsidR="00071293" w:rsidRPr="008A4FF5" w:rsidRDefault="00071293" w:rsidP="008A4FF5">
            <w:pPr>
              <w:ind w:firstLine="0"/>
              <w:jc w:val="center"/>
              <w:rPr>
                <w:rFonts w:eastAsia="Times New Roman" w:cs="Times New Roman"/>
                <w:color w:val="000000"/>
                <w:sz w:val="18"/>
                <w:szCs w:val="24"/>
              </w:rPr>
            </w:pPr>
            <w:r w:rsidRPr="008A4FF5">
              <w:rPr>
                <w:rFonts w:eastAsia="Times New Roman" w:cs="Times New Roman"/>
                <w:color w:val="000000"/>
                <w:sz w:val="18"/>
                <w:szCs w:val="24"/>
              </w:rPr>
              <w:t>0,8</w:t>
            </w:r>
          </w:p>
        </w:tc>
        <w:tc>
          <w:tcPr>
            <w:tcW w:w="1023" w:type="dxa"/>
            <w:tcBorders>
              <w:top w:val="single" w:sz="4" w:space="0" w:color="auto"/>
              <w:left w:val="nil"/>
              <w:bottom w:val="single" w:sz="4" w:space="0" w:color="auto"/>
              <w:right w:val="single" w:sz="4" w:space="0" w:color="auto"/>
            </w:tcBorders>
            <w:shd w:val="clear" w:color="auto" w:fill="auto"/>
            <w:vAlign w:val="center"/>
          </w:tcPr>
          <w:p w14:paraId="11C00E9F" w14:textId="77777777" w:rsidR="00071293" w:rsidRPr="008A4FF5" w:rsidRDefault="00071293" w:rsidP="008A4FF5">
            <w:pPr>
              <w:ind w:firstLine="0"/>
              <w:jc w:val="center"/>
              <w:rPr>
                <w:rFonts w:eastAsia="Times New Roman" w:cs="Times New Roman"/>
                <w:color w:val="000000"/>
                <w:sz w:val="18"/>
                <w:szCs w:val="24"/>
              </w:rPr>
            </w:pPr>
            <w:r w:rsidRPr="008A4FF5">
              <w:rPr>
                <w:rFonts w:eastAsia="Times New Roman" w:cs="Times New Roman"/>
                <w:color w:val="000000"/>
                <w:sz w:val="18"/>
                <w:szCs w:val="24"/>
              </w:rPr>
              <w:t>0,8</w:t>
            </w:r>
          </w:p>
        </w:tc>
      </w:tr>
    </w:tbl>
    <w:p w14:paraId="10D36FD5" w14:textId="77777777" w:rsidR="00071293" w:rsidRPr="00071293" w:rsidRDefault="00071293" w:rsidP="00071293">
      <w:pPr>
        <w:widowControl w:val="0"/>
        <w:rPr>
          <w:rFonts w:cs="Times New Roman"/>
          <w:bCs/>
          <w:szCs w:val="24"/>
        </w:rPr>
      </w:pPr>
    </w:p>
    <w:p w14:paraId="156BA3A1" w14:textId="400D85D2" w:rsidR="00071293" w:rsidRPr="00071293" w:rsidRDefault="00071293" w:rsidP="008A4FF5">
      <w:pPr>
        <w:widowControl w:val="0"/>
        <w:rPr>
          <w:rFonts w:eastAsia="Times New Roman" w:cs="Times New Roman"/>
          <w:bCs/>
          <w:color w:val="000000"/>
          <w:szCs w:val="24"/>
        </w:rPr>
      </w:pPr>
      <w:r w:rsidRPr="00071293">
        <w:rPr>
          <w:rFonts w:eastAsia="Times New Roman" w:cs="Times New Roman"/>
          <w:bCs/>
          <w:color w:val="000000"/>
          <w:szCs w:val="24"/>
        </w:rPr>
        <w:t>Jāatzīmē, ka šāds fiskālās politikas scenārijs vienlaicīgi nodrošina, ka 2022., 2023. un 2024. gadā nacionāli finansēto primāro kārtējo izdevumu pieaugums starp n-1 un n gadu j</w:t>
      </w:r>
      <w:r w:rsidR="005C04B6">
        <w:rPr>
          <w:rFonts w:eastAsia="Times New Roman" w:cs="Times New Roman"/>
          <w:bCs/>
          <w:color w:val="000000"/>
          <w:szCs w:val="24"/>
        </w:rPr>
        <w:t>ebkurā no šiem gadiem atbilst Eiropas Savienības</w:t>
      </w:r>
      <w:r w:rsidRPr="00071293">
        <w:rPr>
          <w:rFonts w:eastAsia="Times New Roman" w:cs="Times New Roman"/>
          <w:bCs/>
          <w:color w:val="000000"/>
          <w:szCs w:val="24"/>
        </w:rPr>
        <w:t xml:space="preserve"> fiskālajā rekomendācijā noteiktajiem, ka šis pieaugums nedrīkst pārsniegt desmit gadu vidējo potenciālā </w:t>
      </w:r>
      <w:r w:rsidR="00112C33" w:rsidRPr="00112C33">
        <w:rPr>
          <w:rFonts w:eastAsia="Times New Roman" w:cs="Times New Roman"/>
          <w:bCs/>
          <w:color w:val="000000"/>
          <w:szCs w:val="24"/>
        </w:rPr>
        <w:t>iekšzemes kopprodukta</w:t>
      </w:r>
      <w:r w:rsidRPr="00071293">
        <w:rPr>
          <w:rFonts w:eastAsia="Times New Roman" w:cs="Times New Roman"/>
          <w:bCs/>
          <w:color w:val="000000"/>
          <w:szCs w:val="24"/>
        </w:rPr>
        <w:t xml:space="preserve"> pieaugumu.</w:t>
      </w:r>
    </w:p>
    <w:p w14:paraId="53DE417D" w14:textId="75F71779" w:rsidR="00071293" w:rsidRPr="00071293" w:rsidRDefault="00071293" w:rsidP="008A4FF5">
      <w:pPr>
        <w:widowControl w:val="0"/>
        <w:spacing w:before="240" w:after="240"/>
        <w:jc w:val="center"/>
        <w:rPr>
          <w:rFonts w:eastAsia="Times New Roman" w:cs="Times New Roman"/>
          <w:b/>
          <w:color w:val="000000"/>
          <w:szCs w:val="24"/>
        </w:rPr>
      </w:pPr>
      <w:r w:rsidRPr="00071293">
        <w:rPr>
          <w:rFonts w:eastAsia="Times New Roman" w:cs="Times New Roman"/>
          <w:b/>
          <w:color w:val="000000"/>
          <w:szCs w:val="24"/>
        </w:rPr>
        <w:t>Covid-19 atbalsta pasākumi un publiskās investīcijas</w:t>
      </w:r>
    </w:p>
    <w:p w14:paraId="10834057" w14:textId="79ECE7A8" w:rsidR="00071293" w:rsidRPr="00071293" w:rsidRDefault="00112C33" w:rsidP="00071293">
      <w:pPr>
        <w:widowControl w:val="0"/>
        <w:rPr>
          <w:rFonts w:eastAsia="Times New Roman" w:cs="Times New Roman"/>
          <w:bCs/>
          <w:color w:val="000000"/>
          <w:szCs w:val="24"/>
        </w:rPr>
      </w:pPr>
      <w:r>
        <w:rPr>
          <w:rFonts w:eastAsia="Times New Roman" w:cs="Times New Roman"/>
          <w:bCs/>
          <w:color w:val="000000"/>
          <w:szCs w:val="24"/>
        </w:rPr>
        <w:t>Kā tika minēts iepriekš, Eiropas Savienības</w:t>
      </w:r>
      <w:r w:rsidR="00071293" w:rsidRPr="00071293">
        <w:rPr>
          <w:rFonts w:eastAsia="Times New Roman" w:cs="Times New Roman"/>
          <w:bCs/>
          <w:color w:val="000000"/>
          <w:szCs w:val="24"/>
        </w:rPr>
        <w:t xml:space="preserve"> Padomes fiskālās rekomendācijas nosaka, ka 2022. gadā ir jānodrošina nacionāli finansēto primāro izdevumu pieauguma kontrole. Attiecībā uz bruto pamatkapitāla pieauguma apjomu, rekomendācija aicina investīcijas saglabāt, savukārt Covid-19  ārkārtas vienreizējie pasākumi ir finansējami uz deficīta pieauguma rēķina atbilstoši nepieciešamībai.</w:t>
      </w:r>
    </w:p>
    <w:p w14:paraId="7ECA1CF7" w14:textId="6889CE52" w:rsidR="00071293" w:rsidRPr="00071293" w:rsidRDefault="00071293" w:rsidP="008A4FF5">
      <w:pPr>
        <w:widowControl w:val="0"/>
        <w:rPr>
          <w:rFonts w:eastAsia="Times New Roman" w:cs="Times New Roman"/>
          <w:bCs/>
          <w:color w:val="000000"/>
          <w:szCs w:val="24"/>
        </w:rPr>
      </w:pPr>
      <w:r w:rsidRPr="00071293">
        <w:rPr>
          <w:rFonts w:eastAsia="Times New Roman" w:cs="Times New Roman"/>
          <w:bCs/>
          <w:color w:val="000000"/>
          <w:szCs w:val="24"/>
        </w:rPr>
        <w:t>Šī vidēja termiņa budžeta ietvara likumpr</w:t>
      </w:r>
      <w:r w:rsidR="00112C33">
        <w:rPr>
          <w:rFonts w:eastAsia="Times New Roman" w:cs="Times New Roman"/>
          <w:bCs/>
          <w:color w:val="000000"/>
          <w:szCs w:val="24"/>
        </w:rPr>
        <w:t>ojekta sagatavošanā Ministru Kabinets</w:t>
      </w:r>
      <w:r w:rsidRPr="00071293">
        <w:rPr>
          <w:rFonts w:eastAsia="Times New Roman" w:cs="Times New Roman"/>
          <w:bCs/>
          <w:color w:val="000000"/>
          <w:szCs w:val="24"/>
        </w:rPr>
        <w:t xml:space="preserve"> ir pieņēmis lēmumus gan par papildu atbalsta pasākumiem pandēmijas negatīvas ietekmes seku </w:t>
      </w:r>
      <w:r w:rsidRPr="00071293">
        <w:rPr>
          <w:rFonts w:eastAsia="Times New Roman" w:cs="Times New Roman"/>
          <w:bCs/>
          <w:color w:val="000000"/>
          <w:szCs w:val="24"/>
        </w:rPr>
        <w:lastRenderedPageBreak/>
        <w:t xml:space="preserve">mazināšanai, gan papildu publisko investīciju projektu īstenošanu (detalizētu informāciju skat. 2.3.1. nodaļā).  Attiecīgi šīs izdevumu kategorijas var finansēt pārsniedzot iepriekš definēto fiskālo telpu.  </w:t>
      </w:r>
    </w:p>
    <w:p w14:paraId="12519CBE" w14:textId="7E9F5E6E" w:rsidR="00071293" w:rsidRPr="00A47624" w:rsidRDefault="00071293" w:rsidP="008A4FF5">
      <w:pPr>
        <w:widowControl w:val="0"/>
        <w:spacing w:before="240" w:after="240"/>
        <w:jc w:val="center"/>
        <w:rPr>
          <w:rFonts w:eastAsia="Times New Roman" w:cs="Times New Roman"/>
          <w:b/>
          <w:color w:val="000000"/>
          <w:szCs w:val="24"/>
        </w:rPr>
      </w:pPr>
      <w:r w:rsidRPr="00A47624">
        <w:rPr>
          <w:rFonts w:eastAsia="Times New Roman" w:cs="Times New Roman"/>
          <w:b/>
          <w:color w:val="000000"/>
          <w:szCs w:val="24"/>
        </w:rPr>
        <w:t>Strukturālās budžeta bilances mērķi</w:t>
      </w:r>
    </w:p>
    <w:p w14:paraId="5FF6ED67" w14:textId="39F607F2" w:rsidR="00071293" w:rsidRPr="00A47624" w:rsidRDefault="00071293" w:rsidP="00071293">
      <w:pPr>
        <w:widowControl w:val="0"/>
        <w:rPr>
          <w:rFonts w:eastAsia="Times New Roman" w:cs="Times New Roman"/>
          <w:bCs/>
          <w:szCs w:val="24"/>
        </w:rPr>
      </w:pPr>
      <w:r w:rsidRPr="00A47624">
        <w:rPr>
          <w:rFonts w:eastAsia="Times New Roman" w:cs="Times New Roman"/>
          <w:bCs/>
          <w:color w:val="000000"/>
          <w:szCs w:val="24"/>
        </w:rPr>
        <w:t>Veicot iepriekš minētās darbības ir iegūti visi nepieciešamie mainīgie, lai varētu definēt strukturālās bilances mērķi 2022.-2024.</w:t>
      </w:r>
      <w:r w:rsidR="00112C33" w:rsidRPr="00A47624">
        <w:rPr>
          <w:rFonts w:eastAsia="Times New Roman" w:cs="Times New Roman"/>
          <w:bCs/>
          <w:color w:val="000000"/>
          <w:szCs w:val="24"/>
        </w:rPr>
        <w:t xml:space="preserve"> </w:t>
      </w:r>
      <w:r w:rsidRPr="00A47624">
        <w:rPr>
          <w:rFonts w:eastAsia="Times New Roman" w:cs="Times New Roman"/>
          <w:bCs/>
          <w:color w:val="000000"/>
          <w:szCs w:val="24"/>
        </w:rPr>
        <w:t xml:space="preserve">gadam. </w:t>
      </w:r>
      <w:r w:rsidRPr="00A47624">
        <w:rPr>
          <w:rFonts w:eastAsia="Times New Roman" w:cs="Times New Roman"/>
          <w:bCs/>
          <w:szCs w:val="24"/>
        </w:rPr>
        <w:t>Veiktais aprēķins</w:t>
      </w:r>
      <w:r w:rsidR="00112C33" w:rsidRPr="00A47624">
        <w:rPr>
          <w:rFonts w:eastAsia="Times New Roman" w:cs="Times New Roman"/>
          <w:bCs/>
          <w:szCs w:val="24"/>
        </w:rPr>
        <w:t xml:space="preserve"> ir atspoguļots 2.3</w:t>
      </w:r>
      <w:r w:rsidRPr="00A47624">
        <w:rPr>
          <w:rFonts w:eastAsia="Times New Roman" w:cs="Times New Roman"/>
          <w:bCs/>
          <w:szCs w:val="24"/>
        </w:rPr>
        <w:t>.</w:t>
      </w:r>
      <w:r w:rsidR="00112C33" w:rsidRPr="00A47624">
        <w:rPr>
          <w:rFonts w:eastAsia="Times New Roman" w:cs="Times New Roman"/>
          <w:bCs/>
          <w:szCs w:val="24"/>
        </w:rPr>
        <w:t xml:space="preserve"> </w:t>
      </w:r>
      <w:r w:rsidRPr="00A47624">
        <w:rPr>
          <w:rFonts w:eastAsia="Times New Roman" w:cs="Times New Roman"/>
          <w:bCs/>
          <w:szCs w:val="24"/>
        </w:rPr>
        <w:t>tabulā.</w:t>
      </w:r>
    </w:p>
    <w:p w14:paraId="22B870DF" w14:textId="6648D811" w:rsidR="00071293" w:rsidRPr="00A47624" w:rsidRDefault="00112C33" w:rsidP="008A4FF5">
      <w:pPr>
        <w:widowControl w:val="0"/>
        <w:jc w:val="right"/>
        <w:rPr>
          <w:rFonts w:eastAsia="Times New Roman" w:cs="Times New Roman"/>
          <w:b/>
          <w:i/>
          <w:color w:val="000000"/>
          <w:szCs w:val="24"/>
        </w:rPr>
      </w:pPr>
      <w:r w:rsidRPr="00A47624">
        <w:rPr>
          <w:rFonts w:eastAsia="Times New Roman" w:cs="Times New Roman"/>
          <w:b/>
          <w:i/>
          <w:color w:val="000000"/>
          <w:szCs w:val="24"/>
        </w:rPr>
        <w:t xml:space="preserve">2.3. </w:t>
      </w:r>
      <w:r w:rsidR="00071293" w:rsidRPr="00A47624">
        <w:rPr>
          <w:rFonts w:eastAsia="Times New Roman" w:cs="Times New Roman"/>
          <w:b/>
          <w:i/>
          <w:color w:val="000000"/>
          <w:szCs w:val="24"/>
        </w:rPr>
        <w:t>tabula</w:t>
      </w:r>
      <w:r w:rsidRPr="00A47624">
        <w:rPr>
          <w:rFonts w:eastAsia="Times New Roman" w:cs="Times New Roman"/>
          <w:b/>
          <w:i/>
          <w:color w:val="000000"/>
          <w:szCs w:val="24"/>
        </w:rPr>
        <w:t>. Strukturālās bilances mērķis 2022.-2024. gadam</w:t>
      </w:r>
    </w:p>
    <w:tbl>
      <w:tblPr>
        <w:tblW w:w="9067" w:type="dxa"/>
        <w:tblLook w:val="04A0" w:firstRow="1" w:lastRow="0" w:firstColumn="1" w:lastColumn="0" w:noHBand="0" w:noVBand="1"/>
      </w:tblPr>
      <w:tblGrid>
        <w:gridCol w:w="2405"/>
        <w:gridCol w:w="4760"/>
        <w:gridCol w:w="671"/>
        <w:gridCol w:w="655"/>
        <w:gridCol w:w="576"/>
      </w:tblGrid>
      <w:tr w:rsidR="00934881" w:rsidRPr="00A47624" w14:paraId="48B38EF4" w14:textId="77777777" w:rsidTr="000226D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14AAABA" w14:textId="4A407768" w:rsidR="00934881" w:rsidRPr="00A47624" w:rsidRDefault="00A47624" w:rsidP="00A47624">
            <w:pPr>
              <w:spacing w:after="0"/>
              <w:ind w:firstLine="0"/>
              <w:jc w:val="left"/>
              <w:rPr>
                <w:rFonts w:eastAsia="Times New Roman" w:cs="Times New Roman"/>
                <w:color w:val="000000"/>
                <w:sz w:val="18"/>
                <w:szCs w:val="18"/>
              </w:rPr>
            </w:pPr>
            <w:r>
              <w:rPr>
                <w:rFonts w:eastAsia="Times New Roman" w:cs="Times New Roman"/>
                <w:color w:val="000000"/>
                <w:sz w:val="18"/>
                <w:szCs w:val="18"/>
              </w:rPr>
              <w:t>% no iekšzemes kopprodukta</w:t>
            </w:r>
          </w:p>
        </w:tc>
        <w:tc>
          <w:tcPr>
            <w:tcW w:w="476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68847FFB"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 </w:t>
            </w:r>
          </w:p>
        </w:tc>
        <w:tc>
          <w:tcPr>
            <w:tcW w:w="671"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3E2EA064" w14:textId="77777777" w:rsidR="00934881" w:rsidRPr="00A47624" w:rsidRDefault="00934881" w:rsidP="00934881">
            <w:pPr>
              <w:spacing w:after="0"/>
              <w:ind w:firstLine="0"/>
              <w:jc w:val="center"/>
              <w:rPr>
                <w:rFonts w:eastAsia="Times New Roman" w:cs="Times New Roman"/>
                <w:b/>
                <w:bCs/>
                <w:color w:val="000000"/>
                <w:sz w:val="18"/>
                <w:szCs w:val="18"/>
              </w:rPr>
            </w:pPr>
            <w:r w:rsidRPr="00A47624">
              <w:rPr>
                <w:rFonts w:eastAsia="Times New Roman" w:cs="Times New Roman"/>
                <w:b/>
                <w:bCs/>
                <w:color w:val="000000"/>
                <w:sz w:val="18"/>
                <w:szCs w:val="18"/>
              </w:rPr>
              <w:t>2022</w:t>
            </w:r>
          </w:p>
        </w:tc>
        <w:tc>
          <w:tcPr>
            <w:tcW w:w="655"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1DCBFEDC" w14:textId="77777777" w:rsidR="00934881" w:rsidRPr="00A47624" w:rsidRDefault="00934881" w:rsidP="00934881">
            <w:pPr>
              <w:spacing w:after="0"/>
              <w:ind w:firstLine="0"/>
              <w:jc w:val="center"/>
              <w:rPr>
                <w:rFonts w:eastAsia="Times New Roman" w:cs="Times New Roman"/>
                <w:b/>
                <w:bCs/>
                <w:color w:val="000000"/>
                <w:sz w:val="18"/>
                <w:szCs w:val="18"/>
              </w:rPr>
            </w:pPr>
            <w:r w:rsidRPr="00A47624">
              <w:rPr>
                <w:rFonts w:eastAsia="Times New Roman" w:cs="Times New Roman"/>
                <w:b/>
                <w:bCs/>
                <w:color w:val="000000"/>
                <w:sz w:val="18"/>
                <w:szCs w:val="18"/>
              </w:rPr>
              <w:t>2023</w:t>
            </w:r>
          </w:p>
        </w:tc>
        <w:tc>
          <w:tcPr>
            <w:tcW w:w="576"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35FD124B" w14:textId="77777777" w:rsidR="00934881" w:rsidRPr="00A47624" w:rsidRDefault="00934881" w:rsidP="00934881">
            <w:pPr>
              <w:spacing w:after="0"/>
              <w:ind w:firstLine="0"/>
              <w:jc w:val="center"/>
              <w:rPr>
                <w:rFonts w:eastAsia="Times New Roman" w:cs="Times New Roman"/>
                <w:b/>
                <w:bCs/>
                <w:color w:val="000000"/>
                <w:sz w:val="18"/>
                <w:szCs w:val="18"/>
              </w:rPr>
            </w:pPr>
            <w:r w:rsidRPr="00A47624">
              <w:rPr>
                <w:rFonts w:eastAsia="Times New Roman" w:cs="Times New Roman"/>
                <w:b/>
                <w:bCs/>
                <w:color w:val="000000"/>
                <w:sz w:val="18"/>
                <w:szCs w:val="18"/>
              </w:rPr>
              <w:t>2024</w:t>
            </w:r>
          </w:p>
        </w:tc>
      </w:tr>
      <w:tr w:rsidR="00BC0C35" w:rsidRPr="00A47624" w14:paraId="170FFE05" w14:textId="77777777" w:rsidTr="000226D6">
        <w:trPr>
          <w:trHeight w:val="335"/>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B7FF9F6"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(1)</w:t>
            </w:r>
          </w:p>
        </w:tc>
        <w:tc>
          <w:tcPr>
            <w:tcW w:w="4760" w:type="dxa"/>
            <w:tcBorders>
              <w:top w:val="nil"/>
              <w:left w:val="nil"/>
              <w:bottom w:val="single" w:sz="4" w:space="0" w:color="auto"/>
              <w:right w:val="single" w:sz="4" w:space="0" w:color="auto"/>
            </w:tcBorders>
            <w:shd w:val="clear" w:color="auto" w:fill="auto"/>
            <w:vAlign w:val="center"/>
            <w:hideMark/>
          </w:tcPr>
          <w:p w14:paraId="67A52B9B"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nominālā bilance, nemainīgas politikas scenārijs</w:t>
            </w:r>
          </w:p>
        </w:tc>
        <w:tc>
          <w:tcPr>
            <w:tcW w:w="671" w:type="dxa"/>
            <w:tcBorders>
              <w:top w:val="nil"/>
              <w:left w:val="nil"/>
              <w:bottom w:val="single" w:sz="4" w:space="0" w:color="auto"/>
              <w:right w:val="single" w:sz="4" w:space="0" w:color="auto"/>
            </w:tcBorders>
            <w:shd w:val="clear" w:color="auto" w:fill="auto"/>
            <w:vAlign w:val="center"/>
            <w:hideMark/>
          </w:tcPr>
          <w:p w14:paraId="4686BFF6" w14:textId="7998EEEE"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-2</w:t>
            </w:r>
            <w:r w:rsidR="00BC0C35" w:rsidRPr="00A47624">
              <w:rPr>
                <w:rFonts w:eastAsia="Times New Roman" w:cs="Times New Roman"/>
                <w:color w:val="000000"/>
                <w:sz w:val="18"/>
                <w:szCs w:val="18"/>
              </w:rPr>
              <w:t>,</w:t>
            </w:r>
            <w:r w:rsidRPr="00A47624">
              <w:rPr>
                <w:rFonts w:eastAsia="Times New Roman" w:cs="Times New Roman"/>
                <w:color w:val="000000"/>
                <w:sz w:val="18"/>
                <w:szCs w:val="18"/>
              </w:rPr>
              <w:t>9</w:t>
            </w:r>
          </w:p>
        </w:tc>
        <w:tc>
          <w:tcPr>
            <w:tcW w:w="655" w:type="dxa"/>
            <w:tcBorders>
              <w:top w:val="nil"/>
              <w:left w:val="nil"/>
              <w:bottom w:val="single" w:sz="4" w:space="0" w:color="auto"/>
              <w:right w:val="single" w:sz="4" w:space="0" w:color="auto"/>
            </w:tcBorders>
            <w:shd w:val="clear" w:color="auto" w:fill="auto"/>
            <w:vAlign w:val="center"/>
            <w:hideMark/>
          </w:tcPr>
          <w:p w14:paraId="3A7F145D" w14:textId="264F1D4D"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-1</w:t>
            </w:r>
            <w:r w:rsidR="00BC0C35" w:rsidRPr="00A47624">
              <w:rPr>
                <w:rFonts w:eastAsia="Times New Roman" w:cs="Times New Roman"/>
                <w:color w:val="000000"/>
                <w:sz w:val="18"/>
                <w:szCs w:val="18"/>
              </w:rPr>
              <w:t>,</w:t>
            </w:r>
            <w:r w:rsidRPr="00A47624">
              <w:rPr>
                <w:rFonts w:eastAsia="Times New Roman" w:cs="Times New Roman"/>
                <w:color w:val="000000"/>
                <w:sz w:val="18"/>
                <w:szCs w:val="18"/>
              </w:rPr>
              <w:t>2</w:t>
            </w:r>
          </w:p>
        </w:tc>
        <w:tc>
          <w:tcPr>
            <w:tcW w:w="576" w:type="dxa"/>
            <w:tcBorders>
              <w:top w:val="nil"/>
              <w:left w:val="nil"/>
              <w:bottom w:val="single" w:sz="4" w:space="0" w:color="auto"/>
              <w:right w:val="single" w:sz="4" w:space="0" w:color="auto"/>
            </w:tcBorders>
            <w:shd w:val="clear" w:color="auto" w:fill="auto"/>
            <w:vAlign w:val="center"/>
            <w:hideMark/>
          </w:tcPr>
          <w:p w14:paraId="383CFF04" w14:textId="2BE876CC"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-0</w:t>
            </w:r>
            <w:r w:rsidR="00BC0C35" w:rsidRPr="00A47624">
              <w:rPr>
                <w:rFonts w:eastAsia="Times New Roman" w:cs="Times New Roman"/>
                <w:color w:val="000000"/>
                <w:sz w:val="18"/>
                <w:szCs w:val="18"/>
              </w:rPr>
              <w:t>,</w:t>
            </w:r>
            <w:r w:rsidRPr="00A47624">
              <w:rPr>
                <w:rFonts w:eastAsia="Times New Roman" w:cs="Times New Roman"/>
                <w:color w:val="000000"/>
                <w:sz w:val="18"/>
                <w:szCs w:val="18"/>
              </w:rPr>
              <w:t>3</w:t>
            </w:r>
          </w:p>
        </w:tc>
      </w:tr>
      <w:tr w:rsidR="00BC0C35" w:rsidRPr="00A47624" w14:paraId="1135F388" w14:textId="77777777" w:rsidTr="00A47624">
        <w:trPr>
          <w:trHeight w:val="30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B90B6D1"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(2)</w:t>
            </w:r>
          </w:p>
        </w:tc>
        <w:tc>
          <w:tcPr>
            <w:tcW w:w="4760" w:type="dxa"/>
            <w:tcBorders>
              <w:top w:val="nil"/>
              <w:left w:val="nil"/>
              <w:bottom w:val="single" w:sz="4" w:space="0" w:color="auto"/>
              <w:right w:val="single" w:sz="4" w:space="0" w:color="auto"/>
            </w:tcBorders>
            <w:shd w:val="clear" w:color="auto" w:fill="auto"/>
            <w:vAlign w:val="center"/>
            <w:hideMark/>
          </w:tcPr>
          <w:p w14:paraId="59C2682F"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pieļaujamā fiskālā telpa</w:t>
            </w:r>
          </w:p>
        </w:tc>
        <w:tc>
          <w:tcPr>
            <w:tcW w:w="671" w:type="dxa"/>
            <w:tcBorders>
              <w:top w:val="nil"/>
              <w:left w:val="nil"/>
              <w:bottom w:val="single" w:sz="4" w:space="0" w:color="auto"/>
              <w:right w:val="single" w:sz="4" w:space="0" w:color="auto"/>
            </w:tcBorders>
            <w:shd w:val="clear" w:color="auto" w:fill="auto"/>
            <w:vAlign w:val="center"/>
            <w:hideMark/>
          </w:tcPr>
          <w:p w14:paraId="1223C15F" w14:textId="096E3B26"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0</w:t>
            </w:r>
            <w:r w:rsidR="00BC0C35" w:rsidRPr="00A47624">
              <w:rPr>
                <w:rFonts w:eastAsia="Times New Roman" w:cs="Times New Roman"/>
                <w:color w:val="000000"/>
                <w:sz w:val="18"/>
                <w:szCs w:val="18"/>
              </w:rPr>
              <w:t>,</w:t>
            </w:r>
            <w:r w:rsidRPr="00A47624">
              <w:rPr>
                <w:rFonts w:eastAsia="Times New Roman" w:cs="Times New Roman"/>
                <w:color w:val="000000"/>
                <w:sz w:val="18"/>
                <w:szCs w:val="18"/>
              </w:rPr>
              <w:t>9</w:t>
            </w:r>
          </w:p>
        </w:tc>
        <w:tc>
          <w:tcPr>
            <w:tcW w:w="655" w:type="dxa"/>
            <w:tcBorders>
              <w:top w:val="nil"/>
              <w:left w:val="nil"/>
              <w:bottom w:val="single" w:sz="4" w:space="0" w:color="auto"/>
              <w:right w:val="single" w:sz="4" w:space="0" w:color="auto"/>
            </w:tcBorders>
            <w:shd w:val="clear" w:color="auto" w:fill="auto"/>
            <w:vAlign w:val="center"/>
            <w:hideMark/>
          </w:tcPr>
          <w:p w14:paraId="00BE1B61" w14:textId="7BC28A19"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0</w:t>
            </w:r>
            <w:r w:rsidR="00BC0C35" w:rsidRPr="00A47624">
              <w:rPr>
                <w:rFonts w:eastAsia="Times New Roman" w:cs="Times New Roman"/>
                <w:color w:val="000000"/>
                <w:sz w:val="18"/>
                <w:szCs w:val="18"/>
              </w:rPr>
              <w:t>,</w:t>
            </w:r>
            <w:r w:rsidRPr="00A47624">
              <w:rPr>
                <w:rFonts w:eastAsia="Times New Roman" w:cs="Times New Roman"/>
                <w:color w:val="000000"/>
                <w:sz w:val="18"/>
                <w:szCs w:val="18"/>
              </w:rPr>
              <w:t>8</w:t>
            </w:r>
          </w:p>
        </w:tc>
        <w:tc>
          <w:tcPr>
            <w:tcW w:w="576" w:type="dxa"/>
            <w:tcBorders>
              <w:top w:val="nil"/>
              <w:left w:val="nil"/>
              <w:bottom w:val="single" w:sz="4" w:space="0" w:color="auto"/>
              <w:right w:val="single" w:sz="4" w:space="0" w:color="auto"/>
            </w:tcBorders>
            <w:shd w:val="clear" w:color="auto" w:fill="auto"/>
            <w:vAlign w:val="center"/>
            <w:hideMark/>
          </w:tcPr>
          <w:p w14:paraId="182CFEC1" w14:textId="2DD14326"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0</w:t>
            </w:r>
            <w:r w:rsidR="00BC0C35" w:rsidRPr="00A47624">
              <w:rPr>
                <w:rFonts w:eastAsia="Times New Roman" w:cs="Times New Roman"/>
                <w:color w:val="000000"/>
                <w:sz w:val="18"/>
                <w:szCs w:val="18"/>
              </w:rPr>
              <w:t>,</w:t>
            </w:r>
            <w:r w:rsidRPr="00A47624">
              <w:rPr>
                <w:rFonts w:eastAsia="Times New Roman" w:cs="Times New Roman"/>
                <w:color w:val="000000"/>
                <w:sz w:val="18"/>
                <w:szCs w:val="18"/>
              </w:rPr>
              <w:t>8</w:t>
            </w:r>
          </w:p>
        </w:tc>
      </w:tr>
      <w:tr w:rsidR="00BC0C35" w:rsidRPr="00A47624" w14:paraId="5B917F42" w14:textId="77777777" w:rsidTr="000226D6">
        <w:trPr>
          <w:trHeight w:val="401"/>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DCC56F9"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(3)</w:t>
            </w:r>
          </w:p>
        </w:tc>
        <w:tc>
          <w:tcPr>
            <w:tcW w:w="4760" w:type="dxa"/>
            <w:tcBorders>
              <w:top w:val="nil"/>
              <w:left w:val="nil"/>
              <w:bottom w:val="single" w:sz="4" w:space="0" w:color="auto"/>
              <w:right w:val="single" w:sz="4" w:space="0" w:color="auto"/>
            </w:tcBorders>
            <w:shd w:val="clear" w:color="auto" w:fill="auto"/>
            <w:vAlign w:val="center"/>
            <w:hideMark/>
          </w:tcPr>
          <w:p w14:paraId="03317740"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Covid-19 atbalsta pasākumi, investīcijas un citi fiskālo telpu koriģējoši lēmumi</w:t>
            </w:r>
          </w:p>
        </w:tc>
        <w:tc>
          <w:tcPr>
            <w:tcW w:w="671" w:type="dxa"/>
            <w:tcBorders>
              <w:top w:val="nil"/>
              <w:left w:val="nil"/>
              <w:bottom w:val="single" w:sz="4" w:space="0" w:color="auto"/>
              <w:right w:val="single" w:sz="4" w:space="0" w:color="auto"/>
            </w:tcBorders>
            <w:shd w:val="clear" w:color="auto" w:fill="auto"/>
            <w:vAlign w:val="center"/>
            <w:hideMark/>
          </w:tcPr>
          <w:p w14:paraId="1BB87385" w14:textId="22CD8DB5"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0</w:t>
            </w:r>
            <w:r w:rsidR="00BC0C35" w:rsidRPr="00A47624">
              <w:rPr>
                <w:rFonts w:eastAsia="Times New Roman" w:cs="Times New Roman"/>
                <w:color w:val="000000"/>
                <w:sz w:val="18"/>
                <w:szCs w:val="18"/>
              </w:rPr>
              <w:t>,</w:t>
            </w:r>
            <w:r w:rsidRPr="00A47624">
              <w:rPr>
                <w:rFonts w:eastAsia="Times New Roman" w:cs="Times New Roman"/>
                <w:color w:val="000000"/>
                <w:sz w:val="18"/>
                <w:szCs w:val="18"/>
              </w:rPr>
              <w:t>9</w:t>
            </w:r>
          </w:p>
        </w:tc>
        <w:tc>
          <w:tcPr>
            <w:tcW w:w="655" w:type="dxa"/>
            <w:tcBorders>
              <w:top w:val="nil"/>
              <w:left w:val="nil"/>
              <w:bottom w:val="single" w:sz="4" w:space="0" w:color="auto"/>
              <w:right w:val="single" w:sz="4" w:space="0" w:color="auto"/>
            </w:tcBorders>
            <w:shd w:val="clear" w:color="auto" w:fill="auto"/>
            <w:vAlign w:val="center"/>
            <w:hideMark/>
          </w:tcPr>
          <w:p w14:paraId="0E3481AD" w14:textId="2B0571F8"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0</w:t>
            </w:r>
            <w:r w:rsidR="00BC0C35" w:rsidRPr="00A47624">
              <w:rPr>
                <w:rFonts w:eastAsia="Times New Roman" w:cs="Times New Roman"/>
                <w:color w:val="000000"/>
                <w:sz w:val="18"/>
                <w:szCs w:val="18"/>
              </w:rPr>
              <w:t>,</w:t>
            </w:r>
            <w:r w:rsidRPr="00A47624">
              <w:rPr>
                <w:rFonts w:eastAsia="Times New Roman" w:cs="Times New Roman"/>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14:paraId="0F5F717D" w14:textId="7E44EEC2"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0</w:t>
            </w:r>
            <w:r w:rsidR="00BC0C35" w:rsidRPr="00A47624">
              <w:rPr>
                <w:rFonts w:eastAsia="Times New Roman" w:cs="Times New Roman"/>
                <w:color w:val="000000"/>
                <w:sz w:val="18"/>
                <w:szCs w:val="18"/>
              </w:rPr>
              <w:t>,</w:t>
            </w:r>
            <w:r w:rsidRPr="00A47624">
              <w:rPr>
                <w:rFonts w:eastAsia="Times New Roman" w:cs="Times New Roman"/>
                <w:color w:val="000000"/>
                <w:sz w:val="18"/>
                <w:szCs w:val="18"/>
              </w:rPr>
              <w:t>1</w:t>
            </w:r>
          </w:p>
        </w:tc>
      </w:tr>
      <w:tr w:rsidR="00BC0C35" w:rsidRPr="00A47624" w14:paraId="3BDDF8C5" w14:textId="77777777" w:rsidTr="00A47624">
        <w:trPr>
          <w:trHeight w:val="30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77CBDF50"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(4)=(1)-(2)-(3)</w:t>
            </w:r>
          </w:p>
        </w:tc>
        <w:tc>
          <w:tcPr>
            <w:tcW w:w="4760" w:type="dxa"/>
            <w:tcBorders>
              <w:top w:val="nil"/>
              <w:left w:val="nil"/>
              <w:bottom w:val="single" w:sz="4" w:space="0" w:color="auto"/>
              <w:right w:val="single" w:sz="4" w:space="0" w:color="auto"/>
            </w:tcBorders>
            <w:shd w:val="clear" w:color="auto" w:fill="auto"/>
            <w:vAlign w:val="center"/>
            <w:hideMark/>
          </w:tcPr>
          <w:p w14:paraId="6343062F"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nominālā bilance, politikas scenārijs</w:t>
            </w:r>
          </w:p>
        </w:tc>
        <w:tc>
          <w:tcPr>
            <w:tcW w:w="671" w:type="dxa"/>
            <w:tcBorders>
              <w:top w:val="nil"/>
              <w:left w:val="nil"/>
              <w:bottom w:val="single" w:sz="4" w:space="0" w:color="auto"/>
              <w:right w:val="single" w:sz="4" w:space="0" w:color="auto"/>
            </w:tcBorders>
            <w:shd w:val="clear" w:color="auto" w:fill="auto"/>
            <w:vAlign w:val="center"/>
            <w:hideMark/>
          </w:tcPr>
          <w:p w14:paraId="1D51184F" w14:textId="523549DA"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-4</w:t>
            </w:r>
            <w:r w:rsidR="00BC0C35" w:rsidRPr="00A47624">
              <w:rPr>
                <w:rFonts w:eastAsia="Times New Roman" w:cs="Times New Roman"/>
                <w:color w:val="000000"/>
                <w:sz w:val="18"/>
                <w:szCs w:val="18"/>
              </w:rPr>
              <w:t>,</w:t>
            </w:r>
            <w:r w:rsidRPr="00A47624">
              <w:rPr>
                <w:rFonts w:eastAsia="Times New Roman" w:cs="Times New Roman"/>
                <w:color w:val="000000"/>
                <w:sz w:val="18"/>
                <w:szCs w:val="18"/>
              </w:rPr>
              <w:t>8</w:t>
            </w:r>
          </w:p>
        </w:tc>
        <w:tc>
          <w:tcPr>
            <w:tcW w:w="655" w:type="dxa"/>
            <w:tcBorders>
              <w:top w:val="nil"/>
              <w:left w:val="nil"/>
              <w:bottom w:val="single" w:sz="4" w:space="0" w:color="auto"/>
              <w:right w:val="single" w:sz="4" w:space="0" w:color="auto"/>
            </w:tcBorders>
            <w:shd w:val="clear" w:color="auto" w:fill="auto"/>
            <w:vAlign w:val="center"/>
            <w:hideMark/>
          </w:tcPr>
          <w:p w14:paraId="4B1E635E" w14:textId="1977C5C2"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-2</w:t>
            </w:r>
            <w:r w:rsidR="00BC0C35" w:rsidRPr="00A47624">
              <w:rPr>
                <w:rFonts w:eastAsia="Times New Roman" w:cs="Times New Roman"/>
                <w:color w:val="000000"/>
                <w:sz w:val="18"/>
                <w:szCs w:val="18"/>
              </w:rPr>
              <w:t>,</w:t>
            </w:r>
            <w:r w:rsidRPr="00A47624">
              <w:rPr>
                <w:rFonts w:eastAsia="Times New Roman" w:cs="Times New Roman"/>
                <w:color w:val="000000"/>
                <w:sz w:val="18"/>
                <w:szCs w:val="18"/>
              </w:rPr>
              <w:t>1</w:t>
            </w:r>
          </w:p>
        </w:tc>
        <w:tc>
          <w:tcPr>
            <w:tcW w:w="576" w:type="dxa"/>
            <w:tcBorders>
              <w:top w:val="nil"/>
              <w:left w:val="nil"/>
              <w:bottom w:val="single" w:sz="4" w:space="0" w:color="auto"/>
              <w:right w:val="single" w:sz="4" w:space="0" w:color="auto"/>
            </w:tcBorders>
            <w:shd w:val="clear" w:color="auto" w:fill="auto"/>
            <w:vAlign w:val="center"/>
            <w:hideMark/>
          </w:tcPr>
          <w:p w14:paraId="67D6F0BA" w14:textId="159D6338"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-1</w:t>
            </w:r>
            <w:r w:rsidR="00BC0C35" w:rsidRPr="00A47624">
              <w:rPr>
                <w:rFonts w:eastAsia="Times New Roman" w:cs="Times New Roman"/>
                <w:color w:val="000000"/>
                <w:sz w:val="18"/>
                <w:szCs w:val="18"/>
              </w:rPr>
              <w:t>,</w:t>
            </w:r>
            <w:r w:rsidRPr="00A47624">
              <w:rPr>
                <w:rFonts w:eastAsia="Times New Roman" w:cs="Times New Roman"/>
                <w:color w:val="000000"/>
                <w:sz w:val="18"/>
                <w:szCs w:val="18"/>
              </w:rPr>
              <w:t>3</w:t>
            </w:r>
          </w:p>
        </w:tc>
      </w:tr>
      <w:tr w:rsidR="00BC0C35" w:rsidRPr="00A47624" w14:paraId="514F032A" w14:textId="77777777" w:rsidTr="00A47624">
        <w:trPr>
          <w:trHeight w:val="30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4D9D784E"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(5)</w:t>
            </w:r>
          </w:p>
        </w:tc>
        <w:tc>
          <w:tcPr>
            <w:tcW w:w="4760" w:type="dxa"/>
            <w:tcBorders>
              <w:top w:val="nil"/>
              <w:left w:val="nil"/>
              <w:bottom w:val="single" w:sz="4" w:space="0" w:color="auto"/>
              <w:right w:val="single" w:sz="4" w:space="0" w:color="auto"/>
            </w:tcBorders>
            <w:shd w:val="clear" w:color="auto" w:fill="auto"/>
            <w:vAlign w:val="center"/>
            <w:hideMark/>
          </w:tcPr>
          <w:p w14:paraId="2D1D20E7"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fiskālā nodrošinājuma rezerve</w:t>
            </w:r>
          </w:p>
        </w:tc>
        <w:tc>
          <w:tcPr>
            <w:tcW w:w="671" w:type="dxa"/>
            <w:tcBorders>
              <w:top w:val="nil"/>
              <w:left w:val="nil"/>
              <w:bottom w:val="single" w:sz="4" w:space="0" w:color="auto"/>
              <w:right w:val="single" w:sz="4" w:space="0" w:color="auto"/>
            </w:tcBorders>
            <w:shd w:val="clear" w:color="auto" w:fill="auto"/>
            <w:vAlign w:val="center"/>
            <w:hideMark/>
          </w:tcPr>
          <w:p w14:paraId="51840C38" w14:textId="19DE0BFE"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0</w:t>
            </w:r>
            <w:r w:rsidR="00BC0C35" w:rsidRPr="00A47624">
              <w:rPr>
                <w:rFonts w:eastAsia="Times New Roman" w:cs="Times New Roman"/>
                <w:color w:val="000000"/>
                <w:sz w:val="18"/>
                <w:szCs w:val="18"/>
              </w:rPr>
              <w:t>,</w:t>
            </w:r>
            <w:r w:rsidRPr="00A47624">
              <w:rPr>
                <w:rFonts w:eastAsia="Times New Roman" w:cs="Times New Roman"/>
                <w:color w:val="000000"/>
                <w:sz w:val="18"/>
                <w:szCs w:val="18"/>
              </w:rPr>
              <w:t>1</w:t>
            </w:r>
          </w:p>
        </w:tc>
        <w:tc>
          <w:tcPr>
            <w:tcW w:w="655" w:type="dxa"/>
            <w:tcBorders>
              <w:top w:val="nil"/>
              <w:left w:val="nil"/>
              <w:bottom w:val="single" w:sz="4" w:space="0" w:color="auto"/>
              <w:right w:val="single" w:sz="4" w:space="0" w:color="auto"/>
            </w:tcBorders>
            <w:shd w:val="clear" w:color="auto" w:fill="auto"/>
            <w:vAlign w:val="center"/>
            <w:hideMark/>
          </w:tcPr>
          <w:p w14:paraId="51D59310" w14:textId="77E272D7"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0</w:t>
            </w:r>
            <w:r w:rsidR="00BC0C35" w:rsidRPr="00A47624">
              <w:rPr>
                <w:rFonts w:eastAsia="Times New Roman" w:cs="Times New Roman"/>
                <w:color w:val="000000"/>
                <w:sz w:val="18"/>
                <w:szCs w:val="18"/>
              </w:rPr>
              <w:t>,</w:t>
            </w:r>
            <w:r w:rsidRPr="00A47624">
              <w:rPr>
                <w:rFonts w:eastAsia="Times New Roman" w:cs="Times New Roman"/>
                <w:color w:val="000000"/>
                <w:sz w:val="18"/>
                <w:szCs w:val="18"/>
              </w:rPr>
              <w:t>1</w:t>
            </w:r>
          </w:p>
        </w:tc>
        <w:tc>
          <w:tcPr>
            <w:tcW w:w="576" w:type="dxa"/>
            <w:tcBorders>
              <w:top w:val="nil"/>
              <w:left w:val="nil"/>
              <w:bottom w:val="single" w:sz="4" w:space="0" w:color="auto"/>
              <w:right w:val="single" w:sz="4" w:space="0" w:color="auto"/>
            </w:tcBorders>
            <w:shd w:val="clear" w:color="auto" w:fill="auto"/>
            <w:vAlign w:val="center"/>
            <w:hideMark/>
          </w:tcPr>
          <w:p w14:paraId="0977BB09" w14:textId="0EC87712"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0</w:t>
            </w:r>
            <w:r w:rsidR="00BC0C35" w:rsidRPr="00A47624">
              <w:rPr>
                <w:rFonts w:eastAsia="Times New Roman" w:cs="Times New Roman"/>
                <w:color w:val="000000"/>
                <w:sz w:val="18"/>
                <w:szCs w:val="18"/>
              </w:rPr>
              <w:t>,</w:t>
            </w:r>
            <w:r w:rsidRPr="00A47624">
              <w:rPr>
                <w:rFonts w:eastAsia="Times New Roman" w:cs="Times New Roman"/>
                <w:color w:val="000000"/>
                <w:sz w:val="18"/>
                <w:szCs w:val="18"/>
              </w:rPr>
              <w:t>1</w:t>
            </w:r>
          </w:p>
        </w:tc>
      </w:tr>
      <w:tr w:rsidR="00BC0C35" w:rsidRPr="00A47624" w14:paraId="60561D30" w14:textId="77777777" w:rsidTr="00A47624">
        <w:trPr>
          <w:trHeight w:val="30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F393341"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(6)=(4)-(5)</w:t>
            </w:r>
          </w:p>
        </w:tc>
        <w:tc>
          <w:tcPr>
            <w:tcW w:w="4760" w:type="dxa"/>
            <w:tcBorders>
              <w:top w:val="nil"/>
              <w:left w:val="nil"/>
              <w:bottom w:val="single" w:sz="4" w:space="0" w:color="auto"/>
              <w:right w:val="single" w:sz="4" w:space="0" w:color="auto"/>
            </w:tcBorders>
            <w:shd w:val="clear" w:color="auto" w:fill="auto"/>
            <w:vAlign w:val="center"/>
            <w:hideMark/>
          </w:tcPr>
          <w:p w14:paraId="30702C04" w14:textId="2419221D" w:rsidR="00934881" w:rsidRPr="00A47624" w:rsidRDefault="00A47624" w:rsidP="00934881">
            <w:pPr>
              <w:spacing w:after="0"/>
              <w:ind w:firstLine="0"/>
              <w:rPr>
                <w:rFonts w:eastAsia="Times New Roman" w:cs="Times New Roman"/>
                <w:color w:val="000000"/>
                <w:sz w:val="18"/>
                <w:szCs w:val="18"/>
              </w:rPr>
            </w:pPr>
            <w:r>
              <w:rPr>
                <w:rFonts w:eastAsia="Times New Roman" w:cs="Times New Roman"/>
                <w:color w:val="000000"/>
                <w:sz w:val="18"/>
                <w:szCs w:val="18"/>
              </w:rPr>
              <w:t>nominālā bilance (vidēja termiņa budžeta ietvara likums</w:t>
            </w:r>
            <w:r w:rsidR="00934881" w:rsidRPr="00A47624">
              <w:rPr>
                <w:rFonts w:eastAsia="Times New Roman" w:cs="Times New Roman"/>
                <w:color w:val="000000"/>
                <w:sz w:val="18"/>
                <w:szCs w:val="18"/>
              </w:rPr>
              <w:t>)</w:t>
            </w:r>
          </w:p>
        </w:tc>
        <w:tc>
          <w:tcPr>
            <w:tcW w:w="671" w:type="dxa"/>
            <w:tcBorders>
              <w:top w:val="nil"/>
              <w:left w:val="nil"/>
              <w:bottom w:val="single" w:sz="4" w:space="0" w:color="auto"/>
              <w:right w:val="single" w:sz="4" w:space="0" w:color="auto"/>
            </w:tcBorders>
            <w:shd w:val="clear" w:color="auto" w:fill="auto"/>
            <w:vAlign w:val="center"/>
            <w:hideMark/>
          </w:tcPr>
          <w:p w14:paraId="5A556267" w14:textId="1B691AE1"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-4</w:t>
            </w:r>
            <w:r w:rsidR="00BC0C35" w:rsidRPr="00A47624">
              <w:rPr>
                <w:rFonts w:eastAsia="Times New Roman" w:cs="Times New Roman"/>
                <w:color w:val="000000"/>
                <w:sz w:val="18"/>
                <w:szCs w:val="18"/>
              </w:rPr>
              <w:t>,</w:t>
            </w:r>
            <w:r w:rsidRPr="00A47624">
              <w:rPr>
                <w:rFonts w:eastAsia="Times New Roman" w:cs="Times New Roman"/>
                <w:color w:val="000000"/>
                <w:sz w:val="18"/>
                <w:szCs w:val="18"/>
              </w:rPr>
              <w:t>9</w:t>
            </w:r>
          </w:p>
        </w:tc>
        <w:tc>
          <w:tcPr>
            <w:tcW w:w="655" w:type="dxa"/>
            <w:tcBorders>
              <w:top w:val="nil"/>
              <w:left w:val="nil"/>
              <w:bottom w:val="single" w:sz="4" w:space="0" w:color="auto"/>
              <w:right w:val="single" w:sz="4" w:space="0" w:color="auto"/>
            </w:tcBorders>
            <w:shd w:val="clear" w:color="auto" w:fill="auto"/>
            <w:vAlign w:val="center"/>
            <w:hideMark/>
          </w:tcPr>
          <w:p w14:paraId="18ACF82A" w14:textId="65CA1346"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-2</w:t>
            </w:r>
            <w:r w:rsidR="00BC0C35" w:rsidRPr="00A47624">
              <w:rPr>
                <w:rFonts w:eastAsia="Times New Roman" w:cs="Times New Roman"/>
                <w:color w:val="000000"/>
                <w:sz w:val="18"/>
                <w:szCs w:val="18"/>
              </w:rPr>
              <w:t>,</w:t>
            </w:r>
            <w:r w:rsidRPr="00A47624">
              <w:rPr>
                <w:rFonts w:eastAsia="Times New Roman" w:cs="Times New Roman"/>
                <w:color w:val="000000"/>
                <w:sz w:val="18"/>
                <w:szCs w:val="18"/>
              </w:rPr>
              <w:t>2</w:t>
            </w:r>
          </w:p>
        </w:tc>
        <w:tc>
          <w:tcPr>
            <w:tcW w:w="576" w:type="dxa"/>
            <w:tcBorders>
              <w:top w:val="nil"/>
              <w:left w:val="nil"/>
              <w:bottom w:val="single" w:sz="4" w:space="0" w:color="auto"/>
              <w:right w:val="single" w:sz="4" w:space="0" w:color="auto"/>
            </w:tcBorders>
            <w:shd w:val="clear" w:color="auto" w:fill="auto"/>
            <w:vAlign w:val="center"/>
            <w:hideMark/>
          </w:tcPr>
          <w:p w14:paraId="3EB92891" w14:textId="37981046"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-1</w:t>
            </w:r>
            <w:r w:rsidR="00BC0C35" w:rsidRPr="00A47624">
              <w:rPr>
                <w:rFonts w:eastAsia="Times New Roman" w:cs="Times New Roman"/>
                <w:color w:val="000000"/>
                <w:sz w:val="18"/>
                <w:szCs w:val="18"/>
              </w:rPr>
              <w:t>,</w:t>
            </w:r>
            <w:r w:rsidRPr="00A47624">
              <w:rPr>
                <w:rFonts w:eastAsia="Times New Roman" w:cs="Times New Roman"/>
                <w:color w:val="000000"/>
                <w:sz w:val="18"/>
                <w:szCs w:val="18"/>
              </w:rPr>
              <w:t>4</w:t>
            </w:r>
          </w:p>
        </w:tc>
      </w:tr>
      <w:tr w:rsidR="00BC0C35" w:rsidRPr="00A47624" w14:paraId="5FB5D286" w14:textId="77777777" w:rsidTr="00A47624">
        <w:trPr>
          <w:trHeight w:val="30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62AAA476"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(7)</w:t>
            </w:r>
          </w:p>
        </w:tc>
        <w:tc>
          <w:tcPr>
            <w:tcW w:w="4760" w:type="dxa"/>
            <w:tcBorders>
              <w:top w:val="nil"/>
              <w:left w:val="nil"/>
              <w:bottom w:val="single" w:sz="4" w:space="0" w:color="auto"/>
              <w:right w:val="single" w:sz="4" w:space="0" w:color="auto"/>
            </w:tcBorders>
            <w:shd w:val="clear" w:color="auto" w:fill="auto"/>
            <w:vAlign w:val="center"/>
            <w:hideMark/>
          </w:tcPr>
          <w:p w14:paraId="47741D88"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bilances cikliskā komponente</w:t>
            </w:r>
          </w:p>
        </w:tc>
        <w:tc>
          <w:tcPr>
            <w:tcW w:w="671" w:type="dxa"/>
            <w:tcBorders>
              <w:top w:val="nil"/>
              <w:left w:val="nil"/>
              <w:bottom w:val="single" w:sz="4" w:space="0" w:color="auto"/>
              <w:right w:val="single" w:sz="4" w:space="0" w:color="auto"/>
            </w:tcBorders>
            <w:shd w:val="clear" w:color="auto" w:fill="auto"/>
            <w:vAlign w:val="center"/>
            <w:hideMark/>
          </w:tcPr>
          <w:p w14:paraId="4C9DBC01" w14:textId="4448ACE2"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-0</w:t>
            </w:r>
            <w:r w:rsidR="00BC0C35" w:rsidRPr="00A47624">
              <w:rPr>
                <w:rFonts w:eastAsia="Times New Roman" w:cs="Times New Roman"/>
                <w:color w:val="000000"/>
                <w:sz w:val="18"/>
                <w:szCs w:val="18"/>
              </w:rPr>
              <w:t>,</w:t>
            </w:r>
            <w:r w:rsidRPr="00A47624">
              <w:rPr>
                <w:rFonts w:eastAsia="Times New Roman" w:cs="Times New Roman"/>
                <w:color w:val="000000"/>
                <w:sz w:val="18"/>
                <w:szCs w:val="18"/>
              </w:rPr>
              <w:t>2</w:t>
            </w:r>
          </w:p>
        </w:tc>
        <w:tc>
          <w:tcPr>
            <w:tcW w:w="655" w:type="dxa"/>
            <w:tcBorders>
              <w:top w:val="nil"/>
              <w:left w:val="nil"/>
              <w:bottom w:val="single" w:sz="4" w:space="0" w:color="auto"/>
              <w:right w:val="single" w:sz="4" w:space="0" w:color="auto"/>
            </w:tcBorders>
            <w:shd w:val="clear" w:color="auto" w:fill="auto"/>
            <w:vAlign w:val="center"/>
            <w:hideMark/>
          </w:tcPr>
          <w:p w14:paraId="5A4244C8" w14:textId="041082B3"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0</w:t>
            </w:r>
            <w:r w:rsidR="00BC0C35" w:rsidRPr="00A47624">
              <w:rPr>
                <w:rFonts w:eastAsia="Times New Roman" w:cs="Times New Roman"/>
                <w:color w:val="000000"/>
                <w:sz w:val="18"/>
                <w:szCs w:val="18"/>
              </w:rPr>
              <w:t>,</w:t>
            </w:r>
            <w:r w:rsidRPr="00A47624">
              <w:rPr>
                <w:rFonts w:eastAsia="Times New Roman" w:cs="Times New Roman"/>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14:paraId="3B55A55E" w14:textId="33F9D5ED"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0</w:t>
            </w:r>
            <w:r w:rsidR="00BC0C35" w:rsidRPr="00A47624">
              <w:rPr>
                <w:rFonts w:eastAsia="Times New Roman" w:cs="Times New Roman"/>
                <w:color w:val="000000"/>
                <w:sz w:val="18"/>
                <w:szCs w:val="18"/>
              </w:rPr>
              <w:t>,</w:t>
            </w:r>
            <w:r w:rsidRPr="00A47624">
              <w:rPr>
                <w:rFonts w:eastAsia="Times New Roman" w:cs="Times New Roman"/>
                <w:color w:val="000000"/>
                <w:sz w:val="18"/>
                <w:szCs w:val="18"/>
              </w:rPr>
              <w:t>1</w:t>
            </w:r>
          </w:p>
        </w:tc>
      </w:tr>
      <w:tr w:rsidR="00BC0C35" w:rsidRPr="00A47624" w14:paraId="6E761D08" w14:textId="77777777" w:rsidTr="00A47624">
        <w:trPr>
          <w:trHeight w:val="30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D5A548A"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(8)</w:t>
            </w:r>
          </w:p>
        </w:tc>
        <w:tc>
          <w:tcPr>
            <w:tcW w:w="4760" w:type="dxa"/>
            <w:tcBorders>
              <w:top w:val="nil"/>
              <w:left w:val="nil"/>
              <w:bottom w:val="single" w:sz="4" w:space="0" w:color="auto"/>
              <w:right w:val="single" w:sz="4" w:space="0" w:color="auto"/>
            </w:tcBorders>
            <w:shd w:val="clear" w:color="auto" w:fill="auto"/>
            <w:vAlign w:val="center"/>
            <w:hideMark/>
          </w:tcPr>
          <w:p w14:paraId="6D6A279E"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vienreizējie pasākumi</w:t>
            </w:r>
          </w:p>
        </w:tc>
        <w:tc>
          <w:tcPr>
            <w:tcW w:w="671" w:type="dxa"/>
            <w:tcBorders>
              <w:top w:val="nil"/>
              <w:left w:val="nil"/>
              <w:bottom w:val="single" w:sz="4" w:space="0" w:color="auto"/>
              <w:right w:val="single" w:sz="4" w:space="0" w:color="auto"/>
            </w:tcBorders>
            <w:shd w:val="clear" w:color="auto" w:fill="auto"/>
            <w:vAlign w:val="center"/>
            <w:hideMark/>
          </w:tcPr>
          <w:p w14:paraId="1C7ED169" w14:textId="54A97DFD"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0</w:t>
            </w:r>
            <w:r w:rsidR="00BC0C35" w:rsidRPr="00A47624">
              <w:rPr>
                <w:rFonts w:eastAsia="Times New Roman" w:cs="Times New Roman"/>
                <w:color w:val="000000"/>
                <w:sz w:val="18"/>
                <w:szCs w:val="18"/>
              </w:rPr>
              <w:t>,</w:t>
            </w:r>
            <w:r w:rsidRPr="00A47624">
              <w:rPr>
                <w:rFonts w:eastAsia="Times New Roman" w:cs="Times New Roman"/>
                <w:color w:val="000000"/>
                <w:sz w:val="18"/>
                <w:szCs w:val="18"/>
              </w:rPr>
              <w:t>0</w:t>
            </w:r>
          </w:p>
        </w:tc>
        <w:tc>
          <w:tcPr>
            <w:tcW w:w="655" w:type="dxa"/>
            <w:tcBorders>
              <w:top w:val="nil"/>
              <w:left w:val="nil"/>
              <w:bottom w:val="single" w:sz="4" w:space="0" w:color="auto"/>
              <w:right w:val="single" w:sz="4" w:space="0" w:color="auto"/>
            </w:tcBorders>
            <w:shd w:val="clear" w:color="auto" w:fill="auto"/>
            <w:vAlign w:val="center"/>
            <w:hideMark/>
          </w:tcPr>
          <w:p w14:paraId="48346A1B" w14:textId="661BCE90"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0</w:t>
            </w:r>
            <w:r w:rsidR="00BC0C35" w:rsidRPr="00A47624">
              <w:rPr>
                <w:rFonts w:eastAsia="Times New Roman" w:cs="Times New Roman"/>
                <w:color w:val="000000"/>
                <w:sz w:val="18"/>
                <w:szCs w:val="18"/>
              </w:rPr>
              <w:t>,</w:t>
            </w:r>
            <w:r w:rsidRPr="00A47624">
              <w:rPr>
                <w:rFonts w:eastAsia="Times New Roman" w:cs="Times New Roman"/>
                <w:color w:val="000000"/>
                <w:sz w:val="18"/>
                <w:szCs w:val="18"/>
              </w:rPr>
              <w:t>0</w:t>
            </w:r>
          </w:p>
        </w:tc>
        <w:tc>
          <w:tcPr>
            <w:tcW w:w="576" w:type="dxa"/>
            <w:tcBorders>
              <w:top w:val="nil"/>
              <w:left w:val="nil"/>
              <w:bottom w:val="single" w:sz="4" w:space="0" w:color="auto"/>
              <w:right w:val="single" w:sz="4" w:space="0" w:color="auto"/>
            </w:tcBorders>
            <w:shd w:val="clear" w:color="auto" w:fill="auto"/>
            <w:vAlign w:val="center"/>
            <w:hideMark/>
          </w:tcPr>
          <w:p w14:paraId="1DD77A28" w14:textId="79F86523"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0</w:t>
            </w:r>
            <w:r w:rsidR="00BC0C35" w:rsidRPr="00A47624">
              <w:rPr>
                <w:rFonts w:eastAsia="Times New Roman" w:cs="Times New Roman"/>
                <w:color w:val="000000"/>
                <w:sz w:val="18"/>
                <w:szCs w:val="18"/>
              </w:rPr>
              <w:t>,</w:t>
            </w:r>
            <w:r w:rsidRPr="00A47624">
              <w:rPr>
                <w:rFonts w:eastAsia="Times New Roman" w:cs="Times New Roman"/>
                <w:color w:val="000000"/>
                <w:sz w:val="18"/>
                <w:szCs w:val="18"/>
              </w:rPr>
              <w:t>0</w:t>
            </w:r>
          </w:p>
        </w:tc>
      </w:tr>
      <w:tr w:rsidR="00BC0C35" w:rsidRPr="00A47624" w14:paraId="1AB7C008" w14:textId="77777777" w:rsidTr="00A47624">
        <w:trPr>
          <w:trHeight w:val="30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4444A734"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(9)=(6)-(7)-(8)</w:t>
            </w:r>
          </w:p>
        </w:tc>
        <w:tc>
          <w:tcPr>
            <w:tcW w:w="4760" w:type="dxa"/>
            <w:tcBorders>
              <w:top w:val="nil"/>
              <w:left w:val="nil"/>
              <w:bottom w:val="single" w:sz="4" w:space="0" w:color="auto"/>
              <w:right w:val="single" w:sz="4" w:space="0" w:color="auto"/>
            </w:tcBorders>
            <w:shd w:val="clear" w:color="auto" w:fill="auto"/>
            <w:vAlign w:val="center"/>
            <w:hideMark/>
          </w:tcPr>
          <w:p w14:paraId="18CF53EE" w14:textId="77777777" w:rsidR="00934881" w:rsidRPr="00A47624" w:rsidRDefault="00934881" w:rsidP="00934881">
            <w:pPr>
              <w:spacing w:after="0"/>
              <w:ind w:firstLine="0"/>
              <w:rPr>
                <w:rFonts w:eastAsia="Times New Roman" w:cs="Times New Roman"/>
                <w:color w:val="000000"/>
                <w:sz w:val="18"/>
                <w:szCs w:val="18"/>
              </w:rPr>
            </w:pPr>
            <w:r w:rsidRPr="00A47624">
              <w:rPr>
                <w:rFonts w:eastAsia="Times New Roman" w:cs="Times New Roman"/>
                <w:color w:val="000000"/>
                <w:sz w:val="18"/>
                <w:szCs w:val="18"/>
              </w:rPr>
              <w:t xml:space="preserve">strukturālās bilances mērķis </w:t>
            </w:r>
          </w:p>
        </w:tc>
        <w:tc>
          <w:tcPr>
            <w:tcW w:w="671" w:type="dxa"/>
            <w:tcBorders>
              <w:top w:val="nil"/>
              <w:left w:val="nil"/>
              <w:bottom w:val="single" w:sz="4" w:space="0" w:color="auto"/>
              <w:right w:val="single" w:sz="4" w:space="0" w:color="auto"/>
            </w:tcBorders>
            <w:shd w:val="clear" w:color="auto" w:fill="auto"/>
            <w:vAlign w:val="center"/>
            <w:hideMark/>
          </w:tcPr>
          <w:p w14:paraId="64D3835C" w14:textId="2491DF18"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-4</w:t>
            </w:r>
            <w:r w:rsidR="00BC0C35" w:rsidRPr="00A47624">
              <w:rPr>
                <w:rFonts w:eastAsia="Times New Roman" w:cs="Times New Roman"/>
                <w:color w:val="000000"/>
                <w:sz w:val="18"/>
                <w:szCs w:val="18"/>
              </w:rPr>
              <w:t>,</w:t>
            </w:r>
            <w:r w:rsidRPr="00A47624">
              <w:rPr>
                <w:rFonts w:eastAsia="Times New Roman" w:cs="Times New Roman"/>
                <w:color w:val="000000"/>
                <w:sz w:val="18"/>
                <w:szCs w:val="18"/>
              </w:rPr>
              <w:t>7</w:t>
            </w:r>
          </w:p>
        </w:tc>
        <w:tc>
          <w:tcPr>
            <w:tcW w:w="655" w:type="dxa"/>
            <w:tcBorders>
              <w:top w:val="nil"/>
              <w:left w:val="nil"/>
              <w:bottom w:val="single" w:sz="4" w:space="0" w:color="auto"/>
              <w:right w:val="single" w:sz="4" w:space="0" w:color="auto"/>
            </w:tcBorders>
            <w:shd w:val="clear" w:color="auto" w:fill="auto"/>
            <w:vAlign w:val="center"/>
            <w:hideMark/>
          </w:tcPr>
          <w:p w14:paraId="21635F94" w14:textId="25059C3E"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-2</w:t>
            </w:r>
            <w:r w:rsidR="00BC0C35" w:rsidRPr="00A47624">
              <w:rPr>
                <w:rFonts w:eastAsia="Times New Roman" w:cs="Times New Roman"/>
                <w:color w:val="000000"/>
                <w:sz w:val="18"/>
                <w:szCs w:val="18"/>
              </w:rPr>
              <w:t>,</w:t>
            </w:r>
            <w:r w:rsidRPr="00A47624">
              <w:rPr>
                <w:rFonts w:eastAsia="Times New Roman" w:cs="Times New Roman"/>
                <w:color w:val="000000"/>
                <w:sz w:val="18"/>
                <w:szCs w:val="18"/>
              </w:rPr>
              <w:t>1</w:t>
            </w:r>
          </w:p>
        </w:tc>
        <w:tc>
          <w:tcPr>
            <w:tcW w:w="576" w:type="dxa"/>
            <w:tcBorders>
              <w:top w:val="nil"/>
              <w:left w:val="nil"/>
              <w:bottom w:val="single" w:sz="4" w:space="0" w:color="auto"/>
              <w:right w:val="single" w:sz="4" w:space="0" w:color="auto"/>
            </w:tcBorders>
            <w:shd w:val="clear" w:color="auto" w:fill="auto"/>
            <w:vAlign w:val="center"/>
            <w:hideMark/>
          </w:tcPr>
          <w:p w14:paraId="7C566D9B" w14:textId="523FD1EB" w:rsidR="00934881" w:rsidRPr="00A47624" w:rsidRDefault="00934881" w:rsidP="00934881">
            <w:pPr>
              <w:spacing w:after="0"/>
              <w:ind w:firstLine="0"/>
              <w:jc w:val="right"/>
              <w:rPr>
                <w:rFonts w:eastAsia="Times New Roman" w:cs="Times New Roman"/>
                <w:color w:val="000000"/>
                <w:sz w:val="18"/>
                <w:szCs w:val="18"/>
              </w:rPr>
            </w:pPr>
            <w:r w:rsidRPr="00A47624">
              <w:rPr>
                <w:rFonts w:eastAsia="Times New Roman" w:cs="Times New Roman"/>
                <w:color w:val="000000"/>
                <w:sz w:val="18"/>
                <w:szCs w:val="18"/>
              </w:rPr>
              <w:t>-1</w:t>
            </w:r>
            <w:r w:rsidR="00BC0C35" w:rsidRPr="00A47624">
              <w:rPr>
                <w:rFonts w:eastAsia="Times New Roman" w:cs="Times New Roman"/>
                <w:color w:val="000000"/>
                <w:sz w:val="18"/>
                <w:szCs w:val="18"/>
              </w:rPr>
              <w:t>,</w:t>
            </w:r>
            <w:r w:rsidRPr="00A47624">
              <w:rPr>
                <w:rFonts w:eastAsia="Times New Roman" w:cs="Times New Roman"/>
                <w:color w:val="000000"/>
                <w:sz w:val="18"/>
                <w:szCs w:val="18"/>
              </w:rPr>
              <w:t>4</w:t>
            </w:r>
          </w:p>
        </w:tc>
      </w:tr>
    </w:tbl>
    <w:p w14:paraId="6B537319" w14:textId="77777777" w:rsidR="00071293" w:rsidRPr="00A47624" w:rsidRDefault="00071293" w:rsidP="00071293">
      <w:pPr>
        <w:widowControl w:val="0"/>
        <w:jc w:val="center"/>
        <w:rPr>
          <w:rFonts w:eastAsia="Times New Roman" w:cs="Times New Roman"/>
          <w:b/>
          <w:color w:val="000000"/>
          <w:szCs w:val="24"/>
        </w:rPr>
      </w:pPr>
    </w:p>
    <w:p w14:paraId="18851389" w14:textId="33C8EF92" w:rsidR="00A30414" w:rsidRPr="000226D6" w:rsidRDefault="00071293" w:rsidP="000226D6">
      <w:pPr>
        <w:widowControl w:val="0"/>
        <w:rPr>
          <w:rFonts w:ascii="Calibri" w:eastAsia="Calibri" w:hAnsi="Calibri" w:cs="Calibri"/>
          <w:szCs w:val="24"/>
        </w:rPr>
      </w:pPr>
      <w:r w:rsidRPr="00A47624">
        <w:rPr>
          <w:rFonts w:eastAsia="Times New Roman" w:cs="Times New Roman"/>
          <w:szCs w:val="24"/>
        </w:rPr>
        <w:t>Ņemot vērā iepriekš veiktos aprēķinus, tiek noteikti kvantitatīvie fiskālie mērķi vidējam termiņam, t.i., nodrošināt vispārējās valdības budžeta strukturālo bilanci 2022.</w:t>
      </w:r>
      <w:r w:rsidR="00A47624">
        <w:rPr>
          <w:rFonts w:eastAsia="Times New Roman" w:cs="Times New Roman"/>
          <w:szCs w:val="24"/>
        </w:rPr>
        <w:t xml:space="preserve"> </w:t>
      </w:r>
      <w:r w:rsidRPr="00A47624">
        <w:rPr>
          <w:rFonts w:eastAsia="Times New Roman" w:cs="Times New Roman"/>
          <w:szCs w:val="24"/>
        </w:rPr>
        <w:t>gadā -</w:t>
      </w:r>
      <w:r w:rsidR="003F678F" w:rsidRPr="00A47624">
        <w:rPr>
          <w:rFonts w:eastAsia="Times New Roman" w:cs="Times New Roman"/>
          <w:szCs w:val="24"/>
        </w:rPr>
        <w:t>4</w:t>
      </w:r>
      <w:r w:rsidRPr="00A47624">
        <w:rPr>
          <w:rFonts w:eastAsia="Times New Roman" w:cs="Times New Roman"/>
          <w:szCs w:val="24"/>
        </w:rPr>
        <w:t>,</w:t>
      </w:r>
      <w:r w:rsidR="003F678F" w:rsidRPr="00A47624">
        <w:rPr>
          <w:rFonts w:eastAsia="Times New Roman" w:cs="Times New Roman"/>
          <w:szCs w:val="24"/>
        </w:rPr>
        <w:t>7</w:t>
      </w:r>
      <w:r w:rsidR="00A47624">
        <w:rPr>
          <w:rFonts w:eastAsia="Times New Roman" w:cs="Times New Roman"/>
          <w:szCs w:val="24"/>
        </w:rPr>
        <w:t>% no iekšzemes kopprodukta</w:t>
      </w:r>
      <w:r w:rsidRPr="00A47624">
        <w:rPr>
          <w:rFonts w:eastAsia="Times New Roman" w:cs="Times New Roman"/>
          <w:szCs w:val="24"/>
        </w:rPr>
        <w:t>, 2023.</w:t>
      </w:r>
      <w:r w:rsidR="00A47624">
        <w:rPr>
          <w:rFonts w:eastAsia="Times New Roman" w:cs="Times New Roman"/>
          <w:szCs w:val="24"/>
        </w:rPr>
        <w:t xml:space="preserve"> </w:t>
      </w:r>
      <w:r w:rsidRPr="00A47624">
        <w:rPr>
          <w:rFonts w:eastAsia="Times New Roman" w:cs="Times New Roman"/>
          <w:szCs w:val="24"/>
        </w:rPr>
        <w:t>gadā -</w:t>
      </w:r>
      <w:r w:rsidR="003F678F" w:rsidRPr="00A47624">
        <w:rPr>
          <w:rFonts w:eastAsia="Times New Roman" w:cs="Times New Roman"/>
          <w:szCs w:val="24"/>
        </w:rPr>
        <w:t>2</w:t>
      </w:r>
      <w:r w:rsidRPr="00A47624">
        <w:rPr>
          <w:rFonts w:eastAsia="Times New Roman" w:cs="Times New Roman"/>
          <w:szCs w:val="24"/>
        </w:rPr>
        <w:t>,</w:t>
      </w:r>
      <w:r w:rsidR="003F678F" w:rsidRPr="00A47624">
        <w:rPr>
          <w:rFonts w:eastAsia="Times New Roman" w:cs="Times New Roman"/>
          <w:szCs w:val="24"/>
        </w:rPr>
        <w:t>1</w:t>
      </w:r>
      <w:r w:rsidR="00A47624">
        <w:rPr>
          <w:rFonts w:eastAsia="Times New Roman" w:cs="Times New Roman"/>
          <w:szCs w:val="24"/>
        </w:rPr>
        <w:t>% no iekšzemes kopprodukta</w:t>
      </w:r>
      <w:r w:rsidRPr="00A47624">
        <w:rPr>
          <w:rFonts w:eastAsia="Times New Roman" w:cs="Times New Roman"/>
          <w:szCs w:val="24"/>
        </w:rPr>
        <w:t xml:space="preserve"> un 2024.</w:t>
      </w:r>
      <w:r w:rsidR="000226D6">
        <w:rPr>
          <w:rFonts w:eastAsia="Times New Roman" w:cs="Times New Roman"/>
          <w:szCs w:val="24"/>
        </w:rPr>
        <w:t xml:space="preserve"> </w:t>
      </w:r>
      <w:r w:rsidRPr="00A47624">
        <w:rPr>
          <w:rFonts w:eastAsia="Times New Roman" w:cs="Times New Roman"/>
          <w:szCs w:val="24"/>
        </w:rPr>
        <w:t>gadā -</w:t>
      </w:r>
      <w:r w:rsidR="003F678F" w:rsidRPr="00A47624">
        <w:rPr>
          <w:rFonts w:eastAsia="Times New Roman" w:cs="Times New Roman"/>
          <w:szCs w:val="24"/>
        </w:rPr>
        <w:t>1</w:t>
      </w:r>
      <w:r w:rsidRPr="00A47624">
        <w:rPr>
          <w:rFonts w:eastAsia="Times New Roman" w:cs="Times New Roman"/>
          <w:szCs w:val="24"/>
        </w:rPr>
        <w:t>,</w:t>
      </w:r>
      <w:r w:rsidR="003F678F" w:rsidRPr="00A47624">
        <w:rPr>
          <w:rFonts w:eastAsia="Times New Roman" w:cs="Times New Roman"/>
          <w:szCs w:val="24"/>
        </w:rPr>
        <w:t>4</w:t>
      </w:r>
      <w:r w:rsidR="000226D6">
        <w:rPr>
          <w:rFonts w:eastAsia="Times New Roman" w:cs="Times New Roman"/>
          <w:szCs w:val="24"/>
        </w:rPr>
        <w:t>% no iekšzemes kopprodukta</w:t>
      </w:r>
      <w:r w:rsidRPr="00A47624">
        <w:rPr>
          <w:rFonts w:eastAsia="Times New Roman" w:cs="Times New Roman"/>
          <w:szCs w:val="24"/>
        </w:rPr>
        <w:t>. Vispārējās valdības nominālā bilance</w:t>
      </w:r>
      <w:r w:rsidR="00934881" w:rsidRPr="00A47624">
        <w:rPr>
          <w:rFonts w:eastAsia="Times New Roman" w:cs="Times New Roman"/>
          <w:szCs w:val="24"/>
        </w:rPr>
        <w:t xml:space="preserve"> (šī ietvara likumprojekta vajadzībām)</w:t>
      </w:r>
      <w:r w:rsidRPr="00A47624">
        <w:rPr>
          <w:rFonts w:eastAsia="Times New Roman" w:cs="Times New Roman"/>
          <w:szCs w:val="24"/>
        </w:rPr>
        <w:t xml:space="preserve"> tiek noteikta: -</w:t>
      </w:r>
      <w:r w:rsidR="00934881" w:rsidRPr="00A47624">
        <w:rPr>
          <w:rFonts w:eastAsia="Times New Roman" w:cs="Times New Roman"/>
          <w:szCs w:val="24"/>
        </w:rPr>
        <w:t>4</w:t>
      </w:r>
      <w:r w:rsidRPr="00A47624">
        <w:rPr>
          <w:rFonts w:eastAsia="Times New Roman" w:cs="Times New Roman"/>
          <w:szCs w:val="24"/>
        </w:rPr>
        <w:t>,</w:t>
      </w:r>
      <w:r w:rsidR="00934881" w:rsidRPr="00A47624">
        <w:rPr>
          <w:rFonts w:eastAsia="Times New Roman" w:cs="Times New Roman"/>
          <w:szCs w:val="24"/>
        </w:rPr>
        <w:t>9</w:t>
      </w:r>
      <w:r w:rsidR="000226D6">
        <w:rPr>
          <w:rFonts w:eastAsia="Times New Roman" w:cs="Times New Roman"/>
          <w:szCs w:val="24"/>
        </w:rPr>
        <w:t>% no iekšzemes kopprodukta</w:t>
      </w:r>
      <w:r w:rsidRPr="00A47624">
        <w:rPr>
          <w:rFonts w:eastAsia="Times New Roman" w:cs="Times New Roman"/>
          <w:szCs w:val="24"/>
        </w:rPr>
        <w:t xml:space="preserve"> 2022.</w:t>
      </w:r>
      <w:r w:rsidR="000226D6">
        <w:rPr>
          <w:rFonts w:eastAsia="Times New Roman" w:cs="Times New Roman"/>
          <w:szCs w:val="24"/>
        </w:rPr>
        <w:t xml:space="preserve"> </w:t>
      </w:r>
      <w:r w:rsidRPr="00A47624">
        <w:rPr>
          <w:rFonts w:eastAsia="Times New Roman" w:cs="Times New Roman"/>
          <w:szCs w:val="24"/>
        </w:rPr>
        <w:t>gadam, -</w:t>
      </w:r>
      <w:r w:rsidR="00934881" w:rsidRPr="00A47624">
        <w:rPr>
          <w:rFonts w:eastAsia="Times New Roman" w:cs="Times New Roman"/>
          <w:szCs w:val="24"/>
        </w:rPr>
        <w:t>2</w:t>
      </w:r>
      <w:r w:rsidRPr="00A47624">
        <w:rPr>
          <w:rFonts w:eastAsia="Times New Roman" w:cs="Times New Roman"/>
          <w:szCs w:val="24"/>
        </w:rPr>
        <w:t>,</w:t>
      </w:r>
      <w:r w:rsidR="00934881" w:rsidRPr="00A47624">
        <w:rPr>
          <w:rFonts w:eastAsia="Times New Roman" w:cs="Times New Roman"/>
          <w:szCs w:val="24"/>
        </w:rPr>
        <w:t>2</w:t>
      </w:r>
      <w:r w:rsidR="000226D6">
        <w:rPr>
          <w:rFonts w:eastAsia="Times New Roman" w:cs="Times New Roman"/>
          <w:szCs w:val="24"/>
        </w:rPr>
        <w:t>% no iekšzemes kopprodukta</w:t>
      </w:r>
      <w:r w:rsidRPr="00A47624">
        <w:rPr>
          <w:rFonts w:eastAsia="Times New Roman" w:cs="Times New Roman"/>
          <w:szCs w:val="24"/>
        </w:rPr>
        <w:t xml:space="preserve"> 2023.</w:t>
      </w:r>
      <w:r w:rsidR="000226D6">
        <w:rPr>
          <w:rFonts w:eastAsia="Times New Roman" w:cs="Times New Roman"/>
          <w:szCs w:val="24"/>
        </w:rPr>
        <w:t xml:space="preserve"> </w:t>
      </w:r>
      <w:r w:rsidRPr="00A47624">
        <w:rPr>
          <w:rFonts w:eastAsia="Times New Roman" w:cs="Times New Roman"/>
          <w:szCs w:val="24"/>
        </w:rPr>
        <w:t>gadam un -</w:t>
      </w:r>
      <w:r w:rsidR="00934881" w:rsidRPr="00A47624">
        <w:rPr>
          <w:rFonts w:eastAsia="Times New Roman" w:cs="Times New Roman"/>
          <w:szCs w:val="24"/>
        </w:rPr>
        <w:t>1</w:t>
      </w:r>
      <w:r w:rsidRPr="00A47624">
        <w:rPr>
          <w:rFonts w:eastAsia="Times New Roman" w:cs="Times New Roman"/>
          <w:szCs w:val="24"/>
        </w:rPr>
        <w:t>,</w:t>
      </w:r>
      <w:r w:rsidR="00934881" w:rsidRPr="00A47624">
        <w:rPr>
          <w:rFonts w:eastAsia="Times New Roman" w:cs="Times New Roman"/>
          <w:szCs w:val="24"/>
        </w:rPr>
        <w:t>4</w:t>
      </w:r>
      <w:r w:rsidR="000226D6">
        <w:rPr>
          <w:rFonts w:eastAsia="Times New Roman" w:cs="Times New Roman"/>
          <w:szCs w:val="24"/>
        </w:rPr>
        <w:t>% no iekšzemes kopprodukta</w:t>
      </w:r>
      <w:r w:rsidRPr="00A47624">
        <w:rPr>
          <w:rFonts w:eastAsia="Times New Roman" w:cs="Times New Roman"/>
          <w:szCs w:val="24"/>
        </w:rPr>
        <w:t xml:space="preserve"> 2024.</w:t>
      </w:r>
      <w:r w:rsidR="000226D6">
        <w:rPr>
          <w:rFonts w:eastAsia="Times New Roman" w:cs="Times New Roman"/>
          <w:szCs w:val="24"/>
        </w:rPr>
        <w:t xml:space="preserve"> </w:t>
      </w:r>
      <w:r w:rsidRPr="00A47624">
        <w:rPr>
          <w:rFonts w:eastAsia="Times New Roman" w:cs="Times New Roman"/>
          <w:szCs w:val="24"/>
        </w:rPr>
        <w:t>gadam.</w:t>
      </w:r>
    </w:p>
    <w:p w14:paraId="684EB4CA" w14:textId="418A2362" w:rsidR="003F3FCD" w:rsidRPr="000226D6" w:rsidRDefault="00941601" w:rsidP="00A45F1F">
      <w:pPr>
        <w:pStyle w:val="Heading3"/>
        <w:numPr>
          <w:ilvl w:val="0"/>
          <w:numId w:val="0"/>
        </w:numPr>
      </w:pPr>
      <w:bookmarkStart w:id="42" w:name="_Toc84756407"/>
      <w:r w:rsidRPr="000226D6">
        <w:t>2.1.2</w:t>
      </w:r>
      <w:r w:rsidR="00E8646E" w:rsidRPr="000226D6">
        <w:t xml:space="preserve">. </w:t>
      </w:r>
      <w:r w:rsidR="000548A5" w:rsidRPr="000226D6">
        <w:t>Koriģēto maksimāli pieļaujamo valsts budžeta izdevumu noteikšana</w:t>
      </w:r>
      <w:bookmarkEnd w:id="42"/>
    </w:p>
    <w:p w14:paraId="17BA19F3" w14:textId="0D6C1FD1" w:rsidR="00071293" w:rsidRPr="000226D6" w:rsidRDefault="000226D6" w:rsidP="00071293">
      <w:pPr>
        <w:widowControl w:val="0"/>
        <w:ind w:firstLine="709"/>
        <w:rPr>
          <w:rFonts w:eastAsia="Times New Roman" w:cs="Times New Roman"/>
        </w:rPr>
      </w:pPr>
      <w:r>
        <w:rPr>
          <w:rFonts w:eastAsia="Times New Roman" w:cs="Times New Roman"/>
        </w:rPr>
        <w:t>Atbilstoši likuma “Fiskālās disciplīnas likums”</w:t>
      </w:r>
      <w:r w:rsidR="00071293" w:rsidRPr="000226D6">
        <w:rPr>
          <w:rFonts w:eastAsia="Times New Roman" w:cs="Times New Roman"/>
        </w:rPr>
        <w:t xml:space="preserve"> nosacījumiem, līdztekus citi</w:t>
      </w:r>
      <w:r>
        <w:rPr>
          <w:rFonts w:eastAsia="Times New Roman" w:cs="Times New Roman"/>
        </w:rPr>
        <w:t>em fiskālajiem rādītājiem, vidēja termiņa budžeta ietvara veidošanas</w:t>
      </w:r>
      <w:r w:rsidR="00071293" w:rsidRPr="000226D6">
        <w:rPr>
          <w:rFonts w:eastAsia="Times New Roman" w:cs="Times New Roman"/>
        </w:rPr>
        <w:t xml:space="preserve"> ietvaros ir nepieciešams aprēķināt koriģētos maksimāli pieļaujamos valsts budžeta izdevumus. Šī fiskālā rādītāja aprēķināšanas</w:t>
      </w:r>
      <w:r>
        <w:rPr>
          <w:rFonts w:eastAsia="Times New Roman" w:cs="Times New Roman"/>
        </w:rPr>
        <w:t xml:space="preserve"> vispārējos principus nosaka likuma “Fiskālās disciplīnas likums”</w:t>
      </w:r>
      <w:r w:rsidR="00071293" w:rsidRPr="000226D6">
        <w:rPr>
          <w:rFonts w:eastAsia="Times New Roman" w:cs="Times New Roman"/>
        </w:rPr>
        <w:t xml:space="preserve"> 15.</w:t>
      </w:r>
      <w:r>
        <w:rPr>
          <w:rFonts w:eastAsia="Times New Roman" w:cs="Times New Roman"/>
        </w:rPr>
        <w:t xml:space="preserve"> </w:t>
      </w:r>
      <w:r w:rsidR="00071293" w:rsidRPr="000226D6">
        <w:rPr>
          <w:rFonts w:eastAsia="Times New Roman" w:cs="Times New Roman"/>
        </w:rPr>
        <w:t xml:space="preserve">pants, savukārt, detalizēts aprēķināšanas algoritms ir izklāstīts šajā sadaļā. </w:t>
      </w:r>
    </w:p>
    <w:p w14:paraId="59823B98" w14:textId="17BD9D03" w:rsidR="00071293" w:rsidRPr="000226D6" w:rsidRDefault="00071293" w:rsidP="00071293">
      <w:pPr>
        <w:widowControl w:val="0"/>
        <w:ind w:firstLine="709"/>
        <w:rPr>
          <w:rFonts w:ascii="Calibri" w:eastAsia="Calibri" w:hAnsi="Calibri" w:cs="Calibri"/>
          <w:sz w:val="22"/>
        </w:rPr>
      </w:pPr>
      <w:r w:rsidRPr="000226D6">
        <w:rPr>
          <w:rFonts w:eastAsia="Times New Roman" w:cs="Times New Roman"/>
        </w:rPr>
        <w:t xml:space="preserve">Aprēķinu algoritms tiek uzsākts ar minimāli plānojamās vispārējās valdības strukturālās bilances mērķa definēšanu, kas saskaņā ar iepriekšējās sadaļas aprakstu </w:t>
      </w:r>
      <w:r w:rsidRPr="000226D6">
        <w:rPr>
          <w:rFonts w:eastAsia="Times New Roman" w:cs="Times New Roman"/>
          <w:color w:val="000000"/>
        </w:rPr>
        <w:t>202</w:t>
      </w:r>
      <w:r w:rsidR="002519DD" w:rsidRPr="000226D6">
        <w:rPr>
          <w:rFonts w:eastAsia="Times New Roman" w:cs="Times New Roman"/>
          <w:color w:val="000000"/>
        </w:rPr>
        <w:t>2</w:t>
      </w:r>
      <w:r w:rsidRPr="000226D6">
        <w:rPr>
          <w:rFonts w:eastAsia="Times New Roman" w:cs="Times New Roman"/>
          <w:color w:val="000000"/>
        </w:rPr>
        <w:t>.</w:t>
      </w:r>
      <w:r w:rsidR="000226D6">
        <w:rPr>
          <w:rFonts w:eastAsia="Times New Roman" w:cs="Times New Roman"/>
          <w:color w:val="000000"/>
        </w:rPr>
        <w:t xml:space="preserve"> </w:t>
      </w:r>
      <w:r w:rsidRPr="000226D6">
        <w:rPr>
          <w:rFonts w:eastAsia="Times New Roman" w:cs="Times New Roman"/>
          <w:color w:val="000000"/>
        </w:rPr>
        <w:t>gadā ir -</w:t>
      </w:r>
      <w:r w:rsidR="002519DD" w:rsidRPr="000226D6">
        <w:rPr>
          <w:rFonts w:eastAsia="Times New Roman" w:cs="Times New Roman"/>
          <w:color w:val="000000"/>
        </w:rPr>
        <w:t>4</w:t>
      </w:r>
      <w:r w:rsidRPr="000226D6">
        <w:rPr>
          <w:rFonts w:eastAsia="Times New Roman" w:cs="Times New Roman"/>
          <w:color w:val="000000"/>
        </w:rPr>
        <w:t>,</w:t>
      </w:r>
      <w:r w:rsidR="002519DD" w:rsidRPr="000226D6">
        <w:rPr>
          <w:rFonts w:eastAsia="Times New Roman" w:cs="Times New Roman"/>
          <w:color w:val="000000"/>
        </w:rPr>
        <w:t>7</w:t>
      </w:r>
      <w:r w:rsidR="000226D6">
        <w:rPr>
          <w:rFonts w:eastAsia="Times New Roman" w:cs="Times New Roman"/>
          <w:color w:val="000000"/>
        </w:rPr>
        <w:t>% no iekšzemes kopprodukta</w:t>
      </w:r>
      <w:r w:rsidRPr="000226D6">
        <w:rPr>
          <w:rFonts w:eastAsia="Times New Roman" w:cs="Times New Roman"/>
          <w:color w:val="000000"/>
        </w:rPr>
        <w:t>, 202</w:t>
      </w:r>
      <w:r w:rsidR="002519DD" w:rsidRPr="000226D6">
        <w:rPr>
          <w:rFonts w:eastAsia="Times New Roman" w:cs="Times New Roman"/>
          <w:color w:val="000000"/>
        </w:rPr>
        <w:t>3</w:t>
      </w:r>
      <w:r w:rsidRPr="000226D6">
        <w:rPr>
          <w:rFonts w:eastAsia="Times New Roman" w:cs="Times New Roman"/>
          <w:color w:val="000000"/>
        </w:rPr>
        <w:t>.</w:t>
      </w:r>
      <w:r w:rsidR="000226D6">
        <w:rPr>
          <w:rFonts w:eastAsia="Times New Roman" w:cs="Times New Roman"/>
          <w:color w:val="000000"/>
        </w:rPr>
        <w:t xml:space="preserve"> </w:t>
      </w:r>
      <w:r w:rsidRPr="000226D6">
        <w:rPr>
          <w:rFonts w:eastAsia="Times New Roman" w:cs="Times New Roman"/>
          <w:color w:val="000000"/>
        </w:rPr>
        <w:t>gadā ir -</w:t>
      </w:r>
      <w:r w:rsidR="002519DD" w:rsidRPr="000226D6">
        <w:rPr>
          <w:rFonts w:eastAsia="Times New Roman" w:cs="Times New Roman"/>
          <w:color w:val="000000"/>
        </w:rPr>
        <w:t>2</w:t>
      </w:r>
      <w:r w:rsidRPr="000226D6">
        <w:rPr>
          <w:rFonts w:eastAsia="Times New Roman" w:cs="Times New Roman"/>
          <w:color w:val="000000"/>
        </w:rPr>
        <w:t>,</w:t>
      </w:r>
      <w:r w:rsidR="002519DD" w:rsidRPr="000226D6">
        <w:rPr>
          <w:rFonts w:eastAsia="Times New Roman" w:cs="Times New Roman"/>
          <w:color w:val="000000"/>
        </w:rPr>
        <w:t>1</w:t>
      </w:r>
      <w:r w:rsidR="000226D6">
        <w:rPr>
          <w:rFonts w:eastAsia="Times New Roman" w:cs="Times New Roman"/>
          <w:color w:val="000000"/>
        </w:rPr>
        <w:t>% no iekšzemes kopprodukta</w:t>
      </w:r>
      <w:r w:rsidRPr="000226D6">
        <w:rPr>
          <w:rFonts w:eastAsia="Times New Roman" w:cs="Times New Roman"/>
          <w:color w:val="000000"/>
        </w:rPr>
        <w:t xml:space="preserve"> un 202</w:t>
      </w:r>
      <w:r w:rsidR="002519DD" w:rsidRPr="000226D6">
        <w:rPr>
          <w:rFonts w:eastAsia="Times New Roman" w:cs="Times New Roman"/>
          <w:color w:val="000000"/>
        </w:rPr>
        <w:t>4</w:t>
      </w:r>
      <w:r w:rsidRPr="000226D6">
        <w:rPr>
          <w:rFonts w:eastAsia="Times New Roman" w:cs="Times New Roman"/>
          <w:color w:val="000000"/>
        </w:rPr>
        <w:t>.</w:t>
      </w:r>
      <w:r w:rsidR="000226D6">
        <w:rPr>
          <w:rFonts w:eastAsia="Times New Roman" w:cs="Times New Roman"/>
          <w:color w:val="000000"/>
        </w:rPr>
        <w:t xml:space="preserve"> </w:t>
      </w:r>
      <w:r w:rsidRPr="000226D6">
        <w:rPr>
          <w:rFonts w:eastAsia="Times New Roman" w:cs="Times New Roman"/>
          <w:color w:val="000000"/>
        </w:rPr>
        <w:t>gadā ir -</w:t>
      </w:r>
      <w:r w:rsidR="002519DD" w:rsidRPr="000226D6">
        <w:rPr>
          <w:rFonts w:eastAsia="Times New Roman" w:cs="Times New Roman"/>
          <w:color w:val="000000"/>
        </w:rPr>
        <w:t>1</w:t>
      </w:r>
      <w:r w:rsidRPr="000226D6">
        <w:rPr>
          <w:rFonts w:eastAsia="Times New Roman" w:cs="Times New Roman"/>
          <w:color w:val="000000"/>
        </w:rPr>
        <w:t>,</w:t>
      </w:r>
      <w:r w:rsidR="002519DD" w:rsidRPr="000226D6">
        <w:rPr>
          <w:rFonts w:eastAsia="Times New Roman" w:cs="Times New Roman"/>
          <w:color w:val="000000"/>
        </w:rPr>
        <w:t>4</w:t>
      </w:r>
      <w:r w:rsidR="000226D6">
        <w:rPr>
          <w:rFonts w:eastAsia="Times New Roman" w:cs="Times New Roman"/>
          <w:color w:val="000000"/>
        </w:rPr>
        <w:t>% no iekšzemes kopprodukta</w:t>
      </w:r>
      <w:r w:rsidRPr="000226D6">
        <w:rPr>
          <w:rFonts w:eastAsia="Times New Roman" w:cs="Times New Roman"/>
          <w:color w:val="000000"/>
        </w:rPr>
        <w:t xml:space="preserve"> apmērā.</w:t>
      </w:r>
    </w:p>
    <w:p w14:paraId="74351886" w14:textId="75BF15E6" w:rsidR="00071293" w:rsidRPr="000226D6" w:rsidRDefault="00071293" w:rsidP="00071293">
      <w:pPr>
        <w:widowControl w:val="0"/>
        <w:ind w:firstLine="709"/>
        <w:rPr>
          <w:rFonts w:ascii="Calibri" w:eastAsia="Calibri" w:hAnsi="Calibri" w:cs="Calibri"/>
          <w:sz w:val="22"/>
        </w:rPr>
      </w:pPr>
      <w:r w:rsidRPr="000226D6">
        <w:rPr>
          <w:rFonts w:eastAsia="Times New Roman" w:cs="Times New Roman"/>
        </w:rPr>
        <w:t>Turpmākie algoritma soļi paredz aprēķināt vispārējās valdības budžeta bilances apmēru, kas atbilst minimāli plānojamam vispārējās valdības strukturālās bilances mērķim. To aprēķina pie minimāli plānojamā vispārējās valdības strukturālās bilances mērķa pieskaitot vispārējās valdības budžeta bilances ciklisko komponenti un, ja tādi ir, vienreizējos un citus pagaidu pasākumus (</w:t>
      </w:r>
      <w:r w:rsidRPr="000226D6">
        <w:rPr>
          <w:rFonts w:eastAsia="Times New Roman" w:cs="Times New Roman"/>
          <w:i/>
        </w:rPr>
        <w:t>one-off and other temporary measures</w:t>
      </w:r>
      <w:r w:rsidRPr="000226D6">
        <w:rPr>
          <w:rFonts w:eastAsia="Times New Roman" w:cs="Times New Roman"/>
        </w:rPr>
        <w:t>). Līdz ar to tiek iegūta vispārējās valdības budžeta bilance monetārajā izteiksmē, kas 202</w:t>
      </w:r>
      <w:r w:rsidR="002519DD" w:rsidRPr="000226D6">
        <w:rPr>
          <w:rFonts w:eastAsia="Times New Roman" w:cs="Times New Roman"/>
        </w:rPr>
        <w:t>2</w:t>
      </w:r>
      <w:r w:rsidRPr="000226D6">
        <w:rPr>
          <w:rFonts w:eastAsia="Times New Roman" w:cs="Times New Roman"/>
        </w:rPr>
        <w:t>.</w:t>
      </w:r>
      <w:r w:rsidR="000226D6">
        <w:rPr>
          <w:rFonts w:eastAsia="Times New Roman" w:cs="Times New Roman"/>
        </w:rPr>
        <w:t xml:space="preserve"> </w:t>
      </w:r>
      <w:r w:rsidRPr="000226D6">
        <w:rPr>
          <w:rFonts w:eastAsia="Times New Roman" w:cs="Times New Roman"/>
        </w:rPr>
        <w:t>gadā ir -</w:t>
      </w:r>
      <w:r w:rsidR="002519DD" w:rsidRPr="000226D6">
        <w:rPr>
          <w:rFonts w:eastAsia="Times New Roman" w:cs="Times New Roman"/>
        </w:rPr>
        <w:t>1654,9</w:t>
      </w:r>
      <w:r w:rsidRPr="000226D6">
        <w:rPr>
          <w:rFonts w:eastAsia="Times New Roman" w:cs="Times New Roman"/>
        </w:rPr>
        <w:t xml:space="preserve"> milj. </w:t>
      </w:r>
      <w:r w:rsidRPr="000226D6">
        <w:rPr>
          <w:rFonts w:eastAsia="Times New Roman" w:cs="Times New Roman"/>
          <w:i/>
        </w:rPr>
        <w:t>euro</w:t>
      </w:r>
      <w:r w:rsidRPr="000226D6">
        <w:rPr>
          <w:rFonts w:eastAsia="Times New Roman" w:cs="Times New Roman"/>
        </w:rPr>
        <w:t>, 202</w:t>
      </w:r>
      <w:r w:rsidR="002519DD" w:rsidRPr="000226D6">
        <w:rPr>
          <w:rFonts w:eastAsia="Times New Roman" w:cs="Times New Roman"/>
        </w:rPr>
        <w:t>3</w:t>
      </w:r>
      <w:r w:rsidRPr="000226D6">
        <w:rPr>
          <w:rFonts w:eastAsia="Times New Roman" w:cs="Times New Roman"/>
        </w:rPr>
        <w:t>.</w:t>
      </w:r>
      <w:r w:rsidR="000226D6">
        <w:rPr>
          <w:rFonts w:eastAsia="Times New Roman" w:cs="Times New Roman"/>
        </w:rPr>
        <w:t xml:space="preserve"> </w:t>
      </w:r>
      <w:r w:rsidRPr="000226D6">
        <w:rPr>
          <w:rFonts w:eastAsia="Times New Roman" w:cs="Times New Roman"/>
        </w:rPr>
        <w:t>gadā ir -</w:t>
      </w:r>
      <w:r w:rsidR="002519DD" w:rsidRPr="000226D6">
        <w:rPr>
          <w:rFonts w:eastAsia="Times New Roman" w:cs="Times New Roman"/>
        </w:rPr>
        <w:t>784,5</w:t>
      </w:r>
      <w:r w:rsidR="000226D6">
        <w:rPr>
          <w:rFonts w:eastAsia="Times New Roman" w:cs="Times New Roman"/>
        </w:rPr>
        <w:t xml:space="preserve"> </w:t>
      </w:r>
      <w:r w:rsidRPr="000226D6">
        <w:rPr>
          <w:rFonts w:eastAsia="Times New Roman" w:cs="Times New Roman"/>
        </w:rPr>
        <w:lastRenderedPageBreak/>
        <w:t xml:space="preserve">milj. </w:t>
      </w:r>
      <w:r w:rsidRPr="000226D6">
        <w:rPr>
          <w:rFonts w:eastAsia="Times New Roman" w:cs="Times New Roman"/>
          <w:i/>
        </w:rPr>
        <w:t>euro</w:t>
      </w:r>
      <w:r w:rsidRPr="000226D6">
        <w:rPr>
          <w:rFonts w:eastAsia="Times New Roman" w:cs="Times New Roman"/>
        </w:rPr>
        <w:t xml:space="preserve"> un 202</w:t>
      </w:r>
      <w:r w:rsidR="002519DD" w:rsidRPr="000226D6">
        <w:rPr>
          <w:rFonts w:eastAsia="Times New Roman" w:cs="Times New Roman"/>
        </w:rPr>
        <w:t>4</w:t>
      </w:r>
      <w:r w:rsidRPr="000226D6">
        <w:rPr>
          <w:rFonts w:eastAsia="Times New Roman" w:cs="Times New Roman"/>
        </w:rPr>
        <w:t>.</w:t>
      </w:r>
      <w:r w:rsidR="000226D6">
        <w:rPr>
          <w:rFonts w:eastAsia="Times New Roman" w:cs="Times New Roman"/>
        </w:rPr>
        <w:t xml:space="preserve"> </w:t>
      </w:r>
      <w:r w:rsidRPr="000226D6">
        <w:rPr>
          <w:rFonts w:eastAsia="Times New Roman" w:cs="Times New Roman"/>
        </w:rPr>
        <w:t>gadā ir -</w:t>
      </w:r>
      <w:r w:rsidR="002519DD" w:rsidRPr="000226D6">
        <w:rPr>
          <w:rFonts w:eastAsia="Times New Roman" w:cs="Times New Roman"/>
        </w:rPr>
        <w:t>516,2</w:t>
      </w:r>
      <w:r w:rsidRPr="000226D6">
        <w:rPr>
          <w:rFonts w:eastAsia="Times New Roman" w:cs="Times New Roman"/>
        </w:rPr>
        <w:t xml:space="preserve"> milj. </w:t>
      </w:r>
      <w:r w:rsidRPr="000226D6">
        <w:rPr>
          <w:rFonts w:eastAsia="Times New Roman" w:cs="Times New Roman"/>
          <w:i/>
        </w:rPr>
        <w:t>euro</w:t>
      </w:r>
      <w:r w:rsidRPr="000226D6">
        <w:rPr>
          <w:rFonts w:eastAsia="Times New Roman" w:cs="Times New Roman"/>
        </w:rPr>
        <w:t>.</w:t>
      </w:r>
    </w:p>
    <w:p w14:paraId="33FAB282" w14:textId="1A1982D1" w:rsidR="00071293" w:rsidRPr="000226D6" w:rsidRDefault="00071293" w:rsidP="00071293">
      <w:pPr>
        <w:widowControl w:val="0"/>
        <w:ind w:firstLine="709"/>
        <w:rPr>
          <w:rFonts w:ascii="Calibri" w:eastAsia="Calibri" w:hAnsi="Calibri" w:cs="Calibri"/>
          <w:sz w:val="22"/>
        </w:rPr>
      </w:pPr>
      <w:r w:rsidRPr="000226D6">
        <w:rPr>
          <w:rFonts w:eastAsia="Times New Roman" w:cs="Times New Roman"/>
        </w:rPr>
        <w:t>Tālāk ir nepieciešams veikt valsts budžeta bilances aprēķināšanu, ko iegūst no iepriekš aprēķinātās vispārējās valdības budžeta bilances atskaitot prognozēto pašvaldību budžeta bilanci, prognozēto atvasināto publisko personu un budžeta nefinansēto iestāžu budžeta bilanci, kā arī EKS korekciju apjomu. Veicot iepriekš minētās darbības, tiek iegūta valsts budžeta bilance katram gadam. Tās apmērs 202</w:t>
      </w:r>
      <w:r w:rsidR="005F33F1" w:rsidRPr="000226D6">
        <w:rPr>
          <w:rFonts w:eastAsia="Times New Roman" w:cs="Times New Roman"/>
        </w:rPr>
        <w:t>2</w:t>
      </w:r>
      <w:r w:rsidRPr="000226D6">
        <w:rPr>
          <w:rFonts w:eastAsia="Times New Roman" w:cs="Times New Roman"/>
        </w:rPr>
        <w:t>.</w:t>
      </w:r>
      <w:r w:rsidR="000226D6">
        <w:rPr>
          <w:rFonts w:eastAsia="Times New Roman" w:cs="Times New Roman"/>
        </w:rPr>
        <w:t xml:space="preserve"> </w:t>
      </w:r>
      <w:r w:rsidRPr="000226D6">
        <w:rPr>
          <w:rFonts w:eastAsia="Times New Roman" w:cs="Times New Roman"/>
        </w:rPr>
        <w:t>gadā ir -</w:t>
      </w:r>
      <w:r w:rsidR="005F33F1" w:rsidRPr="000226D6">
        <w:rPr>
          <w:rFonts w:eastAsia="Times New Roman" w:cs="Times New Roman"/>
        </w:rPr>
        <w:t>1777,0</w:t>
      </w:r>
      <w:r w:rsidRPr="000226D6">
        <w:rPr>
          <w:rFonts w:eastAsia="Times New Roman" w:cs="Times New Roman"/>
        </w:rPr>
        <w:t xml:space="preserve"> milj. </w:t>
      </w:r>
      <w:r w:rsidRPr="000226D6">
        <w:rPr>
          <w:rFonts w:eastAsia="Times New Roman" w:cs="Times New Roman"/>
          <w:i/>
        </w:rPr>
        <w:t>euro</w:t>
      </w:r>
      <w:r w:rsidRPr="000226D6">
        <w:rPr>
          <w:rFonts w:eastAsia="Times New Roman" w:cs="Times New Roman"/>
        </w:rPr>
        <w:t>, 202</w:t>
      </w:r>
      <w:r w:rsidR="005F33F1" w:rsidRPr="000226D6">
        <w:rPr>
          <w:rFonts w:eastAsia="Times New Roman" w:cs="Times New Roman"/>
        </w:rPr>
        <w:t>3</w:t>
      </w:r>
      <w:r w:rsidRPr="000226D6">
        <w:rPr>
          <w:rFonts w:eastAsia="Times New Roman" w:cs="Times New Roman"/>
        </w:rPr>
        <w:t>.</w:t>
      </w:r>
      <w:r w:rsidR="000226D6">
        <w:rPr>
          <w:rFonts w:eastAsia="Times New Roman" w:cs="Times New Roman"/>
        </w:rPr>
        <w:t xml:space="preserve"> </w:t>
      </w:r>
      <w:r w:rsidRPr="000226D6">
        <w:rPr>
          <w:rFonts w:eastAsia="Times New Roman" w:cs="Times New Roman"/>
        </w:rPr>
        <w:t>gadā ir -</w:t>
      </w:r>
      <w:r w:rsidR="005F33F1" w:rsidRPr="000226D6">
        <w:rPr>
          <w:rFonts w:eastAsia="Times New Roman" w:cs="Times New Roman"/>
        </w:rPr>
        <w:t>345,3</w:t>
      </w:r>
      <w:r w:rsidRPr="000226D6">
        <w:rPr>
          <w:rFonts w:eastAsia="Times New Roman" w:cs="Times New Roman"/>
        </w:rPr>
        <w:t xml:space="preserve"> milj. </w:t>
      </w:r>
      <w:r w:rsidRPr="000226D6">
        <w:rPr>
          <w:rFonts w:eastAsia="Times New Roman" w:cs="Times New Roman"/>
          <w:i/>
        </w:rPr>
        <w:t>euro</w:t>
      </w:r>
      <w:r w:rsidRPr="000226D6">
        <w:rPr>
          <w:rFonts w:eastAsia="Times New Roman" w:cs="Times New Roman"/>
        </w:rPr>
        <w:t xml:space="preserve"> un 202</w:t>
      </w:r>
      <w:r w:rsidR="005F33F1" w:rsidRPr="000226D6">
        <w:rPr>
          <w:rFonts w:eastAsia="Times New Roman" w:cs="Times New Roman"/>
        </w:rPr>
        <w:t>4</w:t>
      </w:r>
      <w:r w:rsidRPr="000226D6">
        <w:rPr>
          <w:rFonts w:eastAsia="Times New Roman" w:cs="Times New Roman"/>
        </w:rPr>
        <w:t>.</w:t>
      </w:r>
      <w:r w:rsidR="000226D6">
        <w:rPr>
          <w:rFonts w:eastAsia="Times New Roman" w:cs="Times New Roman"/>
        </w:rPr>
        <w:t xml:space="preserve"> </w:t>
      </w:r>
      <w:r w:rsidRPr="000226D6">
        <w:rPr>
          <w:rFonts w:eastAsia="Times New Roman" w:cs="Times New Roman"/>
        </w:rPr>
        <w:t>gadā ir -</w:t>
      </w:r>
      <w:r w:rsidR="007A00CE" w:rsidRPr="000226D6">
        <w:rPr>
          <w:rFonts w:eastAsia="Times New Roman" w:cs="Times New Roman"/>
        </w:rPr>
        <w:t>340,7</w:t>
      </w:r>
      <w:r w:rsidRPr="000226D6">
        <w:rPr>
          <w:rFonts w:eastAsia="Times New Roman" w:cs="Times New Roman"/>
        </w:rPr>
        <w:t xml:space="preserve"> milj. </w:t>
      </w:r>
      <w:r w:rsidRPr="000226D6">
        <w:rPr>
          <w:rFonts w:eastAsia="Times New Roman" w:cs="Times New Roman"/>
          <w:i/>
        </w:rPr>
        <w:t>euro</w:t>
      </w:r>
      <w:r w:rsidRPr="000226D6">
        <w:rPr>
          <w:rFonts w:eastAsia="Times New Roman" w:cs="Times New Roman"/>
        </w:rPr>
        <w:t>.</w:t>
      </w:r>
    </w:p>
    <w:p w14:paraId="339EF95F" w14:textId="007BB61E" w:rsidR="00071293" w:rsidRPr="000226D6" w:rsidRDefault="00071293" w:rsidP="00071293">
      <w:pPr>
        <w:widowControl w:val="0"/>
        <w:ind w:firstLine="709"/>
        <w:rPr>
          <w:rFonts w:ascii="Calibri" w:eastAsia="Calibri" w:hAnsi="Calibri" w:cs="Calibri"/>
          <w:sz w:val="22"/>
        </w:rPr>
      </w:pPr>
      <w:r w:rsidRPr="000226D6">
        <w:rPr>
          <w:rFonts w:eastAsia="Times New Roman" w:cs="Times New Roman"/>
        </w:rPr>
        <w:t>Pēdējais solis, lai aprēķinātu maksimāli pieļaujamos valsts budžeta izdevumus, ir atskaitīt no prognozētajiem valsts budžeta ieņēmumiem iepriekš aprēķināto valsts budžeta bilanci. Tādejādi, iegūstam maksimāli pieļaujamos valsts budžeta izdevumus saskaņā ar fiskālajiem nosacījumiem, kas 202</w:t>
      </w:r>
      <w:r w:rsidR="007A00CE" w:rsidRPr="000226D6">
        <w:rPr>
          <w:rFonts w:eastAsia="Times New Roman" w:cs="Times New Roman"/>
        </w:rPr>
        <w:t>2</w:t>
      </w:r>
      <w:r w:rsidRPr="000226D6">
        <w:rPr>
          <w:rFonts w:eastAsia="Times New Roman" w:cs="Times New Roman"/>
        </w:rPr>
        <w:t>.</w:t>
      </w:r>
      <w:r w:rsidR="000226D6">
        <w:rPr>
          <w:rFonts w:eastAsia="Times New Roman" w:cs="Times New Roman"/>
        </w:rPr>
        <w:t xml:space="preserve"> </w:t>
      </w:r>
      <w:r w:rsidRPr="000226D6">
        <w:rPr>
          <w:rFonts w:eastAsia="Times New Roman" w:cs="Times New Roman"/>
        </w:rPr>
        <w:t xml:space="preserve">gadā ir </w:t>
      </w:r>
      <w:r w:rsidR="007A00CE" w:rsidRPr="000226D6">
        <w:rPr>
          <w:rFonts w:eastAsia="Times New Roman" w:cs="Times New Roman"/>
        </w:rPr>
        <w:t>12440,4</w:t>
      </w:r>
      <w:r w:rsidRPr="000226D6">
        <w:rPr>
          <w:rFonts w:eastAsia="Times New Roman" w:cs="Times New Roman"/>
        </w:rPr>
        <w:t xml:space="preserve"> milj. </w:t>
      </w:r>
      <w:r w:rsidRPr="000226D6">
        <w:rPr>
          <w:rFonts w:eastAsia="Times New Roman" w:cs="Times New Roman"/>
          <w:i/>
        </w:rPr>
        <w:t>euro</w:t>
      </w:r>
      <w:r w:rsidRPr="000226D6">
        <w:rPr>
          <w:rFonts w:eastAsia="Times New Roman" w:cs="Times New Roman"/>
        </w:rPr>
        <w:t>, 202</w:t>
      </w:r>
      <w:r w:rsidR="007A00CE" w:rsidRPr="000226D6">
        <w:rPr>
          <w:rFonts w:eastAsia="Times New Roman" w:cs="Times New Roman"/>
        </w:rPr>
        <w:t>3</w:t>
      </w:r>
      <w:r w:rsidRPr="000226D6">
        <w:rPr>
          <w:rFonts w:eastAsia="Times New Roman" w:cs="Times New Roman"/>
        </w:rPr>
        <w:t>.</w:t>
      </w:r>
      <w:r w:rsidR="000226D6">
        <w:rPr>
          <w:rFonts w:eastAsia="Times New Roman" w:cs="Times New Roman"/>
        </w:rPr>
        <w:t xml:space="preserve"> </w:t>
      </w:r>
      <w:r w:rsidRPr="000226D6">
        <w:rPr>
          <w:rFonts w:eastAsia="Times New Roman" w:cs="Times New Roman"/>
        </w:rPr>
        <w:t xml:space="preserve">gadā ir </w:t>
      </w:r>
      <w:r w:rsidR="007A00CE" w:rsidRPr="000226D6">
        <w:rPr>
          <w:rFonts w:eastAsia="Times New Roman" w:cs="Times New Roman"/>
        </w:rPr>
        <w:t>12113,0</w:t>
      </w:r>
      <w:r w:rsidRPr="000226D6">
        <w:rPr>
          <w:rFonts w:eastAsia="Times New Roman" w:cs="Times New Roman"/>
        </w:rPr>
        <w:t xml:space="preserve"> milj. </w:t>
      </w:r>
      <w:r w:rsidRPr="000226D6">
        <w:rPr>
          <w:rFonts w:eastAsia="Times New Roman" w:cs="Times New Roman"/>
          <w:i/>
        </w:rPr>
        <w:t>euro</w:t>
      </w:r>
      <w:r w:rsidRPr="000226D6">
        <w:rPr>
          <w:rFonts w:eastAsia="Times New Roman" w:cs="Times New Roman"/>
        </w:rPr>
        <w:t xml:space="preserve"> un 202</w:t>
      </w:r>
      <w:r w:rsidR="007A00CE" w:rsidRPr="000226D6">
        <w:rPr>
          <w:rFonts w:eastAsia="Times New Roman" w:cs="Times New Roman"/>
        </w:rPr>
        <w:t>4</w:t>
      </w:r>
      <w:r w:rsidRPr="000226D6">
        <w:rPr>
          <w:rFonts w:eastAsia="Times New Roman" w:cs="Times New Roman"/>
        </w:rPr>
        <w:t>.</w:t>
      </w:r>
      <w:r w:rsidR="000226D6">
        <w:rPr>
          <w:rFonts w:eastAsia="Times New Roman" w:cs="Times New Roman"/>
        </w:rPr>
        <w:t xml:space="preserve"> </w:t>
      </w:r>
      <w:r w:rsidRPr="000226D6">
        <w:rPr>
          <w:rFonts w:eastAsia="Times New Roman" w:cs="Times New Roman"/>
        </w:rPr>
        <w:t xml:space="preserve">gadā attiecīgi </w:t>
      </w:r>
      <w:r w:rsidR="007A00CE" w:rsidRPr="000226D6">
        <w:rPr>
          <w:rFonts w:eastAsia="Times New Roman" w:cs="Times New Roman"/>
        </w:rPr>
        <w:t>12351,3</w:t>
      </w:r>
      <w:r w:rsidRPr="000226D6">
        <w:rPr>
          <w:rFonts w:eastAsia="Times New Roman" w:cs="Times New Roman"/>
        </w:rPr>
        <w:t xml:space="preserve"> milj. </w:t>
      </w:r>
      <w:r w:rsidRPr="000226D6">
        <w:rPr>
          <w:rFonts w:eastAsia="Times New Roman" w:cs="Times New Roman"/>
          <w:i/>
        </w:rPr>
        <w:t>euro</w:t>
      </w:r>
      <w:r w:rsidRPr="000226D6">
        <w:rPr>
          <w:rFonts w:eastAsia="Times New Roman" w:cs="Times New Roman"/>
        </w:rPr>
        <w:t>.</w:t>
      </w:r>
    </w:p>
    <w:p w14:paraId="74D18AAC" w14:textId="3445EC5C" w:rsidR="00071293" w:rsidRPr="000226D6" w:rsidRDefault="00071293" w:rsidP="00071293">
      <w:pPr>
        <w:widowControl w:val="0"/>
        <w:ind w:firstLine="709"/>
        <w:rPr>
          <w:rFonts w:ascii="Calibri" w:eastAsia="Calibri" w:hAnsi="Calibri" w:cs="Calibri"/>
          <w:sz w:val="22"/>
        </w:rPr>
      </w:pPr>
      <w:r w:rsidRPr="000226D6">
        <w:rPr>
          <w:rFonts w:eastAsia="Times New Roman" w:cs="Times New Roman"/>
        </w:rPr>
        <w:t>Kad ir iegūti maksimāli pieļauja</w:t>
      </w:r>
      <w:r w:rsidR="000226D6">
        <w:rPr>
          <w:rFonts w:eastAsia="Times New Roman" w:cs="Times New Roman"/>
        </w:rPr>
        <w:t>mie valsts budžeta izdevumi, likumā “Fiskālās disciplīnas likums” ir noteikts</w:t>
      </w:r>
      <w:r w:rsidRPr="000226D6">
        <w:rPr>
          <w:rFonts w:eastAsia="Times New Roman" w:cs="Times New Roman"/>
        </w:rPr>
        <w:t xml:space="preserve">, ka no tiem ir nepieciešams izslēgt izlīdzinātos izdevumus, kuru aprēķināšanu nosaka </w:t>
      </w:r>
      <w:r w:rsidR="000226D6">
        <w:rPr>
          <w:rFonts w:eastAsia="Times New Roman" w:cs="Times New Roman"/>
        </w:rPr>
        <w:t>likuma “Fiskālās disciplīnas likums”</w:t>
      </w:r>
      <w:r w:rsidRPr="000226D6">
        <w:rPr>
          <w:rFonts w:eastAsia="Times New Roman" w:cs="Times New Roman"/>
        </w:rPr>
        <w:t xml:space="preserve"> 18.</w:t>
      </w:r>
      <w:r w:rsidR="000226D6">
        <w:rPr>
          <w:rFonts w:eastAsia="Times New Roman" w:cs="Times New Roman"/>
        </w:rPr>
        <w:t xml:space="preserve"> </w:t>
      </w:r>
      <w:r w:rsidRPr="000226D6">
        <w:rPr>
          <w:rFonts w:eastAsia="Times New Roman" w:cs="Times New Roman"/>
        </w:rPr>
        <w:t xml:space="preserve">pants. Atbilstoši </w:t>
      </w:r>
      <w:r w:rsidR="000226D6">
        <w:rPr>
          <w:rFonts w:eastAsia="Times New Roman" w:cs="Times New Roman"/>
        </w:rPr>
        <w:t>likuma “Fiskālās disciplīnas likums”</w:t>
      </w:r>
      <w:r w:rsidRPr="000226D6">
        <w:rPr>
          <w:rFonts w:eastAsia="Times New Roman" w:cs="Times New Roman"/>
        </w:rPr>
        <w:t xml:space="preserve"> 18.</w:t>
      </w:r>
      <w:r w:rsidR="000226D6">
        <w:rPr>
          <w:rFonts w:eastAsia="Times New Roman" w:cs="Times New Roman"/>
        </w:rPr>
        <w:t xml:space="preserve"> </w:t>
      </w:r>
      <w:r w:rsidRPr="000226D6">
        <w:rPr>
          <w:rFonts w:eastAsia="Times New Roman" w:cs="Times New Roman"/>
        </w:rPr>
        <w:t xml:space="preserve">panta otrajā daļā noteiktajam, izdevumu izlīdzināšana tiek piemērota: </w:t>
      </w:r>
    </w:p>
    <w:p w14:paraId="25C1EE88" w14:textId="50A43716" w:rsidR="00071293" w:rsidRPr="000226D6" w:rsidRDefault="000226D6" w:rsidP="00F70213">
      <w:pPr>
        <w:widowControl w:val="0"/>
        <w:numPr>
          <w:ilvl w:val="0"/>
          <w:numId w:val="14"/>
        </w:numPr>
        <w:spacing w:after="0"/>
        <w:ind w:left="1429" w:hanging="360"/>
        <w:rPr>
          <w:rFonts w:eastAsia="Times New Roman" w:cs="Times New Roman"/>
        </w:rPr>
      </w:pPr>
      <w:r>
        <w:rPr>
          <w:rFonts w:eastAsia="Times New Roman" w:cs="Times New Roman"/>
        </w:rPr>
        <w:t>Eiropas Savienības</w:t>
      </w:r>
      <w:r w:rsidR="00071293" w:rsidRPr="000226D6">
        <w:rPr>
          <w:rFonts w:eastAsia="Times New Roman" w:cs="Times New Roman"/>
        </w:rPr>
        <w:t xml:space="preserve"> struktūrfondu, Kohēzijas fonda, kopējās lauksaimniecības politikas un kopējās zivsaimniecības politikas izdevumiem; </w:t>
      </w:r>
    </w:p>
    <w:p w14:paraId="1BE8AF99" w14:textId="77777777" w:rsidR="00071293" w:rsidRPr="000226D6" w:rsidRDefault="00071293" w:rsidP="00F70213">
      <w:pPr>
        <w:widowControl w:val="0"/>
        <w:numPr>
          <w:ilvl w:val="0"/>
          <w:numId w:val="14"/>
        </w:numPr>
        <w:spacing w:after="0"/>
        <w:ind w:left="1429" w:hanging="360"/>
        <w:rPr>
          <w:rFonts w:eastAsia="Times New Roman" w:cs="Times New Roman"/>
        </w:rPr>
      </w:pPr>
      <w:r w:rsidRPr="000226D6">
        <w:rPr>
          <w:rFonts w:eastAsia="Times New Roman" w:cs="Times New Roman"/>
        </w:rPr>
        <w:t xml:space="preserve">valsts budžeta izdevumiem, kas saistīti ar tās valsts parāda daļas apkalpošanu, kura ietilpst Valsts kases kompetencē. </w:t>
      </w:r>
    </w:p>
    <w:p w14:paraId="48A55267" w14:textId="77777777" w:rsidR="00071293" w:rsidRPr="000226D6" w:rsidRDefault="00071293" w:rsidP="00071293">
      <w:pPr>
        <w:widowControl w:val="0"/>
        <w:ind w:firstLine="709"/>
        <w:rPr>
          <w:rFonts w:eastAsia="Times New Roman" w:cs="Times New Roman"/>
        </w:rPr>
      </w:pPr>
      <w:r w:rsidRPr="000226D6">
        <w:rPr>
          <w:rFonts w:eastAsia="Times New Roman" w:cs="Times New Roman"/>
        </w:rPr>
        <w:t>Izdevumu izlīdzināšanas mērķis ir vidējā termiņā novērst augsti svārstīgu valsts budžeta izdevumu kategoriju ietekmi uz kopējo valsts budžeta izdevumu apmēru, tādejādi plānošanas fāzē nodrošinot izdevumu stabilitāti vidējā termiņā.</w:t>
      </w:r>
    </w:p>
    <w:p w14:paraId="095720BF" w14:textId="1129BC6E" w:rsidR="00071293" w:rsidRPr="000226D6" w:rsidRDefault="000226D6" w:rsidP="00071293">
      <w:pPr>
        <w:widowControl w:val="0"/>
        <w:ind w:firstLine="709"/>
        <w:rPr>
          <w:rFonts w:eastAsia="Times New Roman" w:cs="Times New Roman"/>
        </w:rPr>
      </w:pPr>
      <w:r>
        <w:rPr>
          <w:rFonts w:eastAsia="Times New Roman" w:cs="Times New Roman"/>
        </w:rPr>
        <w:t>Izdevumu izlīdzināšana Eiropas Savienības</w:t>
      </w:r>
      <w:r w:rsidR="00071293" w:rsidRPr="000226D6">
        <w:rPr>
          <w:rFonts w:eastAsia="Times New Roman" w:cs="Times New Roman"/>
        </w:rPr>
        <w:t xml:space="preserve"> struktūrfondu, Kohēzijas fonda, kopējās lauksaimniecības politikas un kopējās zivsaimniecības politik</w:t>
      </w:r>
      <w:r>
        <w:rPr>
          <w:rFonts w:eastAsia="Times New Roman" w:cs="Times New Roman"/>
        </w:rPr>
        <w:t>as izdevumiem tiek veikta 2014.-</w:t>
      </w:r>
      <w:r w:rsidR="00071293" w:rsidRPr="000226D6">
        <w:rPr>
          <w:rFonts w:eastAsia="Times New Roman" w:cs="Times New Roman"/>
        </w:rPr>
        <w:t>2020.</w:t>
      </w:r>
      <w:r>
        <w:rPr>
          <w:rFonts w:eastAsia="Times New Roman" w:cs="Times New Roman"/>
        </w:rPr>
        <w:t xml:space="preserve"> </w:t>
      </w:r>
      <w:r w:rsidR="00071293" w:rsidRPr="000226D6">
        <w:rPr>
          <w:rFonts w:eastAsia="Times New Roman" w:cs="Times New Roman"/>
        </w:rPr>
        <w:t>gada un 2021.-2027.</w:t>
      </w:r>
      <w:r>
        <w:rPr>
          <w:rFonts w:eastAsia="Times New Roman" w:cs="Times New Roman"/>
        </w:rPr>
        <w:t xml:space="preserve"> gada Eiropas Savienības</w:t>
      </w:r>
      <w:r w:rsidR="00071293" w:rsidRPr="000226D6">
        <w:rPr>
          <w:rFonts w:eastAsia="Times New Roman" w:cs="Times New Roman"/>
        </w:rPr>
        <w:t xml:space="preserve"> plānošanas periodam, pielietojot </w:t>
      </w:r>
      <w:r>
        <w:rPr>
          <w:rFonts w:eastAsia="Times New Roman" w:cs="Times New Roman"/>
        </w:rPr>
        <w:t>likuma “Fiskālās disciplīnas likums”</w:t>
      </w:r>
      <w:r w:rsidR="00071293" w:rsidRPr="000226D6">
        <w:rPr>
          <w:rFonts w:eastAsia="Times New Roman" w:cs="Times New Roman"/>
        </w:rPr>
        <w:t xml:space="preserve"> 18.</w:t>
      </w:r>
      <w:r>
        <w:rPr>
          <w:rFonts w:eastAsia="Times New Roman" w:cs="Times New Roman"/>
        </w:rPr>
        <w:t xml:space="preserve"> </w:t>
      </w:r>
      <w:r w:rsidR="00071293" w:rsidRPr="000226D6">
        <w:rPr>
          <w:rFonts w:eastAsia="Times New Roman" w:cs="Times New Roman"/>
        </w:rPr>
        <w:t>panta nosacījumus.</w:t>
      </w:r>
    </w:p>
    <w:p w14:paraId="6E90055E" w14:textId="761F3B4B" w:rsidR="00071293" w:rsidRPr="000226D6" w:rsidRDefault="00071293" w:rsidP="00071293">
      <w:pPr>
        <w:widowControl w:val="0"/>
        <w:ind w:firstLine="709"/>
        <w:rPr>
          <w:rFonts w:ascii="Calibri" w:eastAsia="Calibri" w:hAnsi="Calibri" w:cs="Calibri"/>
          <w:sz w:val="22"/>
        </w:rPr>
      </w:pPr>
      <w:r w:rsidRPr="000226D6">
        <w:rPr>
          <w:rFonts w:eastAsia="Times New Roman" w:cs="Times New Roman"/>
        </w:rPr>
        <w:t>Valsts parāda apkalpošanas izdevumu izlīdzināšana tiek veikta saskaņā ar 2014.</w:t>
      </w:r>
      <w:r w:rsidR="000226D6">
        <w:rPr>
          <w:rFonts w:eastAsia="Times New Roman" w:cs="Times New Roman"/>
        </w:rPr>
        <w:t xml:space="preserve"> </w:t>
      </w:r>
      <w:r w:rsidRPr="000226D6">
        <w:rPr>
          <w:rFonts w:eastAsia="Times New Roman" w:cs="Times New Roman"/>
        </w:rPr>
        <w:t>gada 29.</w:t>
      </w:r>
      <w:r w:rsidR="000226D6">
        <w:rPr>
          <w:rFonts w:eastAsia="Times New Roman" w:cs="Times New Roman"/>
        </w:rPr>
        <w:t xml:space="preserve"> </w:t>
      </w:r>
      <w:r w:rsidRPr="000226D6">
        <w:rPr>
          <w:rFonts w:eastAsia="Times New Roman" w:cs="Times New Roman"/>
        </w:rPr>
        <w:t xml:space="preserve">aprīļa </w:t>
      </w:r>
      <w:r w:rsidR="000226D6">
        <w:rPr>
          <w:rFonts w:eastAsia="Times New Roman" w:cs="Times New Roman"/>
          <w:color w:val="000000"/>
        </w:rPr>
        <w:t>Ministru kabineta</w:t>
      </w:r>
      <w:r w:rsidRPr="000226D6">
        <w:rPr>
          <w:rFonts w:eastAsia="Times New Roman" w:cs="Times New Roman"/>
          <w:color w:val="000000"/>
        </w:rPr>
        <w:t xml:space="preserve"> </w:t>
      </w:r>
      <w:r w:rsidRPr="000226D6">
        <w:rPr>
          <w:rFonts w:eastAsia="Times New Roman" w:cs="Times New Roman"/>
        </w:rPr>
        <w:t>noteikumiem Nr</w:t>
      </w:r>
      <w:r w:rsidR="000226D6">
        <w:rPr>
          <w:rFonts w:eastAsia="Times New Roman" w:cs="Times New Roman"/>
        </w:rPr>
        <w:t xml:space="preserve"> </w:t>
      </w:r>
      <w:r w:rsidRPr="000226D6">
        <w:rPr>
          <w:rFonts w:eastAsia="Times New Roman" w:cs="Times New Roman"/>
        </w:rPr>
        <w:t xml:space="preserve">.228 “Noteikumi par valsts parāda apkalpošanas izlīdzināto izdevumu aprēķināšanas metodoloģiju”, kas izdoti saskaņā ar </w:t>
      </w:r>
      <w:r w:rsidR="000226D6">
        <w:rPr>
          <w:rFonts w:eastAsia="Times New Roman" w:cs="Times New Roman"/>
        </w:rPr>
        <w:t>likuma “Fiskālās disciplīnas likums”</w:t>
      </w:r>
      <w:r w:rsidRPr="000226D6">
        <w:rPr>
          <w:rFonts w:eastAsia="Times New Roman" w:cs="Times New Roman"/>
        </w:rPr>
        <w:t xml:space="preserve"> 18.</w:t>
      </w:r>
      <w:r w:rsidR="000226D6">
        <w:rPr>
          <w:rFonts w:eastAsia="Times New Roman" w:cs="Times New Roman"/>
        </w:rPr>
        <w:t xml:space="preserve"> </w:t>
      </w:r>
      <w:r w:rsidRPr="000226D6">
        <w:rPr>
          <w:rFonts w:eastAsia="Times New Roman" w:cs="Times New Roman"/>
        </w:rPr>
        <w:t>panta septīto daļu. Šie noteikumi paredz, ka izlīdzināti tiek Valsts kases kompetencē esošās valsts parāda daļas apkalp</w:t>
      </w:r>
      <w:r w:rsidR="000226D6">
        <w:rPr>
          <w:rFonts w:eastAsia="Times New Roman" w:cs="Times New Roman"/>
        </w:rPr>
        <w:t>ošanas izdevumi, kas noteikti Finanšu ministrijas</w:t>
      </w:r>
      <w:r w:rsidRPr="000226D6">
        <w:rPr>
          <w:rFonts w:eastAsia="Times New Roman" w:cs="Times New Roman"/>
        </w:rPr>
        <w:t xml:space="preserve"> valsts pamatbudžeta apakšprogrammā 31.02.00 "Valsts parāda vadība".</w:t>
      </w:r>
    </w:p>
    <w:p w14:paraId="262ADA04" w14:textId="2ADBB941" w:rsidR="00071293" w:rsidRPr="000226D6" w:rsidRDefault="00071293" w:rsidP="00071293">
      <w:pPr>
        <w:widowControl w:val="0"/>
        <w:ind w:firstLine="709"/>
        <w:rPr>
          <w:rFonts w:ascii="Calibri" w:eastAsia="Calibri" w:hAnsi="Calibri" w:cs="Calibri"/>
          <w:sz w:val="22"/>
        </w:rPr>
      </w:pPr>
      <w:r w:rsidRPr="000226D6">
        <w:rPr>
          <w:rFonts w:eastAsia="Times New Roman" w:cs="Times New Roman"/>
        </w:rPr>
        <w:t xml:space="preserve">Pēc izlīdzināto izdevumu noteikšanas ir iespējams noteikt koriģētos maksimāli pieļaujamos valsts budžeta izdevumus, no maksimāli pieļaujamiem valsts budžeta izdevumiem atskaitot izlīdzināto izdevumu apmēru. Izstrādājot </w:t>
      </w:r>
      <w:r w:rsidR="00C657AF" w:rsidRPr="000226D6">
        <w:rPr>
          <w:rFonts w:eastAsia="Times New Roman" w:cs="Times New Roman"/>
        </w:rPr>
        <w:t xml:space="preserve">šo vidēja termiņa budžeta ietvara likumprojektu </w:t>
      </w:r>
      <w:r w:rsidRPr="000226D6">
        <w:rPr>
          <w:rFonts w:eastAsia="Times New Roman" w:cs="Times New Roman"/>
        </w:rPr>
        <w:t>tiek noteikti koriģētie maksimāli pieļaujamie valsts budžeta izdevumi turpmākajiem trim gadiem un tas ir maksimālais izdevumu slieksnis, kuru var atļauties sasni</w:t>
      </w:r>
      <w:r w:rsidR="000226D6">
        <w:rPr>
          <w:rFonts w:eastAsia="Times New Roman" w:cs="Times New Roman"/>
        </w:rPr>
        <w:t>egt valsts budžetā, neskaitot Eiropas Savienības</w:t>
      </w:r>
      <w:r w:rsidRPr="000226D6">
        <w:rPr>
          <w:rFonts w:eastAsia="Times New Roman" w:cs="Times New Roman"/>
        </w:rPr>
        <w:t xml:space="preserve"> fondu izdevumus un valsts parāda apkalpošanas izdevumus.</w:t>
      </w:r>
    </w:p>
    <w:p w14:paraId="54FA9076" w14:textId="48EA7F1D" w:rsidR="00071293" w:rsidRPr="000226D6" w:rsidRDefault="00071293" w:rsidP="00071293">
      <w:pPr>
        <w:widowControl w:val="0"/>
        <w:ind w:firstLine="709"/>
        <w:rPr>
          <w:rFonts w:eastAsia="Times New Roman" w:cs="Times New Roman"/>
        </w:rPr>
      </w:pPr>
      <w:r w:rsidRPr="000226D6">
        <w:rPr>
          <w:rFonts w:eastAsia="Times New Roman" w:cs="Times New Roman"/>
        </w:rPr>
        <w:t xml:space="preserve">Maksimāli pieļaujamie valsts budžeta izdevumi atbilstoši </w:t>
      </w:r>
      <w:r w:rsidR="000226D6">
        <w:rPr>
          <w:rFonts w:eastAsia="Times New Roman" w:cs="Times New Roman"/>
        </w:rPr>
        <w:t>likumam “Fiskālās disciplīnas likums”</w:t>
      </w:r>
      <w:r w:rsidRPr="000226D6">
        <w:rPr>
          <w:rFonts w:eastAsia="Times New Roman" w:cs="Times New Roman"/>
        </w:rPr>
        <w:t xml:space="preserve"> (maksimālais izdevumu slieksnis, kuru var atļauties sasniegt valsts budžetā) tiek noteikti pie koriģētajiem maksimāli pieļaujamajiem valsts budžeta izdevumiem pieskaitot </w:t>
      </w:r>
      <w:r w:rsidR="000226D6">
        <w:rPr>
          <w:rFonts w:eastAsia="Times New Roman" w:cs="Times New Roman"/>
        </w:rPr>
        <w:lastRenderedPageBreak/>
        <w:t>faktiskos Eiropas Savienības</w:t>
      </w:r>
      <w:r w:rsidRPr="000226D6">
        <w:rPr>
          <w:rFonts w:eastAsia="Times New Roman" w:cs="Times New Roman"/>
        </w:rPr>
        <w:t xml:space="preserve"> fondu un faktiskos valsts parāda apkalpošanas izdevumus. Līdz ar to šādi iegūtie maksimāli pieļaujamie valsts budžeta izdevumi, ja tādi tiktu veikti, vispārējā gadījumā neatbilstu </w:t>
      </w:r>
      <w:r w:rsidR="000226D6">
        <w:rPr>
          <w:rFonts w:eastAsia="Times New Roman" w:cs="Times New Roman"/>
        </w:rPr>
        <w:t>likuma “Fiskālās disciplīnas likums” un Stabilitātes un izaugsmes pakta</w:t>
      </w:r>
      <w:r w:rsidRPr="000226D6">
        <w:rPr>
          <w:rFonts w:eastAsia="Times New Roman" w:cs="Times New Roman"/>
        </w:rPr>
        <w:t xml:space="preserve"> fiskālajiem nosacījumiem – atsevišķos gados izdevumi būtu zemāki, bet citos gados lielāki. Tāpēc, lai nodrošinātu atbilstību fiskālajiem nosacījumiem, kas ir galvenais kritērijs, vērtējot </w:t>
      </w:r>
      <w:r w:rsidR="000226D6">
        <w:rPr>
          <w:rFonts w:eastAsia="Times New Roman" w:cs="Times New Roman"/>
        </w:rPr>
        <w:t>Eiropas Savienības</w:t>
      </w:r>
      <w:r w:rsidR="005774F8">
        <w:rPr>
          <w:rFonts w:eastAsia="Times New Roman" w:cs="Times New Roman"/>
        </w:rPr>
        <w:t xml:space="preserve"> dalībvalstu budžetus, </w:t>
      </w:r>
      <w:r w:rsidRPr="000226D6">
        <w:rPr>
          <w:rFonts w:eastAsia="Times New Roman" w:cs="Times New Roman"/>
        </w:rPr>
        <w:t xml:space="preserve">izlīdzināšana </w:t>
      </w:r>
      <w:r w:rsidR="005774F8">
        <w:rPr>
          <w:rFonts w:eastAsia="Times New Roman" w:cs="Times New Roman"/>
        </w:rPr>
        <w:t xml:space="preserve">iepriekšējos vidēja termiņa budžeta ietvaros netika veikta. Šoreiz, sakarā ar vispārējo izņēmum klauzulu 2022. gadā un neskaidrību par deficīta samazināšanas trajektoriju turpmākajos gados, kā jau tika aprakstīts iepriekš, vispārējās valdības strukturālā bilance tiek aprēķināta par pamatu ņemot faktisko nominālo bilanci. Šādos apstākļos izdevumu izlīdzināšana nav pamatota un </w:t>
      </w:r>
      <w:r w:rsidRPr="000226D6">
        <w:rPr>
          <w:rFonts w:eastAsia="Times New Roman" w:cs="Times New Roman"/>
        </w:rPr>
        <w:t>netiek veikta</w:t>
      </w:r>
      <w:r w:rsidR="005774F8">
        <w:rPr>
          <w:rFonts w:eastAsia="Times New Roman" w:cs="Times New Roman"/>
        </w:rPr>
        <w:t>,</w:t>
      </w:r>
      <w:r w:rsidRPr="000226D6">
        <w:rPr>
          <w:rFonts w:eastAsia="Times New Roman" w:cs="Times New Roman"/>
        </w:rPr>
        <w:t xml:space="preserve"> un izlīdzinātie izdevumi sakrīt ar faktiskajiem izdevumiem. Ņemot vērā minēto, koriģētie maksimāli pieļaujamie valsts budžeta izdevumi 202</w:t>
      </w:r>
      <w:r w:rsidR="00FD0FBF" w:rsidRPr="000226D6">
        <w:rPr>
          <w:rFonts w:eastAsia="Times New Roman" w:cs="Times New Roman"/>
        </w:rPr>
        <w:t>2</w:t>
      </w:r>
      <w:r w:rsidRPr="000226D6">
        <w:rPr>
          <w:rFonts w:eastAsia="Times New Roman" w:cs="Times New Roman"/>
        </w:rPr>
        <w:t>.</w:t>
      </w:r>
      <w:r w:rsidR="000226D6">
        <w:rPr>
          <w:rFonts w:eastAsia="Times New Roman" w:cs="Times New Roman"/>
        </w:rPr>
        <w:t xml:space="preserve"> </w:t>
      </w:r>
      <w:r w:rsidRPr="000226D6">
        <w:rPr>
          <w:rFonts w:eastAsia="Times New Roman" w:cs="Times New Roman"/>
        </w:rPr>
        <w:t xml:space="preserve">gadā ir </w:t>
      </w:r>
      <w:r w:rsidR="00FD0FBF" w:rsidRPr="000226D6">
        <w:rPr>
          <w:rFonts w:eastAsia="Times New Roman" w:cs="Times New Roman"/>
        </w:rPr>
        <w:t>10796,3</w:t>
      </w:r>
      <w:r w:rsidRPr="000226D6">
        <w:rPr>
          <w:rFonts w:eastAsia="Times New Roman" w:cs="Times New Roman"/>
        </w:rPr>
        <w:t xml:space="preserve"> milj. </w:t>
      </w:r>
      <w:r w:rsidRPr="000226D6">
        <w:rPr>
          <w:rFonts w:eastAsia="Times New Roman" w:cs="Times New Roman"/>
          <w:i/>
        </w:rPr>
        <w:t>euro</w:t>
      </w:r>
      <w:r w:rsidRPr="000226D6">
        <w:rPr>
          <w:rFonts w:eastAsia="Times New Roman" w:cs="Times New Roman"/>
        </w:rPr>
        <w:t>, 202</w:t>
      </w:r>
      <w:r w:rsidR="00FD0FBF" w:rsidRPr="000226D6">
        <w:rPr>
          <w:rFonts w:eastAsia="Times New Roman" w:cs="Times New Roman"/>
        </w:rPr>
        <w:t>3</w:t>
      </w:r>
      <w:r w:rsidRPr="000226D6">
        <w:rPr>
          <w:rFonts w:eastAsia="Times New Roman" w:cs="Times New Roman"/>
        </w:rPr>
        <w:t>.</w:t>
      </w:r>
      <w:r w:rsidR="000226D6">
        <w:rPr>
          <w:rFonts w:eastAsia="Times New Roman" w:cs="Times New Roman"/>
        </w:rPr>
        <w:t xml:space="preserve"> </w:t>
      </w:r>
      <w:r w:rsidRPr="000226D6">
        <w:rPr>
          <w:rFonts w:eastAsia="Times New Roman" w:cs="Times New Roman"/>
        </w:rPr>
        <w:t xml:space="preserve">gadā ir </w:t>
      </w:r>
      <w:r w:rsidR="00FD0FBF" w:rsidRPr="000226D6">
        <w:rPr>
          <w:rFonts w:eastAsia="Times New Roman" w:cs="Times New Roman"/>
        </w:rPr>
        <w:t>10184,4</w:t>
      </w:r>
      <w:r w:rsidRPr="000226D6">
        <w:rPr>
          <w:rFonts w:eastAsia="Times New Roman" w:cs="Times New Roman"/>
        </w:rPr>
        <w:t xml:space="preserve"> milj. </w:t>
      </w:r>
      <w:r w:rsidRPr="000226D6">
        <w:rPr>
          <w:rFonts w:eastAsia="Times New Roman" w:cs="Times New Roman"/>
          <w:i/>
        </w:rPr>
        <w:t>euro</w:t>
      </w:r>
      <w:r w:rsidRPr="000226D6">
        <w:rPr>
          <w:rFonts w:eastAsia="Times New Roman" w:cs="Times New Roman"/>
        </w:rPr>
        <w:t xml:space="preserve"> un 202</w:t>
      </w:r>
      <w:r w:rsidR="00FD0FBF" w:rsidRPr="000226D6">
        <w:rPr>
          <w:rFonts w:eastAsia="Times New Roman" w:cs="Times New Roman"/>
        </w:rPr>
        <w:t>4</w:t>
      </w:r>
      <w:r w:rsidRPr="000226D6">
        <w:rPr>
          <w:rFonts w:eastAsia="Times New Roman" w:cs="Times New Roman"/>
        </w:rPr>
        <w:t>.</w:t>
      </w:r>
      <w:r w:rsidR="000226D6">
        <w:rPr>
          <w:rFonts w:eastAsia="Times New Roman" w:cs="Times New Roman"/>
        </w:rPr>
        <w:t xml:space="preserve"> </w:t>
      </w:r>
      <w:r w:rsidRPr="000226D6">
        <w:rPr>
          <w:rFonts w:eastAsia="Times New Roman" w:cs="Times New Roman"/>
        </w:rPr>
        <w:t xml:space="preserve">gadā attiecīgi </w:t>
      </w:r>
      <w:r w:rsidR="00FD0FBF" w:rsidRPr="000226D6">
        <w:rPr>
          <w:rFonts w:eastAsia="Times New Roman" w:cs="Times New Roman"/>
        </w:rPr>
        <w:t xml:space="preserve">10442,3 </w:t>
      </w:r>
      <w:r w:rsidRPr="000226D6">
        <w:rPr>
          <w:rFonts w:eastAsia="Times New Roman" w:cs="Times New Roman"/>
        </w:rPr>
        <w:t xml:space="preserve">milj. </w:t>
      </w:r>
      <w:r w:rsidRPr="000226D6">
        <w:rPr>
          <w:rFonts w:eastAsia="Times New Roman" w:cs="Times New Roman"/>
          <w:i/>
        </w:rPr>
        <w:t>euro</w:t>
      </w:r>
      <w:r w:rsidRPr="000226D6">
        <w:rPr>
          <w:rFonts w:eastAsia="Times New Roman" w:cs="Times New Roman"/>
        </w:rPr>
        <w:t>.</w:t>
      </w:r>
    </w:p>
    <w:p w14:paraId="7DAC8D58" w14:textId="1EBBAA56" w:rsidR="00071293" w:rsidRPr="000226D6" w:rsidRDefault="000226D6" w:rsidP="00071293">
      <w:pPr>
        <w:widowControl w:val="0"/>
        <w:ind w:firstLine="709"/>
        <w:rPr>
          <w:rFonts w:eastAsia="Times New Roman" w:cs="Times New Roman"/>
        </w:rPr>
      </w:pPr>
      <w:r>
        <w:rPr>
          <w:rFonts w:eastAsia="Times New Roman" w:cs="Times New Roman"/>
        </w:rPr>
        <w:t>2.4</w:t>
      </w:r>
      <w:r w:rsidR="00071293" w:rsidRPr="000226D6">
        <w:rPr>
          <w:rFonts w:eastAsia="Times New Roman" w:cs="Times New Roman"/>
        </w:rPr>
        <w:t>.</w:t>
      </w:r>
      <w:r>
        <w:rPr>
          <w:rFonts w:eastAsia="Times New Roman" w:cs="Times New Roman"/>
        </w:rPr>
        <w:t xml:space="preserve"> </w:t>
      </w:r>
      <w:r w:rsidR="00071293" w:rsidRPr="000226D6">
        <w:rPr>
          <w:rFonts w:eastAsia="Times New Roman" w:cs="Times New Roman"/>
        </w:rPr>
        <w:t xml:space="preserve">tabulā ir sniegts kopsavilkums par koriģēto maksimāli pieļaujamo valsts budžeta izdevumu aprēķināšanas galarezultātu un starprezultātiem. Maksimāli pieļaujamie valsts budžeta izdevumi atbilstoši </w:t>
      </w:r>
      <w:r>
        <w:rPr>
          <w:rFonts w:eastAsia="Times New Roman" w:cs="Times New Roman"/>
        </w:rPr>
        <w:t>likumam “Fiskālās disciplīnas likums”</w:t>
      </w:r>
      <w:r w:rsidR="00071293" w:rsidRPr="000226D6">
        <w:rPr>
          <w:rFonts w:eastAsia="Times New Roman" w:cs="Times New Roman"/>
        </w:rPr>
        <w:t xml:space="preserve"> tiek noteikti pie koriģētajiem maksimāli pieļaujamajiem valsts budžeta iz</w:t>
      </w:r>
      <w:r>
        <w:rPr>
          <w:rFonts w:eastAsia="Times New Roman" w:cs="Times New Roman"/>
        </w:rPr>
        <w:t>devumiem pieskaitot faktiskos Eiropas Savienības</w:t>
      </w:r>
      <w:r w:rsidR="00071293" w:rsidRPr="000226D6">
        <w:rPr>
          <w:rFonts w:eastAsia="Times New Roman" w:cs="Times New Roman"/>
        </w:rPr>
        <w:t xml:space="preserve"> fondu un faktiskos valsts parāda apkalpo</w:t>
      </w:r>
      <w:r>
        <w:rPr>
          <w:rFonts w:eastAsia="Times New Roman" w:cs="Times New Roman"/>
        </w:rPr>
        <w:t>šanas izdevumus. Kā parādīts 2.4</w:t>
      </w:r>
      <w:r w:rsidR="00071293" w:rsidRPr="000226D6">
        <w:rPr>
          <w:rFonts w:eastAsia="Times New Roman" w:cs="Times New Roman"/>
        </w:rPr>
        <w:t>.</w:t>
      </w:r>
      <w:r>
        <w:rPr>
          <w:rFonts w:eastAsia="Times New Roman" w:cs="Times New Roman"/>
        </w:rPr>
        <w:t xml:space="preserve"> </w:t>
      </w:r>
      <w:r w:rsidR="00071293" w:rsidRPr="000226D6">
        <w:rPr>
          <w:rFonts w:eastAsia="Times New Roman" w:cs="Times New Roman"/>
        </w:rPr>
        <w:t xml:space="preserve">tabulā, maksimāli pieļaujamie valsts budžeta izdevumi atbilstoši </w:t>
      </w:r>
      <w:r>
        <w:rPr>
          <w:rFonts w:eastAsia="Times New Roman" w:cs="Times New Roman"/>
        </w:rPr>
        <w:t xml:space="preserve">likumam “Fiskālās disciplīnas likums” </w:t>
      </w:r>
      <w:r w:rsidR="00071293" w:rsidRPr="000226D6">
        <w:rPr>
          <w:rFonts w:eastAsia="Times New Roman" w:cs="Times New Roman"/>
        </w:rPr>
        <w:t>202</w:t>
      </w:r>
      <w:r w:rsidR="00FD0FBF" w:rsidRPr="000226D6">
        <w:rPr>
          <w:rFonts w:eastAsia="Times New Roman" w:cs="Times New Roman"/>
        </w:rPr>
        <w:t>2</w:t>
      </w:r>
      <w:r w:rsidR="00071293" w:rsidRPr="000226D6">
        <w:rPr>
          <w:rFonts w:eastAsia="Times New Roman" w:cs="Times New Roman"/>
        </w:rPr>
        <w:t>.</w:t>
      </w:r>
      <w:r>
        <w:rPr>
          <w:rFonts w:eastAsia="Times New Roman" w:cs="Times New Roman"/>
        </w:rPr>
        <w:t xml:space="preserve"> </w:t>
      </w:r>
      <w:r w:rsidR="00071293" w:rsidRPr="000226D6">
        <w:rPr>
          <w:rFonts w:eastAsia="Times New Roman" w:cs="Times New Roman"/>
        </w:rPr>
        <w:t xml:space="preserve">gadā ir </w:t>
      </w:r>
      <w:r w:rsidR="00FD0FBF" w:rsidRPr="000226D6">
        <w:rPr>
          <w:rFonts w:eastAsia="Times New Roman" w:cs="Times New Roman"/>
        </w:rPr>
        <w:t>12440,4</w:t>
      </w:r>
      <w:r w:rsidR="00071293" w:rsidRPr="000226D6">
        <w:rPr>
          <w:rFonts w:eastAsia="Times New Roman" w:cs="Times New Roman"/>
        </w:rPr>
        <w:t xml:space="preserve"> milj. </w:t>
      </w:r>
      <w:r w:rsidR="00071293" w:rsidRPr="000226D6">
        <w:rPr>
          <w:rFonts w:eastAsia="Times New Roman" w:cs="Times New Roman"/>
          <w:i/>
        </w:rPr>
        <w:t>euro</w:t>
      </w:r>
      <w:r w:rsidR="00071293" w:rsidRPr="000226D6">
        <w:rPr>
          <w:rFonts w:eastAsia="Times New Roman" w:cs="Times New Roman"/>
        </w:rPr>
        <w:t>, 202</w:t>
      </w:r>
      <w:r w:rsidR="00FD0FBF" w:rsidRPr="000226D6">
        <w:rPr>
          <w:rFonts w:eastAsia="Times New Roman" w:cs="Times New Roman"/>
        </w:rPr>
        <w:t>3</w:t>
      </w:r>
      <w:r w:rsidR="00071293" w:rsidRPr="000226D6">
        <w:rPr>
          <w:rFonts w:eastAsia="Times New Roman" w:cs="Times New Roman"/>
        </w:rPr>
        <w:t>.</w:t>
      </w:r>
      <w:r>
        <w:rPr>
          <w:rFonts w:eastAsia="Times New Roman" w:cs="Times New Roman"/>
        </w:rPr>
        <w:t xml:space="preserve"> </w:t>
      </w:r>
      <w:r w:rsidR="00071293" w:rsidRPr="000226D6">
        <w:rPr>
          <w:rFonts w:eastAsia="Times New Roman" w:cs="Times New Roman"/>
        </w:rPr>
        <w:t xml:space="preserve">gadā ir </w:t>
      </w:r>
      <w:r w:rsidR="00FD0FBF" w:rsidRPr="000226D6">
        <w:rPr>
          <w:rFonts w:eastAsia="Times New Roman" w:cs="Times New Roman"/>
        </w:rPr>
        <w:t>12113,0</w:t>
      </w:r>
      <w:r w:rsidR="00071293" w:rsidRPr="000226D6">
        <w:rPr>
          <w:rFonts w:eastAsia="Times New Roman" w:cs="Times New Roman"/>
        </w:rPr>
        <w:t xml:space="preserve"> milj. </w:t>
      </w:r>
      <w:r w:rsidR="00071293" w:rsidRPr="000226D6">
        <w:rPr>
          <w:rFonts w:eastAsia="Times New Roman" w:cs="Times New Roman"/>
          <w:i/>
        </w:rPr>
        <w:t>euro</w:t>
      </w:r>
      <w:r w:rsidR="00071293" w:rsidRPr="000226D6">
        <w:rPr>
          <w:rFonts w:eastAsia="Times New Roman" w:cs="Times New Roman"/>
        </w:rPr>
        <w:t xml:space="preserve"> un 202</w:t>
      </w:r>
      <w:r w:rsidR="00FD0FBF" w:rsidRPr="000226D6">
        <w:rPr>
          <w:rFonts w:eastAsia="Times New Roman" w:cs="Times New Roman"/>
        </w:rPr>
        <w:t>4</w:t>
      </w:r>
      <w:r w:rsidR="00071293" w:rsidRPr="000226D6">
        <w:rPr>
          <w:rFonts w:eastAsia="Times New Roman" w:cs="Times New Roman"/>
        </w:rPr>
        <w:t>.</w:t>
      </w:r>
      <w:r>
        <w:rPr>
          <w:rFonts w:eastAsia="Times New Roman" w:cs="Times New Roman"/>
        </w:rPr>
        <w:t xml:space="preserve"> </w:t>
      </w:r>
      <w:r w:rsidR="00071293" w:rsidRPr="000226D6">
        <w:rPr>
          <w:rFonts w:eastAsia="Times New Roman" w:cs="Times New Roman"/>
        </w:rPr>
        <w:t xml:space="preserve">gadā attiecīgi </w:t>
      </w:r>
      <w:r w:rsidR="00FD0FBF" w:rsidRPr="000226D6">
        <w:rPr>
          <w:rFonts w:eastAsia="Times New Roman" w:cs="Times New Roman"/>
        </w:rPr>
        <w:t>12351,3</w:t>
      </w:r>
      <w:r w:rsidR="00071293" w:rsidRPr="000226D6">
        <w:rPr>
          <w:rFonts w:eastAsia="Times New Roman" w:cs="Times New Roman"/>
        </w:rPr>
        <w:t xml:space="preserve"> milj. </w:t>
      </w:r>
      <w:r w:rsidR="00071293" w:rsidRPr="000226D6">
        <w:rPr>
          <w:rFonts w:eastAsia="Times New Roman" w:cs="Times New Roman"/>
          <w:i/>
        </w:rPr>
        <w:t>euro</w:t>
      </w:r>
      <w:r w:rsidR="00071293" w:rsidRPr="000226D6">
        <w:rPr>
          <w:rFonts w:eastAsia="Times New Roman" w:cs="Times New Roman"/>
        </w:rPr>
        <w:t>. Savukārt, faktiskie valsts budžeta izdevumi 202</w:t>
      </w:r>
      <w:r w:rsidR="00FD0FBF" w:rsidRPr="000226D6">
        <w:rPr>
          <w:rFonts w:eastAsia="Times New Roman" w:cs="Times New Roman"/>
        </w:rPr>
        <w:t>2</w:t>
      </w:r>
      <w:r w:rsidR="00071293" w:rsidRPr="000226D6">
        <w:rPr>
          <w:rFonts w:eastAsia="Times New Roman" w:cs="Times New Roman"/>
        </w:rPr>
        <w:t>.</w:t>
      </w:r>
      <w:r>
        <w:rPr>
          <w:rFonts w:eastAsia="Times New Roman" w:cs="Times New Roman"/>
        </w:rPr>
        <w:t xml:space="preserve"> </w:t>
      </w:r>
      <w:r w:rsidR="00071293" w:rsidRPr="000226D6">
        <w:rPr>
          <w:rFonts w:eastAsia="Times New Roman" w:cs="Times New Roman"/>
        </w:rPr>
        <w:t xml:space="preserve">gadā ir </w:t>
      </w:r>
      <w:r w:rsidR="00FD0FBF" w:rsidRPr="000226D6">
        <w:rPr>
          <w:rFonts w:eastAsia="Times New Roman" w:cs="Times New Roman"/>
        </w:rPr>
        <w:t>12406,3</w:t>
      </w:r>
      <w:r w:rsidR="00071293" w:rsidRPr="000226D6">
        <w:rPr>
          <w:rFonts w:eastAsia="Times New Roman" w:cs="Times New Roman"/>
        </w:rPr>
        <w:t xml:space="preserve"> milj. </w:t>
      </w:r>
      <w:r w:rsidR="00071293" w:rsidRPr="000226D6">
        <w:rPr>
          <w:rFonts w:eastAsia="Times New Roman" w:cs="Times New Roman"/>
          <w:i/>
        </w:rPr>
        <w:t>euro</w:t>
      </w:r>
      <w:r w:rsidR="00071293" w:rsidRPr="000226D6">
        <w:rPr>
          <w:rFonts w:eastAsia="Times New Roman" w:cs="Times New Roman"/>
        </w:rPr>
        <w:t>, 202</w:t>
      </w:r>
      <w:r w:rsidR="00FD0FBF" w:rsidRPr="000226D6">
        <w:rPr>
          <w:rFonts w:eastAsia="Times New Roman" w:cs="Times New Roman"/>
        </w:rPr>
        <w:t>3</w:t>
      </w:r>
      <w:r>
        <w:rPr>
          <w:rFonts w:eastAsia="Times New Roman" w:cs="Times New Roman"/>
        </w:rPr>
        <w:t xml:space="preserve"> </w:t>
      </w:r>
      <w:r w:rsidR="00071293" w:rsidRPr="000226D6">
        <w:rPr>
          <w:rFonts w:eastAsia="Times New Roman" w:cs="Times New Roman"/>
        </w:rPr>
        <w:t xml:space="preserve">.gadā ir </w:t>
      </w:r>
      <w:r w:rsidR="00FD0FBF" w:rsidRPr="000226D6">
        <w:rPr>
          <w:rFonts w:eastAsia="Times New Roman" w:cs="Times New Roman"/>
        </w:rPr>
        <w:t xml:space="preserve">12076,9 </w:t>
      </w:r>
      <w:r w:rsidR="00071293" w:rsidRPr="000226D6">
        <w:rPr>
          <w:rFonts w:eastAsia="Times New Roman" w:cs="Times New Roman"/>
        </w:rPr>
        <w:t xml:space="preserve">milj. </w:t>
      </w:r>
      <w:r w:rsidR="00071293" w:rsidRPr="000226D6">
        <w:rPr>
          <w:rFonts w:eastAsia="Times New Roman" w:cs="Times New Roman"/>
          <w:i/>
        </w:rPr>
        <w:t>euro</w:t>
      </w:r>
      <w:r w:rsidR="00071293" w:rsidRPr="000226D6">
        <w:rPr>
          <w:rFonts w:eastAsia="Times New Roman" w:cs="Times New Roman"/>
        </w:rPr>
        <w:t xml:space="preserve"> un 202</w:t>
      </w:r>
      <w:r w:rsidR="00FD0FBF" w:rsidRPr="000226D6">
        <w:rPr>
          <w:rFonts w:eastAsia="Times New Roman" w:cs="Times New Roman"/>
        </w:rPr>
        <w:t>4</w:t>
      </w:r>
      <w:r w:rsidR="00071293" w:rsidRPr="000226D6">
        <w:rPr>
          <w:rFonts w:eastAsia="Times New Roman" w:cs="Times New Roman"/>
        </w:rPr>
        <w:t>.</w:t>
      </w:r>
      <w:r>
        <w:rPr>
          <w:rFonts w:eastAsia="Times New Roman" w:cs="Times New Roman"/>
        </w:rPr>
        <w:t xml:space="preserve"> </w:t>
      </w:r>
      <w:r w:rsidR="00071293" w:rsidRPr="000226D6">
        <w:rPr>
          <w:rFonts w:eastAsia="Times New Roman" w:cs="Times New Roman"/>
        </w:rPr>
        <w:t xml:space="preserve">gadā attiecīgi </w:t>
      </w:r>
      <w:r w:rsidR="00FD0FBF" w:rsidRPr="000226D6">
        <w:rPr>
          <w:rFonts w:eastAsia="Times New Roman" w:cs="Times New Roman"/>
        </w:rPr>
        <w:t xml:space="preserve">12313,2 </w:t>
      </w:r>
      <w:r w:rsidR="00071293" w:rsidRPr="000226D6">
        <w:rPr>
          <w:rFonts w:eastAsia="Times New Roman" w:cs="Times New Roman"/>
        </w:rPr>
        <w:t xml:space="preserve">milj. </w:t>
      </w:r>
      <w:r w:rsidR="00071293" w:rsidRPr="000226D6">
        <w:rPr>
          <w:rFonts w:eastAsia="Times New Roman" w:cs="Times New Roman"/>
          <w:i/>
        </w:rPr>
        <w:t>euro</w:t>
      </w:r>
      <w:r w:rsidR="00071293" w:rsidRPr="000226D6">
        <w:rPr>
          <w:rFonts w:eastAsia="Times New Roman" w:cs="Times New Roman"/>
        </w:rPr>
        <w:t>. Starpību st</w:t>
      </w:r>
      <w:r w:rsidR="005774F8">
        <w:rPr>
          <w:rFonts w:eastAsia="Times New Roman" w:cs="Times New Roman"/>
        </w:rPr>
        <w:t>arp šiem diviem lielumiem, veido fiskālā nodrošinājuma rezervi.</w:t>
      </w:r>
    </w:p>
    <w:p w14:paraId="1304BA1C" w14:textId="7550C1BB" w:rsidR="002519DD" w:rsidRPr="000226D6" w:rsidRDefault="00EE5424" w:rsidP="006C5310">
      <w:pPr>
        <w:widowControl w:val="0"/>
        <w:spacing w:before="120"/>
        <w:ind w:right="142" w:firstLine="709"/>
        <w:jc w:val="right"/>
        <w:rPr>
          <w:rFonts w:eastAsia="Times New Roman" w:cs="Times New Roman"/>
          <w:b/>
          <w:i/>
        </w:rPr>
      </w:pPr>
      <w:r w:rsidRPr="000226D6">
        <w:rPr>
          <w:rFonts w:eastAsia="Times New Roman" w:cs="Times New Roman"/>
          <w:b/>
          <w:i/>
          <w:color w:val="000000"/>
        </w:rPr>
        <w:t>2.4</w:t>
      </w:r>
      <w:r w:rsidR="00071293" w:rsidRPr="000226D6">
        <w:rPr>
          <w:rFonts w:eastAsia="Times New Roman" w:cs="Times New Roman"/>
          <w:b/>
          <w:i/>
          <w:color w:val="000000"/>
        </w:rPr>
        <w:t>.</w:t>
      </w:r>
      <w:r w:rsidRPr="000226D6">
        <w:rPr>
          <w:rFonts w:eastAsia="Times New Roman" w:cs="Times New Roman"/>
          <w:b/>
          <w:i/>
          <w:color w:val="000000"/>
        </w:rPr>
        <w:t xml:space="preserve"> </w:t>
      </w:r>
      <w:r w:rsidR="00071293" w:rsidRPr="000226D6">
        <w:rPr>
          <w:rFonts w:eastAsia="Times New Roman" w:cs="Times New Roman"/>
          <w:b/>
          <w:i/>
          <w:color w:val="000000"/>
        </w:rPr>
        <w:t xml:space="preserve">tabula. </w:t>
      </w:r>
      <w:r w:rsidR="00071293" w:rsidRPr="000226D6">
        <w:rPr>
          <w:rFonts w:eastAsia="Times New Roman" w:cs="Times New Roman"/>
          <w:b/>
          <w:i/>
        </w:rPr>
        <w:t>Fiskālie rādītāji, kas tiek izmantoti koriģēto</w:t>
      </w:r>
      <w:r w:rsidR="00071293" w:rsidRPr="000226D6">
        <w:rPr>
          <w:rFonts w:ascii="Calibri" w:eastAsia="Calibri" w:hAnsi="Calibri" w:cs="Calibri"/>
        </w:rPr>
        <w:t xml:space="preserve"> </w:t>
      </w:r>
      <w:r w:rsidR="00071293" w:rsidRPr="000226D6">
        <w:rPr>
          <w:rFonts w:eastAsia="Times New Roman" w:cs="Times New Roman"/>
          <w:b/>
          <w:i/>
        </w:rPr>
        <w:t>maksimāli pieļaujamo valsts</w:t>
      </w:r>
      <w:r w:rsidR="006C5310">
        <w:rPr>
          <w:rFonts w:eastAsia="Times New Roman" w:cs="Times New Roman"/>
          <w:b/>
          <w:i/>
        </w:rPr>
        <w:t xml:space="preserve"> budžeta izdevumu aprēķināšana</w:t>
      </w:r>
    </w:p>
    <w:tbl>
      <w:tblPr>
        <w:tblW w:w="9066" w:type="dxa"/>
        <w:jc w:val="center"/>
        <w:tblLook w:val="04A0" w:firstRow="1" w:lastRow="0" w:firstColumn="1" w:lastColumn="0" w:noHBand="0" w:noVBand="1"/>
      </w:tblPr>
      <w:tblGrid>
        <w:gridCol w:w="1230"/>
        <w:gridCol w:w="5291"/>
        <w:gridCol w:w="850"/>
        <w:gridCol w:w="852"/>
        <w:gridCol w:w="843"/>
      </w:tblGrid>
      <w:tr w:rsidR="002519DD" w:rsidRPr="006C5310" w14:paraId="0731FD87" w14:textId="77777777" w:rsidTr="006C5310">
        <w:trPr>
          <w:trHeight w:val="300"/>
          <w:jc w:val="center"/>
        </w:trPr>
        <w:tc>
          <w:tcPr>
            <w:tcW w:w="1229" w:type="dxa"/>
            <w:tcBorders>
              <w:top w:val="nil"/>
              <w:left w:val="nil"/>
              <w:bottom w:val="nil"/>
              <w:right w:val="nil"/>
            </w:tcBorders>
            <w:shd w:val="clear" w:color="auto" w:fill="auto"/>
            <w:noWrap/>
            <w:vAlign w:val="bottom"/>
            <w:hideMark/>
          </w:tcPr>
          <w:p w14:paraId="23B0A7ED" w14:textId="77777777" w:rsidR="002519DD" w:rsidRPr="006C5310" w:rsidRDefault="002519DD" w:rsidP="002519DD">
            <w:pPr>
              <w:spacing w:after="0"/>
              <w:ind w:firstLine="0"/>
              <w:jc w:val="left"/>
              <w:rPr>
                <w:rFonts w:eastAsia="Times New Roman" w:cs="Times New Roman"/>
                <w:sz w:val="18"/>
                <w:szCs w:val="18"/>
              </w:rPr>
            </w:pPr>
          </w:p>
        </w:tc>
        <w:tc>
          <w:tcPr>
            <w:tcW w:w="5292"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14:paraId="4B2700FE" w14:textId="77777777" w:rsidR="002519DD" w:rsidRPr="006C5310" w:rsidRDefault="002519DD" w:rsidP="002519DD">
            <w:pPr>
              <w:spacing w:after="0"/>
              <w:ind w:firstLine="0"/>
              <w:jc w:val="left"/>
              <w:rPr>
                <w:rFonts w:eastAsia="Times New Roman" w:cs="Times New Roman"/>
                <w:color w:val="000000"/>
                <w:sz w:val="18"/>
                <w:szCs w:val="18"/>
              </w:rPr>
            </w:pPr>
            <w:r w:rsidRPr="006C5310">
              <w:rPr>
                <w:rFonts w:eastAsia="Times New Roman" w:cs="Times New Roman"/>
                <w:color w:val="000000"/>
                <w:sz w:val="18"/>
                <w:szCs w:val="18"/>
              </w:rPr>
              <w:t> </w:t>
            </w:r>
          </w:p>
        </w:tc>
        <w:tc>
          <w:tcPr>
            <w:tcW w:w="850" w:type="dxa"/>
            <w:tcBorders>
              <w:top w:val="single" w:sz="4" w:space="0" w:color="auto"/>
              <w:left w:val="nil"/>
              <w:bottom w:val="single" w:sz="4" w:space="0" w:color="auto"/>
              <w:right w:val="single" w:sz="4" w:space="0" w:color="auto"/>
            </w:tcBorders>
            <w:shd w:val="clear" w:color="000000" w:fill="B8CCE4"/>
            <w:noWrap/>
            <w:vAlign w:val="bottom"/>
            <w:hideMark/>
          </w:tcPr>
          <w:p w14:paraId="325DFE92" w14:textId="77777777" w:rsidR="002519DD" w:rsidRPr="006C5310" w:rsidRDefault="002519DD" w:rsidP="002519DD">
            <w:pPr>
              <w:spacing w:after="0"/>
              <w:ind w:firstLine="0"/>
              <w:jc w:val="center"/>
              <w:rPr>
                <w:rFonts w:eastAsia="Times New Roman" w:cs="Times New Roman"/>
                <w:b/>
                <w:bCs/>
                <w:color w:val="000000"/>
                <w:sz w:val="18"/>
                <w:szCs w:val="18"/>
              </w:rPr>
            </w:pPr>
            <w:r w:rsidRPr="006C5310">
              <w:rPr>
                <w:rFonts w:eastAsia="Times New Roman" w:cs="Times New Roman"/>
                <w:b/>
                <w:bCs/>
                <w:color w:val="000000"/>
                <w:sz w:val="18"/>
                <w:szCs w:val="18"/>
              </w:rPr>
              <w:t>2022</w:t>
            </w:r>
          </w:p>
        </w:tc>
        <w:tc>
          <w:tcPr>
            <w:tcW w:w="852" w:type="dxa"/>
            <w:tcBorders>
              <w:top w:val="single" w:sz="4" w:space="0" w:color="auto"/>
              <w:left w:val="nil"/>
              <w:bottom w:val="single" w:sz="4" w:space="0" w:color="auto"/>
              <w:right w:val="single" w:sz="4" w:space="0" w:color="auto"/>
            </w:tcBorders>
            <w:shd w:val="clear" w:color="000000" w:fill="B8CCE4"/>
            <w:noWrap/>
            <w:vAlign w:val="bottom"/>
            <w:hideMark/>
          </w:tcPr>
          <w:p w14:paraId="5AFBE8E6" w14:textId="77777777" w:rsidR="002519DD" w:rsidRPr="006C5310" w:rsidRDefault="002519DD" w:rsidP="002519DD">
            <w:pPr>
              <w:spacing w:after="0"/>
              <w:ind w:firstLine="0"/>
              <w:jc w:val="center"/>
              <w:rPr>
                <w:rFonts w:eastAsia="Times New Roman" w:cs="Times New Roman"/>
                <w:b/>
                <w:bCs/>
                <w:color w:val="000000"/>
                <w:sz w:val="18"/>
                <w:szCs w:val="18"/>
              </w:rPr>
            </w:pPr>
            <w:r w:rsidRPr="006C5310">
              <w:rPr>
                <w:rFonts w:eastAsia="Times New Roman" w:cs="Times New Roman"/>
                <w:b/>
                <w:bCs/>
                <w:color w:val="000000"/>
                <w:sz w:val="18"/>
                <w:szCs w:val="18"/>
              </w:rPr>
              <w:t>2023</w:t>
            </w:r>
          </w:p>
        </w:tc>
        <w:tc>
          <w:tcPr>
            <w:tcW w:w="843" w:type="dxa"/>
            <w:tcBorders>
              <w:top w:val="single" w:sz="4" w:space="0" w:color="auto"/>
              <w:left w:val="nil"/>
              <w:bottom w:val="single" w:sz="4" w:space="0" w:color="auto"/>
              <w:right w:val="single" w:sz="4" w:space="0" w:color="auto"/>
            </w:tcBorders>
            <w:shd w:val="clear" w:color="000000" w:fill="B8CCE4"/>
            <w:noWrap/>
            <w:vAlign w:val="bottom"/>
            <w:hideMark/>
          </w:tcPr>
          <w:p w14:paraId="0D22B2CC" w14:textId="77777777" w:rsidR="002519DD" w:rsidRPr="006C5310" w:rsidRDefault="002519DD" w:rsidP="002519DD">
            <w:pPr>
              <w:spacing w:after="0"/>
              <w:ind w:firstLine="0"/>
              <w:jc w:val="center"/>
              <w:rPr>
                <w:rFonts w:eastAsia="Times New Roman" w:cs="Times New Roman"/>
                <w:b/>
                <w:bCs/>
                <w:color w:val="000000"/>
                <w:sz w:val="18"/>
                <w:szCs w:val="18"/>
              </w:rPr>
            </w:pPr>
            <w:r w:rsidRPr="006C5310">
              <w:rPr>
                <w:rFonts w:eastAsia="Times New Roman" w:cs="Times New Roman"/>
                <w:b/>
                <w:bCs/>
                <w:color w:val="000000"/>
                <w:sz w:val="18"/>
                <w:szCs w:val="18"/>
              </w:rPr>
              <w:t>2024</w:t>
            </w:r>
          </w:p>
        </w:tc>
      </w:tr>
      <w:tr w:rsidR="002519DD" w:rsidRPr="006C5310" w14:paraId="605EEA9F"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23D7C71D"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0</w:t>
            </w:r>
          </w:p>
        </w:tc>
        <w:tc>
          <w:tcPr>
            <w:tcW w:w="5292" w:type="dxa"/>
            <w:tcBorders>
              <w:top w:val="nil"/>
              <w:left w:val="single" w:sz="4" w:space="0" w:color="auto"/>
              <w:bottom w:val="single" w:sz="4" w:space="0" w:color="auto"/>
              <w:right w:val="single" w:sz="4" w:space="0" w:color="auto"/>
            </w:tcBorders>
            <w:shd w:val="clear" w:color="000000" w:fill="FFFFFF"/>
            <w:noWrap/>
            <w:vAlign w:val="bottom"/>
            <w:hideMark/>
          </w:tcPr>
          <w:p w14:paraId="27FE5750" w14:textId="0FA95183" w:rsidR="002519DD" w:rsidRPr="006C5310" w:rsidRDefault="006C5310" w:rsidP="002519DD">
            <w:pPr>
              <w:spacing w:after="0"/>
              <w:ind w:firstLine="0"/>
              <w:jc w:val="left"/>
              <w:rPr>
                <w:rFonts w:eastAsia="Times New Roman" w:cs="Times New Roman"/>
                <w:color w:val="000000"/>
                <w:sz w:val="18"/>
                <w:szCs w:val="18"/>
              </w:rPr>
            </w:pPr>
            <w:r w:rsidRPr="006C5310">
              <w:rPr>
                <w:rFonts w:eastAsia="Times New Roman" w:cs="Times New Roman"/>
                <w:color w:val="000000"/>
                <w:sz w:val="18"/>
                <w:szCs w:val="18"/>
              </w:rPr>
              <w:t>Iekšzemes kopprodukts</w:t>
            </w:r>
            <w:r w:rsidR="002519DD" w:rsidRPr="006C5310">
              <w:rPr>
                <w:rFonts w:eastAsia="Times New Roman" w:cs="Times New Roman"/>
                <w:color w:val="000000"/>
                <w:sz w:val="18"/>
                <w:szCs w:val="18"/>
              </w:rPr>
              <w:t xml:space="preserve">, faktiskajās cenas, milj. </w:t>
            </w:r>
            <w:r w:rsidR="002519DD" w:rsidRPr="006C5310">
              <w:rPr>
                <w:rFonts w:eastAsia="Times New Roman" w:cs="Times New Roman"/>
                <w:i/>
                <w:iCs/>
                <w:color w:val="000000"/>
                <w:sz w:val="18"/>
                <w:szCs w:val="18"/>
              </w:rPr>
              <w:t>euro</w:t>
            </w:r>
          </w:p>
        </w:tc>
        <w:tc>
          <w:tcPr>
            <w:tcW w:w="850" w:type="dxa"/>
            <w:tcBorders>
              <w:top w:val="nil"/>
              <w:left w:val="nil"/>
              <w:bottom w:val="single" w:sz="4" w:space="0" w:color="auto"/>
              <w:right w:val="single" w:sz="4" w:space="0" w:color="auto"/>
            </w:tcBorders>
            <w:shd w:val="clear" w:color="000000" w:fill="FFFFFF"/>
            <w:noWrap/>
            <w:vAlign w:val="bottom"/>
            <w:hideMark/>
          </w:tcPr>
          <w:p w14:paraId="63685F3E" w14:textId="2C580285"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34021,</w:t>
            </w:r>
            <w:r w:rsidR="002519DD" w:rsidRPr="006C5310">
              <w:rPr>
                <w:rFonts w:eastAsia="Times New Roman" w:cs="Times New Roman"/>
                <w:sz w:val="18"/>
                <w:szCs w:val="18"/>
              </w:rPr>
              <w:t>8</w:t>
            </w:r>
          </w:p>
        </w:tc>
        <w:tc>
          <w:tcPr>
            <w:tcW w:w="852" w:type="dxa"/>
            <w:tcBorders>
              <w:top w:val="nil"/>
              <w:left w:val="nil"/>
              <w:bottom w:val="single" w:sz="4" w:space="0" w:color="auto"/>
              <w:right w:val="single" w:sz="4" w:space="0" w:color="auto"/>
            </w:tcBorders>
            <w:shd w:val="clear" w:color="000000" w:fill="FFFFFF"/>
            <w:noWrap/>
            <w:vAlign w:val="bottom"/>
            <w:hideMark/>
          </w:tcPr>
          <w:p w14:paraId="361ABCCB" w14:textId="219F091B"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36115,</w:t>
            </w:r>
            <w:r w:rsidR="002519DD" w:rsidRPr="006C5310">
              <w:rPr>
                <w:rFonts w:eastAsia="Times New Roman" w:cs="Times New Roman"/>
                <w:sz w:val="18"/>
                <w:szCs w:val="18"/>
              </w:rPr>
              <w:t>4</w:t>
            </w:r>
          </w:p>
        </w:tc>
        <w:tc>
          <w:tcPr>
            <w:tcW w:w="843" w:type="dxa"/>
            <w:tcBorders>
              <w:top w:val="nil"/>
              <w:left w:val="nil"/>
              <w:bottom w:val="single" w:sz="4" w:space="0" w:color="auto"/>
              <w:right w:val="single" w:sz="4" w:space="0" w:color="auto"/>
            </w:tcBorders>
            <w:shd w:val="clear" w:color="000000" w:fill="FFFFFF"/>
            <w:noWrap/>
            <w:vAlign w:val="bottom"/>
            <w:hideMark/>
          </w:tcPr>
          <w:p w14:paraId="3AC98778" w14:textId="7C1C387F"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38032,</w:t>
            </w:r>
            <w:r w:rsidR="002519DD" w:rsidRPr="006C5310">
              <w:rPr>
                <w:rFonts w:eastAsia="Times New Roman" w:cs="Times New Roman"/>
                <w:sz w:val="18"/>
                <w:szCs w:val="18"/>
              </w:rPr>
              <w:t>9</w:t>
            </w:r>
          </w:p>
        </w:tc>
      </w:tr>
      <w:tr w:rsidR="002519DD" w:rsidRPr="006C5310" w14:paraId="1C223818"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345BC269"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1</w:t>
            </w:r>
          </w:p>
        </w:tc>
        <w:tc>
          <w:tcPr>
            <w:tcW w:w="5292" w:type="dxa"/>
            <w:tcBorders>
              <w:top w:val="nil"/>
              <w:left w:val="single" w:sz="4" w:space="0" w:color="auto"/>
              <w:bottom w:val="single" w:sz="4" w:space="0" w:color="auto"/>
              <w:right w:val="single" w:sz="4" w:space="0" w:color="auto"/>
            </w:tcBorders>
            <w:shd w:val="clear" w:color="000000" w:fill="DCE6F1"/>
            <w:noWrap/>
            <w:vAlign w:val="bottom"/>
            <w:hideMark/>
          </w:tcPr>
          <w:p w14:paraId="3F3DF828" w14:textId="50A847FA" w:rsidR="002519DD" w:rsidRPr="006C5310" w:rsidRDefault="002519DD" w:rsidP="002519DD">
            <w:pPr>
              <w:spacing w:after="0"/>
              <w:ind w:firstLine="0"/>
              <w:jc w:val="left"/>
              <w:rPr>
                <w:rFonts w:eastAsia="Times New Roman" w:cs="Times New Roman"/>
                <w:color w:val="000000"/>
                <w:sz w:val="18"/>
                <w:szCs w:val="18"/>
              </w:rPr>
            </w:pPr>
            <w:r w:rsidRPr="006C5310">
              <w:rPr>
                <w:rFonts w:eastAsia="Times New Roman" w:cs="Times New Roman"/>
                <w:color w:val="000000"/>
                <w:sz w:val="18"/>
                <w:szCs w:val="18"/>
              </w:rPr>
              <w:t>Struktu</w:t>
            </w:r>
            <w:r w:rsidR="006C5310" w:rsidRPr="006C5310">
              <w:rPr>
                <w:rFonts w:eastAsia="Times New Roman" w:cs="Times New Roman"/>
                <w:color w:val="000000"/>
                <w:sz w:val="18"/>
                <w:szCs w:val="18"/>
              </w:rPr>
              <w:t>rālās bilances mērķis,  % no iekšzemes kopprodukta</w:t>
            </w:r>
          </w:p>
        </w:tc>
        <w:tc>
          <w:tcPr>
            <w:tcW w:w="850" w:type="dxa"/>
            <w:tcBorders>
              <w:top w:val="nil"/>
              <w:left w:val="nil"/>
              <w:bottom w:val="single" w:sz="4" w:space="0" w:color="auto"/>
              <w:right w:val="single" w:sz="4" w:space="0" w:color="auto"/>
            </w:tcBorders>
            <w:shd w:val="clear" w:color="000000" w:fill="DCE6F1"/>
            <w:noWrap/>
            <w:vAlign w:val="bottom"/>
            <w:hideMark/>
          </w:tcPr>
          <w:p w14:paraId="4765F158" w14:textId="565146AE"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-4,</w:t>
            </w:r>
            <w:r w:rsidR="002519DD" w:rsidRPr="006C5310">
              <w:rPr>
                <w:rFonts w:eastAsia="Times New Roman" w:cs="Times New Roman"/>
                <w:sz w:val="18"/>
                <w:szCs w:val="18"/>
              </w:rPr>
              <w:t>7</w:t>
            </w:r>
          </w:p>
        </w:tc>
        <w:tc>
          <w:tcPr>
            <w:tcW w:w="852" w:type="dxa"/>
            <w:tcBorders>
              <w:top w:val="nil"/>
              <w:left w:val="nil"/>
              <w:bottom w:val="single" w:sz="4" w:space="0" w:color="auto"/>
              <w:right w:val="single" w:sz="4" w:space="0" w:color="auto"/>
            </w:tcBorders>
            <w:shd w:val="clear" w:color="000000" w:fill="DCE6F1"/>
            <w:noWrap/>
            <w:vAlign w:val="bottom"/>
            <w:hideMark/>
          </w:tcPr>
          <w:p w14:paraId="2CE89C81" w14:textId="09FE297E"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-2,</w:t>
            </w:r>
            <w:r w:rsidR="002519DD" w:rsidRPr="006C5310">
              <w:rPr>
                <w:rFonts w:eastAsia="Times New Roman" w:cs="Times New Roman"/>
                <w:sz w:val="18"/>
                <w:szCs w:val="18"/>
              </w:rPr>
              <w:t>1</w:t>
            </w:r>
          </w:p>
        </w:tc>
        <w:tc>
          <w:tcPr>
            <w:tcW w:w="843" w:type="dxa"/>
            <w:tcBorders>
              <w:top w:val="nil"/>
              <w:left w:val="nil"/>
              <w:bottom w:val="single" w:sz="4" w:space="0" w:color="auto"/>
              <w:right w:val="single" w:sz="4" w:space="0" w:color="auto"/>
            </w:tcBorders>
            <w:shd w:val="clear" w:color="000000" w:fill="DCE6F1"/>
            <w:noWrap/>
            <w:vAlign w:val="bottom"/>
            <w:hideMark/>
          </w:tcPr>
          <w:p w14:paraId="72C8CB0A" w14:textId="0E2AE596"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w:t>
            </w:r>
            <w:r w:rsidR="002519DD" w:rsidRPr="006C5310">
              <w:rPr>
                <w:rFonts w:eastAsia="Times New Roman" w:cs="Times New Roman"/>
                <w:sz w:val="18"/>
                <w:szCs w:val="18"/>
              </w:rPr>
              <w:t>4</w:t>
            </w:r>
          </w:p>
        </w:tc>
      </w:tr>
      <w:tr w:rsidR="002519DD" w:rsidRPr="006C5310" w14:paraId="708CE89C"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67CEB520"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2</w:t>
            </w:r>
          </w:p>
        </w:tc>
        <w:tc>
          <w:tcPr>
            <w:tcW w:w="5292" w:type="dxa"/>
            <w:tcBorders>
              <w:top w:val="nil"/>
              <w:left w:val="single" w:sz="4" w:space="0" w:color="auto"/>
              <w:bottom w:val="single" w:sz="4" w:space="0" w:color="auto"/>
              <w:right w:val="single" w:sz="4" w:space="0" w:color="auto"/>
            </w:tcBorders>
            <w:shd w:val="clear" w:color="auto" w:fill="auto"/>
            <w:noWrap/>
            <w:vAlign w:val="bottom"/>
            <w:hideMark/>
          </w:tcPr>
          <w:p w14:paraId="0007869D" w14:textId="3C915229" w:rsidR="002519DD" w:rsidRPr="006C5310" w:rsidRDefault="002519DD" w:rsidP="002519DD">
            <w:pPr>
              <w:spacing w:after="0"/>
              <w:ind w:firstLine="0"/>
              <w:jc w:val="left"/>
              <w:rPr>
                <w:rFonts w:eastAsia="Times New Roman" w:cs="Times New Roman"/>
                <w:color w:val="000000"/>
                <w:sz w:val="18"/>
                <w:szCs w:val="18"/>
              </w:rPr>
            </w:pPr>
            <w:r w:rsidRPr="006C5310">
              <w:rPr>
                <w:rFonts w:eastAsia="Times New Roman" w:cs="Times New Roman"/>
                <w:color w:val="000000"/>
                <w:sz w:val="18"/>
                <w:szCs w:val="18"/>
              </w:rPr>
              <w:t xml:space="preserve">Cikliskā komponente, % no </w:t>
            </w:r>
            <w:r w:rsidR="006C5310" w:rsidRPr="006C5310">
              <w:rPr>
                <w:rFonts w:eastAsia="Times New Roman" w:cs="Times New Roman"/>
                <w:color w:val="000000"/>
                <w:sz w:val="18"/>
                <w:szCs w:val="18"/>
              </w:rPr>
              <w:t>iekšzemes kopprodukta</w:t>
            </w:r>
          </w:p>
        </w:tc>
        <w:tc>
          <w:tcPr>
            <w:tcW w:w="850" w:type="dxa"/>
            <w:tcBorders>
              <w:top w:val="nil"/>
              <w:left w:val="nil"/>
              <w:bottom w:val="single" w:sz="4" w:space="0" w:color="auto"/>
              <w:right w:val="single" w:sz="4" w:space="0" w:color="auto"/>
            </w:tcBorders>
            <w:shd w:val="clear" w:color="auto" w:fill="auto"/>
            <w:noWrap/>
            <w:vAlign w:val="bottom"/>
            <w:hideMark/>
          </w:tcPr>
          <w:p w14:paraId="3BC3DD6C" w14:textId="2814CA91"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-0,</w:t>
            </w:r>
            <w:r w:rsidR="002519DD" w:rsidRPr="006C5310">
              <w:rPr>
                <w:rFonts w:eastAsia="Times New Roman" w:cs="Times New Roman"/>
                <w:sz w:val="18"/>
                <w:szCs w:val="18"/>
              </w:rPr>
              <w:t>2</w:t>
            </w:r>
          </w:p>
        </w:tc>
        <w:tc>
          <w:tcPr>
            <w:tcW w:w="852" w:type="dxa"/>
            <w:tcBorders>
              <w:top w:val="nil"/>
              <w:left w:val="nil"/>
              <w:bottom w:val="single" w:sz="4" w:space="0" w:color="auto"/>
              <w:right w:val="single" w:sz="4" w:space="0" w:color="auto"/>
            </w:tcBorders>
            <w:shd w:val="clear" w:color="auto" w:fill="auto"/>
            <w:noWrap/>
            <w:vAlign w:val="bottom"/>
            <w:hideMark/>
          </w:tcPr>
          <w:p w14:paraId="64124E67" w14:textId="0B976937"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0,</w:t>
            </w:r>
            <w:r w:rsidR="002519DD" w:rsidRPr="006C5310">
              <w:rPr>
                <w:rFonts w:eastAsia="Times New Roman" w:cs="Times New Roman"/>
                <w:sz w:val="18"/>
                <w:szCs w:val="18"/>
              </w:rPr>
              <w:t>0</w:t>
            </w:r>
          </w:p>
        </w:tc>
        <w:tc>
          <w:tcPr>
            <w:tcW w:w="843" w:type="dxa"/>
            <w:tcBorders>
              <w:top w:val="nil"/>
              <w:left w:val="nil"/>
              <w:bottom w:val="single" w:sz="4" w:space="0" w:color="auto"/>
              <w:right w:val="single" w:sz="4" w:space="0" w:color="auto"/>
            </w:tcBorders>
            <w:shd w:val="clear" w:color="auto" w:fill="auto"/>
            <w:noWrap/>
            <w:vAlign w:val="bottom"/>
            <w:hideMark/>
          </w:tcPr>
          <w:p w14:paraId="2D56A88D" w14:textId="0F065350"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0,</w:t>
            </w:r>
            <w:r w:rsidR="002519DD" w:rsidRPr="006C5310">
              <w:rPr>
                <w:rFonts w:eastAsia="Times New Roman" w:cs="Times New Roman"/>
                <w:sz w:val="18"/>
                <w:szCs w:val="18"/>
              </w:rPr>
              <w:t>1</w:t>
            </w:r>
          </w:p>
        </w:tc>
      </w:tr>
      <w:tr w:rsidR="002519DD" w:rsidRPr="006C5310" w14:paraId="626C1599"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68C49C22"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3</w:t>
            </w:r>
          </w:p>
        </w:tc>
        <w:tc>
          <w:tcPr>
            <w:tcW w:w="5292" w:type="dxa"/>
            <w:tcBorders>
              <w:top w:val="nil"/>
              <w:left w:val="single" w:sz="4" w:space="0" w:color="auto"/>
              <w:bottom w:val="single" w:sz="4" w:space="0" w:color="auto"/>
              <w:right w:val="single" w:sz="4" w:space="0" w:color="auto"/>
            </w:tcBorders>
            <w:shd w:val="clear" w:color="auto" w:fill="auto"/>
            <w:noWrap/>
            <w:vAlign w:val="bottom"/>
            <w:hideMark/>
          </w:tcPr>
          <w:p w14:paraId="59A6C11B" w14:textId="04E8C65E" w:rsidR="002519DD" w:rsidRPr="006C5310" w:rsidRDefault="002519DD" w:rsidP="002519DD">
            <w:pPr>
              <w:spacing w:after="0"/>
              <w:ind w:firstLine="0"/>
              <w:jc w:val="left"/>
              <w:rPr>
                <w:rFonts w:eastAsia="Times New Roman" w:cs="Times New Roman"/>
                <w:color w:val="000000"/>
                <w:sz w:val="18"/>
                <w:szCs w:val="18"/>
              </w:rPr>
            </w:pPr>
            <w:r w:rsidRPr="006C5310">
              <w:rPr>
                <w:rFonts w:eastAsia="Times New Roman" w:cs="Times New Roman"/>
                <w:color w:val="000000"/>
                <w:sz w:val="18"/>
                <w:szCs w:val="18"/>
              </w:rPr>
              <w:t xml:space="preserve">Vienreizējie un pagaidu pasākumi, % no </w:t>
            </w:r>
            <w:r w:rsidR="006C5310" w:rsidRPr="006C5310">
              <w:rPr>
                <w:rFonts w:eastAsia="Times New Roman" w:cs="Times New Roman"/>
                <w:color w:val="000000"/>
                <w:sz w:val="18"/>
                <w:szCs w:val="18"/>
              </w:rPr>
              <w:t>iekšzemes kopprodukta</w:t>
            </w:r>
          </w:p>
        </w:tc>
        <w:tc>
          <w:tcPr>
            <w:tcW w:w="850" w:type="dxa"/>
            <w:tcBorders>
              <w:top w:val="nil"/>
              <w:left w:val="nil"/>
              <w:bottom w:val="single" w:sz="4" w:space="0" w:color="auto"/>
              <w:right w:val="single" w:sz="4" w:space="0" w:color="auto"/>
            </w:tcBorders>
            <w:shd w:val="clear" w:color="auto" w:fill="auto"/>
            <w:noWrap/>
            <w:vAlign w:val="bottom"/>
            <w:hideMark/>
          </w:tcPr>
          <w:p w14:paraId="6D4B1334" w14:textId="0D6CCE28"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0,</w:t>
            </w:r>
            <w:r w:rsidR="002519DD" w:rsidRPr="006C5310">
              <w:rPr>
                <w:rFonts w:eastAsia="Times New Roman" w:cs="Times New Roman"/>
                <w:sz w:val="18"/>
                <w:szCs w:val="18"/>
              </w:rPr>
              <w:t>0</w:t>
            </w:r>
          </w:p>
        </w:tc>
        <w:tc>
          <w:tcPr>
            <w:tcW w:w="852" w:type="dxa"/>
            <w:tcBorders>
              <w:top w:val="nil"/>
              <w:left w:val="nil"/>
              <w:bottom w:val="single" w:sz="4" w:space="0" w:color="auto"/>
              <w:right w:val="single" w:sz="4" w:space="0" w:color="auto"/>
            </w:tcBorders>
            <w:shd w:val="clear" w:color="auto" w:fill="auto"/>
            <w:noWrap/>
            <w:vAlign w:val="bottom"/>
            <w:hideMark/>
          </w:tcPr>
          <w:p w14:paraId="742CAF65" w14:textId="3C2440DB"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0,</w:t>
            </w:r>
            <w:r w:rsidR="002519DD" w:rsidRPr="006C5310">
              <w:rPr>
                <w:rFonts w:eastAsia="Times New Roman" w:cs="Times New Roman"/>
                <w:sz w:val="18"/>
                <w:szCs w:val="18"/>
              </w:rPr>
              <w:t>0</w:t>
            </w:r>
          </w:p>
        </w:tc>
        <w:tc>
          <w:tcPr>
            <w:tcW w:w="843" w:type="dxa"/>
            <w:tcBorders>
              <w:top w:val="nil"/>
              <w:left w:val="nil"/>
              <w:bottom w:val="single" w:sz="4" w:space="0" w:color="auto"/>
              <w:right w:val="single" w:sz="4" w:space="0" w:color="auto"/>
            </w:tcBorders>
            <w:shd w:val="clear" w:color="auto" w:fill="auto"/>
            <w:noWrap/>
            <w:vAlign w:val="bottom"/>
            <w:hideMark/>
          </w:tcPr>
          <w:p w14:paraId="7151991E" w14:textId="2B987872"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0,</w:t>
            </w:r>
            <w:r w:rsidR="002519DD" w:rsidRPr="006C5310">
              <w:rPr>
                <w:rFonts w:eastAsia="Times New Roman" w:cs="Times New Roman"/>
                <w:sz w:val="18"/>
                <w:szCs w:val="18"/>
              </w:rPr>
              <w:t>0</w:t>
            </w:r>
          </w:p>
        </w:tc>
      </w:tr>
      <w:tr w:rsidR="002519DD" w:rsidRPr="006C5310" w14:paraId="283D64DB"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6785789A"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4=1+2+3</w:t>
            </w:r>
          </w:p>
        </w:tc>
        <w:tc>
          <w:tcPr>
            <w:tcW w:w="5292" w:type="dxa"/>
            <w:tcBorders>
              <w:top w:val="nil"/>
              <w:left w:val="single" w:sz="4" w:space="0" w:color="auto"/>
              <w:bottom w:val="single" w:sz="4" w:space="0" w:color="auto"/>
              <w:right w:val="single" w:sz="4" w:space="0" w:color="auto"/>
            </w:tcBorders>
            <w:shd w:val="clear" w:color="000000" w:fill="DCE6F1"/>
            <w:noWrap/>
            <w:vAlign w:val="bottom"/>
            <w:hideMark/>
          </w:tcPr>
          <w:p w14:paraId="0670ACFA" w14:textId="25676D30" w:rsidR="002519DD" w:rsidRPr="006C5310" w:rsidRDefault="002519DD" w:rsidP="002519DD">
            <w:pPr>
              <w:spacing w:after="0"/>
              <w:ind w:firstLine="0"/>
              <w:jc w:val="left"/>
              <w:rPr>
                <w:rFonts w:eastAsia="Times New Roman" w:cs="Times New Roman"/>
                <w:color w:val="000000"/>
                <w:sz w:val="18"/>
                <w:szCs w:val="18"/>
              </w:rPr>
            </w:pPr>
            <w:r w:rsidRPr="006C5310">
              <w:rPr>
                <w:rFonts w:eastAsia="Times New Roman" w:cs="Times New Roman"/>
                <w:color w:val="000000"/>
                <w:sz w:val="18"/>
                <w:szCs w:val="18"/>
              </w:rPr>
              <w:t xml:space="preserve">Vispārējās valdības budžeta nominālā bilance, % no </w:t>
            </w:r>
            <w:r w:rsidR="006C5310" w:rsidRPr="006C5310">
              <w:rPr>
                <w:rFonts w:eastAsia="Times New Roman" w:cs="Times New Roman"/>
                <w:color w:val="000000"/>
                <w:sz w:val="18"/>
                <w:szCs w:val="18"/>
              </w:rPr>
              <w:t>iekšzemes kopprodukta</w:t>
            </w:r>
          </w:p>
        </w:tc>
        <w:tc>
          <w:tcPr>
            <w:tcW w:w="850" w:type="dxa"/>
            <w:tcBorders>
              <w:top w:val="nil"/>
              <w:left w:val="nil"/>
              <w:bottom w:val="single" w:sz="4" w:space="0" w:color="auto"/>
              <w:right w:val="single" w:sz="4" w:space="0" w:color="auto"/>
            </w:tcBorders>
            <w:shd w:val="clear" w:color="000000" w:fill="DCE6F1"/>
            <w:noWrap/>
            <w:vAlign w:val="bottom"/>
            <w:hideMark/>
          </w:tcPr>
          <w:p w14:paraId="2BA89E0E" w14:textId="4E7B6D9C"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-4,</w:t>
            </w:r>
            <w:r w:rsidR="002519DD" w:rsidRPr="006C5310">
              <w:rPr>
                <w:rFonts w:eastAsia="Times New Roman" w:cs="Times New Roman"/>
                <w:sz w:val="18"/>
                <w:szCs w:val="18"/>
              </w:rPr>
              <w:t>9</w:t>
            </w:r>
          </w:p>
        </w:tc>
        <w:tc>
          <w:tcPr>
            <w:tcW w:w="852" w:type="dxa"/>
            <w:tcBorders>
              <w:top w:val="nil"/>
              <w:left w:val="nil"/>
              <w:bottom w:val="single" w:sz="4" w:space="0" w:color="auto"/>
              <w:right w:val="single" w:sz="4" w:space="0" w:color="auto"/>
            </w:tcBorders>
            <w:shd w:val="clear" w:color="000000" w:fill="DCE6F1"/>
            <w:noWrap/>
            <w:vAlign w:val="bottom"/>
            <w:hideMark/>
          </w:tcPr>
          <w:p w14:paraId="7EC45181" w14:textId="0FCF8418"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-2,</w:t>
            </w:r>
            <w:r w:rsidR="002519DD" w:rsidRPr="006C5310">
              <w:rPr>
                <w:rFonts w:eastAsia="Times New Roman" w:cs="Times New Roman"/>
                <w:sz w:val="18"/>
                <w:szCs w:val="18"/>
              </w:rPr>
              <w:t>2</w:t>
            </w:r>
          </w:p>
        </w:tc>
        <w:tc>
          <w:tcPr>
            <w:tcW w:w="843" w:type="dxa"/>
            <w:tcBorders>
              <w:top w:val="nil"/>
              <w:left w:val="nil"/>
              <w:bottom w:val="single" w:sz="4" w:space="0" w:color="auto"/>
              <w:right w:val="single" w:sz="4" w:space="0" w:color="auto"/>
            </w:tcBorders>
            <w:shd w:val="clear" w:color="000000" w:fill="DCE6F1"/>
            <w:noWrap/>
            <w:vAlign w:val="bottom"/>
            <w:hideMark/>
          </w:tcPr>
          <w:p w14:paraId="4C77BA93" w14:textId="3C3FF6F3"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w:t>
            </w:r>
            <w:r w:rsidR="002519DD" w:rsidRPr="006C5310">
              <w:rPr>
                <w:rFonts w:eastAsia="Times New Roman" w:cs="Times New Roman"/>
                <w:sz w:val="18"/>
                <w:szCs w:val="18"/>
              </w:rPr>
              <w:t>4</w:t>
            </w:r>
          </w:p>
        </w:tc>
      </w:tr>
      <w:tr w:rsidR="002519DD" w:rsidRPr="006C5310" w14:paraId="7F1B8BA4"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5652FC06"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5=4*0</w:t>
            </w:r>
          </w:p>
        </w:tc>
        <w:tc>
          <w:tcPr>
            <w:tcW w:w="5292" w:type="dxa"/>
            <w:tcBorders>
              <w:top w:val="nil"/>
              <w:left w:val="single" w:sz="4" w:space="0" w:color="auto"/>
              <w:bottom w:val="single" w:sz="4" w:space="0" w:color="auto"/>
              <w:right w:val="single" w:sz="4" w:space="0" w:color="auto"/>
            </w:tcBorders>
            <w:shd w:val="clear" w:color="000000" w:fill="FFFFFF"/>
            <w:noWrap/>
            <w:vAlign w:val="bottom"/>
            <w:hideMark/>
          </w:tcPr>
          <w:p w14:paraId="489B638C" w14:textId="77777777" w:rsidR="002519DD" w:rsidRPr="006C5310" w:rsidRDefault="002519DD" w:rsidP="002519DD">
            <w:pPr>
              <w:spacing w:after="0"/>
              <w:ind w:firstLine="0"/>
              <w:jc w:val="left"/>
              <w:rPr>
                <w:rFonts w:eastAsia="Times New Roman" w:cs="Times New Roman"/>
                <w:color w:val="000000"/>
                <w:sz w:val="18"/>
                <w:szCs w:val="18"/>
              </w:rPr>
            </w:pPr>
            <w:r w:rsidRPr="006C5310">
              <w:rPr>
                <w:rFonts w:eastAsia="Times New Roman" w:cs="Times New Roman"/>
                <w:color w:val="000000"/>
                <w:sz w:val="18"/>
                <w:szCs w:val="18"/>
              </w:rPr>
              <w:t xml:space="preserve">Vispārējās valdības nominālā bilance, milj. </w:t>
            </w:r>
            <w:r w:rsidRPr="006C5310">
              <w:rPr>
                <w:rFonts w:eastAsia="Times New Roman" w:cs="Times New Roman"/>
                <w:i/>
                <w:iCs/>
                <w:color w:val="000000"/>
                <w:sz w:val="18"/>
                <w:szCs w:val="18"/>
              </w:rPr>
              <w:t>euro</w:t>
            </w:r>
          </w:p>
        </w:tc>
        <w:tc>
          <w:tcPr>
            <w:tcW w:w="850" w:type="dxa"/>
            <w:tcBorders>
              <w:top w:val="nil"/>
              <w:left w:val="nil"/>
              <w:bottom w:val="single" w:sz="4" w:space="0" w:color="auto"/>
              <w:right w:val="single" w:sz="4" w:space="0" w:color="auto"/>
            </w:tcBorders>
            <w:shd w:val="clear" w:color="000000" w:fill="FFFFFF"/>
            <w:noWrap/>
            <w:vAlign w:val="bottom"/>
            <w:hideMark/>
          </w:tcPr>
          <w:p w14:paraId="0C46C4E2" w14:textId="7A9A9812" w:rsidR="002519DD" w:rsidRPr="006C5310" w:rsidRDefault="006C5310" w:rsidP="002519DD">
            <w:pPr>
              <w:spacing w:after="0"/>
              <w:ind w:firstLine="0"/>
              <w:jc w:val="right"/>
              <w:rPr>
                <w:rFonts w:eastAsia="Times New Roman" w:cs="Times New Roman"/>
                <w:color w:val="000000"/>
                <w:sz w:val="18"/>
                <w:szCs w:val="18"/>
              </w:rPr>
            </w:pPr>
            <w:r>
              <w:rPr>
                <w:rFonts w:eastAsia="Times New Roman" w:cs="Times New Roman"/>
                <w:color w:val="000000"/>
                <w:sz w:val="18"/>
                <w:szCs w:val="18"/>
              </w:rPr>
              <w:t>-1654,</w:t>
            </w:r>
            <w:r w:rsidR="002519DD" w:rsidRPr="006C5310">
              <w:rPr>
                <w:rFonts w:eastAsia="Times New Roman" w:cs="Times New Roman"/>
                <w:color w:val="000000"/>
                <w:sz w:val="18"/>
                <w:szCs w:val="18"/>
              </w:rPr>
              <w:t>9</w:t>
            </w:r>
          </w:p>
        </w:tc>
        <w:tc>
          <w:tcPr>
            <w:tcW w:w="852" w:type="dxa"/>
            <w:tcBorders>
              <w:top w:val="nil"/>
              <w:left w:val="nil"/>
              <w:bottom w:val="single" w:sz="4" w:space="0" w:color="auto"/>
              <w:right w:val="single" w:sz="4" w:space="0" w:color="auto"/>
            </w:tcBorders>
            <w:shd w:val="clear" w:color="000000" w:fill="FFFFFF"/>
            <w:noWrap/>
            <w:vAlign w:val="bottom"/>
            <w:hideMark/>
          </w:tcPr>
          <w:p w14:paraId="11FBCF79" w14:textId="76634AFF" w:rsidR="002519DD" w:rsidRPr="006C5310" w:rsidRDefault="006C5310" w:rsidP="002519DD">
            <w:pPr>
              <w:spacing w:after="0"/>
              <w:ind w:firstLine="0"/>
              <w:jc w:val="right"/>
              <w:rPr>
                <w:rFonts w:eastAsia="Times New Roman" w:cs="Times New Roman"/>
                <w:color w:val="000000"/>
                <w:sz w:val="18"/>
                <w:szCs w:val="18"/>
              </w:rPr>
            </w:pPr>
            <w:r>
              <w:rPr>
                <w:rFonts w:eastAsia="Times New Roman" w:cs="Times New Roman"/>
                <w:color w:val="000000"/>
                <w:sz w:val="18"/>
                <w:szCs w:val="18"/>
              </w:rPr>
              <w:t>-784,</w:t>
            </w:r>
            <w:r w:rsidR="002519DD" w:rsidRPr="006C5310">
              <w:rPr>
                <w:rFonts w:eastAsia="Times New Roman" w:cs="Times New Roman"/>
                <w:color w:val="000000"/>
                <w:sz w:val="18"/>
                <w:szCs w:val="18"/>
              </w:rPr>
              <w:t>5</w:t>
            </w:r>
          </w:p>
        </w:tc>
        <w:tc>
          <w:tcPr>
            <w:tcW w:w="843" w:type="dxa"/>
            <w:tcBorders>
              <w:top w:val="nil"/>
              <w:left w:val="nil"/>
              <w:bottom w:val="single" w:sz="4" w:space="0" w:color="auto"/>
              <w:right w:val="single" w:sz="4" w:space="0" w:color="auto"/>
            </w:tcBorders>
            <w:shd w:val="clear" w:color="000000" w:fill="FFFFFF"/>
            <w:noWrap/>
            <w:vAlign w:val="bottom"/>
            <w:hideMark/>
          </w:tcPr>
          <w:p w14:paraId="0452FF5F" w14:textId="5294E525" w:rsidR="002519DD" w:rsidRPr="006C5310" w:rsidRDefault="006C5310" w:rsidP="002519DD">
            <w:pPr>
              <w:spacing w:after="0"/>
              <w:ind w:firstLine="0"/>
              <w:jc w:val="right"/>
              <w:rPr>
                <w:rFonts w:eastAsia="Times New Roman" w:cs="Times New Roman"/>
                <w:color w:val="000000"/>
                <w:sz w:val="18"/>
                <w:szCs w:val="18"/>
              </w:rPr>
            </w:pPr>
            <w:r>
              <w:rPr>
                <w:rFonts w:eastAsia="Times New Roman" w:cs="Times New Roman"/>
                <w:color w:val="000000"/>
                <w:sz w:val="18"/>
                <w:szCs w:val="18"/>
              </w:rPr>
              <w:t>-516,</w:t>
            </w:r>
            <w:r w:rsidR="002519DD" w:rsidRPr="006C5310">
              <w:rPr>
                <w:rFonts w:eastAsia="Times New Roman" w:cs="Times New Roman"/>
                <w:color w:val="000000"/>
                <w:sz w:val="18"/>
                <w:szCs w:val="18"/>
              </w:rPr>
              <w:t>2</w:t>
            </w:r>
          </w:p>
        </w:tc>
      </w:tr>
      <w:tr w:rsidR="002519DD" w:rsidRPr="006C5310" w14:paraId="587163D1"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5EC91241"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6</w:t>
            </w:r>
          </w:p>
        </w:tc>
        <w:tc>
          <w:tcPr>
            <w:tcW w:w="5292" w:type="dxa"/>
            <w:tcBorders>
              <w:top w:val="nil"/>
              <w:left w:val="single" w:sz="4" w:space="0" w:color="auto"/>
              <w:bottom w:val="single" w:sz="4" w:space="0" w:color="auto"/>
              <w:right w:val="single" w:sz="4" w:space="0" w:color="auto"/>
            </w:tcBorders>
            <w:shd w:val="clear" w:color="000000" w:fill="FFFFFF"/>
            <w:noWrap/>
            <w:vAlign w:val="bottom"/>
            <w:hideMark/>
          </w:tcPr>
          <w:p w14:paraId="62CE353B" w14:textId="77777777" w:rsidR="002519DD" w:rsidRPr="006C5310" w:rsidRDefault="002519DD" w:rsidP="002519DD">
            <w:pPr>
              <w:spacing w:after="0"/>
              <w:ind w:firstLine="0"/>
              <w:jc w:val="left"/>
              <w:rPr>
                <w:rFonts w:eastAsia="Times New Roman" w:cs="Times New Roman"/>
                <w:color w:val="000000"/>
                <w:sz w:val="18"/>
                <w:szCs w:val="18"/>
              </w:rPr>
            </w:pPr>
            <w:r w:rsidRPr="006C5310">
              <w:rPr>
                <w:rFonts w:eastAsia="Times New Roman" w:cs="Times New Roman"/>
                <w:color w:val="000000"/>
                <w:sz w:val="18"/>
                <w:szCs w:val="18"/>
              </w:rPr>
              <w:t xml:space="preserve">Pašvaldību budžeta bilance, milj. </w:t>
            </w:r>
            <w:r w:rsidRPr="006C5310">
              <w:rPr>
                <w:rFonts w:eastAsia="Times New Roman" w:cs="Times New Roman"/>
                <w:i/>
                <w:iCs/>
                <w:color w:val="000000"/>
                <w:sz w:val="18"/>
                <w:szCs w:val="18"/>
              </w:rPr>
              <w:t>euro</w:t>
            </w:r>
          </w:p>
        </w:tc>
        <w:tc>
          <w:tcPr>
            <w:tcW w:w="850" w:type="dxa"/>
            <w:tcBorders>
              <w:top w:val="nil"/>
              <w:left w:val="nil"/>
              <w:bottom w:val="single" w:sz="4" w:space="0" w:color="auto"/>
              <w:right w:val="single" w:sz="4" w:space="0" w:color="auto"/>
            </w:tcBorders>
            <w:shd w:val="clear" w:color="auto" w:fill="auto"/>
            <w:noWrap/>
            <w:vAlign w:val="bottom"/>
            <w:hideMark/>
          </w:tcPr>
          <w:p w14:paraId="1BDD0EAC" w14:textId="6C9CB5A4" w:rsidR="002519DD" w:rsidRPr="006C5310" w:rsidRDefault="006C5310" w:rsidP="002519DD">
            <w:pPr>
              <w:spacing w:after="0"/>
              <w:ind w:firstLine="0"/>
              <w:jc w:val="right"/>
              <w:rPr>
                <w:rFonts w:eastAsia="Times New Roman" w:cs="Times New Roman"/>
                <w:color w:val="000000"/>
                <w:sz w:val="18"/>
                <w:szCs w:val="18"/>
              </w:rPr>
            </w:pPr>
            <w:r>
              <w:rPr>
                <w:rFonts w:eastAsia="Times New Roman" w:cs="Times New Roman"/>
                <w:color w:val="000000"/>
                <w:sz w:val="18"/>
                <w:szCs w:val="18"/>
              </w:rPr>
              <w:t>-196,</w:t>
            </w:r>
            <w:r w:rsidR="002519DD" w:rsidRPr="006C5310">
              <w:rPr>
                <w:rFonts w:eastAsia="Times New Roman" w:cs="Times New Roman"/>
                <w:color w:val="000000"/>
                <w:sz w:val="18"/>
                <w:szCs w:val="18"/>
              </w:rPr>
              <w:t>0</w:t>
            </w:r>
          </w:p>
        </w:tc>
        <w:tc>
          <w:tcPr>
            <w:tcW w:w="852" w:type="dxa"/>
            <w:tcBorders>
              <w:top w:val="nil"/>
              <w:left w:val="nil"/>
              <w:bottom w:val="single" w:sz="4" w:space="0" w:color="auto"/>
              <w:right w:val="single" w:sz="4" w:space="0" w:color="auto"/>
            </w:tcBorders>
            <w:shd w:val="clear" w:color="auto" w:fill="auto"/>
            <w:noWrap/>
            <w:vAlign w:val="bottom"/>
            <w:hideMark/>
          </w:tcPr>
          <w:p w14:paraId="0A88A817" w14:textId="3F1171BA" w:rsidR="002519DD" w:rsidRPr="006C5310" w:rsidRDefault="006C5310" w:rsidP="002519DD">
            <w:pPr>
              <w:spacing w:after="0"/>
              <w:ind w:firstLine="0"/>
              <w:jc w:val="right"/>
              <w:rPr>
                <w:rFonts w:eastAsia="Times New Roman" w:cs="Times New Roman"/>
                <w:color w:val="000000"/>
                <w:sz w:val="18"/>
                <w:szCs w:val="18"/>
              </w:rPr>
            </w:pPr>
            <w:r>
              <w:rPr>
                <w:rFonts w:eastAsia="Times New Roman" w:cs="Times New Roman"/>
                <w:color w:val="000000"/>
                <w:sz w:val="18"/>
                <w:szCs w:val="18"/>
              </w:rPr>
              <w:t>-160,</w:t>
            </w:r>
            <w:r w:rsidR="002519DD" w:rsidRPr="006C5310">
              <w:rPr>
                <w:rFonts w:eastAsia="Times New Roman" w:cs="Times New Roman"/>
                <w:color w:val="000000"/>
                <w:sz w:val="18"/>
                <w:szCs w:val="18"/>
              </w:rPr>
              <w:t>8</w:t>
            </w:r>
          </w:p>
        </w:tc>
        <w:tc>
          <w:tcPr>
            <w:tcW w:w="843" w:type="dxa"/>
            <w:tcBorders>
              <w:top w:val="nil"/>
              <w:left w:val="nil"/>
              <w:bottom w:val="single" w:sz="4" w:space="0" w:color="auto"/>
              <w:right w:val="single" w:sz="4" w:space="0" w:color="auto"/>
            </w:tcBorders>
            <w:shd w:val="clear" w:color="auto" w:fill="auto"/>
            <w:noWrap/>
            <w:vAlign w:val="bottom"/>
            <w:hideMark/>
          </w:tcPr>
          <w:p w14:paraId="37A53866" w14:textId="5FE26CBD" w:rsidR="002519DD" w:rsidRPr="006C5310" w:rsidRDefault="006C5310" w:rsidP="002519DD">
            <w:pPr>
              <w:spacing w:after="0"/>
              <w:ind w:firstLine="0"/>
              <w:jc w:val="right"/>
              <w:rPr>
                <w:rFonts w:eastAsia="Times New Roman" w:cs="Times New Roman"/>
                <w:color w:val="000000"/>
                <w:sz w:val="18"/>
                <w:szCs w:val="18"/>
              </w:rPr>
            </w:pPr>
            <w:r>
              <w:rPr>
                <w:rFonts w:eastAsia="Times New Roman" w:cs="Times New Roman"/>
                <w:color w:val="000000"/>
                <w:sz w:val="18"/>
                <w:szCs w:val="18"/>
              </w:rPr>
              <w:t>-147,</w:t>
            </w:r>
            <w:r w:rsidR="002519DD" w:rsidRPr="006C5310">
              <w:rPr>
                <w:rFonts w:eastAsia="Times New Roman" w:cs="Times New Roman"/>
                <w:color w:val="000000"/>
                <w:sz w:val="18"/>
                <w:szCs w:val="18"/>
              </w:rPr>
              <w:t>2</w:t>
            </w:r>
          </w:p>
        </w:tc>
      </w:tr>
      <w:tr w:rsidR="002519DD" w:rsidRPr="006C5310" w14:paraId="42C3E909"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110F1CB3"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7</w:t>
            </w:r>
          </w:p>
        </w:tc>
        <w:tc>
          <w:tcPr>
            <w:tcW w:w="5292" w:type="dxa"/>
            <w:tcBorders>
              <w:top w:val="nil"/>
              <w:left w:val="single" w:sz="4" w:space="0" w:color="auto"/>
              <w:bottom w:val="single" w:sz="4" w:space="0" w:color="auto"/>
              <w:right w:val="single" w:sz="4" w:space="0" w:color="auto"/>
            </w:tcBorders>
            <w:shd w:val="clear" w:color="000000" w:fill="FFFFFF"/>
            <w:noWrap/>
            <w:vAlign w:val="bottom"/>
            <w:hideMark/>
          </w:tcPr>
          <w:p w14:paraId="0BCCB55B" w14:textId="77777777" w:rsidR="002519DD" w:rsidRPr="006C5310" w:rsidRDefault="002519DD" w:rsidP="002519DD">
            <w:pPr>
              <w:spacing w:after="0"/>
              <w:ind w:firstLine="0"/>
              <w:jc w:val="left"/>
              <w:rPr>
                <w:rFonts w:eastAsia="Times New Roman" w:cs="Times New Roman"/>
                <w:color w:val="000000"/>
                <w:sz w:val="18"/>
                <w:szCs w:val="18"/>
              </w:rPr>
            </w:pPr>
            <w:r w:rsidRPr="006C5310">
              <w:rPr>
                <w:rFonts w:eastAsia="Times New Roman" w:cs="Times New Roman"/>
                <w:color w:val="000000"/>
                <w:sz w:val="18"/>
                <w:szCs w:val="18"/>
              </w:rPr>
              <w:t xml:space="preserve">Atvasināto personu un budžeta nefinansētu iestāžu budžeta bilance, milj. </w:t>
            </w:r>
            <w:r w:rsidRPr="006C5310">
              <w:rPr>
                <w:rFonts w:eastAsia="Times New Roman" w:cs="Times New Roman"/>
                <w:i/>
                <w:iCs/>
                <w:color w:val="000000"/>
                <w:sz w:val="18"/>
                <w:szCs w:val="18"/>
              </w:rPr>
              <w:t>euro</w:t>
            </w:r>
          </w:p>
        </w:tc>
        <w:tc>
          <w:tcPr>
            <w:tcW w:w="850" w:type="dxa"/>
            <w:tcBorders>
              <w:top w:val="nil"/>
              <w:left w:val="nil"/>
              <w:bottom w:val="single" w:sz="4" w:space="0" w:color="auto"/>
              <w:right w:val="single" w:sz="4" w:space="0" w:color="auto"/>
            </w:tcBorders>
            <w:shd w:val="clear" w:color="auto" w:fill="auto"/>
            <w:noWrap/>
            <w:vAlign w:val="bottom"/>
            <w:hideMark/>
          </w:tcPr>
          <w:p w14:paraId="47560B9F" w14:textId="22FAE5F3" w:rsidR="002519DD" w:rsidRPr="006C5310" w:rsidRDefault="006C5310" w:rsidP="002519DD">
            <w:pPr>
              <w:spacing w:after="0"/>
              <w:ind w:firstLine="0"/>
              <w:jc w:val="right"/>
              <w:rPr>
                <w:rFonts w:eastAsia="Times New Roman" w:cs="Times New Roman"/>
                <w:color w:val="000000"/>
                <w:sz w:val="18"/>
                <w:szCs w:val="18"/>
              </w:rPr>
            </w:pPr>
            <w:r>
              <w:rPr>
                <w:rFonts w:eastAsia="Times New Roman" w:cs="Times New Roman"/>
                <w:color w:val="000000"/>
                <w:sz w:val="18"/>
                <w:szCs w:val="18"/>
              </w:rPr>
              <w:t>-26,</w:t>
            </w:r>
            <w:r w:rsidR="002519DD" w:rsidRPr="006C5310">
              <w:rPr>
                <w:rFonts w:eastAsia="Times New Roman" w:cs="Times New Roman"/>
                <w:color w:val="000000"/>
                <w:sz w:val="18"/>
                <w:szCs w:val="18"/>
              </w:rPr>
              <w:t>9</w:t>
            </w:r>
          </w:p>
        </w:tc>
        <w:tc>
          <w:tcPr>
            <w:tcW w:w="852" w:type="dxa"/>
            <w:tcBorders>
              <w:top w:val="nil"/>
              <w:left w:val="nil"/>
              <w:bottom w:val="single" w:sz="4" w:space="0" w:color="auto"/>
              <w:right w:val="single" w:sz="4" w:space="0" w:color="auto"/>
            </w:tcBorders>
            <w:shd w:val="clear" w:color="auto" w:fill="auto"/>
            <w:noWrap/>
            <w:vAlign w:val="bottom"/>
            <w:hideMark/>
          </w:tcPr>
          <w:p w14:paraId="4B08A901" w14:textId="4C5CABE4" w:rsidR="002519DD" w:rsidRPr="006C5310" w:rsidRDefault="006C5310" w:rsidP="002519DD">
            <w:pPr>
              <w:spacing w:after="0"/>
              <w:ind w:firstLine="0"/>
              <w:jc w:val="right"/>
              <w:rPr>
                <w:rFonts w:eastAsia="Times New Roman" w:cs="Times New Roman"/>
                <w:color w:val="000000"/>
                <w:sz w:val="18"/>
                <w:szCs w:val="18"/>
              </w:rPr>
            </w:pPr>
            <w:r>
              <w:rPr>
                <w:rFonts w:eastAsia="Times New Roman" w:cs="Times New Roman"/>
                <w:color w:val="000000"/>
                <w:sz w:val="18"/>
                <w:szCs w:val="18"/>
              </w:rPr>
              <w:t>-38,</w:t>
            </w:r>
            <w:r w:rsidR="002519DD" w:rsidRPr="006C5310">
              <w:rPr>
                <w:rFonts w:eastAsia="Times New Roman" w:cs="Times New Roman"/>
                <w:color w:val="000000"/>
                <w:sz w:val="18"/>
                <w:szCs w:val="18"/>
              </w:rPr>
              <w:t>0</w:t>
            </w:r>
          </w:p>
        </w:tc>
        <w:tc>
          <w:tcPr>
            <w:tcW w:w="843" w:type="dxa"/>
            <w:tcBorders>
              <w:top w:val="nil"/>
              <w:left w:val="nil"/>
              <w:bottom w:val="single" w:sz="4" w:space="0" w:color="auto"/>
              <w:right w:val="single" w:sz="4" w:space="0" w:color="auto"/>
            </w:tcBorders>
            <w:shd w:val="clear" w:color="auto" w:fill="auto"/>
            <w:noWrap/>
            <w:vAlign w:val="bottom"/>
            <w:hideMark/>
          </w:tcPr>
          <w:p w14:paraId="264867D4" w14:textId="21959660" w:rsidR="002519DD" w:rsidRPr="006C5310" w:rsidRDefault="006C5310" w:rsidP="002519DD">
            <w:pPr>
              <w:spacing w:after="0"/>
              <w:ind w:firstLine="0"/>
              <w:jc w:val="right"/>
              <w:rPr>
                <w:rFonts w:eastAsia="Times New Roman" w:cs="Times New Roman"/>
                <w:color w:val="000000"/>
                <w:sz w:val="18"/>
                <w:szCs w:val="18"/>
              </w:rPr>
            </w:pPr>
            <w:r>
              <w:rPr>
                <w:rFonts w:eastAsia="Times New Roman" w:cs="Times New Roman"/>
                <w:color w:val="000000"/>
                <w:sz w:val="18"/>
                <w:szCs w:val="18"/>
              </w:rPr>
              <w:t>-37,</w:t>
            </w:r>
            <w:r w:rsidR="002519DD" w:rsidRPr="006C5310">
              <w:rPr>
                <w:rFonts w:eastAsia="Times New Roman" w:cs="Times New Roman"/>
                <w:color w:val="000000"/>
                <w:sz w:val="18"/>
                <w:szCs w:val="18"/>
              </w:rPr>
              <w:t>6</w:t>
            </w:r>
          </w:p>
        </w:tc>
      </w:tr>
      <w:tr w:rsidR="002519DD" w:rsidRPr="006C5310" w14:paraId="77D2E512"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70CFE0DF"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8</w:t>
            </w:r>
          </w:p>
        </w:tc>
        <w:tc>
          <w:tcPr>
            <w:tcW w:w="5292" w:type="dxa"/>
            <w:tcBorders>
              <w:top w:val="nil"/>
              <w:left w:val="single" w:sz="4" w:space="0" w:color="auto"/>
              <w:bottom w:val="single" w:sz="4" w:space="0" w:color="auto"/>
              <w:right w:val="single" w:sz="4" w:space="0" w:color="auto"/>
            </w:tcBorders>
            <w:shd w:val="clear" w:color="000000" w:fill="FFFFFF"/>
            <w:noWrap/>
            <w:vAlign w:val="bottom"/>
            <w:hideMark/>
          </w:tcPr>
          <w:p w14:paraId="71F2CCB6" w14:textId="77777777" w:rsidR="002519DD" w:rsidRPr="006C5310" w:rsidRDefault="002519DD" w:rsidP="002519DD">
            <w:pPr>
              <w:spacing w:after="0"/>
              <w:ind w:firstLine="0"/>
              <w:jc w:val="left"/>
              <w:rPr>
                <w:rFonts w:eastAsia="Times New Roman" w:cs="Times New Roman"/>
                <w:color w:val="000000"/>
                <w:sz w:val="18"/>
                <w:szCs w:val="18"/>
              </w:rPr>
            </w:pPr>
            <w:r w:rsidRPr="006C5310">
              <w:rPr>
                <w:rFonts w:eastAsia="Times New Roman" w:cs="Times New Roman"/>
                <w:color w:val="000000"/>
                <w:sz w:val="18"/>
                <w:szCs w:val="18"/>
              </w:rPr>
              <w:t xml:space="preserve">EKS korekcijas, milj. </w:t>
            </w:r>
            <w:r w:rsidRPr="006C5310">
              <w:rPr>
                <w:rFonts w:eastAsia="Times New Roman" w:cs="Times New Roman"/>
                <w:i/>
                <w:iCs/>
                <w:color w:val="000000"/>
                <w:sz w:val="18"/>
                <w:szCs w:val="18"/>
              </w:rPr>
              <w:t>euro</w:t>
            </w:r>
          </w:p>
        </w:tc>
        <w:tc>
          <w:tcPr>
            <w:tcW w:w="850" w:type="dxa"/>
            <w:tcBorders>
              <w:top w:val="nil"/>
              <w:left w:val="nil"/>
              <w:bottom w:val="single" w:sz="4" w:space="0" w:color="auto"/>
              <w:right w:val="single" w:sz="4" w:space="0" w:color="auto"/>
            </w:tcBorders>
            <w:shd w:val="clear" w:color="auto" w:fill="auto"/>
            <w:noWrap/>
            <w:vAlign w:val="bottom"/>
            <w:hideMark/>
          </w:tcPr>
          <w:p w14:paraId="0AA44C25" w14:textId="1A60433C"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344,</w:t>
            </w:r>
            <w:r w:rsidR="002519DD" w:rsidRPr="006C5310">
              <w:rPr>
                <w:rFonts w:eastAsia="Times New Roman" w:cs="Times New Roman"/>
                <w:sz w:val="18"/>
                <w:szCs w:val="18"/>
              </w:rPr>
              <w:t>9</w:t>
            </w:r>
          </w:p>
        </w:tc>
        <w:tc>
          <w:tcPr>
            <w:tcW w:w="852" w:type="dxa"/>
            <w:tcBorders>
              <w:top w:val="nil"/>
              <w:left w:val="nil"/>
              <w:bottom w:val="single" w:sz="4" w:space="0" w:color="auto"/>
              <w:right w:val="single" w:sz="4" w:space="0" w:color="auto"/>
            </w:tcBorders>
            <w:shd w:val="clear" w:color="auto" w:fill="auto"/>
            <w:noWrap/>
            <w:vAlign w:val="bottom"/>
            <w:hideMark/>
          </w:tcPr>
          <w:p w14:paraId="5C09DBD1" w14:textId="40BC8AC0"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-240,</w:t>
            </w:r>
            <w:r w:rsidR="002519DD" w:rsidRPr="006C5310">
              <w:rPr>
                <w:rFonts w:eastAsia="Times New Roman" w:cs="Times New Roman"/>
                <w:sz w:val="18"/>
                <w:szCs w:val="18"/>
              </w:rPr>
              <w:t>4</w:t>
            </w:r>
          </w:p>
        </w:tc>
        <w:tc>
          <w:tcPr>
            <w:tcW w:w="843" w:type="dxa"/>
            <w:tcBorders>
              <w:top w:val="nil"/>
              <w:left w:val="nil"/>
              <w:bottom w:val="single" w:sz="4" w:space="0" w:color="auto"/>
              <w:right w:val="single" w:sz="4" w:space="0" w:color="auto"/>
            </w:tcBorders>
            <w:shd w:val="clear" w:color="auto" w:fill="auto"/>
            <w:noWrap/>
            <w:vAlign w:val="bottom"/>
            <w:hideMark/>
          </w:tcPr>
          <w:p w14:paraId="0142B97F" w14:textId="5D5A38C4"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9,</w:t>
            </w:r>
            <w:r w:rsidR="002519DD" w:rsidRPr="006C5310">
              <w:rPr>
                <w:rFonts w:eastAsia="Times New Roman" w:cs="Times New Roman"/>
                <w:sz w:val="18"/>
                <w:szCs w:val="18"/>
              </w:rPr>
              <w:t>3</w:t>
            </w:r>
          </w:p>
        </w:tc>
      </w:tr>
      <w:tr w:rsidR="002519DD" w:rsidRPr="006C5310" w14:paraId="560F5ED1"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70AADC9F"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9=5-6-7-8</w:t>
            </w:r>
          </w:p>
        </w:tc>
        <w:tc>
          <w:tcPr>
            <w:tcW w:w="5292" w:type="dxa"/>
            <w:tcBorders>
              <w:top w:val="nil"/>
              <w:left w:val="single" w:sz="4" w:space="0" w:color="auto"/>
              <w:bottom w:val="single" w:sz="4" w:space="0" w:color="auto"/>
              <w:right w:val="single" w:sz="4" w:space="0" w:color="auto"/>
            </w:tcBorders>
            <w:shd w:val="clear" w:color="000000" w:fill="FFFFFF"/>
            <w:noWrap/>
            <w:vAlign w:val="bottom"/>
            <w:hideMark/>
          </w:tcPr>
          <w:p w14:paraId="65DEB985" w14:textId="77777777" w:rsidR="002519DD" w:rsidRPr="006C5310" w:rsidRDefault="002519DD" w:rsidP="002519DD">
            <w:pPr>
              <w:spacing w:after="0"/>
              <w:ind w:firstLine="0"/>
              <w:jc w:val="left"/>
              <w:rPr>
                <w:rFonts w:eastAsia="Times New Roman" w:cs="Times New Roman"/>
                <w:color w:val="000000"/>
                <w:sz w:val="18"/>
                <w:szCs w:val="18"/>
              </w:rPr>
            </w:pPr>
            <w:r w:rsidRPr="006C5310">
              <w:rPr>
                <w:rFonts w:eastAsia="Times New Roman" w:cs="Times New Roman"/>
                <w:color w:val="000000"/>
                <w:sz w:val="18"/>
                <w:szCs w:val="18"/>
              </w:rPr>
              <w:t xml:space="preserve">Valsts budžeta bilance, milj. </w:t>
            </w:r>
            <w:r w:rsidRPr="006C5310">
              <w:rPr>
                <w:rFonts w:eastAsia="Times New Roman" w:cs="Times New Roman"/>
                <w:i/>
                <w:iCs/>
                <w:color w:val="000000"/>
                <w:sz w:val="18"/>
                <w:szCs w:val="18"/>
              </w:rPr>
              <w:t>euro</w:t>
            </w:r>
          </w:p>
        </w:tc>
        <w:tc>
          <w:tcPr>
            <w:tcW w:w="850" w:type="dxa"/>
            <w:tcBorders>
              <w:top w:val="nil"/>
              <w:left w:val="nil"/>
              <w:bottom w:val="single" w:sz="4" w:space="0" w:color="auto"/>
              <w:right w:val="single" w:sz="4" w:space="0" w:color="auto"/>
            </w:tcBorders>
            <w:shd w:val="clear" w:color="auto" w:fill="auto"/>
            <w:noWrap/>
            <w:vAlign w:val="bottom"/>
            <w:hideMark/>
          </w:tcPr>
          <w:p w14:paraId="2C80039A" w14:textId="78378FA5" w:rsidR="002519DD" w:rsidRPr="006C5310" w:rsidRDefault="006C5310" w:rsidP="002519DD">
            <w:pPr>
              <w:spacing w:after="0"/>
              <w:ind w:firstLine="0"/>
              <w:jc w:val="right"/>
              <w:rPr>
                <w:rFonts w:eastAsia="Times New Roman" w:cs="Times New Roman"/>
                <w:color w:val="000000"/>
                <w:sz w:val="18"/>
                <w:szCs w:val="18"/>
              </w:rPr>
            </w:pPr>
            <w:r>
              <w:rPr>
                <w:rFonts w:eastAsia="Times New Roman" w:cs="Times New Roman"/>
                <w:color w:val="000000"/>
                <w:sz w:val="18"/>
                <w:szCs w:val="18"/>
              </w:rPr>
              <w:t>-1777,</w:t>
            </w:r>
            <w:r w:rsidR="002519DD" w:rsidRPr="006C5310">
              <w:rPr>
                <w:rFonts w:eastAsia="Times New Roman" w:cs="Times New Roman"/>
                <w:color w:val="000000"/>
                <w:sz w:val="18"/>
                <w:szCs w:val="18"/>
              </w:rPr>
              <w:t>0</w:t>
            </w:r>
          </w:p>
        </w:tc>
        <w:tc>
          <w:tcPr>
            <w:tcW w:w="852" w:type="dxa"/>
            <w:tcBorders>
              <w:top w:val="nil"/>
              <w:left w:val="nil"/>
              <w:bottom w:val="single" w:sz="4" w:space="0" w:color="auto"/>
              <w:right w:val="single" w:sz="4" w:space="0" w:color="auto"/>
            </w:tcBorders>
            <w:shd w:val="clear" w:color="auto" w:fill="auto"/>
            <w:noWrap/>
            <w:vAlign w:val="bottom"/>
            <w:hideMark/>
          </w:tcPr>
          <w:p w14:paraId="4616EE15" w14:textId="4479E2AD" w:rsidR="002519DD" w:rsidRPr="006C5310" w:rsidRDefault="006C5310" w:rsidP="002519DD">
            <w:pPr>
              <w:spacing w:after="0"/>
              <w:ind w:firstLine="0"/>
              <w:jc w:val="right"/>
              <w:rPr>
                <w:rFonts w:eastAsia="Times New Roman" w:cs="Times New Roman"/>
                <w:color w:val="000000"/>
                <w:sz w:val="18"/>
                <w:szCs w:val="18"/>
              </w:rPr>
            </w:pPr>
            <w:r>
              <w:rPr>
                <w:rFonts w:eastAsia="Times New Roman" w:cs="Times New Roman"/>
                <w:color w:val="000000"/>
                <w:sz w:val="18"/>
                <w:szCs w:val="18"/>
              </w:rPr>
              <w:t>-345,</w:t>
            </w:r>
            <w:r w:rsidR="002519DD" w:rsidRPr="006C5310">
              <w:rPr>
                <w:rFonts w:eastAsia="Times New Roman" w:cs="Times New Roman"/>
                <w:color w:val="000000"/>
                <w:sz w:val="18"/>
                <w:szCs w:val="18"/>
              </w:rPr>
              <w:t>3</w:t>
            </w:r>
          </w:p>
        </w:tc>
        <w:tc>
          <w:tcPr>
            <w:tcW w:w="843" w:type="dxa"/>
            <w:tcBorders>
              <w:top w:val="nil"/>
              <w:left w:val="nil"/>
              <w:bottom w:val="single" w:sz="4" w:space="0" w:color="auto"/>
              <w:right w:val="single" w:sz="4" w:space="0" w:color="auto"/>
            </w:tcBorders>
            <w:shd w:val="clear" w:color="auto" w:fill="auto"/>
            <w:noWrap/>
            <w:vAlign w:val="bottom"/>
            <w:hideMark/>
          </w:tcPr>
          <w:p w14:paraId="78B86BE0" w14:textId="483D2F59" w:rsidR="002519DD" w:rsidRPr="006C5310" w:rsidRDefault="006C5310" w:rsidP="002519DD">
            <w:pPr>
              <w:spacing w:after="0"/>
              <w:ind w:firstLine="0"/>
              <w:jc w:val="right"/>
              <w:rPr>
                <w:rFonts w:eastAsia="Times New Roman" w:cs="Times New Roman"/>
                <w:color w:val="000000"/>
                <w:sz w:val="18"/>
                <w:szCs w:val="18"/>
              </w:rPr>
            </w:pPr>
            <w:r>
              <w:rPr>
                <w:rFonts w:eastAsia="Times New Roman" w:cs="Times New Roman"/>
                <w:color w:val="000000"/>
                <w:sz w:val="18"/>
                <w:szCs w:val="18"/>
              </w:rPr>
              <w:t>-340,</w:t>
            </w:r>
            <w:r w:rsidR="002519DD" w:rsidRPr="006C5310">
              <w:rPr>
                <w:rFonts w:eastAsia="Times New Roman" w:cs="Times New Roman"/>
                <w:color w:val="000000"/>
                <w:sz w:val="18"/>
                <w:szCs w:val="18"/>
              </w:rPr>
              <w:t>7</w:t>
            </w:r>
          </w:p>
        </w:tc>
      </w:tr>
      <w:tr w:rsidR="002519DD" w:rsidRPr="006C5310" w14:paraId="2A47E7E8"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26B56E3D"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10</w:t>
            </w:r>
          </w:p>
        </w:tc>
        <w:tc>
          <w:tcPr>
            <w:tcW w:w="5292" w:type="dxa"/>
            <w:tcBorders>
              <w:top w:val="nil"/>
              <w:left w:val="single" w:sz="4" w:space="0" w:color="auto"/>
              <w:bottom w:val="single" w:sz="4" w:space="0" w:color="auto"/>
              <w:right w:val="single" w:sz="4" w:space="0" w:color="auto"/>
            </w:tcBorders>
            <w:shd w:val="clear" w:color="000000" w:fill="FFFFFF"/>
            <w:noWrap/>
            <w:vAlign w:val="bottom"/>
            <w:hideMark/>
          </w:tcPr>
          <w:p w14:paraId="1952ECBC" w14:textId="77777777" w:rsidR="002519DD" w:rsidRPr="006C5310" w:rsidRDefault="002519DD" w:rsidP="002519DD">
            <w:pPr>
              <w:spacing w:after="0"/>
              <w:ind w:firstLine="0"/>
              <w:jc w:val="left"/>
              <w:rPr>
                <w:rFonts w:eastAsia="Times New Roman" w:cs="Times New Roman"/>
                <w:color w:val="000000"/>
                <w:sz w:val="18"/>
                <w:szCs w:val="18"/>
              </w:rPr>
            </w:pPr>
            <w:r w:rsidRPr="006C5310">
              <w:rPr>
                <w:rFonts w:eastAsia="Times New Roman" w:cs="Times New Roman"/>
                <w:color w:val="000000"/>
                <w:sz w:val="18"/>
                <w:szCs w:val="18"/>
              </w:rPr>
              <w:t xml:space="preserve">Valsts budžeta ieņēmumi, milj. </w:t>
            </w:r>
            <w:r w:rsidRPr="006C5310">
              <w:rPr>
                <w:rFonts w:eastAsia="Times New Roman" w:cs="Times New Roman"/>
                <w:i/>
                <w:iCs/>
                <w:color w:val="000000"/>
                <w:sz w:val="18"/>
                <w:szCs w:val="18"/>
              </w:rPr>
              <w:t>euro</w:t>
            </w:r>
          </w:p>
        </w:tc>
        <w:tc>
          <w:tcPr>
            <w:tcW w:w="850" w:type="dxa"/>
            <w:tcBorders>
              <w:top w:val="nil"/>
              <w:left w:val="nil"/>
              <w:bottom w:val="single" w:sz="4" w:space="0" w:color="auto"/>
              <w:right w:val="single" w:sz="4" w:space="0" w:color="auto"/>
            </w:tcBorders>
            <w:shd w:val="clear" w:color="auto" w:fill="auto"/>
            <w:noWrap/>
            <w:vAlign w:val="bottom"/>
            <w:hideMark/>
          </w:tcPr>
          <w:p w14:paraId="1D50A238" w14:textId="56FF4121"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10663,</w:t>
            </w:r>
            <w:r w:rsidR="002519DD" w:rsidRPr="006C5310">
              <w:rPr>
                <w:rFonts w:eastAsia="Times New Roman" w:cs="Times New Roman"/>
                <w:sz w:val="18"/>
                <w:szCs w:val="18"/>
              </w:rPr>
              <w:t>4</w:t>
            </w:r>
          </w:p>
        </w:tc>
        <w:tc>
          <w:tcPr>
            <w:tcW w:w="852" w:type="dxa"/>
            <w:tcBorders>
              <w:top w:val="nil"/>
              <w:left w:val="nil"/>
              <w:bottom w:val="single" w:sz="4" w:space="0" w:color="auto"/>
              <w:right w:val="single" w:sz="4" w:space="0" w:color="auto"/>
            </w:tcBorders>
            <w:shd w:val="clear" w:color="auto" w:fill="auto"/>
            <w:noWrap/>
            <w:vAlign w:val="bottom"/>
            <w:hideMark/>
          </w:tcPr>
          <w:p w14:paraId="396C017B" w14:textId="396481E5"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11767,</w:t>
            </w:r>
            <w:r w:rsidR="002519DD" w:rsidRPr="006C5310">
              <w:rPr>
                <w:rFonts w:eastAsia="Times New Roman" w:cs="Times New Roman"/>
                <w:sz w:val="18"/>
                <w:szCs w:val="18"/>
              </w:rPr>
              <w:t>7</w:t>
            </w:r>
          </w:p>
        </w:tc>
        <w:tc>
          <w:tcPr>
            <w:tcW w:w="843" w:type="dxa"/>
            <w:tcBorders>
              <w:top w:val="nil"/>
              <w:left w:val="nil"/>
              <w:bottom w:val="single" w:sz="4" w:space="0" w:color="auto"/>
              <w:right w:val="single" w:sz="4" w:space="0" w:color="auto"/>
            </w:tcBorders>
            <w:shd w:val="clear" w:color="auto" w:fill="auto"/>
            <w:noWrap/>
            <w:vAlign w:val="bottom"/>
            <w:hideMark/>
          </w:tcPr>
          <w:p w14:paraId="7F819BEE" w14:textId="16A16570"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12010,</w:t>
            </w:r>
            <w:r w:rsidR="002519DD" w:rsidRPr="006C5310">
              <w:rPr>
                <w:rFonts w:eastAsia="Times New Roman" w:cs="Times New Roman"/>
                <w:sz w:val="18"/>
                <w:szCs w:val="18"/>
              </w:rPr>
              <w:t>6</w:t>
            </w:r>
          </w:p>
        </w:tc>
      </w:tr>
      <w:tr w:rsidR="002519DD" w:rsidRPr="006C5310" w14:paraId="139D2B22" w14:textId="77777777" w:rsidTr="006C5310">
        <w:trPr>
          <w:trHeight w:val="315"/>
          <w:jc w:val="center"/>
        </w:trPr>
        <w:tc>
          <w:tcPr>
            <w:tcW w:w="1229" w:type="dxa"/>
            <w:tcBorders>
              <w:top w:val="nil"/>
              <w:left w:val="nil"/>
              <w:bottom w:val="nil"/>
              <w:right w:val="nil"/>
            </w:tcBorders>
            <w:shd w:val="clear" w:color="auto" w:fill="auto"/>
            <w:noWrap/>
            <w:vAlign w:val="center"/>
            <w:hideMark/>
          </w:tcPr>
          <w:p w14:paraId="23987F3B"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11=10-9</w:t>
            </w:r>
          </w:p>
        </w:tc>
        <w:tc>
          <w:tcPr>
            <w:tcW w:w="5292" w:type="dxa"/>
            <w:tcBorders>
              <w:top w:val="nil"/>
              <w:left w:val="single" w:sz="4" w:space="0" w:color="auto"/>
              <w:bottom w:val="single" w:sz="4" w:space="0" w:color="auto"/>
              <w:right w:val="single" w:sz="4" w:space="0" w:color="auto"/>
            </w:tcBorders>
            <w:shd w:val="clear" w:color="000000" w:fill="FFFFFF"/>
            <w:noWrap/>
            <w:vAlign w:val="bottom"/>
            <w:hideMark/>
          </w:tcPr>
          <w:p w14:paraId="2C55CD02" w14:textId="77777777" w:rsidR="002519DD" w:rsidRPr="006C5310" w:rsidRDefault="002519DD" w:rsidP="002519DD">
            <w:pPr>
              <w:spacing w:after="0"/>
              <w:ind w:firstLine="0"/>
              <w:jc w:val="left"/>
              <w:rPr>
                <w:rFonts w:eastAsia="Times New Roman" w:cs="Times New Roman"/>
                <w:color w:val="000000"/>
                <w:sz w:val="18"/>
                <w:szCs w:val="18"/>
              </w:rPr>
            </w:pPr>
            <w:r w:rsidRPr="006C5310">
              <w:rPr>
                <w:rFonts w:eastAsia="Times New Roman" w:cs="Times New Roman"/>
                <w:color w:val="000000"/>
                <w:sz w:val="18"/>
                <w:szCs w:val="18"/>
              </w:rPr>
              <w:t xml:space="preserve">Maksimāli pieļaujamie valsts budžeta izdevumi, milj. </w:t>
            </w:r>
            <w:r w:rsidRPr="006C5310">
              <w:rPr>
                <w:rFonts w:eastAsia="Times New Roman" w:cs="Times New Roman"/>
                <w:i/>
                <w:iCs/>
                <w:color w:val="000000"/>
                <w:sz w:val="18"/>
                <w:szCs w:val="18"/>
              </w:rPr>
              <w:t>euro</w:t>
            </w:r>
            <w:r w:rsidRPr="006C5310">
              <w:rPr>
                <w:rFonts w:eastAsia="Times New Roman" w:cs="Times New Roman"/>
                <w:color w:val="000000"/>
                <w:sz w:val="18"/>
                <w:szCs w:val="18"/>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14:paraId="72A67FA5" w14:textId="15E449E1"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12440,</w:t>
            </w:r>
            <w:r w:rsidR="002519DD" w:rsidRPr="006C5310">
              <w:rPr>
                <w:rFonts w:eastAsia="Times New Roman" w:cs="Times New Roman"/>
                <w:sz w:val="18"/>
                <w:szCs w:val="18"/>
              </w:rPr>
              <w:t>4</w:t>
            </w:r>
          </w:p>
        </w:tc>
        <w:tc>
          <w:tcPr>
            <w:tcW w:w="852" w:type="dxa"/>
            <w:tcBorders>
              <w:top w:val="nil"/>
              <w:left w:val="nil"/>
              <w:bottom w:val="single" w:sz="4" w:space="0" w:color="auto"/>
              <w:right w:val="single" w:sz="4" w:space="0" w:color="auto"/>
            </w:tcBorders>
            <w:shd w:val="clear" w:color="auto" w:fill="auto"/>
            <w:noWrap/>
            <w:vAlign w:val="bottom"/>
            <w:hideMark/>
          </w:tcPr>
          <w:p w14:paraId="787BC670" w14:textId="39055A6F"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12113,</w:t>
            </w:r>
            <w:r w:rsidR="002519DD" w:rsidRPr="006C5310">
              <w:rPr>
                <w:rFonts w:eastAsia="Times New Roman" w:cs="Times New Roman"/>
                <w:sz w:val="18"/>
                <w:szCs w:val="18"/>
              </w:rPr>
              <w:t>0</w:t>
            </w:r>
          </w:p>
        </w:tc>
        <w:tc>
          <w:tcPr>
            <w:tcW w:w="843" w:type="dxa"/>
            <w:tcBorders>
              <w:top w:val="nil"/>
              <w:left w:val="nil"/>
              <w:bottom w:val="single" w:sz="4" w:space="0" w:color="auto"/>
              <w:right w:val="single" w:sz="4" w:space="0" w:color="auto"/>
            </w:tcBorders>
            <w:shd w:val="clear" w:color="auto" w:fill="auto"/>
            <w:noWrap/>
            <w:vAlign w:val="bottom"/>
            <w:hideMark/>
          </w:tcPr>
          <w:p w14:paraId="3F78AD4D" w14:textId="15811E0F"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12351,</w:t>
            </w:r>
            <w:r w:rsidR="002519DD" w:rsidRPr="006C5310">
              <w:rPr>
                <w:rFonts w:eastAsia="Times New Roman" w:cs="Times New Roman"/>
                <w:sz w:val="18"/>
                <w:szCs w:val="18"/>
              </w:rPr>
              <w:t>3</w:t>
            </w:r>
          </w:p>
        </w:tc>
      </w:tr>
      <w:tr w:rsidR="002519DD" w:rsidRPr="006C5310" w14:paraId="3885D41B"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0F8C67C2"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12=12.1+12.2</w:t>
            </w:r>
          </w:p>
        </w:tc>
        <w:tc>
          <w:tcPr>
            <w:tcW w:w="5292" w:type="dxa"/>
            <w:tcBorders>
              <w:top w:val="nil"/>
              <w:left w:val="single" w:sz="4" w:space="0" w:color="auto"/>
              <w:bottom w:val="single" w:sz="4" w:space="0" w:color="auto"/>
              <w:right w:val="single" w:sz="4" w:space="0" w:color="auto"/>
            </w:tcBorders>
            <w:shd w:val="clear" w:color="000000" w:fill="DCE6F1"/>
            <w:noWrap/>
            <w:vAlign w:val="bottom"/>
            <w:hideMark/>
          </w:tcPr>
          <w:p w14:paraId="18753DFE" w14:textId="77777777" w:rsidR="002519DD" w:rsidRPr="006C5310" w:rsidRDefault="002519DD" w:rsidP="002519DD">
            <w:pPr>
              <w:spacing w:after="0"/>
              <w:ind w:firstLine="0"/>
              <w:jc w:val="left"/>
              <w:rPr>
                <w:rFonts w:eastAsia="Times New Roman" w:cs="Times New Roman"/>
                <w:color w:val="000000"/>
                <w:sz w:val="18"/>
                <w:szCs w:val="18"/>
              </w:rPr>
            </w:pPr>
            <w:r w:rsidRPr="006C5310">
              <w:rPr>
                <w:rFonts w:eastAsia="Times New Roman" w:cs="Times New Roman"/>
                <w:color w:val="000000"/>
                <w:sz w:val="18"/>
                <w:szCs w:val="18"/>
              </w:rPr>
              <w:t xml:space="preserve"> Izlīdzinātie izdevumi, milj. euro </w:t>
            </w:r>
          </w:p>
        </w:tc>
        <w:tc>
          <w:tcPr>
            <w:tcW w:w="850" w:type="dxa"/>
            <w:tcBorders>
              <w:top w:val="nil"/>
              <w:left w:val="nil"/>
              <w:bottom w:val="single" w:sz="4" w:space="0" w:color="auto"/>
              <w:right w:val="single" w:sz="4" w:space="0" w:color="auto"/>
            </w:tcBorders>
            <w:shd w:val="clear" w:color="000000" w:fill="DCE6F1"/>
            <w:noWrap/>
            <w:vAlign w:val="bottom"/>
            <w:hideMark/>
          </w:tcPr>
          <w:p w14:paraId="64D7FBCF" w14:textId="6AA73EEC"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1644,</w:t>
            </w:r>
            <w:r w:rsidR="002519DD" w:rsidRPr="006C5310">
              <w:rPr>
                <w:rFonts w:eastAsia="Times New Roman" w:cs="Times New Roman"/>
                <w:sz w:val="18"/>
                <w:szCs w:val="18"/>
              </w:rPr>
              <w:t>0</w:t>
            </w:r>
          </w:p>
        </w:tc>
        <w:tc>
          <w:tcPr>
            <w:tcW w:w="852" w:type="dxa"/>
            <w:tcBorders>
              <w:top w:val="nil"/>
              <w:left w:val="nil"/>
              <w:bottom w:val="single" w:sz="4" w:space="0" w:color="auto"/>
              <w:right w:val="single" w:sz="4" w:space="0" w:color="auto"/>
            </w:tcBorders>
            <w:shd w:val="clear" w:color="000000" w:fill="DCE6F1"/>
            <w:noWrap/>
            <w:vAlign w:val="bottom"/>
            <w:hideMark/>
          </w:tcPr>
          <w:p w14:paraId="4CE4196D" w14:textId="5B93E924"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1928,</w:t>
            </w:r>
            <w:r w:rsidR="002519DD" w:rsidRPr="006C5310">
              <w:rPr>
                <w:rFonts w:eastAsia="Times New Roman" w:cs="Times New Roman"/>
                <w:sz w:val="18"/>
                <w:szCs w:val="18"/>
              </w:rPr>
              <w:t>6</w:t>
            </w:r>
          </w:p>
        </w:tc>
        <w:tc>
          <w:tcPr>
            <w:tcW w:w="843" w:type="dxa"/>
            <w:tcBorders>
              <w:top w:val="nil"/>
              <w:left w:val="nil"/>
              <w:bottom w:val="single" w:sz="4" w:space="0" w:color="auto"/>
              <w:right w:val="single" w:sz="4" w:space="0" w:color="auto"/>
            </w:tcBorders>
            <w:shd w:val="clear" w:color="000000" w:fill="DCE6F1"/>
            <w:noWrap/>
            <w:vAlign w:val="bottom"/>
            <w:hideMark/>
          </w:tcPr>
          <w:p w14:paraId="65B053A5" w14:textId="0035199B"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1909,</w:t>
            </w:r>
            <w:r w:rsidR="002519DD" w:rsidRPr="006C5310">
              <w:rPr>
                <w:rFonts w:eastAsia="Times New Roman" w:cs="Times New Roman"/>
                <w:sz w:val="18"/>
                <w:szCs w:val="18"/>
              </w:rPr>
              <w:t>0</w:t>
            </w:r>
          </w:p>
        </w:tc>
      </w:tr>
      <w:tr w:rsidR="002519DD" w:rsidRPr="006C5310" w14:paraId="2C07C342"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0126F09F"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12.1</w:t>
            </w:r>
          </w:p>
        </w:tc>
        <w:tc>
          <w:tcPr>
            <w:tcW w:w="5292" w:type="dxa"/>
            <w:tcBorders>
              <w:top w:val="nil"/>
              <w:left w:val="single" w:sz="4" w:space="0" w:color="auto"/>
              <w:bottom w:val="single" w:sz="4" w:space="0" w:color="auto"/>
              <w:right w:val="single" w:sz="4" w:space="0" w:color="auto"/>
            </w:tcBorders>
            <w:shd w:val="clear" w:color="000000" w:fill="FFFFFF"/>
            <w:noWrap/>
            <w:vAlign w:val="bottom"/>
            <w:hideMark/>
          </w:tcPr>
          <w:p w14:paraId="4DE9AAF3" w14:textId="77777777" w:rsidR="002519DD" w:rsidRPr="006C5310" w:rsidRDefault="002519DD" w:rsidP="002519DD">
            <w:pPr>
              <w:spacing w:after="0"/>
              <w:ind w:firstLineChars="100" w:firstLine="180"/>
              <w:jc w:val="left"/>
              <w:rPr>
                <w:rFonts w:eastAsia="Times New Roman" w:cs="Times New Roman"/>
                <w:color w:val="000000"/>
                <w:sz w:val="18"/>
                <w:szCs w:val="18"/>
              </w:rPr>
            </w:pPr>
            <w:r w:rsidRPr="006C5310">
              <w:rPr>
                <w:rFonts w:eastAsia="Times New Roman" w:cs="Times New Roman"/>
                <w:color w:val="000000"/>
                <w:sz w:val="18"/>
                <w:szCs w:val="18"/>
              </w:rPr>
              <w:t xml:space="preserve"> t.sk. izlīdzinātie ES fondu izdevumi, milj. euro </w:t>
            </w:r>
          </w:p>
        </w:tc>
        <w:tc>
          <w:tcPr>
            <w:tcW w:w="850" w:type="dxa"/>
            <w:tcBorders>
              <w:top w:val="nil"/>
              <w:left w:val="nil"/>
              <w:bottom w:val="single" w:sz="4" w:space="0" w:color="auto"/>
              <w:right w:val="single" w:sz="4" w:space="0" w:color="auto"/>
            </w:tcBorders>
            <w:shd w:val="clear" w:color="000000" w:fill="FFFFFF"/>
            <w:noWrap/>
            <w:vAlign w:val="bottom"/>
            <w:hideMark/>
          </w:tcPr>
          <w:p w14:paraId="1850060C" w14:textId="74902143"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1478,</w:t>
            </w:r>
            <w:r w:rsidR="002519DD" w:rsidRPr="006C5310">
              <w:rPr>
                <w:rFonts w:eastAsia="Times New Roman" w:cs="Times New Roman"/>
                <w:sz w:val="18"/>
                <w:szCs w:val="18"/>
              </w:rPr>
              <w:t>2</w:t>
            </w:r>
          </w:p>
        </w:tc>
        <w:tc>
          <w:tcPr>
            <w:tcW w:w="852" w:type="dxa"/>
            <w:tcBorders>
              <w:top w:val="nil"/>
              <w:left w:val="nil"/>
              <w:bottom w:val="single" w:sz="4" w:space="0" w:color="auto"/>
              <w:right w:val="single" w:sz="4" w:space="0" w:color="auto"/>
            </w:tcBorders>
            <w:shd w:val="clear" w:color="000000" w:fill="FFFFFF"/>
            <w:noWrap/>
            <w:vAlign w:val="bottom"/>
            <w:hideMark/>
          </w:tcPr>
          <w:p w14:paraId="5104AA2A" w14:textId="3D14723D"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1725,</w:t>
            </w:r>
            <w:r w:rsidR="002519DD" w:rsidRPr="006C5310">
              <w:rPr>
                <w:rFonts w:eastAsia="Times New Roman" w:cs="Times New Roman"/>
                <w:sz w:val="18"/>
                <w:szCs w:val="18"/>
              </w:rPr>
              <w:t>4</w:t>
            </w:r>
          </w:p>
        </w:tc>
        <w:tc>
          <w:tcPr>
            <w:tcW w:w="843" w:type="dxa"/>
            <w:tcBorders>
              <w:top w:val="nil"/>
              <w:left w:val="nil"/>
              <w:bottom w:val="single" w:sz="4" w:space="0" w:color="auto"/>
              <w:right w:val="single" w:sz="4" w:space="0" w:color="auto"/>
            </w:tcBorders>
            <w:shd w:val="clear" w:color="000000" w:fill="FFFFFF"/>
            <w:noWrap/>
            <w:vAlign w:val="bottom"/>
            <w:hideMark/>
          </w:tcPr>
          <w:p w14:paraId="3B00E2C0" w14:textId="7B28FCFC"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1704,</w:t>
            </w:r>
            <w:r w:rsidR="002519DD" w:rsidRPr="006C5310">
              <w:rPr>
                <w:rFonts w:eastAsia="Times New Roman" w:cs="Times New Roman"/>
                <w:sz w:val="18"/>
                <w:szCs w:val="18"/>
              </w:rPr>
              <w:t>4</w:t>
            </w:r>
          </w:p>
        </w:tc>
      </w:tr>
      <w:tr w:rsidR="002519DD" w:rsidRPr="006C5310" w14:paraId="0446ABEC"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40DA76D8"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12.1.1</w:t>
            </w:r>
          </w:p>
        </w:tc>
        <w:tc>
          <w:tcPr>
            <w:tcW w:w="5292" w:type="dxa"/>
            <w:tcBorders>
              <w:top w:val="nil"/>
              <w:left w:val="single" w:sz="4" w:space="0" w:color="auto"/>
              <w:bottom w:val="single" w:sz="4" w:space="0" w:color="auto"/>
              <w:right w:val="single" w:sz="4" w:space="0" w:color="auto"/>
            </w:tcBorders>
            <w:shd w:val="clear" w:color="000000" w:fill="FFFFFF"/>
            <w:noWrap/>
            <w:vAlign w:val="bottom"/>
            <w:hideMark/>
          </w:tcPr>
          <w:p w14:paraId="180E1B55" w14:textId="77777777" w:rsidR="002519DD" w:rsidRPr="006C5310" w:rsidRDefault="002519DD" w:rsidP="002519DD">
            <w:pPr>
              <w:spacing w:after="0"/>
              <w:ind w:firstLineChars="200" w:firstLine="360"/>
              <w:jc w:val="left"/>
              <w:rPr>
                <w:rFonts w:eastAsia="Times New Roman" w:cs="Times New Roman"/>
                <w:color w:val="000000"/>
                <w:sz w:val="18"/>
                <w:szCs w:val="18"/>
              </w:rPr>
            </w:pPr>
            <w:r w:rsidRPr="006C5310">
              <w:rPr>
                <w:rFonts w:eastAsia="Times New Roman" w:cs="Times New Roman"/>
                <w:color w:val="000000"/>
                <w:sz w:val="18"/>
                <w:szCs w:val="18"/>
              </w:rPr>
              <w:t xml:space="preserve"> t.sk. neatmaksājamā daļa </w:t>
            </w:r>
          </w:p>
        </w:tc>
        <w:tc>
          <w:tcPr>
            <w:tcW w:w="850" w:type="dxa"/>
            <w:tcBorders>
              <w:top w:val="nil"/>
              <w:left w:val="nil"/>
              <w:bottom w:val="single" w:sz="4" w:space="0" w:color="auto"/>
              <w:right w:val="single" w:sz="4" w:space="0" w:color="auto"/>
            </w:tcBorders>
            <w:shd w:val="clear" w:color="000000" w:fill="FFFFFF"/>
            <w:noWrap/>
            <w:vAlign w:val="bottom"/>
            <w:hideMark/>
          </w:tcPr>
          <w:p w14:paraId="703B3DB4" w14:textId="46CC753A"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167,</w:t>
            </w:r>
            <w:r w:rsidR="002519DD" w:rsidRPr="006C5310">
              <w:rPr>
                <w:rFonts w:eastAsia="Times New Roman" w:cs="Times New Roman"/>
                <w:sz w:val="18"/>
                <w:szCs w:val="18"/>
              </w:rPr>
              <w:t>3</w:t>
            </w:r>
          </w:p>
        </w:tc>
        <w:tc>
          <w:tcPr>
            <w:tcW w:w="852" w:type="dxa"/>
            <w:tcBorders>
              <w:top w:val="nil"/>
              <w:left w:val="nil"/>
              <w:bottom w:val="single" w:sz="4" w:space="0" w:color="auto"/>
              <w:right w:val="single" w:sz="4" w:space="0" w:color="auto"/>
            </w:tcBorders>
            <w:shd w:val="clear" w:color="000000" w:fill="FFFFFF"/>
            <w:noWrap/>
            <w:vAlign w:val="bottom"/>
            <w:hideMark/>
          </w:tcPr>
          <w:p w14:paraId="2BBB1A94" w14:textId="671B1CB9"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217,</w:t>
            </w:r>
            <w:r w:rsidR="002519DD" w:rsidRPr="006C5310">
              <w:rPr>
                <w:rFonts w:eastAsia="Times New Roman" w:cs="Times New Roman"/>
                <w:sz w:val="18"/>
                <w:szCs w:val="18"/>
              </w:rPr>
              <w:t>8</w:t>
            </w:r>
          </w:p>
        </w:tc>
        <w:tc>
          <w:tcPr>
            <w:tcW w:w="843" w:type="dxa"/>
            <w:tcBorders>
              <w:top w:val="nil"/>
              <w:left w:val="nil"/>
              <w:bottom w:val="single" w:sz="4" w:space="0" w:color="auto"/>
              <w:right w:val="single" w:sz="4" w:space="0" w:color="auto"/>
            </w:tcBorders>
            <w:shd w:val="clear" w:color="000000" w:fill="FFFFFF"/>
            <w:noWrap/>
            <w:vAlign w:val="bottom"/>
            <w:hideMark/>
          </w:tcPr>
          <w:p w14:paraId="43F760BB" w14:textId="6B912D34"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225,</w:t>
            </w:r>
            <w:r w:rsidR="002519DD" w:rsidRPr="006C5310">
              <w:rPr>
                <w:rFonts w:eastAsia="Times New Roman" w:cs="Times New Roman"/>
                <w:sz w:val="18"/>
                <w:szCs w:val="18"/>
              </w:rPr>
              <w:t>1</w:t>
            </w:r>
          </w:p>
        </w:tc>
      </w:tr>
      <w:tr w:rsidR="002519DD" w:rsidRPr="006C5310" w14:paraId="13EFB9A7"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263E22E0"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12.1.2</w:t>
            </w:r>
          </w:p>
        </w:tc>
        <w:tc>
          <w:tcPr>
            <w:tcW w:w="5292" w:type="dxa"/>
            <w:tcBorders>
              <w:top w:val="nil"/>
              <w:left w:val="single" w:sz="4" w:space="0" w:color="auto"/>
              <w:bottom w:val="single" w:sz="4" w:space="0" w:color="auto"/>
              <w:right w:val="single" w:sz="4" w:space="0" w:color="auto"/>
            </w:tcBorders>
            <w:shd w:val="clear" w:color="000000" w:fill="FFFFFF"/>
            <w:noWrap/>
            <w:vAlign w:val="bottom"/>
            <w:hideMark/>
          </w:tcPr>
          <w:p w14:paraId="38CCB04F" w14:textId="77777777" w:rsidR="002519DD" w:rsidRPr="006C5310" w:rsidRDefault="002519DD" w:rsidP="002519DD">
            <w:pPr>
              <w:spacing w:after="0"/>
              <w:ind w:firstLineChars="200" w:firstLine="360"/>
              <w:jc w:val="left"/>
              <w:rPr>
                <w:rFonts w:eastAsia="Times New Roman" w:cs="Times New Roman"/>
                <w:color w:val="000000"/>
                <w:sz w:val="18"/>
                <w:szCs w:val="18"/>
              </w:rPr>
            </w:pPr>
            <w:r w:rsidRPr="006C5310">
              <w:rPr>
                <w:rFonts w:eastAsia="Times New Roman" w:cs="Times New Roman"/>
                <w:color w:val="000000"/>
                <w:sz w:val="18"/>
                <w:szCs w:val="18"/>
              </w:rPr>
              <w:t xml:space="preserve"> atmaksājamā daļa </w:t>
            </w:r>
          </w:p>
        </w:tc>
        <w:tc>
          <w:tcPr>
            <w:tcW w:w="850" w:type="dxa"/>
            <w:tcBorders>
              <w:top w:val="nil"/>
              <w:left w:val="nil"/>
              <w:bottom w:val="single" w:sz="4" w:space="0" w:color="auto"/>
              <w:right w:val="single" w:sz="4" w:space="0" w:color="auto"/>
            </w:tcBorders>
            <w:shd w:val="clear" w:color="000000" w:fill="FFFFFF"/>
            <w:noWrap/>
            <w:vAlign w:val="bottom"/>
            <w:hideMark/>
          </w:tcPr>
          <w:p w14:paraId="1F94A4BD" w14:textId="464D6780"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1310,</w:t>
            </w:r>
            <w:r w:rsidR="002519DD" w:rsidRPr="006C5310">
              <w:rPr>
                <w:rFonts w:eastAsia="Times New Roman" w:cs="Times New Roman"/>
                <w:sz w:val="18"/>
                <w:szCs w:val="18"/>
              </w:rPr>
              <w:t>9</w:t>
            </w:r>
          </w:p>
        </w:tc>
        <w:tc>
          <w:tcPr>
            <w:tcW w:w="852" w:type="dxa"/>
            <w:tcBorders>
              <w:top w:val="nil"/>
              <w:left w:val="nil"/>
              <w:bottom w:val="single" w:sz="4" w:space="0" w:color="auto"/>
              <w:right w:val="single" w:sz="4" w:space="0" w:color="auto"/>
            </w:tcBorders>
            <w:shd w:val="clear" w:color="000000" w:fill="FFFFFF"/>
            <w:noWrap/>
            <w:vAlign w:val="bottom"/>
            <w:hideMark/>
          </w:tcPr>
          <w:p w14:paraId="24809890" w14:textId="6AFF0FD1"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1507,</w:t>
            </w:r>
            <w:r w:rsidR="002519DD" w:rsidRPr="006C5310">
              <w:rPr>
                <w:rFonts w:eastAsia="Times New Roman" w:cs="Times New Roman"/>
                <w:sz w:val="18"/>
                <w:szCs w:val="18"/>
              </w:rPr>
              <w:t>6</w:t>
            </w:r>
          </w:p>
        </w:tc>
        <w:tc>
          <w:tcPr>
            <w:tcW w:w="843" w:type="dxa"/>
            <w:tcBorders>
              <w:top w:val="nil"/>
              <w:left w:val="nil"/>
              <w:bottom w:val="single" w:sz="4" w:space="0" w:color="auto"/>
              <w:right w:val="single" w:sz="4" w:space="0" w:color="auto"/>
            </w:tcBorders>
            <w:shd w:val="clear" w:color="000000" w:fill="FFFFFF"/>
            <w:noWrap/>
            <w:vAlign w:val="bottom"/>
            <w:hideMark/>
          </w:tcPr>
          <w:p w14:paraId="7469A51A" w14:textId="4B2B417D"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1479,</w:t>
            </w:r>
            <w:r w:rsidR="002519DD" w:rsidRPr="006C5310">
              <w:rPr>
                <w:rFonts w:eastAsia="Times New Roman" w:cs="Times New Roman"/>
                <w:sz w:val="18"/>
                <w:szCs w:val="18"/>
              </w:rPr>
              <w:t>3</w:t>
            </w:r>
          </w:p>
        </w:tc>
      </w:tr>
      <w:tr w:rsidR="002519DD" w:rsidRPr="006C5310" w14:paraId="3F1E0316"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6EB20206"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12.2</w:t>
            </w:r>
          </w:p>
        </w:tc>
        <w:tc>
          <w:tcPr>
            <w:tcW w:w="5292" w:type="dxa"/>
            <w:tcBorders>
              <w:top w:val="nil"/>
              <w:left w:val="single" w:sz="4" w:space="0" w:color="auto"/>
              <w:bottom w:val="single" w:sz="4" w:space="0" w:color="auto"/>
              <w:right w:val="single" w:sz="4" w:space="0" w:color="auto"/>
            </w:tcBorders>
            <w:shd w:val="clear" w:color="000000" w:fill="FFFFFF"/>
            <w:noWrap/>
            <w:vAlign w:val="bottom"/>
            <w:hideMark/>
          </w:tcPr>
          <w:p w14:paraId="3E048F86" w14:textId="77777777" w:rsidR="002519DD" w:rsidRPr="006C5310" w:rsidRDefault="002519DD" w:rsidP="002519DD">
            <w:pPr>
              <w:spacing w:after="0"/>
              <w:ind w:firstLineChars="100" w:firstLine="180"/>
              <w:jc w:val="left"/>
              <w:rPr>
                <w:rFonts w:eastAsia="Times New Roman" w:cs="Times New Roman"/>
                <w:sz w:val="18"/>
                <w:szCs w:val="18"/>
              </w:rPr>
            </w:pPr>
            <w:r w:rsidRPr="006C5310">
              <w:rPr>
                <w:rFonts w:eastAsia="Times New Roman" w:cs="Times New Roman"/>
                <w:sz w:val="18"/>
                <w:szCs w:val="18"/>
              </w:rPr>
              <w:t xml:space="preserve"> Izlīdzinātie valsts parāda apkalpošanas izdevumi </w:t>
            </w:r>
          </w:p>
        </w:tc>
        <w:tc>
          <w:tcPr>
            <w:tcW w:w="850" w:type="dxa"/>
            <w:tcBorders>
              <w:top w:val="nil"/>
              <w:left w:val="nil"/>
              <w:bottom w:val="single" w:sz="4" w:space="0" w:color="auto"/>
              <w:right w:val="single" w:sz="4" w:space="0" w:color="auto"/>
            </w:tcBorders>
            <w:shd w:val="clear" w:color="000000" w:fill="FFFFFF"/>
            <w:noWrap/>
            <w:vAlign w:val="bottom"/>
            <w:hideMark/>
          </w:tcPr>
          <w:p w14:paraId="5002DE85" w14:textId="7E010807"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165,</w:t>
            </w:r>
            <w:r w:rsidR="002519DD" w:rsidRPr="006C5310">
              <w:rPr>
                <w:rFonts w:eastAsia="Times New Roman" w:cs="Times New Roman"/>
                <w:sz w:val="18"/>
                <w:szCs w:val="18"/>
              </w:rPr>
              <w:t>9</w:t>
            </w:r>
          </w:p>
        </w:tc>
        <w:tc>
          <w:tcPr>
            <w:tcW w:w="852" w:type="dxa"/>
            <w:tcBorders>
              <w:top w:val="nil"/>
              <w:left w:val="nil"/>
              <w:bottom w:val="single" w:sz="4" w:space="0" w:color="auto"/>
              <w:right w:val="single" w:sz="4" w:space="0" w:color="auto"/>
            </w:tcBorders>
            <w:shd w:val="clear" w:color="000000" w:fill="FFFFFF"/>
            <w:noWrap/>
            <w:vAlign w:val="bottom"/>
            <w:hideMark/>
          </w:tcPr>
          <w:p w14:paraId="191F822A" w14:textId="0518B47C"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203,</w:t>
            </w:r>
            <w:r w:rsidR="002519DD" w:rsidRPr="006C5310">
              <w:rPr>
                <w:rFonts w:eastAsia="Times New Roman" w:cs="Times New Roman"/>
                <w:sz w:val="18"/>
                <w:szCs w:val="18"/>
              </w:rPr>
              <w:t>3</w:t>
            </w:r>
          </w:p>
        </w:tc>
        <w:tc>
          <w:tcPr>
            <w:tcW w:w="843" w:type="dxa"/>
            <w:tcBorders>
              <w:top w:val="nil"/>
              <w:left w:val="nil"/>
              <w:bottom w:val="single" w:sz="4" w:space="0" w:color="auto"/>
              <w:right w:val="single" w:sz="4" w:space="0" w:color="auto"/>
            </w:tcBorders>
            <w:shd w:val="clear" w:color="000000" w:fill="FFFFFF"/>
            <w:noWrap/>
            <w:vAlign w:val="bottom"/>
            <w:hideMark/>
          </w:tcPr>
          <w:p w14:paraId="68D143AC" w14:textId="0B17BF46"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204,</w:t>
            </w:r>
            <w:r w:rsidR="002519DD" w:rsidRPr="006C5310">
              <w:rPr>
                <w:rFonts w:eastAsia="Times New Roman" w:cs="Times New Roman"/>
                <w:sz w:val="18"/>
                <w:szCs w:val="18"/>
              </w:rPr>
              <w:t>6</w:t>
            </w:r>
          </w:p>
        </w:tc>
      </w:tr>
      <w:tr w:rsidR="002519DD" w:rsidRPr="006C5310" w14:paraId="53251801"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7D694884"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lastRenderedPageBreak/>
              <w:t>13=11-12</w:t>
            </w:r>
          </w:p>
        </w:tc>
        <w:tc>
          <w:tcPr>
            <w:tcW w:w="5292" w:type="dxa"/>
            <w:tcBorders>
              <w:top w:val="nil"/>
              <w:left w:val="single" w:sz="4" w:space="0" w:color="auto"/>
              <w:bottom w:val="single" w:sz="4" w:space="0" w:color="auto"/>
              <w:right w:val="single" w:sz="4" w:space="0" w:color="auto"/>
            </w:tcBorders>
            <w:shd w:val="clear" w:color="000000" w:fill="FFC000"/>
            <w:noWrap/>
            <w:vAlign w:val="bottom"/>
            <w:hideMark/>
          </w:tcPr>
          <w:p w14:paraId="4B0FF4E0" w14:textId="77777777" w:rsidR="002519DD" w:rsidRPr="006C5310" w:rsidRDefault="002519DD" w:rsidP="002519DD">
            <w:pPr>
              <w:spacing w:after="0"/>
              <w:ind w:firstLine="0"/>
              <w:jc w:val="left"/>
              <w:rPr>
                <w:rFonts w:eastAsia="Times New Roman" w:cs="Times New Roman"/>
                <w:color w:val="000000"/>
                <w:sz w:val="18"/>
                <w:szCs w:val="18"/>
              </w:rPr>
            </w:pPr>
            <w:r w:rsidRPr="006C5310">
              <w:rPr>
                <w:rFonts w:eastAsia="Times New Roman" w:cs="Times New Roman"/>
                <w:b/>
                <w:bCs/>
                <w:color w:val="000000"/>
                <w:sz w:val="18"/>
                <w:szCs w:val="18"/>
              </w:rPr>
              <w:t>Koriģētie maksimāli pieļaujamie valsts budžeta izdevumi,</w:t>
            </w:r>
            <w:r w:rsidRPr="006C5310">
              <w:rPr>
                <w:rFonts w:eastAsia="Times New Roman" w:cs="Times New Roman"/>
                <w:color w:val="000000"/>
                <w:sz w:val="18"/>
                <w:szCs w:val="18"/>
              </w:rPr>
              <w:t xml:space="preserve"> milj. </w:t>
            </w:r>
            <w:r w:rsidRPr="006C5310">
              <w:rPr>
                <w:rFonts w:eastAsia="Times New Roman" w:cs="Times New Roman"/>
                <w:i/>
                <w:iCs/>
                <w:color w:val="000000"/>
                <w:sz w:val="18"/>
                <w:szCs w:val="18"/>
              </w:rPr>
              <w:t>euro</w:t>
            </w:r>
            <w:r w:rsidRPr="006C5310">
              <w:rPr>
                <w:rFonts w:eastAsia="Times New Roman" w:cs="Times New Roman"/>
                <w:color w:val="000000"/>
                <w:sz w:val="18"/>
                <w:szCs w:val="18"/>
              </w:rPr>
              <w:t xml:space="preserve"> </w:t>
            </w:r>
          </w:p>
        </w:tc>
        <w:tc>
          <w:tcPr>
            <w:tcW w:w="850" w:type="dxa"/>
            <w:tcBorders>
              <w:top w:val="nil"/>
              <w:left w:val="nil"/>
              <w:bottom w:val="single" w:sz="4" w:space="0" w:color="auto"/>
              <w:right w:val="single" w:sz="4" w:space="0" w:color="auto"/>
            </w:tcBorders>
            <w:shd w:val="clear" w:color="000000" w:fill="FFC000"/>
            <w:noWrap/>
            <w:vAlign w:val="bottom"/>
            <w:hideMark/>
          </w:tcPr>
          <w:p w14:paraId="3E321835" w14:textId="36563734" w:rsidR="002519DD" w:rsidRPr="006C5310" w:rsidRDefault="006C5310" w:rsidP="002519DD">
            <w:pPr>
              <w:spacing w:after="0"/>
              <w:ind w:firstLine="0"/>
              <w:jc w:val="right"/>
              <w:rPr>
                <w:rFonts w:eastAsia="Times New Roman" w:cs="Times New Roman"/>
                <w:b/>
                <w:bCs/>
                <w:sz w:val="18"/>
                <w:szCs w:val="18"/>
              </w:rPr>
            </w:pPr>
            <w:r>
              <w:rPr>
                <w:rFonts w:eastAsia="Times New Roman" w:cs="Times New Roman"/>
                <w:b/>
                <w:bCs/>
                <w:sz w:val="18"/>
                <w:szCs w:val="18"/>
              </w:rPr>
              <w:t>10796,</w:t>
            </w:r>
            <w:r w:rsidR="002519DD" w:rsidRPr="006C5310">
              <w:rPr>
                <w:rFonts w:eastAsia="Times New Roman" w:cs="Times New Roman"/>
                <w:b/>
                <w:bCs/>
                <w:sz w:val="18"/>
                <w:szCs w:val="18"/>
              </w:rPr>
              <w:t>3</w:t>
            </w:r>
          </w:p>
        </w:tc>
        <w:tc>
          <w:tcPr>
            <w:tcW w:w="852" w:type="dxa"/>
            <w:tcBorders>
              <w:top w:val="nil"/>
              <w:left w:val="nil"/>
              <w:bottom w:val="single" w:sz="4" w:space="0" w:color="auto"/>
              <w:right w:val="single" w:sz="4" w:space="0" w:color="auto"/>
            </w:tcBorders>
            <w:shd w:val="clear" w:color="000000" w:fill="FFC000"/>
            <w:noWrap/>
            <w:vAlign w:val="bottom"/>
            <w:hideMark/>
          </w:tcPr>
          <w:p w14:paraId="22D77323" w14:textId="1FE70260" w:rsidR="002519DD" w:rsidRPr="006C5310" w:rsidRDefault="006C5310" w:rsidP="002519DD">
            <w:pPr>
              <w:spacing w:after="0"/>
              <w:ind w:firstLine="0"/>
              <w:jc w:val="right"/>
              <w:rPr>
                <w:rFonts w:eastAsia="Times New Roman" w:cs="Times New Roman"/>
                <w:b/>
                <w:bCs/>
                <w:sz w:val="18"/>
                <w:szCs w:val="18"/>
              </w:rPr>
            </w:pPr>
            <w:r>
              <w:rPr>
                <w:rFonts w:eastAsia="Times New Roman" w:cs="Times New Roman"/>
                <w:b/>
                <w:bCs/>
                <w:sz w:val="18"/>
                <w:szCs w:val="18"/>
              </w:rPr>
              <w:t>10184,</w:t>
            </w:r>
            <w:r w:rsidR="002519DD" w:rsidRPr="006C5310">
              <w:rPr>
                <w:rFonts w:eastAsia="Times New Roman" w:cs="Times New Roman"/>
                <w:b/>
                <w:bCs/>
                <w:sz w:val="18"/>
                <w:szCs w:val="18"/>
              </w:rPr>
              <w:t>4</w:t>
            </w:r>
          </w:p>
        </w:tc>
        <w:tc>
          <w:tcPr>
            <w:tcW w:w="843" w:type="dxa"/>
            <w:tcBorders>
              <w:top w:val="nil"/>
              <w:left w:val="nil"/>
              <w:bottom w:val="single" w:sz="4" w:space="0" w:color="auto"/>
              <w:right w:val="single" w:sz="4" w:space="0" w:color="auto"/>
            </w:tcBorders>
            <w:shd w:val="clear" w:color="000000" w:fill="FFC000"/>
            <w:noWrap/>
            <w:vAlign w:val="bottom"/>
            <w:hideMark/>
          </w:tcPr>
          <w:p w14:paraId="3E68BCF0" w14:textId="28753CD3" w:rsidR="002519DD" w:rsidRPr="006C5310" w:rsidRDefault="006C5310" w:rsidP="002519DD">
            <w:pPr>
              <w:spacing w:after="0"/>
              <w:ind w:firstLine="0"/>
              <w:jc w:val="right"/>
              <w:rPr>
                <w:rFonts w:eastAsia="Times New Roman" w:cs="Times New Roman"/>
                <w:b/>
                <w:bCs/>
                <w:sz w:val="18"/>
                <w:szCs w:val="18"/>
              </w:rPr>
            </w:pPr>
            <w:r>
              <w:rPr>
                <w:rFonts w:eastAsia="Times New Roman" w:cs="Times New Roman"/>
                <w:b/>
                <w:bCs/>
                <w:sz w:val="18"/>
                <w:szCs w:val="18"/>
              </w:rPr>
              <w:t>10442,</w:t>
            </w:r>
            <w:r w:rsidR="002519DD" w:rsidRPr="006C5310">
              <w:rPr>
                <w:rFonts w:eastAsia="Times New Roman" w:cs="Times New Roman"/>
                <w:b/>
                <w:bCs/>
                <w:sz w:val="18"/>
                <w:szCs w:val="18"/>
              </w:rPr>
              <w:t>3</w:t>
            </w:r>
          </w:p>
        </w:tc>
      </w:tr>
      <w:tr w:rsidR="002519DD" w:rsidRPr="006C5310" w14:paraId="5283AD79"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5116CFE1"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14=15+16</w:t>
            </w:r>
          </w:p>
        </w:tc>
        <w:tc>
          <w:tcPr>
            <w:tcW w:w="5292" w:type="dxa"/>
            <w:tcBorders>
              <w:top w:val="nil"/>
              <w:left w:val="single" w:sz="4" w:space="0" w:color="auto"/>
              <w:bottom w:val="single" w:sz="4" w:space="0" w:color="auto"/>
              <w:right w:val="single" w:sz="4" w:space="0" w:color="auto"/>
            </w:tcBorders>
            <w:shd w:val="clear" w:color="auto" w:fill="auto"/>
            <w:noWrap/>
            <w:vAlign w:val="bottom"/>
            <w:hideMark/>
          </w:tcPr>
          <w:p w14:paraId="7331CBB1" w14:textId="77777777" w:rsidR="002519DD" w:rsidRPr="006C5310" w:rsidRDefault="002519DD" w:rsidP="002519DD">
            <w:pPr>
              <w:spacing w:after="0"/>
              <w:ind w:firstLine="0"/>
              <w:jc w:val="left"/>
              <w:rPr>
                <w:rFonts w:eastAsia="Times New Roman" w:cs="Times New Roman"/>
                <w:color w:val="000000"/>
                <w:sz w:val="18"/>
                <w:szCs w:val="18"/>
              </w:rPr>
            </w:pPr>
            <w:r w:rsidRPr="006C5310">
              <w:rPr>
                <w:rFonts w:eastAsia="Times New Roman" w:cs="Times New Roman"/>
                <w:color w:val="000000"/>
                <w:sz w:val="18"/>
                <w:szCs w:val="18"/>
              </w:rPr>
              <w:t>Faktiskie izdevumi</w:t>
            </w:r>
          </w:p>
        </w:tc>
        <w:tc>
          <w:tcPr>
            <w:tcW w:w="850" w:type="dxa"/>
            <w:tcBorders>
              <w:top w:val="nil"/>
              <w:left w:val="nil"/>
              <w:bottom w:val="single" w:sz="4" w:space="0" w:color="auto"/>
              <w:right w:val="single" w:sz="4" w:space="0" w:color="auto"/>
            </w:tcBorders>
            <w:shd w:val="clear" w:color="auto" w:fill="auto"/>
            <w:noWrap/>
            <w:vAlign w:val="bottom"/>
            <w:hideMark/>
          </w:tcPr>
          <w:p w14:paraId="58604726" w14:textId="2527F97F"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1644,</w:t>
            </w:r>
            <w:r w:rsidR="002519DD" w:rsidRPr="006C5310">
              <w:rPr>
                <w:rFonts w:eastAsia="Times New Roman" w:cs="Times New Roman"/>
                <w:sz w:val="18"/>
                <w:szCs w:val="18"/>
              </w:rPr>
              <w:t>0</w:t>
            </w:r>
          </w:p>
        </w:tc>
        <w:tc>
          <w:tcPr>
            <w:tcW w:w="852" w:type="dxa"/>
            <w:tcBorders>
              <w:top w:val="nil"/>
              <w:left w:val="nil"/>
              <w:bottom w:val="single" w:sz="4" w:space="0" w:color="auto"/>
              <w:right w:val="single" w:sz="4" w:space="0" w:color="auto"/>
            </w:tcBorders>
            <w:shd w:val="clear" w:color="auto" w:fill="auto"/>
            <w:noWrap/>
            <w:vAlign w:val="bottom"/>
            <w:hideMark/>
          </w:tcPr>
          <w:p w14:paraId="009674C5" w14:textId="67CD5248"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1928,</w:t>
            </w:r>
            <w:r w:rsidR="002519DD" w:rsidRPr="006C5310">
              <w:rPr>
                <w:rFonts w:eastAsia="Times New Roman" w:cs="Times New Roman"/>
                <w:sz w:val="18"/>
                <w:szCs w:val="18"/>
              </w:rPr>
              <w:t>6</w:t>
            </w:r>
          </w:p>
        </w:tc>
        <w:tc>
          <w:tcPr>
            <w:tcW w:w="843" w:type="dxa"/>
            <w:tcBorders>
              <w:top w:val="nil"/>
              <w:left w:val="nil"/>
              <w:bottom w:val="single" w:sz="4" w:space="0" w:color="auto"/>
              <w:right w:val="single" w:sz="4" w:space="0" w:color="auto"/>
            </w:tcBorders>
            <w:shd w:val="clear" w:color="auto" w:fill="auto"/>
            <w:noWrap/>
            <w:vAlign w:val="bottom"/>
            <w:hideMark/>
          </w:tcPr>
          <w:p w14:paraId="270A55A0" w14:textId="0472C366"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1909,</w:t>
            </w:r>
            <w:r w:rsidR="002519DD" w:rsidRPr="006C5310">
              <w:rPr>
                <w:rFonts w:eastAsia="Times New Roman" w:cs="Times New Roman"/>
                <w:sz w:val="18"/>
                <w:szCs w:val="18"/>
              </w:rPr>
              <w:t>0</w:t>
            </w:r>
          </w:p>
        </w:tc>
      </w:tr>
      <w:tr w:rsidR="002519DD" w:rsidRPr="006C5310" w14:paraId="67F1075F"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20A2D1D7"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15</w:t>
            </w:r>
          </w:p>
        </w:tc>
        <w:tc>
          <w:tcPr>
            <w:tcW w:w="5292" w:type="dxa"/>
            <w:tcBorders>
              <w:top w:val="nil"/>
              <w:left w:val="single" w:sz="4" w:space="0" w:color="auto"/>
              <w:bottom w:val="single" w:sz="4" w:space="0" w:color="auto"/>
              <w:right w:val="single" w:sz="4" w:space="0" w:color="auto"/>
            </w:tcBorders>
            <w:shd w:val="clear" w:color="auto" w:fill="auto"/>
            <w:noWrap/>
            <w:vAlign w:val="bottom"/>
            <w:hideMark/>
          </w:tcPr>
          <w:p w14:paraId="2158DCDB" w14:textId="7666E568" w:rsidR="002519DD" w:rsidRPr="006C5310" w:rsidRDefault="006C5310" w:rsidP="002519DD">
            <w:pPr>
              <w:spacing w:after="0"/>
              <w:ind w:firstLineChars="100" w:firstLine="180"/>
              <w:jc w:val="left"/>
              <w:rPr>
                <w:rFonts w:eastAsia="Times New Roman" w:cs="Times New Roman"/>
                <w:color w:val="000000"/>
                <w:sz w:val="18"/>
                <w:szCs w:val="18"/>
              </w:rPr>
            </w:pPr>
            <w:r>
              <w:rPr>
                <w:rFonts w:eastAsia="Times New Roman" w:cs="Times New Roman"/>
                <w:color w:val="000000"/>
                <w:sz w:val="18"/>
                <w:szCs w:val="18"/>
              </w:rPr>
              <w:t>t.sk. Eiropas Savienības</w:t>
            </w:r>
            <w:r w:rsidR="005774F8">
              <w:rPr>
                <w:rFonts w:eastAsia="Times New Roman" w:cs="Times New Roman"/>
                <w:color w:val="000000"/>
                <w:sz w:val="18"/>
                <w:szCs w:val="18"/>
              </w:rPr>
              <w:t xml:space="preserve"> fondu izdevumi – augšup vērstā metode</w:t>
            </w:r>
          </w:p>
        </w:tc>
        <w:tc>
          <w:tcPr>
            <w:tcW w:w="850" w:type="dxa"/>
            <w:tcBorders>
              <w:top w:val="nil"/>
              <w:left w:val="nil"/>
              <w:bottom w:val="single" w:sz="4" w:space="0" w:color="auto"/>
              <w:right w:val="single" w:sz="4" w:space="0" w:color="auto"/>
            </w:tcBorders>
            <w:shd w:val="clear" w:color="auto" w:fill="auto"/>
            <w:noWrap/>
            <w:vAlign w:val="bottom"/>
            <w:hideMark/>
          </w:tcPr>
          <w:p w14:paraId="691D766D" w14:textId="0DB5BB5F"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1478,</w:t>
            </w:r>
            <w:r w:rsidR="002519DD" w:rsidRPr="006C5310">
              <w:rPr>
                <w:rFonts w:eastAsia="Times New Roman" w:cs="Times New Roman"/>
                <w:sz w:val="18"/>
                <w:szCs w:val="18"/>
              </w:rPr>
              <w:t>2</w:t>
            </w:r>
          </w:p>
        </w:tc>
        <w:tc>
          <w:tcPr>
            <w:tcW w:w="852" w:type="dxa"/>
            <w:tcBorders>
              <w:top w:val="nil"/>
              <w:left w:val="nil"/>
              <w:bottom w:val="single" w:sz="4" w:space="0" w:color="auto"/>
              <w:right w:val="single" w:sz="4" w:space="0" w:color="auto"/>
            </w:tcBorders>
            <w:shd w:val="clear" w:color="auto" w:fill="auto"/>
            <w:noWrap/>
            <w:vAlign w:val="bottom"/>
            <w:hideMark/>
          </w:tcPr>
          <w:p w14:paraId="2A552EA2" w14:textId="27B39FF8"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1725,</w:t>
            </w:r>
            <w:r w:rsidR="002519DD" w:rsidRPr="006C5310">
              <w:rPr>
                <w:rFonts w:eastAsia="Times New Roman" w:cs="Times New Roman"/>
                <w:sz w:val="18"/>
                <w:szCs w:val="18"/>
              </w:rPr>
              <w:t>4</w:t>
            </w:r>
          </w:p>
        </w:tc>
        <w:tc>
          <w:tcPr>
            <w:tcW w:w="843" w:type="dxa"/>
            <w:tcBorders>
              <w:top w:val="nil"/>
              <w:left w:val="nil"/>
              <w:bottom w:val="single" w:sz="4" w:space="0" w:color="auto"/>
              <w:right w:val="single" w:sz="4" w:space="0" w:color="auto"/>
            </w:tcBorders>
            <w:shd w:val="clear" w:color="auto" w:fill="auto"/>
            <w:noWrap/>
            <w:vAlign w:val="bottom"/>
            <w:hideMark/>
          </w:tcPr>
          <w:p w14:paraId="20EABA12" w14:textId="5282F886"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1704,</w:t>
            </w:r>
            <w:r w:rsidR="002519DD" w:rsidRPr="006C5310">
              <w:rPr>
                <w:rFonts w:eastAsia="Times New Roman" w:cs="Times New Roman"/>
                <w:sz w:val="18"/>
                <w:szCs w:val="18"/>
              </w:rPr>
              <w:t>4</w:t>
            </w:r>
          </w:p>
        </w:tc>
      </w:tr>
      <w:tr w:rsidR="002519DD" w:rsidRPr="006C5310" w14:paraId="3590604D"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24B4C89D"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15.1</w:t>
            </w:r>
          </w:p>
        </w:tc>
        <w:tc>
          <w:tcPr>
            <w:tcW w:w="5292" w:type="dxa"/>
            <w:tcBorders>
              <w:top w:val="nil"/>
              <w:left w:val="single" w:sz="4" w:space="0" w:color="auto"/>
              <w:bottom w:val="single" w:sz="4" w:space="0" w:color="auto"/>
              <w:right w:val="single" w:sz="4" w:space="0" w:color="auto"/>
            </w:tcBorders>
            <w:shd w:val="clear" w:color="auto" w:fill="auto"/>
            <w:noWrap/>
            <w:vAlign w:val="bottom"/>
            <w:hideMark/>
          </w:tcPr>
          <w:p w14:paraId="4681079A" w14:textId="77777777" w:rsidR="002519DD" w:rsidRPr="006C5310" w:rsidRDefault="002519DD" w:rsidP="002519DD">
            <w:pPr>
              <w:spacing w:after="0"/>
              <w:ind w:firstLineChars="200" w:firstLine="360"/>
              <w:jc w:val="left"/>
              <w:rPr>
                <w:rFonts w:eastAsia="Times New Roman" w:cs="Times New Roman"/>
                <w:color w:val="000000"/>
                <w:sz w:val="18"/>
                <w:szCs w:val="18"/>
              </w:rPr>
            </w:pPr>
            <w:r w:rsidRPr="006C5310">
              <w:rPr>
                <w:rFonts w:eastAsia="Times New Roman" w:cs="Times New Roman"/>
                <w:color w:val="000000"/>
                <w:sz w:val="18"/>
                <w:szCs w:val="18"/>
              </w:rPr>
              <w:t>t.sk. neatmaksājamā daļa</w:t>
            </w:r>
          </w:p>
        </w:tc>
        <w:tc>
          <w:tcPr>
            <w:tcW w:w="850" w:type="dxa"/>
            <w:tcBorders>
              <w:top w:val="nil"/>
              <w:left w:val="nil"/>
              <w:bottom w:val="single" w:sz="4" w:space="0" w:color="auto"/>
              <w:right w:val="single" w:sz="4" w:space="0" w:color="auto"/>
            </w:tcBorders>
            <w:shd w:val="clear" w:color="auto" w:fill="auto"/>
            <w:noWrap/>
            <w:vAlign w:val="bottom"/>
            <w:hideMark/>
          </w:tcPr>
          <w:p w14:paraId="5F0D6D3E" w14:textId="23C4C33F"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167,</w:t>
            </w:r>
            <w:r w:rsidR="002519DD" w:rsidRPr="006C5310">
              <w:rPr>
                <w:rFonts w:eastAsia="Times New Roman" w:cs="Times New Roman"/>
                <w:sz w:val="18"/>
                <w:szCs w:val="18"/>
              </w:rPr>
              <w:t>3</w:t>
            </w:r>
          </w:p>
        </w:tc>
        <w:tc>
          <w:tcPr>
            <w:tcW w:w="852" w:type="dxa"/>
            <w:tcBorders>
              <w:top w:val="nil"/>
              <w:left w:val="nil"/>
              <w:bottom w:val="single" w:sz="4" w:space="0" w:color="auto"/>
              <w:right w:val="single" w:sz="4" w:space="0" w:color="auto"/>
            </w:tcBorders>
            <w:shd w:val="clear" w:color="auto" w:fill="auto"/>
            <w:noWrap/>
            <w:vAlign w:val="bottom"/>
            <w:hideMark/>
          </w:tcPr>
          <w:p w14:paraId="2124DC9C" w14:textId="298C4E2C"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217,</w:t>
            </w:r>
            <w:r w:rsidR="002519DD" w:rsidRPr="006C5310">
              <w:rPr>
                <w:rFonts w:eastAsia="Times New Roman" w:cs="Times New Roman"/>
                <w:sz w:val="18"/>
                <w:szCs w:val="18"/>
              </w:rPr>
              <w:t>8</w:t>
            </w:r>
          </w:p>
        </w:tc>
        <w:tc>
          <w:tcPr>
            <w:tcW w:w="843" w:type="dxa"/>
            <w:tcBorders>
              <w:top w:val="nil"/>
              <w:left w:val="nil"/>
              <w:bottom w:val="single" w:sz="4" w:space="0" w:color="auto"/>
              <w:right w:val="single" w:sz="4" w:space="0" w:color="auto"/>
            </w:tcBorders>
            <w:shd w:val="clear" w:color="auto" w:fill="auto"/>
            <w:noWrap/>
            <w:vAlign w:val="bottom"/>
            <w:hideMark/>
          </w:tcPr>
          <w:p w14:paraId="1E301488" w14:textId="725C220D"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225,</w:t>
            </w:r>
            <w:r w:rsidR="002519DD" w:rsidRPr="006C5310">
              <w:rPr>
                <w:rFonts w:eastAsia="Times New Roman" w:cs="Times New Roman"/>
                <w:sz w:val="18"/>
                <w:szCs w:val="18"/>
              </w:rPr>
              <w:t>1</w:t>
            </w:r>
          </w:p>
        </w:tc>
      </w:tr>
      <w:tr w:rsidR="002519DD" w:rsidRPr="006C5310" w14:paraId="0D93A59C"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7ECB3AF7"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15.2</w:t>
            </w:r>
          </w:p>
        </w:tc>
        <w:tc>
          <w:tcPr>
            <w:tcW w:w="5292" w:type="dxa"/>
            <w:tcBorders>
              <w:top w:val="nil"/>
              <w:left w:val="single" w:sz="4" w:space="0" w:color="auto"/>
              <w:bottom w:val="single" w:sz="4" w:space="0" w:color="auto"/>
              <w:right w:val="single" w:sz="4" w:space="0" w:color="auto"/>
            </w:tcBorders>
            <w:shd w:val="clear" w:color="auto" w:fill="auto"/>
            <w:noWrap/>
            <w:vAlign w:val="bottom"/>
            <w:hideMark/>
          </w:tcPr>
          <w:p w14:paraId="55A2237E" w14:textId="77777777" w:rsidR="002519DD" w:rsidRPr="006C5310" w:rsidRDefault="002519DD" w:rsidP="002519DD">
            <w:pPr>
              <w:spacing w:after="0"/>
              <w:ind w:firstLineChars="200" w:firstLine="360"/>
              <w:jc w:val="left"/>
              <w:rPr>
                <w:rFonts w:eastAsia="Times New Roman" w:cs="Times New Roman"/>
                <w:color w:val="000000"/>
                <w:sz w:val="18"/>
                <w:szCs w:val="18"/>
              </w:rPr>
            </w:pPr>
            <w:r w:rsidRPr="006C5310">
              <w:rPr>
                <w:rFonts w:eastAsia="Times New Roman" w:cs="Times New Roman"/>
                <w:color w:val="000000"/>
                <w:sz w:val="18"/>
                <w:szCs w:val="18"/>
              </w:rPr>
              <w:t>atmaksājamā daļa</w:t>
            </w:r>
          </w:p>
        </w:tc>
        <w:tc>
          <w:tcPr>
            <w:tcW w:w="850" w:type="dxa"/>
            <w:tcBorders>
              <w:top w:val="nil"/>
              <w:left w:val="nil"/>
              <w:bottom w:val="single" w:sz="4" w:space="0" w:color="auto"/>
              <w:right w:val="single" w:sz="4" w:space="0" w:color="auto"/>
            </w:tcBorders>
            <w:shd w:val="clear" w:color="auto" w:fill="auto"/>
            <w:noWrap/>
            <w:vAlign w:val="bottom"/>
            <w:hideMark/>
          </w:tcPr>
          <w:p w14:paraId="48388C17" w14:textId="0CA4E18A"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1310,</w:t>
            </w:r>
            <w:r w:rsidR="002519DD" w:rsidRPr="006C5310">
              <w:rPr>
                <w:rFonts w:eastAsia="Times New Roman" w:cs="Times New Roman"/>
                <w:sz w:val="18"/>
                <w:szCs w:val="18"/>
              </w:rPr>
              <w:t>9</w:t>
            </w:r>
          </w:p>
        </w:tc>
        <w:tc>
          <w:tcPr>
            <w:tcW w:w="852" w:type="dxa"/>
            <w:tcBorders>
              <w:top w:val="nil"/>
              <w:left w:val="nil"/>
              <w:bottom w:val="single" w:sz="4" w:space="0" w:color="auto"/>
              <w:right w:val="single" w:sz="4" w:space="0" w:color="auto"/>
            </w:tcBorders>
            <w:shd w:val="clear" w:color="auto" w:fill="auto"/>
            <w:noWrap/>
            <w:vAlign w:val="bottom"/>
            <w:hideMark/>
          </w:tcPr>
          <w:p w14:paraId="3C6316BD" w14:textId="1A5DD633"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1507,</w:t>
            </w:r>
            <w:r w:rsidR="002519DD" w:rsidRPr="006C5310">
              <w:rPr>
                <w:rFonts w:eastAsia="Times New Roman" w:cs="Times New Roman"/>
                <w:sz w:val="18"/>
                <w:szCs w:val="18"/>
              </w:rPr>
              <w:t>6</w:t>
            </w:r>
          </w:p>
        </w:tc>
        <w:tc>
          <w:tcPr>
            <w:tcW w:w="843" w:type="dxa"/>
            <w:tcBorders>
              <w:top w:val="nil"/>
              <w:left w:val="nil"/>
              <w:bottom w:val="single" w:sz="4" w:space="0" w:color="auto"/>
              <w:right w:val="single" w:sz="4" w:space="0" w:color="auto"/>
            </w:tcBorders>
            <w:shd w:val="clear" w:color="auto" w:fill="auto"/>
            <w:noWrap/>
            <w:vAlign w:val="bottom"/>
            <w:hideMark/>
          </w:tcPr>
          <w:p w14:paraId="406C15F8" w14:textId="157337CA" w:rsidR="002519DD" w:rsidRPr="006C5310" w:rsidRDefault="002519DD" w:rsidP="002519DD">
            <w:pPr>
              <w:spacing w:after="0"/>
              <w:ind w:firstLine="0"/>
              <w:jc w:val="right"/>
              <w:rPr>
                <w:rFonts w:eastAsia="Times New Roman" w:cs="Times New Roman"/>
                <w:sz w:val="18"/>
                <w:szCs w:val="18"/>
              </w:rPr>
            </w:pPr>
            <w:r w:rsidRPr="006C5310">
              <w:rPr>
                <w:rFonts w:eastAsia="Times New Roman" w:cs="Times New Roman"/>
                <w:sz w:val="18"/>
                <w:szCs w:val="18"/>
              </w:rPr>
              <w:t>147</w:t>
            </w:r>
            <w:r w:rsidR="006C5310">
              <w:rPr>
                <w:rFonts w:eastAsia="Times New Roman" w:cs="Times New Roman"/>
                <w:sz w:val="18"/>
                <w:szCs w:val="18"/>
              </w:rPr>
              <w:t>9,</w:t>
            </w:r>
            <w:r w:rsidRPr="006C5310">
              <w:rPr>
                <w:rFonts w:eastAsia="Times New Roman" w:cs="Times New Roman"/>
                <w:sz w:val="18"/>
                <w:szCs w:val="18"/>
              </w:rPr>
              <w:t>3</w:t>
            </w:r>
          </w:p>
        </w:tc>
      </w:tr>
      <w:tr w:rsidR="002519DD" w:rsidRPr="006C5310" w14:paraId="73BEB561"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74451554"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16</w:t>
            </w:r>
          </w:p>
        </w:tc>
        <w:tc>
          <w:tcPr>
            <w:tcW w:w="5292" w:type="dxa"/>
            <w:tcBorders>
              <w:top w:val="nil"/>
              <w:left w:val="single" w:sz="4" w:space="0" w:color="auto"/>
              <w:bottom w:val="single" w:sz="4" w:space="0" w:color="auto"/>
              <w:right w:val="single" w:sz="4" w:space="0" w:color="auto"/>
            </w:tcBorders>
            <w:shd w:val="clear" w:color="auto" w:fill="auto"/>
            <w:noWrap/>
            <w:vAlign w:val="bottom"/>
            <w:hideMark/>
          </w:tcPr>
          <w:p w14:paraId="1950388B" w14:textId="77777777" w:rsidR="002519DD" w:rsidRPr="006C5310" w:rsidRDefault="002519DD" w:rsidP="002519DD">
            <w:pPr>
              <w:spacing w:after="0"/>
              <w:ind w:firstLineChars="100" w:firstLine="180"/>
              <w:jc w:val="left"/>
              <w:rPr>
                <w:rFonts w:eastAsia="Times New Roman" w:cs="Times New Roman"/>
                <w:sz w:val="18"/>
                <w:szCs w:val="18"/>
              </w:rPr>
            </w:pPr>
            <w:r w:rsidRPr="006C5310">
              <w:rPr>
                <w:rFonts w:eastAsia="Times New Roman" w:cs="Times New Roman"/>
                <w:sz w:val="18"/>
                <w:szCs w:val="18"/>
              </w:rPr>
              <w:t>Valsts parāda apkalpošanas izdevumi</w:t>
            </w:r>
          </w:p>
        </w:tc>
        <w:tc>
          <w:tcPr>
            <w:tcW w:w="850" w:type="dxa"/>
            <w:tcBorders>
              <w:top w:val="nil"/>
              <w:left w:val="nil"/>
              <w:bottom w:val="single" w:sz="4" w:space="0" w:color="auto"/>
              <w:right w:val="single" w:sz="4" w:space="0" w:color="auto"/>
            </w:tcBorders>
            <w:shd w:val="clear" w:color="auto" w:fill="auto"/>
            <w:noWrap/>
            <w:vAlign w:val="bottom"/>
            <w:hideMark/>
          </w:tcPr>
          <w:p w14:paraId="3595FE3E" w14:textId="32F7F6E2"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165,</w:t>
            </w:r>
            <w:r w:rsidR="002519DD" w:rsidRPr="006C5310">
              <w:rPr>
                <w:rFonts w:eastAsia="Times New Roman" w:cs="Times New Roman"/>
                <w:sz w:val="18"/>
                <w:szCs w:val="18"/>
              </w:rPr>
              <w:t>9</w:t>
            </w:r>
          </w:p>
        </w:tc>
        <w:tc>
          <w:tcPr>
            <w:tcW w:w="852" w:type="dxa"/>
            <w:tcBorders>
              <w:top w:val="nil"/>
              <w:left w:val="nil"/>
              <w:bottom w:val="single" w:sz="4" w:space="0" w:color="auto"/>
              <w:right w:val="single" w:sz="4" w:space="0" w:color="auto"/>
            </w:tcBorders>
            <w:shd w:val="clear" w:color="auto" w:fill="auto"/>
            <w:noWrap/>
            <w:vAlign w:val="bottom"/>
            <w:hideMark/>
          </w:tcPr>
          <w:p w14:paraId="564770E1" w14:textId="2E157A5D"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203,</w:t>
            </w:r>
            <w:r w:rsidR="002519DD" w:rsidRPr="006C5310">
              <w:rPr>
                <w:rFonts w:eastAsia="Times New Roman" w:cs="Times New Roman"/>
                <w:sz w:val="18"/>
                <w:szCs w:val="18"/>
              </w:rPr>
              <w:t>3</w:t>
            </w:r>
          </w:p>
        </w:tc>
        <w:tc>
          <w:tcPr>
            <w:tcW w:w="843" w:type="dxa"/>
            <w:tcBorders>
              <w:top w:val="nil"/>
              <w:left w:val="nil"/>
              <w:bottom w:val="single" w:sz="4" w:space="0" w:color="auto"/>
              <w:right w:val="single" w:sz="4" w:space="0" w:color="auto"/>
            </w:tcBorders>
            <w:shd w:val="clear" w:color="auto" w:fill="auto"/>
            <w:noWrap/>
            <w:vAlign w:val="bottom"/>
            <w:hideMark/>
          </w:tcPr>
          <w:p w14:paraId="0DC25836" w14:textId="7E68F38E"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204,</w:t>
            </w:r>
            <w:r w:rsidR="002519DD" w:rsidRPr="006C5310">
              <w:rPr>
                <w:rFonts w:eastAsia="Times New Roman" w:cs="Times New Roman"/>
                <w:sz w:val="18"/>
                <w:szCs w:val="18"/>
              </w:rPr>
              <w:t>6</w:t>
            </w:r>
          </w:p>
        </w:tc>
      </w:tr>
      <w:tr w:rsidR="002519DD" w:rsidRPr="006C5310" w14:paraId="018760E6"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7641390E"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17=13+14</w:t>
            </w:r>
          </w:p>
        </w:tc>
        <w:tc>
          <w:tcPr>
            <w:tcW w:w="5292" w:type="dxa"/>
            <w:tcBorders>
              <w:top w:val="nil"/>
              <w:left w:val="single" w:sz="4" w:space="0" w:color="auto"/>
              <w:bottom w:val="single" w:sz="4" w:space="0" w:color="auto"/>
              <w:right w:val="single" w:sz="4" w:space="0" w:color="auto"/>
            </w:tcBorders>
            <w:shd w:val="clear" w:color="000000" w:fill="DCE6F1"/>
            <w:noWrap/>
            <w:vAlign w:val="bottom"/>
            <w:hideMark/>
          </w:tcPr>
          <w:p w14:paraId="3F36C0CD" w14:textId="21AE4333" w:rsidR="002519DD" w:rsidRPr="006C5310" w:rsidRDefault="002519DD" w:rsidP="002519DD">
            <w:pPr>
              <w:spacing w:after="0"/>
              <w:ind w:firstLine="0"/>
              <w:jc w:val="left"/>
              <w:rPr>
                <w:rFonts w:eastAsia="Times New Roman" w:cs="Times New Roman"/>
                <w:color w:val="000000"/>
                <w:sz w:val="18"/>
                <w:szCs w:val="18"/>
              </w:rPr>
            </w:pPr>
            <w:r w:rsidRPr="006C5310">
              <w:rPr>
                <w:rFonts w:eastAsia="Times New Roman" w:cs="Times New Roman"/>
                <w:color w:val="000000"/>
                <w:sz w:val="18"/>
                <w:szCs w:val="18"/>
              </w:rPr>
              <w:t xml:space="preserve">Valsts budžeta izdevumi, milj. </w:t>
            </w:r>
            <w:r w:rsidRPr="006C5310">
              <w:rPr>
                <w:rFonts w:eastAsia="Times New Roman" w:cs="Times New Roman"/>
                <w:i/>
                <w:iCs/>
                <w:color w:val="000000"/>
                <w:sz w:val="18"/>
                <w:szCs w:val="18"/>
              </w:rPr>
              <w:t>euro</w:t>
            </w:r>
            <w:r w:rsidR="005774F8">
              <w:rPr>
                <w:rFonts w:eastAsia="Times New Roman" w:cs="Times New Roman"/>
                <w:color w:val="000000"/>
                <w:sz w:val="18"/>
                <w:szCs w:val="18"/>
              </w:rPr>
              <w:t xml:space="preserve">  - lejup vērstā metode</w:t>
            </w:r>
          </w:p>
        </w:tc>
        <w:tc>
          <w:tcPr>
            <w:tcW w:w="850" w:type="dxa"/>
            <w:tcBorders>
              <w:top w:val="nil"/>
              <w:left w:val="nil"/>
              <w:bottom w:val="single" w:sz="4" w:space="0" w:color="auto"/>
              <w:right w:val="single" w:sz="4" w:space="0" w:color="auto"/>
            </w:tcBorders>
            <w:shd w:val="clear" w:color="000000" w:fill="DCE6F1"/>
            <w:noWrap/>
            <w:vAlign w:val="bottom"/>
            <w:hideMark/>
          </w:tcPr>
          <w:p w14:paraId="328F55E9" w14:textId="0421F450"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12440,</w:t>
            </w:r>
            <w:r w:rsidR="002519DD" w:rsidRPr="006C5310">
              <w:rPr>
                <w:rFonts w:eastAsia="Times New Roman" w:cs="Times New Roman"/>
                <w:sz w:val="18"/>
                <w:szCs w:val="18"/>
              </w:rPr>
              <w:t>4</w:t>
            </w:r>
          </w:p>
        </w:tc>
        <w:tc>
          <w:tcPr>
            <w:tcW w:w="852" w:type="dxa"/>
            <w:tcBorders>
              <w:top w:val="nil"/>
              <w:left w:val="nil"/>
              <w:bottom w:val="single" w:sz="4" w:space="0" w:color="auto"/>
              <w:right w:val="single" w:sz="4" w:space="0" w:color="auto"/>
            </w:tcBorders>
            <w:shd w:val="clear" w:color="000000" w:fill="DCE6F1"/>
            <w:noWrap/>
            <w:vAlign w:val="bottom"/>
            <w:hideMark/>
          </w:tcPr>
          <w:p w14:paraId="3FDF9287" w14:textId="0EE45C9A"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12113,</w:t>
            </w:r>
            <w:r w:rsidR="002519DD" w:rsidRPr="006C5310">
              <w:rPr>
                <w:rFonts w:eastAsia="Times New Roman" w:cs="Times New Roman"/>
                <w:sz w:val="18"/>
                <w:szCs w:val="18"/>
              </w:rPr>
              <w:t>0</w:t>
            </w:r>
          </w:p>
        </w:tc>
        <w:tc>
          <w:tcPr>
            <w:tcW w:w="843" w:type="dxa"/>
            <w:tcBorders>
              <w:top w:val="nil"/>
              <w:left w:val="nil"/>
              <w:bottom w:val="single" w:sz="4" w:space="0" w:color="auto"/>
              <w:right w:val="single" w:sz="4" w:space="0" w:color="auto"/>
            </w:tcBorders>
            <w:shd w:val="clear" w:color="000000" w:fill="DCE6F1"/>
            <w:noWrap/>
            <w:vAlign w:val="bottom"/>
            <w:hideMark/>
          </w:tcPr>
          <w:p w14:paraId="7F05186F" w14:textId="5A0E1920"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12351,</w:t>
            </w:r>
            <w:r w:rsidR="002519DD" w:rsidRPr="006C5310">
              <w:rPr>
                <w:rFonts w:eastAsia="Times New Roman" w:cs="Times New Roman"/>
                <w:sz w:val="18"/>
                <w:szCs w:val="18"/>
              </w:rPr>
              <w:t>3</w:t>
            </w:r>
          </w:p>
        </w:tc>
      </w:tr>
      <w:tr w:rsidR="002519DD" w:rsidRPr="006C5310" w14:paraId="3E3B4B95" w14:textId="77777777" w:rsidTr="00B83E2A">
        <w:trPr>
          <w:trHeight w:val="323"/>
          <w:jc w:val="center"/>
        </w:trPr>
        <w:tc>
          <w:tcPr>
            <w:tcW w:w="1229" w:type="dxa"/>
            <w:tcBorders>
              <w:top w:val="nil"/>
              <w:left w:val="nil"/>
              <w:bottom w:val="nil"/>
              <w:right w:val="nil"/>
            </w:tcBorders>
            <w:shd w:val="clear" w:color="auto" w:fill="auto"/>
            <w:noWrap/>
            <w:vAlign w:val="center"/>
            <w:hideMark/>
          </w:tcPr>
          <w:p w14:paraId="419D13B9"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18</w:t>
            </w:r>
          </w:p>
        </w:tc>
        <w:tc>
          <w:tcPr>
            <w:tcW w:w="5292" w:type="dxa"/>
            <w:tcBorders>
              <w:top w:val="nil"/>
              <w:left w:val="single" w:sz="4" w:space="0" w:color="auto"/>
              <w:bottom w:val="single" w:sz="4" w:space="0" w:color="auto"/>
              <w:right w:val="single" w:sz="4" w:space="0" w:color="auto"/>
            </w:tcBorders>
            <w:shd w:val="clear" w:color="000000" w:fill="DCE6F1"/>
            <w:noWrap/>
            <w:vAlign w:val="bottom"/>
            <w:hideMark/>
          </w:tcPr>
          <w:p w14:paraId="420A7494" w14:textId="4773AC81" w:rsidR="002519DD" w:rsidRPr="006C5310" w:rsidRDefault="002519DD" w:rsidP="002519DD">
            <w:pPr>
              <w:spacing w:after="0"/>
              <w:ind w:firstLine="0"/>
              <w:jc w:val="left"/>
              <w:rPr>
                <w:rFonts w:eastAsia="Times New Roman" w:cs="Times New Roman"/>
                <w:color w:val="000000"/>
                <w:sz w:val="18"/>
                <w:szCs w:val="18"/>
              </w:rPr>
            </w:pPr>
            <w:r w:rsidRPr="006C5310">
              <w:rPr>
                <w:rFonts w:eastAsia="Times New Roman" w:cs="Times New Roman"/>
                <w:color w:val="000000"/>
                <w:sz w:val="18"/>
                <w:szCs w:val="18"/>
              </w:rPr>
              <w:t xml:space="preserve">Valsts budžeta izdevumi, milj. </w:t>
            </w:r>
            <w:r w:rsidRPr="006C5310">
              <w:rPr>
                <w:rFonts w:eastAsia="Times New Roman" w:cs="Times New Roman"/>
                <w:i/>
                <w:iCs/>
                <w:color w:val="000000"/>
                <w:sz w:val="18"/>
                <w:szCs w:val="18"/>
              </w:rPr>
              <w:t>euro</w:t>
            </w:r>
            <w:r w:rsidRPr="006C5310">
              <w:rPr>
                <w:rFonts w:eastAsia="Times New Roman" w:cs="Times New Roman"/>
                <w:color w:val="000000"/>
                <w:sz w:val="18"/>
                <w:szCs w:val="18"/>
              </w:rPr>
              <w:t xml:space="preserve"> - </w:t>
            </w:r>
            <w:r w:rsidR="005774F8">
              <w:rPr>
                <w:rFonts w:eastAsia="Times New Roman" w:cs="Times New Roman"/>
                <w:color w:val="000000"/>
                <w:sz w:val="18"/>
                <w:szCs w:val="18"/>
              </w:rPr>
              <w:t>augšup vērstā metode</w:t>
            </w:r>
          </w:p>
        </w:tc>
        <w:tc>
          <w:tcPr>
            <w:tcW w:w="850" w:type="dxa"/>
            <w:tcBorders>
              <w:top w:val="nil"/>
              <w:left w:val="nil"/>
              <w:bottom w:val="single" w:sz="4" w:space="0" w:color="auto"/>
              <w:right w:val="single" w:sz="4" w:space="0" w:color="auto"/>
            </w:tcBorders>
            <w:shd w:val="clear" w:color="000000" w:fill="DCE6F1"/>
            <w:noWrap/>
            <w:vAlign w:val="bottom"/>
            <w:hideMark/>
          </w:tcPr>
          <w:p w14:paraId="262724F0" w14:textId="778E0C68"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12406,</w:t>
            </w:r>
            <w:r w:rsidR="002519DD" w:rsidRPr="006C5310">
              <w:rPr>
                <w:rFonts w:eastAsia="Times New Roman" w:cs="Times New Roman"/>
                <w:sz w:val="18"/>
                <w:szCs w:val="18"/>
              </w:rPr>
              <w:t>3</w:t>
            </w:r>
          </w:p>
        </w:tc>
        <w:tc>
          <w:tcPr>
            <w:tcW w:w="852" w:type="dxa"/>
            <w:tcBorders>
              <w:top w:val="nil"/>
              <w:left w:val="nil"/>
              <w:bottom w:val="single" w:sz="4" w:space="0" w:color="auto"/>
              <w:right w:val="single" w:sz="4" w:space="0" w:color="auto"/>
            </w:tcBorders>
            <w:shd w:val="clear" w:color="000000" w:fill="DCE6F1"/>
            <w:noWrap/>
            <w:vAlign w:val="bottom"/>
            <w:hideMark/>
          </w:tcPr>
          <w:p w14:paraId="46C0D67E" w14:textId="0F2A215D"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12076,</w:t>
            </w:r>
            <w:r w:rsidR="002519DD" w:rsidRPr="006C5310">
              <w:rPr>
                <w:rFonts w:eastAsia="Times New Roman" w:cs="Times New Roman"/>
                <w:sz w:val="18"/>
                <w:szCs w:val="18"/>
              </w:rPr>
              <w:t>9</w:t>
            </w:r>
          </w:p>
        </w:tc>
        <w:tc>
          <w:tcPr>
            <w:tcW w:w="843" w:type="dxa"/>
            <w:tcBorders>
              <w:top w:val="nil"/>
              <w:left w:val="nil"/>
              <w:bottom w:val="single" w:sz="4" w:space="0" w:color="auto"/>
              <w:right w:val="single" w:sz="4" w:space="0" w:color="auto"/>
            </w:tcBorders>
            <w:shd w:val="clear" w:color="000000" w:fill="DCE6F1"/>
            <w:noWrap/>
            <w:vAlign w:val="bottom"/>
            <w:hideMark/>
          </w:tcPr>
          <w:p w14:paraId="6EF1684D" w14:textId="7916DF43" w:rsidR="002519DD" w:rsidRPr="006C5310" w:rsidRDefault="006C5310" w:rsidP="002519DD">
            <w:pPr>
              <w:spacing w:after="0"/>
              <w:ind w:firstLine="0"/>
              <w:jc w:val="right"/>
              <w:rPr>
                <w:rFonts w:eastAsia="Times New Roman" w:cs="Times New Roman"/>
                <w:sz w:val="18"/>
                <w:szCs w:val="18"/>
              </w:rPr>
            </w:pPr>
            <w:r>
              <w:rPr>
                <w:rFonts w:eastAsia="Times New Roman" w:cs="Times New Roman"/>
                <w:sz w:val="18"/>
                <w:szCs w:val="18"/>
              </w:rPr>
              <w:t>12313,</w:t>
            </w:r>
            <w:r w:rsidR="002519DD" w:rsidRPr="006C5310">
              <w:rPr>
                <w:rFonts w:eastAsia="Times New Roman" w:cs="Times New Roman"/>
                <w:sz w:val="18"/>
                <w:szCs w:val="18"/>
              </w:rPr>
              <w:t>2</w:t>
            </w:r>
          </w:p>
        </w:tc>
      </w:tr>
      <w:tr w:rsidR="002519DD" w:rsidRPr="006C5310" w14:paraId="7907D3F3"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03CF657B"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19=17-18</w:t>
            </w:r>
          </w:p>
        </w:tc>
        <w:tc>
          <w:tcPr>
            <w:tcW w:w="5292" w:type="dxa"/>
            <w:tcBorders>
              <w:top w:val="nil"/>
              <w:left w:val="single" w:sz="4" w:space="0" w:color="auto"/>
              <w:bottom w:val="single" w:sz="4" w:space="0" w:color="auto"/>
              <w:right w:val="single" w:sz="4" w:space="0" w:color="auto"/>
            </w:tcBorders>
            <w:shd w:val="clear" w:color="auto" w:fill="auto"/>
            <w:noWrap/>
            <w:vAlign w:val="bottom"/>
            <w:hideMark/>
          </w:tcPr>
          <w:p w14:paraId="4674C4B3" w14:textId="77777777" w:rsidR="002519DD" w:rsidRPr="006C5310" w:rsidRDefault="002519DD" w:rsidP="002519DD">
            <w:pPr>
              <w:spacing w:after="0"/>
              <w:ind w:firstLine="0"/>
              <w:jc w:val="left"/>
              <w:rPr>
                <w:rFonts w:eastAsia="Times New Roman" w:cs="Times New Roman"/>
                <w:b/>
                <w:bCs/>
                <w:i/>
                <w:iCs/>
                <w:color w:val="000000"/>
                <w:sz w:val="18"/>
                <w:szCs w:val="18"/>
              </w:rPr>
            </w:pPr>
            <w:r w:rsidRPr="006C5310">
              <w:rPr>
                <w:rFonts w:eastAsia="Times New Roman" w:cs="Times New Roman"/>
                <w:b/>
                <w:bCs/>
                <w:i/>
                <w:iCs/>
                <w:color w:val="000000"/>
                <w:sz w:val="18"/>
                <w:szCs w:val="18"/>
              </w:rPr>
              <w:t>Starpība</w:t>
            </w:r>
          </w:p>
        </w:tc>
        <w:tc>
          <w:tcPr>
            <w:tcW w:w="850" w:type="dxa"/>
            <w:tcBorders>
              <w:top w:val="nil"/>
              <w:left w:val="nil"/>
              <w:bottom w:val="single" w:sz="4" w:space="0" w:color="auto"/>
              <w:right w:val="single" w:sz="4" w:space="0" w:color="auto"/>
            </w:tcBorders>
            <w:shd w:val="clear" w:color="auto" w:fill="auto"/>
            <w:noWrap/>
            <w:vAlign w:val="bottom"/>
            <w:hideMark/>
          </w:tcPr>
          <w:p w14:paraId="08AAD688" w14:textId="190A5D50" w:rsidR="002519DD" w:rsidRPr="006C5310" w:rsidRDefault="006C5310" w:rsidP="002519DD">
            <w:pPr>
              <w:spacing w:after="0"/>
              <w:ind w:firstLine="0"/>
              <w:jc w:val="right"/>
              <w:rPr>
                <w:rFonts w:eastAsia="Times New Roman" w:cs="Times New Roman"/>
                <w:b/>
                <w:bCs/>
                <w:i/>
                <w:iCs/>
                <w:color w:val="000000"/>
                <w:sz w:val="18"/>
                <w:szCs w:val="18"/>
              </w:rPr>
            </w:pPr>
            <w:r>
              <w:rPr>
                <w:rFonts w:eastAsia="Times New Roman" w:cs="Times New Roman"/>
                <w:b/>
                <w:bCs/>
                <w:i/>
                <w:iCs/>
                <w:color w:val="000000"/>
                <w:sz w:val="18"/>
                <w:szCs w:val="18"/>
              </w:rPr>
              <w:t>34,</w:t>
            </w:r>
            <w:r w:rsidR="002519DD" w:rsidRPr="006C5310">
              <w:rPr>
                <w:rFonts w:eastAsia="Times New Roman" w:cs="Times New Roman"/>
                <w:b/>
                <w:bCs/>
                <w:i/>
                <w:iCs/>
                <w:color w:val="000000"/>
                <w:sz w:val="18"/>
                <w:szCs w:val="18"/>
              </w:rPr>
              <w:t>0</w:t>
            </w:r>
          </w:p>
        </w:tc>
        <w:tc>
          <w:tcPr>
            <w:tcW w:w="852" w:type="dxa"/>
            <w:tcBorders>
              <w:top w:val="nil"/>
              <w:left w:val="nil"/>
              <w:bottom w:val="single" w:sz="4" w:space="0" w:color="auto"/>
              <w:right w:val="single" w:sz="4" w:space="0" w:color="auto"/>
            </w:tcBorders>
            <w:shd w:val="clear" w:color="auto" w:fill="auto"/>
            <w:noWrap/>
            <w:vAlign w:val="bottom"/>
            <w:hideMark/>
          </w:tcPr>
          <w:p w14:paraId="1CF4C82B" w14:textId="1BF9A89B" w:rsidR="002519DD" w:rsidRPr="006C5310" w:rsidRDefault="006C5310" w:rsidP="002519DD">
            <w:pPr>
              <w:spacing w:after="0"/>
              <w:ind w:firstLine="0"/>
              <w:jc w:val="right"/>
              <w:rPr>
                <w:rFonts w:eastAsia="Times New Roman" w:cs="Times New Roman"/>
                <w:b/>
                <w:bCs/>
                <w:i/>
                <w:iCs/>
                <w:color w:val="000000"/>
                <w:sz w:val="18"/>
                <w:szCs w:val="18"/>
              </w:rPr>
            </w:pPr>
            <w:r>
              <w:rPr>
                <w:rFonts w:eastAsia="Times New Roman" w:cs="Times New Roman"/>
                <w:b/>
                <w:bCs/>
                <w:i/>
                <w:iCs/>
                <w:color w:val="000000"/>
                <w:sz w:val="18"/>
                <w:szCs w:val="18"/>
              </w:rPr>
              <w:t>36,</w:t>
            </w:r>
            <w:r w:rsidR="002519DD" w:rsidRPr="006C5310">
              <w:rPr>
                <w:rFonts w:eastAsia="Times New Roman" w:cs="Times New Roman"/>
                <w:b/>
                <w:bCs/>
                <w:i/>
                <w:iCs/>
                <w:color w:val="000000"/>
                <w:sz w:val="18"/>
                <w:szCs w:val="18"/>
              </w:rPr>
              <w:t>1</w:t>
            </w:r>
          </w:p>
        </w:tc>
        <w:tc>
          <w:tcPr>
            <w:tcW w:w="843" w:type="dxa"/>
            <w:tcBorders>
              <w:top w:val="nil"/>
              <w:left w:val="nil"/>
              <w:bottom w:val="single" w:sz="4" w:space="0" w:color="auto"/>
              <w:right w:val="single" w:sz="4" w:space="0" w:color="auto"/>
            </w:tcBorders>
            <w:shd w:val="clear" w:color="auto" w:fill="auto"/>
            <w:noWrap/>
            <w:vAlign w:val="bottom"/>
            <w:hideMark/>
          </w:tcPr>
          <w:p w14:paraId="75AFEC44" w14:textId="23B2964F" w:rsidR="002519DD" w:rsidRPr="006C5310" w:rsidRDefault="006C5310" w:rsidP="002519DD">
            <w:pPr>
              <w:spacing w:after="0"/>
              <w:ind w:firstLine="0"/>
              <w:jc w:val="right"/>
              <w:rPr>
                <w:rFonts w:eastAsia="Times New Roman" w:cs="Times New Roman"/>
                <w:b/>
                <w:bCs/>
                <w:i/>
                <w:iCs/>
                <w:color w:val="000000"/>
                <w:sz w:val="18"/>
                <w:szCs w:val="18"/>
              </w:rPr>
            </w:pPr>
            <w:r>
              <w:rPr>
                <w:rFonts w:eastAsia="Times New Roman" w:cs="Times New Roman"/>
                <w:b/>
                <w:bCs/>
                <w:i/>
                <w:iCs/>
                <w:color w:val="000000"/>
                <w:sz w:val="18"/>
                <w:szCs w:val="18"/>
              </w:rPr>
              <w:t>38,</w:t>
            </w:r>
            <w:r w:rsidR="002519DD" w:rsidRPr="006C5310">
              <w:rPr>
                <w:rFonts w:eastAsia="Times New Roman" w:cs="Times New Roman"/>
                <w:b/>
                <w:bCs/>
                <w:i/>
                <w:iCs/>
                <w:color w:val="000000"/>
                <w:sz w:val="18"/>
                <w:szCs w:val="18"/>
              </w:rPr>
              <w:t>0</w:t>
            </w:r>
          </w:p>
        </w:tc>
      </w:tr>
      <w:tr w:rsidR="002519DD" w:rsidRPr="006C5310" w14:paraId="600D14A6"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3C5B1D2B"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20</w:t>
            </w:r>
          </w:p>
        </w:tc>
        <w:tc>
          <w:tcPr>
            <w:tcW w:w="5292" w:type="dxa"/>
            <w:tcBorders>
              <w:top w:val="nil"/>
              <w:left w:val="single" w:sz="4" w:space="0" w:color="auto"/>
              <w:bottom w:val="single" w:sz="4" w:space="0" w:color="auto"/>
              <w:right w:val="single" w:sz="4" w:space="0" w:color="auto"/>
            </w:tcBorders>
            <w:shd w:val="clear" w:color="auto" w:fill="auto"/>
            <w:noWrap/>
            <w:vAlign w:val="bottom"/>
            <w:hideMark/>
          </w:tcPr>
          <w:p w14:paraId="0E7AD942" w14:textId="2A790552" w:rsidR="002519DD" w:rsidRPr="006C5310" w:rsidRDefault="002519DD" w:rsidP="002519DD">
            <w:pPr>
              <w:spacing w:after="0"/>
              <w:ind w:firstLineChars="100" w:firstLine="180"/>
              <w:jc w:val="left"/>
              <w:rPr>
                <w:rFonts w:eastAsia="Times New Roman" w:cs="Times New Roman"/>
                <w:i/>
                <w:iCs/>
                <w:color w:val="000000"/>
                <w:sz w:val="18"/>
                <w:szCs w:val="18"/>
              </w:rPr>
            </w:pPr>
            <w:r w:rsidRPr="006C5310">
              <w:rPr>
                <w:rFonts w:eastAsia="Times New Roman" w:cs="Times New Roman"/>
                <w:i/>
                <w:iCs/>
                <w:color w:val="000000"/>
                <w:sz w:val="18"/>
                <w:szCs w:val="18"/>
              </w:rPr>
              <w:t>Fiskālā nodr</w:t>
            </w:r>
            <w:r w:rsidR="006C5310">
              <w:rPr>
                <w:rFonts w:eastAsia="Times New Roman" w:cs="Times New Roman"/>
                <w:i/>
                <w:iCs/>
                <w:color w:val="000000"/>
                <w:sz w:val="18"/>
                <w:szCs w:val="18"/>
              </w:rPr>
              <w:t>ošinājuma rezerve atbilstoši likumam “Fiskālās disciplīnas likums”</w:t>
            </w:r>
          </w:p>
        </w:tc>
        <w:tc>
          <w:tcPr>
            <w:tcW w:w="850" w:type="dxa"/>
            <w:tcBorders>
              <w:top w:val="nil"/>
              <w:left w:val="nil"/>
              <w:bottom w:val="single" w:sz="4" w:space="0" w:color="auto"/>
              <w:right w:val="single" w:sz="4" w:space="0" w:color="auto"/>
            </w:tcBorders>
            <w:shd w:val="clear" w:color="auto" w:fill="auto"/>
            <w:noWrap/>
            <w:vAlign w:val="bottom"/>
            <w:hideMark/>
          </w:tcPr>
          <w:p w14:paraId="19ED7C44" w14:textId="027B3DB5" w:rsidR="002519DD" w:rsidRPr="006C5310" w:rsidRDefault="006C5310" w:rsidP="002519DD">
            <w:pPr>
              <w:spacing w:after="0"/>
              <w:ind w:firstLine="0"/>
              <w:jc w:val="right"/>
              <w:rPr>
                <w:rFonts w:eastAsia="Times New Roman" w:cs="Times New Roman"/>
                <w:i/>
                <w:iCs/>
                <w:sz w:val="18"/>
                <w:szCs w:val="18"/>
              </w:rPr>
            </w:pPr>
            <w:r>
              <w:rPr>
                <w:rFonts w:eastAsia="Times New Roman" w:cs="Times New Roman"/>
                <w:i/>
                <w:iCs/>
                <w:sz w:val="18"/>
                <w:szCs w:val="18"/>
              </w:rPr>
              <w:t>34,</w:t>
            </w:r>
            <w:r w:rsidR="002519DD" w:rsidRPr="006C5310">
              <w:rPr>
                <w:rFonts w:eastAsia="Times New Roman" w:cs="Times New Roman"/>
                <w:i/>
                <w:iCs/>
                <w:sz w:val="18"/>
                <w:szCs w:val="18"/>
              </w:rPr>
              <w:t>0</w:t>
            </w:r>
          </w:p>
        </w:tc>
        <w:tc>
          <w:tcPr>
            <w:tcW w:w="852" w:type="dxa"/>
            <w:tcBorders>
              <w:top w:val="nil"/>
              <w:left w:val="nil"/>
              <w:bottom w:val="single" w:sz="4" w:space="0" w:color="auto"/>
              <w:right w:val="single" w:sz="4" w:space="0" w:color="auto"/>
            </w:tcBorders>
            <w:shd w:val="clear" w:color="auto" w:fill="auto"/>
            <w:noWrap/>
            <w:vAlign w:val="bottom"/>
            <w:hideMark/>
          </w:tcPr>
          <w:p w14:paraId="46C4F486" w14:textId="3D3E0D1F" w:rsidR="002519DD" w:rsidRPr="006C5310" w:rsidRDefault="006C5310" w:rsidP="002519DD">
            <w:pPr>
              <w:spacing w:after="0"/>
              <w:ind w:firstLine="0"/>
              <w:jc w:val="right"/>
              <w:rPr>
                <w:rFonts w:eastAsia="Times New Roman" w:cs="Times New Roman"/>
                <w:i/>
                <w:iCs/>
                <w:sz w:val="18"/>
                <w:szCs w:val="18"/>
              </w:rPr>
            </w:pPr>
            <w:r>
              <w:rPr>
                <w:rFonts w:eastAsia="Times New Roman" w:cs="Times New Roman"/>
                <w:i/>
                <w:iCs/>
                <w:sz w:val="18"/>
                <w:szCs w:val="18"/>
              </w:rPr>
              <w:t>36,</w:t>
            </w:r>
            <w:r w:rsidR="002519DD" w:rsidRPr="006C5310">
              <w:rPr>
                <w:rFonts w:eastAsia="Times New Roman" w:cs="Times New Roman"/>
                <w:i/>
                <w:iCs/>
                <w:sz w:val="18"/>
                <w:szCs w:val="18"/>
              </w:rPr>
              <w:t>1</w:t>
            </w:r>
          </w:p>
        </w:tc>
        <w:tc>
          <w:tcPr>
            <w:tcW w:w="843" w:type="dxa"/>
            <w:tcBorders>
              <w:top w:val="nil"/>
              <w:left w:val="nil"/>
              <w:bottom w:val="single" w:sz="4" w:space="0" w:color="auto"/>
              <w:right w:val="single" w:sz="4" w:space="0" w:color="auto"/>
            </w:tcBorders>
            <w:shd w:val="clear" w:color="auto" w:fill="auto"/>
            <w:noWrap/>
            <w:vAlign w:val="bottom"/>
            <w:hideMark/>
          </w:tcPr>
          <w:p w14:paraId="0CE59EE3" w14:textId="035FB50B" w:rsidR="002519DD" w:rsidRPr="006C5310" w:rsidRDefault="006C5310" w:rsidP="002519DD">
            <w:pPr>
              <w:spacing w:after="0"/>
              <w:ind w:firstLine="0"/>
              <w:jc w:val="right"/>
              <w:rPr>
                <w:rFonts w:eastAsia="Times New Roman" w:cs="Times New Roman"/>
                <w:i/>
                <w:iCs/>
                <w:sz w:val="18"/>
                <w:szCs w:val="18"/>
              </w:rPr>
            </w:pPr>
            <w:r>
              <w:rPr>
                <w:rFonts w:eastAsia="Times New Roman" w:cs="Times New Roman"/>
                <w:i/>
                <w:iCs/>
                <w:sz w:val="18"/>
                <w:szCs w:val="18"/>
              </w:rPr>
              <w:t>38,</w:t>
            </w:r>
            <w:r w:rsidR="002519DD" w:rsidRPr="006C5310">
              <w:rPr>
                <w:rFonts w:eastAsia="Times New Roman" w:cs="Times New Roman"/>
                <w:i/>
                <w:iCs/>
                <w:sz w:val="18"/>
                <w:szCs w:val="18"/>
              </w:rPr>
              <w:t>0</w:t>
            </w:r>
          </w:p>
        </w:tc>
      </w:tr>
      <w:tr w:rsidR="002519DD" w:rsidRPr="006C5310" w14:paraId="34E301E8" w14:textId="77777777" w:rsidTr="006C5310">
        <w:trPr>
          <w:trHeight w:val="300"/>
          <w:jc w:val="center"/>
        </w:trPr>
        <w:tc>
          <w:tcPr>
            <w:tcW w:w="1229" w:type="dxa"/>
            <w:tcBorders>
              <w:top w:val="nil"/>
              <w:left w:val="nil"/>
              <w:bottom w:val="nil"/>
              <w:right w:val="nil"/>
            </w:tcBorders>
            <w:shd w:val="clear" w:color="auto" w:fill="auto"/>
            <w:noWrap/>
            <w:vAlign w:val="center"/>
            <w:hideMark/>
          </w:tcPr>
          <w:p w14:paraId="70DE0842" w14:textId="77777777" w:rsidR="002519DD" w:rsidRPr="006C5310" w:rsidRDefault="002519DD" w:rsidP="002519DD">
            <w:pPr>
              <w:spacing w:after="0"/>
              <w:ind w:firstLine="0"/>
              <w:jc w:val="right"/>
              <w:rPr>
                <w:rFonts w:eastAsia="Times New Roman" w:cs="Times New Roman"/>
                <w:color w:val="000000"/>
                <w:sz w:val="18"/>
                <w:szCs w:val="18"/>
              </w:rPr>
            </w:pPr>
            <w:r w:rsidRPr="006C5310">
              <w:rPr>
                <w:rFonts w:eastAsia="Times New Roman" w:cs="Times New Roman"/>
                <w:color w:val="000000"/>
                <w:sz w:val="18"/>
                <w:szCs w:val="18"/>
              </w:rPr>
              <w:t>21</w:t>
            </w:r>
          </w:p>
        </w:tc>
        <w:tc>
          <w:tcPr>
            <w:tcW w:w="5292" w:type="dxa"/>
            <w:tcBorders>
              <w:top w:val="nil"/>
              <w:left w:val="single" w:sz="4" w:space="0" w:color="auto"/>
              <w:bottom w:val="single" w:sz="4" w:space="0" w:color="auto"/>
              <w:right w:val="single" w:sz="4" w:space="0" w:color="auto"/>
            </w:tcBorders>
            <w:shd w:val="clear" w:color="auto" w:fill="auto"/>
            <w:noWrap/>
            <w:vAlign w:val="bottom"/>
            <w:hideMark/>
          </w:tcPr>
          <w:p w14:paraId="10EFB1A8" w14:textId="77777777" w:rsidR="002519DD" w:rsidRPr="006C5310" w:rsidRDefault="002519DD" w:rsidP="002519DD">
            <w:pPr>
              <w:spacing w:after="0"/>
              <w:ind w:firstLineChars="100" w:firstLine="180"/>
              <w:jc w:val="left"/>
              <w:rPr>
                <w:rFonts w:eastAsia="Times New Roman" w:cs="Times New Roman"/>
                <w:i/>
                <w:iCs/>
                <w:color w:val="000000"/>
                <w:sz w:val="18"/>
                <w:szCs w:val="18"/>
              </w:rPr>
            </w:pPr>
            <w:r w:rsidRPr="006C5310">
              <w:rPr>
                <w:rFonts w:eastAsia="Times New Roman" w:cs="Times New Roman"/>
                <w:i/>
                <w:iCs/>
                <w:color w:val="000000"/>
                <w:sz w:val="18"/>
                <w:szCs w:val="18"/>
              </w:rPr>
              <w:t>Fiskālā telpa</w:t>
            </w:r>
          </w:p>
        </w:tc>
        <w:tc>
          <w:tcPr>
            <w:tcW w:w="850" w:type="dxa"/>
            <w:tcBorders>
              <w:top w:val="nil"/>
              <w:left w:val="nil"/>
              <w:bottom w:val="single" w:sz="4" w:space="0" w:color="auto"/>
              <w:right w:val="single" w:sz="4" w:space="0" w:color="auto"/>
            </w:tcBorders>
            <w:shd w:val="clear" w:color="auto" w:fill="auto"/>
            <w:noWrap/>
            <w:vAlign w:val="bottom"/>
            <w:hideMark/>
          </w:tcPr>
          <w:p w14:paraId="567F403D" w14:textId="5BB8ADE9" w:rsidR="002519DD" w:rsidRPr="006C5310" w:rsidRDefault="006C5310" w:rsidP="002519DD">
            <w:pPr>
              <w:spacing w:after="0"/>
              <w:ind w:firstLine="0"/>
              <w:jc w:val="right"/>
              <w:rPr>
                <w:rFonts w:eastAsia="Times New Roman" w:cs="Times New Roman"/>
                <w:i/>
                <w:iCs/>
                <w:sz w:val="18"/>
                <w:szCs w:val="18"/>
              </w:rPr>
            </w:pPr>
            <w:r>
              <w:rPr>
                <w:rFonts w:eastAsia="Times New Roman" w:cs="Times New Roman"/>
                <w:i/>
                <w:iCs/>
                <w:sz w:val="18"/>
                <w:szCs w:val="18"/>
              </w:rPr>
              <w:t>0,</w:t>
            </w:r>
            <w:r w:rsidR="002519DD" w:rsidRPr="006C5310">
              <w:rPr>
                <w:rFonts w:eastAsia="Times New Roman" w:cs="Times New Roman"/>
                <w:i/>
                <w:iCs/>
                <w:sz w:val="18"/>
                <w:szCs w:val="18"/>
              </w:rPr>
              <w:t>0</w:t>
            </w:r>
          </w:p>
        </w:tc>
        <w:tc>
          <w:tcPr>
            <w:tcW w:w="852" w:type="dxa"/>
            <w:tcBorders>
              <w:top w:val="nil"/>
              <w:left w:val="nil"/>
              <w:bottom w:val="single" w:sz="4" w:space="0" w:color="auto"/>
              <w:right w:val="single" w:sz="4" w:space="0" w:color="auto"/>
            </w:tcBorders>
            <w:shd w:val="clear" w:color="auto" w:fill="auto"/>
            <w:noWrap/>
            <w:vAlign w:val="bottom"/>
            <w:hideMark/>
          </w:tcPr>
          <w:p w14:paraId="6AD04591" w14:textId="71FAA99C" w:rsidR="002519DD" w:rsidRPr="006C5310" w:rsidRDefault="006C5310" w:rsidP="002519DD">
            <w:pPr>
              <w:spacing w:after="0"/>
              <w:ind w:firstLine="0"/>
              <w:jc w:val="right"/>
              <w:rPr>
                <w:rFonts w:eastAsia="Times New Roman" w:cs="Times New Roman"/>
                <w:i/>
                <w:iCs/>
                <w:sz w:val="18"/>
                <w:szCs w:val="18"/>
              </w:rPr>
            </w:pPr>
            <w:r>
              <w:rPr>
                <w:rFonts w:eastAsia="Times New Roman" w:cs="Times New Roman"/>
                <w:i/>
                <w:iCs/>
                <w:sz w:val="18"/>
                <w:szCs w:val="18"/>
              </w:rPr>
              <w:t>0,</w:t>
            </w:r>
            <w:r w:rsidR="002519DD" w:rsidRPr="006C5310">
              <w:rPr>
                <w:rFonts w:eastAsia="Times New Roman" w:cs="Times New Roman"/>
                <w:i/>
                <w:iCs/>
                <w:sz w:val="18"/>
                <w:szCs w:val="18"/>
              </w:rPr>
              <w:t>0</w:t>
            </w:r>
          </w:p>
        </w:tc>
        <w:tc>
          <w:tcPr>
            <w:tcW w:w="843" w:type="dxa"/>
            <w:tcBorders>
              <w:top w:val="nil"/>
              <w:left w:val="nil"/>
              <w:bottom w:val="single" w:sz="4" w:space="0" w:color="auto"/>
              <w:right w:val="single" w:sz="4" w:space="0" w:color="auto"/>
            </w:tcBorders>
            <w:shd w:val="clear" w:color="auto" w:fill="auto"/>
            <w:noWrap/>
            <w:vAlign w:val="bottom"/>
            <w:hideMark/>
          </w:tcPr>
          <w:p w14:paraId="5309AA9C" w14:textId="1B3E19C7" w:rsidR="002519DD" w:rsidRPr="006C5310" w:rsidRDefault="006C5310" w:rsidP="002519DD">
            <w:pPr>
              <w:spacing w:after="0"/>
              <w:ind w:firstLine="0"/>
              <w:jc w:val="right"/>
              <w:rPr>
                <w:rFonts w:eastAsia="Times New Roman" w:cs="Times New Roman"/>
                <w:i/>
                <w:iCs/>
                <w:sz w:val="18"/>
                <w:szCs w:val="18"/>
              </w:rPr>
            </w:pPr>
            <w:r>
              <w:rPr>
                <w:rFonts w:eastAsia="Times New Roman" w:cs="Times New Roman"/>
                <w:i/>
                <w:iCs/>
                <w:sz w:val="18"/>
                <w:szCs w:val="18"/>
              </w:rPr>
              <w:t>0,</w:t>
            </w:r>
            <w:r w:rsidR="002519DD" w:rsidRPr="006C5310">
              <w:rPr>
                <w:rFonts w:eastAsia="Times New Roman" w:cs="Times New Roman"/>
                <w:i/>
                <w:iCs/>
                <w:sz w:val="18"/>
                <w:szCs w:val="18"/>
              </w:rPr>
              <w:t>0</w:t>
            </w:r>
          </w:p>
        </w:tc>
      </w:tr>
    </w:tbl>
    <w:p w14:paraId="6DAFADB9" w14:textId="22E2814C" w:rsidR="00071293" w:rsidRPr="008817BD" w:rsidRDefault="00071293" w:rsidP="00071293">
      <w:pPr>
        <w:widowControl w:val="0"/>
        <w:ind w:firstLine="0"/>
        <w:rPr>
          <w:rFonts w:eastAsia="Times New Roman" w:cs="Times New Roman"/>
          <w:b/>
          <w:highlight w:val="yellow"/>
        </w:rPr>
      </w:pPr>
    </w:p>
    <w:p w14:paraId="682E0184" w14:textId="1E74557E" w:rsidR="00071293" w:rsidRPr="00071293" w:rsidRDefault="00071293" w:rsidP="00071293">
      <w:pPr>
        <w:widowControl w:val="0"/>
        <w:jc w:val="center"/>
        <w:rPr>
          <w:rFonts w:eastAsia="Times New Roman" w:cs="Times New Roman"/>
          <w:b/>
        </w:rPr>
      </w:pPr>
      <w:r w:rsidRPr="00071293">
        <w:rPr>
          <w:rFonts w:eastAsia="Times New Roman" w:cs="Times New Roman"/>
          <w:b/>
        </w:rPr>
        <w:t>Maksimāli pieļaujamo valsts budžeta izdevumu precizēšanai budžeta izpildes laikā</w:t>
      </w:r>
    </w:p>
    <w:p w14:paraId="5009A071" w14:textId="7BAA69F0" w:rsidR="00071293" w:rsidRPr="00071293" w:rsidRDefault="00112C33" w:rsidP="00071293">
      <w:pPr>
        <w:widowControl w:val="0"/>
        <w:ind w:firstLine="709"/>
        <w:rPr>
          <w:rFonts w:eastAsia="Times New Roman" w:cs="Times New Roman"/>
        </w:rPr>
      </w:pPr>
      <w:r>
        <w:rPr>
          <w:rFonts w:eastAsia="Times New Roman" w:cs="Times New Roman"/>
        </w:rPr>
        <w:t>Likuma “Fiskālās disciplīnas likums”</w:t>
      </w:r>
      <w:r w:rsidR="00071293" w:rsidRPr="00071293">
        <w:rPr>
          <w:rFonts w:eastAsia="Times New Roman" w:cs="Times New Roman"/>
        </w:rPr>
        <w:t xml:space="preserve"> 5.</w:t>
      </w:r>
      <w:r>
        <w:rPr>
          <w:rFonts w:eastAsia="Times New Roman" w:cs="Times New Roman"/>
        </w:rPr>
        <w:t xml:space="preserve"> </w:t>
      </w:r>
      <w:r w:rsidR="00071293" w:rsidRPr="00071293">
        <w:rPr>
          <w:rFonts w:eastAsia="Times New Roman" w:cs="Times New Roman"/>
        </w:rPr>
        <w:t>panta pirmās daļas 1.</w:t>
      </w:r>
      <w:r>
        <w:rPr>
          <w:rFonts w:eastAsia="Times New Roman" w:cs="Times New Roman"/>
        </w:rPr>
        <w:t xml:space="preserve"> </w:t>
      </w:r>
      <w:r w:rsidR="00071293" w:rsidRPr="00071293">
        <w:rPr>
          <w:rFonts w:eastAsia="Times New Roman" w:cs="Times New Roman"/>
        </w:rPr>
        <w:t xml:space="preserve">punkts nosaka, ka koriģētos maksimāli pieļaujamos valsts budžeta izdevumus precizē, ja rodas izmaiņas valsts pamatbudžeta izdevumos sakarā ar aktuālākām valsts sociālo pabalstu un pensiju saņēmēju kontingenta prognozēm. </w:t>
      </w:r>
    </w:p>
    <w:p w14:paraId="3659023B" w14:textId="2D51E435" w:rsidR="00071293" w:rsidRPr="00071293" w:rsidRDefault="00071293" w:rsidP="00071293">
      <w:pPr>
        <w:widowControl w:val="0"/>
        <w:ind w:firstLine="709"/>
        <w:rPr>
          <w:rFonts w:eastAsia="Times New Roman" w:cs="Times New Roman"/>
        </w:rPr>
      </w:pPr>
      <w:r w:rsidRPr="00071293">
        <w:rPr>
          <w:rFonts w:eastAsia="Times New Roman" w:cs="Times New Roman"/>
        </w:rPr>
        <w:t xml:space="preserve">Lai gan iepriekš definētā pieeja šī vidēja termiņa budžeta ietvara likumprojekta sagatavošanā neparedz </w:t>
      </w:r>
      <w:r w:rsidR="00973305">
        <w:rPr>
          <w:rFonts w:eastAsia="Times New Roman" w:cs="Times New Roman"/>
        </w:rPr>
        <w:t>likuma “Fiskālās disciplīnas likums”</w:t>
      </w:r>
      <w:r w:rsidRPr="00071293">
        <w:rPr>
          <w:rFonts w:eastAsia="Times New Roman" w:cs="Times New Roman"/>
        </w:rPr>
        <w:t xml:space="preserve"> standarta skaitlisko fiskālo nosacījumu piemērošanu t.sk. ir pieļaujams </w:t>
      </w:r>
      <w:r w:rsidR="00973305">
        <w:rPr>
          <w:rFonts w:eastAsia="Times New Roman" w:cs="Times New Roman"/>
        </w:rPr>
        <w:t>likumā “Fiskālās disciplīnas likums”</w:t>
      </w:r>
      <w:r w:rsidRPr="00071293">
        <w:rPr>
          <w:rFonts w:eastAsia="Times New Roman" w:cs="Times New Roman"/>
        </w:rPr>
        <w:t xml:space="preserve"> noteiktais vidēja termiņa budžeta ietvara likumā koriģēto maksimāli pieļaujamo valsts budžeta izdevumu griestu pārsniegums, </w:t>
      </w:r>
      <w:r w:rsidR="00973305">
        <w:rPr>
          <w:rFonts w:eastAsia="Times New Roman" w:cs="Times New Roman"/>
        </w:rPr>
        <w:t>likumā “</w:t>
      </w:r>
      <w:r w:rsidRPr="00071293">
        <w:rPr>
          <w:rFonts w:eastAsia="Times New Roman" w:cs="Times New Roman"/>
        </w:rPr>
        <w:t>Covid-19 infekcijas izplatības seku pārvarēšanas likuma 33</w:t>
      </w:r>
      <w:r w:rsidR="00973305">
        <w:rPr>
          <w:rFonts w:eastAsia="Times New Roman" w:cs="Times New Roman"/>
        </w:rPr>
        <w:t xml:space="preserve"> </w:t>
      </w:r>
      <w:r w:rsidRPr="00071293">
        <w:rPr>
          <w:rFonts w:eastAsia="Times New Roman" w:cs="Times New Roman"/>
        </w:rPr>
        <w:t>.</w:t>
      </w:r>
      <w:r w:rsidR="00973305">
        <w:rPr>
          <w:rFonts w:eastAsia="Times New Roman" w:cs="Times New Roman"/>
        </w:rPr>
        <w:t xml:space="preserve"> </w:t>
      </w:r>
      <w:r w:rsidRPr="00071293">
        <w:rPr>
          <w:rFonts w:eastAsia="Times New Roman" w:cs="Times New Roman"/>
        </w:rPr>
        <w:t xml:space="preserve">pantā noteiktās normas par </w:t>
      </w:r>
      <w:r w:rsidR="00973305">
        <w:rPr>
          <w:rFonts w:eastAsia="Times New Roman" w:cs="Times New Roman"/>
        </w:rPr>
        <w:t>likuma “Fiskālās disciplīnas likums”</w:t>
      </w:r>
      <w:r w:rsidRPr="00071293">
        <w:rPr>
          <w:rFonts w:eastAsia="Times New Roman" w:cs="Times New Roman"/>
        </w:rPr>
        <w:t xml:space="preserve"> piemērošanu neparedz, ka vidēja termiņa budžeta ietvara likumprojektā nebūtu jānosaka koriģētie maksimāli pieļaujamie valsts budžeta izdevumu griesti kā tādi. Tāpat šī informācija var tikt izmantota gadījumā, ja  nākamā gada vidēja termiņa budžeta ietvara likumprojekta izstrādē būs jāpiemēro standarta </w:t>
      </w:r>
      <w:r w:rsidR="00973305">
        <w:rPr>
          <w:rFonts w:eastAsia="Times New Roman" w:cs="Times New Roman"/>
        </w:rPr>
        <w:t>likuma “Fiskālās disciplīnas likums”</w:t>
      </w:r>
      <w:r w:rsidRPr="00071293">
        <w:rPr>
          <w:rFonts w:eastAsia="Times New Roman" w:cs="Times New Roman"/>
        </w:rPr>
        <w:t xml:space="preserve"> skaitliskie fiskālie nosacījumi. </w:t>
      </w:r>
    </w:p>
    <w:p w14:paraId="0FB758EB" w14:textId="77777777" w:rsidR="00071293" w:rsidRPr="00071293" w:rsidRDefault="00071293" w:rsidP="00071293">
      <w:pPr>
        <w:widowControl w:val="0"/>
        <w:ind w:firstLine="709"/>
        <w:rPr>
          <w:rFonts w:eastAsia="Times New Roman" w:cs="Times New Roman"/>
        </w:rPr>
      </w:pPr>
      <w:r w:rsidRPr="00071293">
        <w:rPr>
          <w:rFonts w:eastAsia="Times New Roman" w:cs="Times New Roman"/>
        </w:rPr>
        <w:t>Tādējādi, ir nepieciešams fiksēt valsts sociālo pabalstu un pensiju saņēmēju kontingenta prognozes koriģēto maksimāli pieļaujamo valsts budžeta izdevumu aprēķināšanas brīdī, tātad prognozes, saskaņā ar kurām, ir izstrādāts likumprojekts  “Par vidēja termiņa budžeta ietvaru 2022., 2023. un 2024. gadam”. Līdz ar to šo paskaidrojumu:</w:t>
      </w:r>
    </w:p>
    <w:p w14:paraId="07DAEDCA" w14:textId="050D217C" w:rsidR="00071293" w:rsidRPr="00071293" w:rsidRDefault="00071293" w:rsidP="00F70213">
      <w:pPr>
        <w:pStyle w:val="ListParagraph"/>
        <w:widowControl w:val="0"/>
        <w:numPr>
          <w:ilvl w:val="0"/>
          <w:numId w:val="4"/>
        </w:numPr>
        <w:tabs>
          <w:tab w:val="left" w:pos="720"/>
          <w:tab w:val="left" w:pos="851"/>
        </w:tabs>
        <w:spacing w:after="0"/>
        <w:rPr>
          <w:rFonts w:eastAsia="Times New Roman" w:cs="Times New Roman"/>
        </w:rPr>
      </w:pPr>
      <w:r w:rsidRPr="00071293">
        <w:rPr>
          <w:rFonts w:eastAsia="Times New Roman" w:cs="Times New Roman"/>
        </w:rPr>
        <w:t>5</w:t>
      </w:r>
      <w:r w:rsidR="00973305">
        <w:rPr>
          <w:rFonts w:eastAsia="Times New Roman" w:cs="Times New Roman"/>
        </w:rPr>
        <w:t xml:space="preserve"> </w:t>
      </w:r>
      <w:r w:rsidRPr="00071293">
        <w:rPr>
          <w:rFonts w:eastAsia="Times New Roman" w:cs="Times New Roman"/>
        </w:rPr>
        <w:t>.pielikumā ir sniegta informācija par no Aizsardzības ministrijas pamatbudžeta programmas “Militārpersonu pensiju fonds” izmaksājamo izdienas pensiju saņēmēju prognozēm;</w:t>
      </w:r>
    </w:p>
    <w:p w14:paraId="74E11D9F" w14:textId="55AEBCD0" w:rsidR="00071293" w:rsidRPr="00071293" w:rsidRDefault="00071293" w:rsidP="00F70213">
      <w:pPr>
        <w:pStyle w:val="ListParagraph"/>
        <w:widowControl w:val="0"/>
        <w:numPr>
          <w:ilvl w:val="0"/>
          <w:numId w:val="4"/>
        </w:numPr>
        <w:tabs>
          <w:tab w:val="left" w:pos="720"/>
          <w:tab w:val="left" w:pos="851"/>
        </w:tabs>
        <w:spacing w:after="0"/>
        <w:rPr>
          <w:rFonts w:eastAsia="Times New Roman" w:cs="Times New Roman"/>
        </w:rPr>
      </w:pPr>
      <w:r w:rsidRPr="00071293">
        <w:rPr>
          <w:rFonts w:eastAsia="Times New Roman" w:cs="Times New Roman"/>
        </w:rPr>
        <w:t>6.</w:t>
      </w:r>
      <w:r w:rsidR="00973305">
        <w:rPr>
          <w:rFonts w:eastAsia="Times New Roman" w:cs="Times New Roman"/>
        </w:rPr>
        <w:t xml:space="preserve"> </w:t>
      </w:r>
      <w:r w:rsidRPr="00071293">
        <w:rPr>
          <w:rFonts w:eastAsia="Times New Roman" w:cs="Times New Roman"/>
        </w:rPr>
        <w:t xml:space="preserve">pielikumā </w:t>
      </w:r>
      <w:r w:rsidR="00973305">
        <w:rPr>
          <w:rFonts w:eastAsia="Times New Roman" w:cs="Times New Roman"/>
        </w:rPr>
        <w:t>ir sniegta informācija par no Labklājības ministrijas</w:t>
      </w:r>
      <w:r w:rsidRPr="00071293">
        <w:rPr>
          <w:rFonts w:eastAsia="Times New Roman" w:cs="Times New Roman"/>
        </w:rPr>
        <w:t xml:space="preserve"> pamatbudžeta izmaksājamo valsts sociālo pabalstu saņēmēju prognozēm; </w:t>
      </w:r>
    </w:p>
    <w:p w14:paraId="7B3A4249" w14:textId="1E9F4476" w:rsidR="00071293" w:rsidRPr="00071293" w:rsidRDefault="00071293" w:rsidP="00F70213">
      <w:pPr>
        <w:pStyle w:val="ListParagraph"/>
        <w:widowControl w:val="0"/>
        <w:numPr>
          <w:ilvl w:val="0"/>
          <w:numId w:val="4"/>
        </w:numPr>
        <w:tabs>
          <w:tab w:val="left" w:pos="720"/>
          <w:tab w:val="left" w:pos="851"/>
        </w:tabs>
        <w:spacing w:after="0"/>
        <w:rPr>
          <w:rFonts w:eastAsia="Times New Roman" w:cs="Times New Roman"/>
        </w:rPr>
      </w:pPr>
      <w:r w:rsidRPr="00071293">
        <w:rPr>
          <w:rFonts w:eastAsia="Times New Roman" w:cs="Times New Roman"/>
        </w:rPr>
        <w:t>7.</w:t>
      </w:r>
      <w:r w:rsidR="00973305">
        <w:rPr>
          <w:rFonts w:eastAsia="Times New Roman" w:cs="Times New Roman"/>
        </w:rPr>
        <w:t xml:space="preserve"> </w:t>
      </w:r>
      <w:r w:rsidRPr="00071293">
        <w:rPr>
          <w:rFonts w:eastAsia="Times New Roman" w:cs="Times New Roman"/>
        </w:rPr>
        <w:t xml:space="preserve">pielikumā ir sniegta informācija par no </w:t>
      </w:r>
      <w:r w:rsidR="00973305">
        <w:rPr>
          <w:rFonts w:eastAsia="Times New Roman" w:cs="Times New Roman"/>
        </w:rPr>
        <w:t>Labklājības ministrijas</w:t>
      </w:r>
      <w:r w:rsidRPr="00071293">
        <w:rPr>
          <w:rFonts w:eastAsia="Times New Roman" w:cs="Times New Roman"/>
        </w:rPr>
        <w:t xml:space="preserve"> pamatbudžeta izmaksājamo izdienas pensiju saņēmēju prognozēm;</w:t>
      </w:r>
    </w:p>
    <w:p w14:paraId="050DEF85" w14:textId="4624520C" w:rsidR="00071293" w:rsidRPr="00071293" w:rsidRDefault="00071293" w:rsidP="00F70213">
      <w:pPr>
        <w:pStyle w:val="ListParagraph"/>
        <w:widowControl w:val="0"/>
        <w:numPr>
          <w:ilvl w:val="0"/>
          <w:numId w:val="4"/>
        </w:numPr>
        <w:tabs>
          <w:tab w:val="left" w:pos="720"/>
          <w:tab w:val="left" w:pos="851"/>
        </w:tabs>
        <w:spacing w:after="0"/>
        <w:rPr>
          <w:rFonts w:eastAsia="Times New Roman" w:cs="Times New Roman"/>
        </w:rPr>
      </w:pPr>
      <w:r w:rsidRPr="00071293">
        <w:rPr>
          <w:rFonts w:eastAsia="Times New Roman" w:cs="Times New Roman"/>
        </w:rPr>
        <w:t xml:space="preserve"> 8.</w:t>
      </w:r>
      <w:r w:rsidR="00973305">
        <w:rPr>
          <w:rFonts w:eastAsia="Times New Roman" w:cs="Times New Roman"/>
        </w:rPr>
        <w:t xml:space="preserve"> </w:t>
      </w:r>
      <w:r w:rsidRPr="00071293">
        <w:rPr>
          <w:rFonts w:eastAsia="Times New Roman" w:cs="Times New Roman"/>
        </w:rPr>
        <w:t xml:space="preserve">pielikumā ir sniegta informācija par no </w:t>
      </w:r>
      <w:r w:rsidR="00973305">
        <w:rPr>
          <w:rFonts w:eastAsia="Times New Roman" w:cs="Times New Roman"/>
        </w:rPr>
        <w:t>Labklājības ministrijas</w:t>
      </w:r>
      <w:r w:rsidRPr="00071293">
        <w:rPr>
          <w:rFonts w:eastAsia="Times New Roman" w:cs="Times New Roman"/>
        </w:rPr>
        <w:t xml:space="preserve"> pamatbudžeta izmaksājamo piemaksu pie vecuma un invaliditātes pensijas saņēmēju prognozēm; </w:t>
      </w:r>
    </w:p>
    <w:p w14:paraId="02AA84AE" w14:textId="60587408" w:rsidR="00071293" w:rsidRPr="00071293" w:rsidRDefault="00071293" w:rsidP="00F70213">
      <w:pPr>
        <w:pStyle w:val="ListParagraph"/>
        <w:widowControl w:val="0"/>
        <w:numPr>
          <w:ilvl w:val="0"/>
          <w:numId w:val="4"/>
        </w:numPr>
        <w:tabs>
          <w:tab w:val="left" w:pos="720"/>
          <w:tab w:val="left" w:pos="851"/>
        </w:tabs>
        <w:spacing w:after="0"/>
        <w:rPr>
          <w:rFonts w:eastAsia="Times New Roman" w:cs="Times New Roman"/>
        </w:rPr>
      </w:pPr>
      <w:r w:rsidRPr="00071293">
        <w:rPr>
          <w:rFonts w:eastAsia="Times New Roman" w:cs="Times New Roman"/>
        </w:rPr>
        <w:lastRenderedPageBreak/>
        <w:t>9.</w:t>
      </w:r>
      <w:r w:rsidR="00973305">
        <w:rPr>
          <w:rFonts w:eastAsia="Times New Roman" w:cs="Times New Roman"/>
        </w:rPr>
        <w:t xml:space="preserve"> </w:t>
      </w:r>
      <w:r w:rsidRPr="00071293">
        <w:rPr>
          <w:rFonts w:eastAsia="Times New Roman" w:cs="Times New Roman"/>
        </w:rPr>
        <w:t xml:space="preserve">pielikumā ir sniegta informācija par no </w:t>
      </w:r>
      <w:r w:rsidR="00973305">
        <w:rPr>
          <w:rFonts w:eastAsia="Times New Roman" w:cs="Times New Roman"/>
        </w:rPr>
        <w:t>Labklājības ministrijas</w:t>
      </w:r>
      <w:r w:rsidRPr="00071293">
        <w:rPr>
          <w:rFonts w:eastAsia="Times New Roman" w:cs="Times New Roman"/>
        </w:rPr>
        <w:t xml:space="preserve"> pamatbudžeta izmaksājamo bēgļa un alternatīvo statusu ieguvušo personu pabalstu </w:t>
      </w:r>
      <w:r w:rsidR="00D0442A">
        <w:rPr>
          <w:rFonts w:eastAsia="Times New Roman" w:cs="Times New Roman"/>
        </w:rPr>
        <w:t xml:space="preserve">saņēmēju </w:t>
      </w:r>
      <w:r w:rsidRPr="00071293">
        <w:rPr>
          <w:rFonts w:eastAsia="Times New Roman" w:cs="Times New Roman"/>
        </w:rPr>
        <w:t>prognozēm.</w:t>
      </w:r>
    </w:p>
    <w:p w14:paraId="42DAFD7A" w14:textId="621F799E" w:rsidR="008A4FF5" w:rsidRPr="00071293" w:rsidRDefault="00973305" w:rsidP="00973305">
      <w:pPr>
        <w:widowControl w:val="0"/>
        <w:ind w:firstLine="709"/>
        <w:rPr>
          <w:rFonts w:eastAsia="Times New Roman" w:cs="Times New Roman"/>
        </w:rPr>
      </w:pPr>
      <w:r>
        <w:rPr>
          <w:rFonts w:eastAsia="Times New Roman" w:cs="Times New Roman"/>
        </w:rPr>
        <w:t>Likuma “Fiskālās disciplīnas likums”</w:t>
      </w:r>
      <w:r w:rsidR="00071293" w:rsidRPr="00071293">
        <w:rPr>
          <w:rFonts w:eastAsia="Times New Roman" w:cs="Times New Roman"/>
        </w:rPr>
        <w:t xml:space="preserve"> 5.</w:t>
      </w:r>
      <w:r>
        <w:rPr>
          <w:rFonts w:eastAsia="Times New Roman" w:cs="Times New Roman"/>
        </w:rPr>
        <w:t xml:space="preserve"> </w:t>
      </w:r>
      <w:r w:rsidR="00071293" w:rsidRPr="00071293">
        <w:rPr>
          <w:rFonts w:eastAsia="Times New Roman" w:cs="Times New Roman"/>
        </w:rPr>
        <w:t>panta pirmās daļas 2.</w:t>
      </w:r>
      <w:r>
        <w:rPr>
          <w:rFonts w:eastAsia="Times New Roman" w:cs="Times New Roman"/>
        </w:rPr>
        <w:t xml:space="preserve"> </w:t>
      </w:r>
      <w:r w:rsidR="00071293" w:rsidRPr="00071293">
        <w:rPr>
          <w:rFonts w:eastAsia="Times New Roman" w:cs="Times New Roman"/>
        </w:rPr>
        <w:t>punkts nosaka, ka koriģētos maksimāli pieļaujamos valsts budžeta izdevumus precizē, ja rodas izmaiņas valsts speciālā budžeta izdevumos sakarā ar aktuālākām sociālās apdrošināšanas pakalpojumu saņēmēju kontingenta, kā arī pensiju un pabalstu vidējā apmēra prognozēm. Tādējādi ir nepieciešams fiksēt sociālās apdrošināšanas pakalpojumu saņēmēju kontingenta, kā arī pensiju un pabalstu vidējā apmēra prognozes koriģēto maksimāli pieļaujamo valsts budžeta izdevumu aprēķināšanas brīdī, tātad prognozes, saskaņā ar kurām ir izstrādāts likumprojekts  “Par vidēja termiņa budžeta ietvaru 2022., 2023. un 2024. gadam”. Šī informācija ir sniegta 10.</w:t>
      </w:r>
      <w:r>
        <w:rPr>
          <w:rFonts w:eastAsia="Times New Roman" w:cs="Times New Roman"/>
        </w:rPr>
        <w:t xml:space="preserve"> pielikumā.</w:t>
      </w:r>
    </w:p>
    <w:p w14:paraId="7D4BBEFC" w14:textId="5C74BA0C" w:rsidR="000D4D00" w:rsidRPr="000D4D00" w:rsidRDefault="00D57DD6" w:rsidP="00973305">
      <w:pPr>
        <w:pStyle w:val="Heading3"/>
        <w:numPr>
          <w:ilvl w:val="0"/>
          <w:numId w:val="0"/>
        </w:numPr>
        <w:spacing w:before="240" w:after="240"/>
      </w:pPr>
      <w:bookmarkStart w:id="43" w:name="_Toc84756408"/>
      <w:r w:rsidRPr="009E5822">
        <w:t>2.1.3</w:t>
      </w:r>
      <w:r w:rsidR="00E8646E" w:rsidRPr="009E5822">
        <w:t xml:space="preserve">. </w:t>
      </w:r>
      <w:r w:rsidR="00973305">
        <w:t>Uzkrāto bilanču starpības</w:t>
      </w:r>
      <w:bookmarkEnd w:id="43"/>
    </w:p>
    <w:p w14:paraId="23617945" w14:textId="1AF4FF0D" w:rsidR="00F5298F" w:rsidRDefault="00F5298F" w:rsidP="00811E00">
      <w:pPr>
        <w:widowControl w:val="0"/>
        <w:rPr>
          <w:rFonts w:eastAsia="Times New Roman" w:cs="Times New Roman"/>
          <w:color w:val="000000"/>
          <w:szCs w:val="20"/>
        </w:rPr>
      </w:pPr>
      <w:r w:rsidRPr="00811E00">
        <w:rPr>
          <w:rFonts w:eastAsia="Times New Roman" w:cs="Times New Roman"/>
          <w:color w:val="000000"/>
          <w:szCs w:val="20"/>
        </w:rPr>
        <w:t>Likuma “Fiskālās disciplīnas likums”</w:t>
      </w:r>
      <w:r w:rsidR="000D4D00" w:rsidRPr="00811E00">
        <w:rPr>
          <w:rFonts w:eastAsia="Times New Roman" w:cs="Times New Roman"/>
          <w:color w:val="000000"/>
          <w:szCs w:val="20"/>
        </w:rPr>
        <w:t xml:space="preserve"> 11.</w:t>
      </w:r>
      <w:r w:rsidRPr="00811E00">
        <w:rPr>
          <w:rFonts w:eastAsia="Times New Roman" w:cs="Times New Roman"/>
          <w:color w:val="000000"/>
          <w:szCs w:val="20"/>
        </w:rPr>
        <w:t xml:space="preserve"> </w:t>
      </w:r>
      <w:r w:rsidR="000D4D00" w:rsidRPr="00811E00">
        <w:rPr>
          <w:rFonts w:eastAsia="Times New Roman" w:cs="Times New Roman"/>
          <w:color w:val="000000"/>
          <w:szCs w:val="20"/>
        </w:rPr>
        <w:t xml:space="preserve">pants nosaka automātisko </w:t>
      </w:r>
      <w:r w:rsidR="000D4D00" w:rsidRPr="00811E00">
        <w:rPr>
          <w:rFonts w:eastAsia="Times New Roman" w:cs="Times New Roman"/>
          <w:i/>
          <w:color w:val="000000"/>
          <w:szCs w:val="20"/>
        </w:rPr>
        <w:t>ex-post</w:t>
      </w:r>
      <w:r w:rsidR="000D4D00" w:rsidRPr="00811E00">
        <w:rPr>
          <w:rFonts w:eastAsia="Times New Roman" w:cs="Times New Roman"/>
          <w:color w:val="000000"/>
          <w:szCs w:val="20"/>
        </w:rPr>
        <w:t xml:space="preserve"> korekcijas mehānismu, t.i. minimālās plānojamās vispārējās valdības budžeta strukturālās bilances koriģēšanu, lai nodrošinātu to, ka iepriekšējo gadu faktiskās novirzes no bilances nosacījuma (</w:t>
      </w:r>
      <w:r w:rsidRPr="00811E00">
        <w:rPr>
          <w:rFonts w:eastAsia="Times New Roman" w:cs="Times New Roman"/>
          <w:color w:val="000000"/>
          <w:szCs w:val="20"/>
        </w:rPr>
        <w:t>likuma “Fiskālās disciplīnas likums”  10. p</w:t>
      </w:r>
      <w:r w:rsidR="000D4D00" w:rsidRPr="00811E00">
        <w:rPr>
          <w:rFonts w:eastAsia="Times New Roman" w:cs="Times New Roman"/>
          <w:color w:val="000000"/>
          <w:szCs w:val="20"/>
        </w:rPr>
        <w:t>ants) neietekmē budžeta sabalansētību. Ja budžeta izpildes gaitā tiek konstatēts, ka uzkrātā faktisko strukturālo bilanču novirze no plānoto bilanču apmēra ir paslikt</w:t>
      </w:r>
      <w:r w:rsidRPr="00811E00">
        <w:rPr>
          <w:rFonts w:eastAsia="Times New Roman" w:cs="Times New Roman"/>
          <w:color w:val="000000"/>
          <w:szCs w:val="20"/>
        </w:rPr>
        <w:t xml:space="preserve">inājusies par vismaz 0,5% no iekšzemes kopprodukta, nākamā vidēja termiņa budžeta likuma </w:t>
      </w:r>
      <w:r w:rsidR="000D4D00" w:rsidRPr="00811E00">
        <w:rPr>
          <w:rFonts w:eastAsia="Times New Roman" w:cs="Times New Roman"/>
          <w:color w:val="000000"/>
          <w:szCs w:val="20"/>
        </w:rPr>
        <w:t>trešajā gadā vispārējās valdības budžeta strukturālās bilanc</w:t>
      </w:r>
      <w:r w:rsidRPr="00811E00">
        <w:rPr>
          <w:rFonts w:eastAsia="Times New Roman" w:cs="Times New Roman"/>
          <w:color w:val="000000"/>
          <w:szCs w:val="20"/>
        </w:rPr>
        <w:t xml:space="preserve">es mērķi nosaka par 0,5% no iekšzemes kopprodukta </w:t>
      </w:r>
      <w:r w:rsidR="000D4D00" w:rsidRPr="00811E00">
        <w:rPr>
          <w:rFonts w:eastAsia="Times New Roman" w:cs="Times New Roman"/>
          <w:color w:val="000000"/>
          <w:szCs w:val="20"/>
        </w:rPr>
        <w:t>lielāku. Lai novērtētu uzkrāto bilanču starpību, tika v</w:t>
      </w:r>
      <w:r w:rsidR="00EE5424">
        <w:rPr>
          <w:rFonts w:eastAsia="Times New Roman" w:cs="Times New Roman"/>
          <w:color w:val="000000"/>
          <w:szCs w:val="20"/>
        </w:rPr>
        <w:t>eikti aprēķini, kas attēloti 2.5</w:t>
      </w:r>
      <w:r w:rsidR="000D4D00" w:rsidRPr="00811E00">
        <w:rPr>
          <w:rFonts w:eastAsia="Times New Roman" w:cs="Times New Roman"/>
          <w:color w:val="000000"/>
          <w:szCs w:val="20"/>
        </w:rPr>
        <w:t>.</w:t>
      </w:r>
      <w:r w:rsidRPr="00811E00">
        <w:rPr>
          <w:rFonts w:eastAsia="Times New Roman" w:cs="Times New Roman"/>
          <w:color w:val="000000"/>
          <w:szCs w:val="20"/>
        </w:rPr>
        <w:t xml:space="preserve"> </w:t>
      </w:r>
      <w:r w:rsidR="000D4D00" w:rsidRPr="00811E00">
        <w:rPr>
          <w:rFonts w:eastAsia="Times New Roman" w:cs="Times New Roman"/>
          <w:color w:val="000000"/>
          <w:szCs w:val="20"/>
        </w:rPr>
        <w:t>tabulā.</w:t>
      </w:r>
    </w:p>
    <w:p w14:paraId="43E9576F" w14:textId="7DA5D571" w:rsidR="00EE5424" w:rsidRDefault="00EE5424" w:rsidP="00811E00">
      <w:pPr>
        <w:widowControl w:val="0"/>
        <w:rPr>
          <w:rFonts w:eastAsia="Times New Roman" w:cs="Times New Roman"/>
          <w:color w:val="000000"/>
          <w:szCs w:val="20"/>
        </w:rPr>
      </w:pPr>
    </w:p>
    <w:p w14:paraId="5DFA3B92" w14:textId="65588A90" w:rsidR="00EE5424" w:rsidRDefault="00EE5424" w:rsidP="00811E00">
      <w:pPr>
        <w:widowControl w:val="0"/>
        <w:rPr>
          <w:rFonts w:eastAsia="Times New Roman" w:cs="Times New Roman"/>
          <w:color w:val="000000"/>
          <w:szCs w:val="20"/>
        </w:rPr>
      </w:pPr>
    </w:p>
    <w:p w14:paraId="10C891A7" w14:textId="2259FB1E" w:rsidR="00EE5424" w:rsidRDefault="00EE5424" w:rsidP="00811E00">
      <w:pPr>
        <w:widowControl w:val="0"/>
        <w:rPr>
          <w:rFonts w:eastAsia="Times New Roman" w:cs="Times New Roman"/>
          <w:color w:val="000000"/>
          <w:szCs w:val="20"/>
        </w:rPr>
      </w:pPr>
    </w:p>
    <w:p w14:paraId="71036FFC" w14:textId="513EFC48" w:rsidR="00EE5424" w:rsidRDefault="00EE5424" w:rsidP="00811E00">
      <w:pPr>
        <w:widowControl w:val="0"/>
        <w:rPr>
          <w:rFonts w:eastAsia="Times New Roman" w:cs="Times New Roman"/>
          <w:color w:val="000000"/>
          <w:szCs w:val="20"/>
        </w:rPr>
      </w:pPr>
    </w:p>
    <w:p w14:paraId="78612B1F" w14:textId="6FE2342A" w:rsidR="00EE5424" w:rsidRDefault="00EE5424" w:rsidP="00811E00">
      <w:pPr>
        <w:widowControl w:val="0"/>
        <w:rPr>
          <w:rFonts w:eastAsia="Times New Roman" w:cs="Times New Roman"/>
          <w:color w:val="000000"/>
          <w:szCs w:val="20"/>
        </w:rPr>
      </w:pPr>
    </w:p>
    <w:p w14:paraId="53F81C47" w14:textId="2573470E" w:rsidR="00EE5424" w:rsidRDefault="00EE5424" w:rsidP="00811E00">
      <w:pPr>
        <w:widowControl w:val="0"/>
        <w:rPr>
          <w:rFonts w:eastAsia="Times New Roman" w:cs="Times New Roman"/>
          <w:color w:val="000000"/>
          <w:szCs w:val="20"/>
        </w:rPr>
      </w:pPr>
    </w:p>
    <w:p w14:paraId="5279B53C" w14:textId="0F80750B" w:rsidR="00EE5424" w:rsidRDefault="00EE5424" w:rsidP="00811E00">
      <w:pPr>
        <w:widowControl w:val="0"/>
        <w:rPr>
          <w:rFonts w:eastAsia="Times New Roman" w:cs="Times New Roman"/>
          <w:color w:val="000000"/>
          <w:szCs w:val="20"/>
        </w:rPr>
      </w:pPr>
    </w:p>
    <w:p w14:paraId="4E16D02B" w14:textId="5C9004A3" w:rsidR="00EE5424" w:rsidRDefault="00EE5424" w:rsidP="00811E00">
      <w:pPr>
        <w:widowControl w:val="0"/>
        <w:rPr>
          <w:rFonts w:eastAsia="Times New Roman" w:cs="Times New Roman"/>
          <w:color w:val="000000"/>
          <w:szCs w:val="20"/>
        </w:rPr>
      </w:pPr>
    </w:p>
    <w:p w14:paraId="1C0ED5CE" w14:textId="7E52D895" w:rsidR="00EE5424" w:rsidRDefault="00EE5424" w:rsidP="00811E00">
      <w:pPr>
        <w:widowControl w:val="0"/>
        <w:rPr>
          <w:rFonts w:eastAsia="Times New Roman" w:cs="Times New Roman"/>
          <w:color w:val="000000"/>
          <w:szCs w:val="20"/>
        </w:rPr>
      </w:pPr>
    </w:p>
    <w:p w14:paraId="4B4BB674" w14:textId="0436301A" w:rsidR="00EE5424" w:rsidRDefault="00EE5424" w:rsidP="00811E00">
      <w:pPr>
        <w:widowControl w:val="0"/>
        <w:rPr>
          <w:rFonts w:eastAsia="Times New Roman" w:cs="Times New Roman"/>
          <w:color w:val="000000"/>
          <w:szCs w:val="20"/>
        </w:rPr>
      </w:pPr>
    </w:p>
    <w:p w14:paraId="2DE007B9" w14:textId="55CA2106" w:rsidR="00EE5424" w:rsidRDefault="00EE5424" w:rsidP="00811E00">
      <w:pPr>
        <w:widowControl w:val="0"/>
        <w:rPr>
          <w:rFonts w:eastAsia="Times New Roman" w:cs="Times New Roman"/>
          <w:color w:val="000000"/>
          <w:szCs w:val="20"/>
        </w:rPr>
      </w:pPr>
    </w:p>
    <w:p w14:paraId="4661BDD8" w14:textId="5275A7F8" w:rsidR="00EE5424" w:rsidRDefault="00EE5424" w:rsidP="00811E00">
      <w:pPr>
        <w:widowControl w:val="0"/>
        <w:rPr>
          <w:rFonts w:eastAsia="Times New Roman" w:cs="Times New Roman"/>
          <w:color w:val="000000"/>
          <w:szCs w:val="20"/>
        </w:rPr>
      </w:pPr>
    </w:p>
    <w:p w14:paraId="06B9BC6C" w14:textId="01768A86" w:rsidR="00EE5424" w:rsidRDefault="00EE5424" w:rsidP="00811E00">
      <w:pPr>
        <w:widowControl w:val="0"/>
        <w:rPr>
          <w:rFonts w:eastAsia="Times New Roman" w:cs="Times New Roman"/>
          <w:color w:val="000000"/>
          <w:szCs w:val="20"/>
        </w:rPr>
      </w:pPr>
    </w:p>
    <w:p w14:paraId="3BACE9C8" w14:textId="28AF159C" w:rsidR="00EE5424" w:rsidRDefault="00EE5424" w:rsidP="00811E00">
      <w:pPr>
        <w:widowControl w:val="0"/>
        <w:rPr>
          <w:rFonts w:eastAsia="Times New Roman" w:cs="Times New Roman"/>
          <w:color w:val="000000"/>
          <w:szCs w:val="20"/>
        </w:rPr>
      </w:pPr>
    </w:p>
    <w:p w14:paraId="5FDCD37E" w14:textId="659401FE" w:rsidR="00EE5424" w:rsidRDefault="00EE5424" w:rsidP="00811E00">
      <w:pPr>
        <w:widowControl w:val="0"/>
        <w:rPr>
          <w:rFonts w:eastAsia="Times New Roman" w:cs="Times New Roman"/>
          <w:color w:val="000000"/>
          <w:szCs w:val="20"/>
        </w:rPr>
      </w:pPr>
    </w:p>
    <w:p w14:paraId="7A1D5246" w14:textId="6EA20984" w:rsidR="00EE5424" w:rsidRDefault="00EE5424" w:rsidP="00811E00">
      <w:pPr>
        <w:widowControl w:val="0"/>
        <w:rPr>
          <w:rFonts w:eastAsia="Times New Roman" w:cs="Times New Roman"/>
          <w:color w:val="000000"/>
          <w:szCs w:val="20"/>
        </w:rPr>
      </w:pPr>
    </w:p>
    <w:p w14:paraId="22B7ABFF" w14:textId="00C67412" w:rsidR="00EE5424" w:rsidRPr="00811E00" w:rsidRDefault="00EE5424" w:rsidP="005774F8">
      <w:pPr>
        <w:widowControl w:val="0"/>
        <w:ind w:firstLine="0"/>
        <w:rPr>
          <w:rFonts w:eastAsia="Times New Roman" w:cs="Times New Roman"/>
          <w:color w:val="000000"/>
          <w:szCs w:val="20"/>
        </w:rPr>
      </w:pPr>
    </w:p>
    <w:p w14:paraId="0F427954" w14:textId="7BE9539D" w:rsidR="000D4D00" w:rsidRPr="000D4D00" w:rsidRDefault="00EE5424" w:rsidP="000D4D00">
      <w:pPr>
        <w:widowControl w:val="0"/>
        <w:jc w:val="right"/>
        <w:rPr>
          <w:rFonts w:eastAsia="Times New Roman" w:cs="Times New Roman"/>
          <w:b/>
          <w:i/>
          <w:color w:val="000000"/>
          <w:szCs w:val="20"/>
        </w:rPr>
      </w:pPr>
      <w:r>
        <w:rPr>
          <w:rFonts w:eastAsia="Times New Roman" w:cs="Times New Roman"/>
          <w:b/>
          <w:i/>
          <w:color w:val="000000"/>
          <w:szCs w:val="20"/>
        </w:rPr>
        <w:lastRenderedPageBreak/>
        <w:t>2.5</w:t>
      </w:r>
      <w:r w:rsidR="000D4D00" w:rsidRPr="000D4D00">
        <w:rPr>
          <w:rFonts w:eastAsia="Times New Roman" w:cs="Times New Roman"/>
          <w:b/>
          <w:i/>
          <w:color w:val="000000"/>
          <w:szCs w:val="20"/>
        </w:rPr>
        <w:t>.</w:t>
      </w:r>
      <w:r w:rsidR="004614E3">
        <w:rPr>
          <w:rFonts w:eastAsia="Times New Roman" w:cs="Times New Roman"/>
          <w:b/>
          <w:i/>
          <w:color w:val="000000"/>
          <w:szCs w:val="20"/>
        </w:rPr>
        <w:t xml:space="preserve"> </w:t>
      </w:r>
      <w:r w:rsidR="000D4D00" w:rsidRPr="000D4D00">
        <w:rPr>
          <w:rFonts w:eastAsia="Times New Roman" w:cs="Times New Roman"/>
          <w:b/>
          <w:i/>
          <w:color w:val="000000"/>
          <w:szCs w:val="20"/>
        </w:rPr>
        <w:t>tabula. Uzkrāto bilanču starpības aprēķins</w:t>
      </w:r>
    </w:p>
    <w:tbl>
      <w:tblPr>
        <w:tblW w:w="9781" w:type="dxa"/>
        <w:tblInd w:w="-577" w:type="dxa"/>
        <w:tblLayout w:type="fixed"/>
        <w:tblLook w:val="04A0" w:firstRow="1" w:lastRow="0" w:firstColumn="1" w:lastColumn="0" w:noHBand="0" w:noVBand="1"/>
      </w:tblPr>
      <w:tblGrid>
        <w:gridCol w:w="1560"/>
        <w:gridCol w:w="1559"/>
        <w:gridCol w:w="850"/>
        <w:gridCol w:w="801"/>
        <w:gridCol w:w="801"/>
        <w:gridCol w:w="801"/>
        <w:gridCol w:w="818"/>
        <w:gridCol w:w="850"/>
        <w:gridCol w:w="851"/>
        <w:gridCol w:w="890"/>
      </w:tblGrid>
      <w:tr w:rsidR="000D4D00" w:rsidRPr="005774F8" w14:paraId="1F0D89D4" w14:textId="77777777" w:rsidTr="005774F8">
        <w:trPr>
          <w:trHeight w:val="309"/>
        </w:trPr>
        <w:tc>
          <w:tcPr>
            <w:tcW w:w="1560"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04355506" w14:textId="77777777" w:rsidR="000D4D00" w:rsidRPr="005774F8" w:rsidRDefault="000D4D00" w:rsidP="000D4D00">
            <w:pPr>
              <w:jc w:val="center"/>
              <w:rPr>
                <w:rFonts w:eastAsia="Times New Roman" w:cs="Times New Roman"/>
                <w:b/>
                <w:bCs/>
                <w:i/>
                <w:iCs/>
                <w:color w:val="000000"/>
                <w:sz w:val="18"/>
                <w:szCs w:val="18"/>
              </w:rPr>
            </w:pPr>
            <w:r w:rsidRPr="005774F8">
              <w:rPr>
                <w:rFonts w:eastAsia="Times New Roman" w:cs="Times New Roman"/>
                <w:b/>
                <w:bCs/>
                <w:i/>
                <w:iCs/>
                <w:color w:val="000000"/>
                <w:sz w:val="18"/>
                <w:szCs w:val="18"/>
              </w:rPr>
              <w:t> </w:t>
            </w:r>
          </w:p>
        </w:tc>
        <w:tc>
          <w:tcPr>
            <w:tcW w:w="1559" w:type="dxa"/>
            <w:tcBorders>
              <w:top w:val="single" w:sz="8" w:space="0" w:color="000000"/>
              <w:left w:val="nil"/>
              <w:bottom w:val="single" w:sz="8" w:space="0" w:color="000000"/>
              <w:right w:val="single" w:sz="8" w:space="0" w:color="000000"/>
            </w:tcBorders>
            <w:shd w:val="clear" w:color="000000" w:fill="FFFFFF"/>
            <w:vAlign w:val="center"/>
            <w:hideMark/>
          </w:tcPr>
          <w:p w14:paraId="0D0B81ED" w14:textId="77777777" w:rsidR="000D4D00" w:rsidRPr="005774F8" w:rsidRDefault="000D4D00" w:rsidP="000D4D00">
            <w:pPr>
              <w:rPr>
                <w:rFonts w:eastAsia="Times New Roman" w:cs="Times New Roman"/>
                <w:color w:val="000000"/>
                <w:sz w:val="18"/>
                <w:szCs w:val="18"/>
              </w:rPr>
            </w:pPr>
            <w:r w:rsidRPr="005774F8">
              <w:rPr>
                <w:rFonts w:eastAsia="Times New Roman" w:cs="Times New Roman"/>
                <w:color w:val="000000"/>
                <w:sz w:val="18"/>
                <w:szCs w:val="18"/>
              </w:rPr>
              <w:t> </w:t>
            </w:r>
          </w:p>
        </w:tc>
        <w:tc>
          <w:tcPr>
            <w:tcW w:w="850" w:type="dxa"/>
            <w:tcBorders>
              <w:top w:val="single" w:sz="8" w:space="0" w:color="000000"/>
              <w:left w:val="nil"/>
              <w:bottom w:val="single" w:sz="8" w:space="0" w:color="000000"/>
              <w:right w:val="single" w:sz="8" w:space="0" w:color="000000"/>
            </w:tcBorders>
            <w:shd w:val="clear" w:color="000000" w:fill="9CC2E5"/>
            <w:vAlign w:val="center"/>
            <w:hideMark/>
          </w:tcPr>
          <w:p w14:paraId="0D842429" w14:textId="4BEA4A5F" w:rsidR="000D4D00" w:rsidRPr="005774F8" w:rsidRDefault="00811E00"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2</w:t>
            </w:r>
            <w:r w:rsidR="000D4D00" w:rsidRPr="005774F8">
              <w:rPr>
                <w:rFonts w:eastAsia="Times New Roman" w:cs="Times New Roman"/>
                <w:b/>
                <w:bCs/>
                <w:color w:val="000000"/>
                <w:sz w:val="18"/>
                <w:szCs w:val="18"/>
              </w:rPr>
              <w:t>013</w:t>
            </w:r>
          </w:p>
        </w:tc>
        <w:tc>
          <w:tcPr>
            <w:tcW w:w="801" w:type="dxa"/>
            <w:tcBorders>
              <w:top w:val="single" w:sz="8" w:space="0" w:color="000000"/>
              <w:left w:val="nil"/>
              <w:bottom w:val="single" w:sz="8" w:space="0" w:color="000000"/>
              <w:right w:val="single" w:sz="8" w:space="0" w:color="000000"/>
            </w:tcBorders>
            <w:shd w:val="clear" w:color="000000" w:fill="9CC2E5"/>
            <w:vAlign w:val="center"/>
            <w:hideMark/>
          </w:tcPr>
          <w:p w14:paraId="216C022D" w14:textId="57705883" w:rsidR="000D4D00" w:rsidRPr="005774F8" w:rsidRDefault="00811E00"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2</w:t>
            </w:r>
            <w:r w:rsidR="000D4D00" w:rsidRPr="005774F8">
              <w:rPr>
                <w:rFonts w:eastAsia="Times New Roman" w:cs="Times New Roman"/>
                <w:b/>
                <w:bCs/>
                <w:color w:val="000000"/>
                <w:sz w:val="18"/>
                <w:szCs w:val="18"/>
              </w:rPr>
              <w:t>014</w:t>
            </w:r>
          </w:p>
        </w:tc>
        <w:tc>
          <w:tcPr>
            <w:tcW w:w="801" w:type="dxa"/>
            <w:tcBorders>
              <w:top w:val="single" w:sz="8" w:space="0" w:color="000000"/>
              <w:left w:val="nil"/>
              <w:bottom w:val="single" w:sz="8" w:space="0" w:color="000000"/>
              <w:right w:val="single" w:sz="8" w:space="0" w:color="000000"/>
            </w:tcBorders>
            <w:shd w:val="clear" w:color="000000" w:fill="9CC2E5"/>
            <w:vAlign w:val="center"/>
            <w:hideMark/>
          </w:tcPr>
          <w:p w14:paraId="479C448D" w14:textId="5F672014" w:rsidR="000D4D00" w:rsidRPr="005774F8" w:rsidRDefault="000D4D00"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2015</w:t>
            </w:r>
          </w:p>
        </w:tc>
        <w:tc>
          <w:tcPr>
            <w:tcW w:w="801" w:type="dxa"/>
            <w:tcBorders>
              <w:top w:val="single" w:sz="8" w:space="0" w:color="000000"/>
              <w:left w:val="nil"/>
              <w:bottom w:val="single" w:sz="8" w:space="0" w:color="000000"/>
              <w:right w:val="single" w:sz="8" w:space="0" w:color="000000"/>
            </w:tcBorders>
            <w:shd w:val="clear" w:color="000000" w:fill="9CC2E5"/>
            <w:vAlign w:val="center"/>
            <w:hideMark/>
          </w:tcPr>
          <w:p w14:paraId="50FEA4A5" w14:textId="6A438125" w:rsidR="000D4D00" w:rsidRPr="005774F8" w:rsidRDefault="00EE5424"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2</w:t>
            </w:r>
            <w:r w:rsidR="00811E00" w:rsidRPr="005774F8">
              <w:rPr>
                <w:rFonts w:eastAsia="Times New Roman" w:cs="Times New Roman"/>
                <w:b/>
                <w:bCs/>
                <w:color w:val="000000"/>
                <w:sz w:val="18"/>
                <w:szCs w:val="18"/>
              </w:rPr>
              <w:t>0</w:t>
            </w:r>
            <w:r w:rsidR="000D4D00" w:rsidRPr="005774F8">
              <w:rPr>
                <w:rFonts w:eastAsia="Times New Roman" w:cs="Times New Roman"/>
                <w:b/>
                <w:bCs/>
                <w:color w:val="000000"/>
                <w:sz w:val="18"/>
                <w:szCs w:val="18"/>
              </w:rPr>
              <w:t>16</w:t>
            </w:r>
          </w:p>
        </w:tc>
        <w:tc>
          <w:tcPr>
            <w:tcW w:w="818" w:type="dxa"/>
            <w:tcBorders>
              <w:top w:val="single" w:sz="8" w:space="0" w:color="000000"/>
              <w:left w:val="nil"/>
              <w:bottom w:val="single" w:sz="8" w:space="0" w:color="000000"/>
              <w:right w:val="single" w:sz="8" w:space="0" w:color="000000"/>
            </w:tcBorders>
            <w:shd w:val="clear" w:color="000000" w:fill="9CC2E5"/>
            <w:vAlign w:val="center"/>
            <w:hideMark/>
          </w:tcPr>
          <w:p w14:paraId="53FF3C76" w14:textId="4BE99A77" w:rsidR="000D4D00" w:rsidRPr="005774F8" w:rsidRDefault="000D4D00"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2017</w:t>
            </w:r>
          </w:p>
        </w:tc>
        <w:tc>
          <w:tcPr>
            <w:tcW w:w="850" w:type="dxa"/>
            <w:tcBorders>
              <w:top w:val="single" w:sz="8" w:space="0" w:color="000000"/>
              <w:left w:val="nil"/>
              <w:bottom w:val="single" w:sz="8" w:space="0" w:color="000000"/>
              <w:right w:val="single" w:sz="8" w:space="0" w:color="000000"/>
            </w:tcBorders>
            <w:shd w:val="clear" w:color="000000" w:fill="9CC2E5"/>
            <w:vAlign w:val="center"/>
            <w:hideMark/>
          </w:tcPr>
          <w:p w14:paraId="01BF51A3" w14:textId="06BACBD8" w:rsidR="000D4D00" w:rsidRPr="005774F8" w:rsidRDefault="000D4D00"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2018</w:t>
            </w:r>
          </w:p>
        </w:tc>
        <w:tc>
          <w:tcPr>
            <w:tcW w:w="851" w:type="dxa"/>
            <w:tcBorders>
              <w:top w:val="single" w:sz="8" w:space="0" w:color="000000"/>
              <w:left w:val="nil"/>
              <w:bottom w:val="single" w:sz="8" w:space="0" w:color="000000"/>
              <w:right w:val="single" w:sz="8" w:space="0" w:color="000000"/>
            </w:tcBorders>
            <w:shd w:val="clear" w:color="000000" w:fill="9CC2E5"/>
            <w:vAlign w:val="center"/>
            <w:hideMark/>
          </w:tcPr>
          <w:p w14:paraId="23AB9ABB" w14:textId="0CC1D745" w:rsidR="000D4D00" w:rsidRPr="005774F8" w:rsidRDefault="000D4D00"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2019</w:t>
            </w:r>
          </w:p>
        </w:tc>
        <w:tc>
          <w:tcPr>
            <w:tcW w:w="890" w:type="dxa"/>
            <w:tcBorders>
              <w:top w:val="single" w:sz="8" w:space="0" w:color="000000"/>
              <w:left w:val="nil"/>
              <w:bottom w:val="single" w:sz="8" w:space="0" w:color="000000"/>
              <w:right w:val="single" w:sz="8" w:space="0" w:color="000000"/>
            </w:tcBorders>
            <w:shd w:val="clear" w:color="000000" w:fill="9CC2E5"/>
            <w:vAlign w:val="center"/>
            <w:hideMark/>
          </w:tcPr>
          <w:p w14:paraId="095BBA7A" w14:textId="4A579A18" w:rsidR="000D4D00" w:rsidRPr="005774F8" w:rsidRDefault="000D4D00"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2020</w:t>
            </w:r>
          </w:p>
        </w:tc>
      </w:tr>
      <w:tr w:rsidR="000D4D00" w:rsidRPr="005774F8" w14:paraId="4E5EF039" w14:textId="77777777" w:rsidTr="005774F8">
        <w:trPr>
          <w:trHeight w:val="309"/>
        </w:trPr>
        <w:tc>
          <w:tcPr>
            <w:tcW w:w="1560" w:type="dxa"/>
            <w:tcBorders>
              <w:top w:val="nil"/>
              <w:left w:val="single" w:sz="8" w:space="0" w:color="000000"/>
              <w:bottom w:val="single" w:sz="8" w:space="0" w:color="000000"/>
              <w:right w:val="single" w:sz="8" w:space="0" w:color="000000"/>
            </w:tcBorders>
            <w:shd w:val="clear" w:color="000000" w:fill="FFFFFF"/>
            <w:vAlign w:val="center"/>
            <w:hideMark/>
          </w:tcPr>
          <w:p w14:paraId="656D43A2" w14:textId="77777777" w:rsidR="000D4D00" w:rsidRPr="005774F8" w:rsidRDefault="000D4D00" w:rsidP="00EE5424">
            <w:pPr>
              <w:ind w:firstLine="22"/>
              <w:jc w:val="right"/>
              <w:rPr>
                <w:rFonts w:eastAsia="Times New Roman" w:cs="Times New Roman"/>
                <w:i/>
                <w:iCs/>
                <w:color w:val="000000"/>
                <w:sz w:val="18"/>
                <w:szCs w:val="18"/>
              </w:rPr>
            </w:pPr>
            <w:r w:rsidRPr="005774F8">
              <w:rPr>
                <w:rFonts w:eastAsia="Times New Roman" w:cs="Times New Roman"/>
                <w:i/>
                <w:iCs/>
                <w:color w:val="000000"/>
                <w:sz w:val="18"/>
                <w:szCs w:val="18"/>
              </w:rPr>
              <w:t>1</w:t>
            </w:r>
          </w:p>
        </w:tc>
        <w:tc>
          <w:tcPr>
            <w:tcW w:w="1559" w:type="dxa"/>
            <w:tcBorders>
              <w:top w:val="nil"/>
              <w:left w:val="nil"/>
              <w:bottom w:val="single" w:sz="8" w:space="0" w:color="000000"/>
              <w:right w:val="single" w:sz="8" w:space="0" w:color="000000"/>
            </w:tcBorders>
            <w:shd w:val="clear" w:color="000000" w:fill="DEEAF6"/>
            <w:vAlign w:val="center"/>
            <w:hideMark/>
          </w:tcPr>
          <w:p w14:paraId="2BC891D8" w14:textId="13F57BBD" w:rsidR="000D4D00" w:rsidRPr="005774F8" w:rsidRDefault="00F5298F" w:rsidP="00EE5424">
            <w:pPr>
              <w:ind w:firstLine="0"/>
              <w:jc w:val="left"/>
              <w:rPr>
                <w:rFonts w:eastAsia="Times New Roman" w:cs="Times New Roman"/>
                <w:color w:val="000000"/>
                <w:sz w:val="18"/>
                <w:szCs w:val="18"/>
              </w:rPr>
            </w:pPr>
            <w:r w:rsidRPr="005774F8">
              <w:rPr>
                <w:rFonts w:eastAsia="Times New Roman" w:cs="Times New Roman"/>
                <w:color w:val="000000"/>
                <w:sz w:val="18"/>
                <w:szCs w:val="18"/>
              </w:rPr>
              <w:t>Iekšzemes kopprodukts</w:t>
            </w:r>
            <w:r w:rsidR="000D4D00" w:rsidRPr="005774F8">
              <w:rPr>
                <w:rFonts w:eastAsia="Times New Roman" w:cs="Times New Roman"/>
                <w:color w:val="000000"/>
                <w:sz w:val="18"/>
                <w:szCs w:val="18"/>
              </w:rPr>
              <w:t xml:space="preserve"> (faktiskajās cenās), milj. </w:t>
            </w:r>
            <w:r w:rsidR="000D4D00" w:rsidRPr="005774F8">
              <w:rPr>
                <w:rFonts w:eastAsia="Times New Roman" w:cs="Times New Roman"/>
                <w:i/>
                <w:iCs/>
                <w:color w:val="000000"/>
                <w:sz w:val="18"/>
                <w:szCs w:val="18"/>
              </w:rPr>
              <w:t>euro</w:t>
            </w:r>
          </w:p>
        </w:tc>
        <w:tc>
          <w:tcPr>
            <w:tcW w:w="850" w:type="dxa"/>
            <w:tcBorders>
              <w:top w:val="nil"/>
              <w:left w:val="nil"/>
              <w:bottom w:val="single" w:sz="8" w:space="0" w:color="000000"/>
              <w:right w:val="single" w:sz="8" w:space="0" w:color="000000"/>
            </w:tcBorders>
            <w:shd w:val="clear" w:color="000000" w:fill="DDEBF7"/>
            <w:vAlign w:val="center"/>
            <w:hideMark/>
          </w:tcPr>
          <w:p w14:paraId="488FC5D6" w14:textId="399CAFF9" w:rsidR="000D4D00" w:rsidRPr="005774F8" w:rsidRDefault="00F5298F"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22923,</w:t>
            </w:r>
            <w:r w:rsidR="000D4D00" w:rsidRPr="005774F8">
              <w:rPr>
                <w:rFonts w:eastAsia="Times New Roman" w:cs="Times New Roman"/>
                <w:color w:val="000000"/>
                <w:sz w:val="18"/>
                <w:szCs w:val="18"/>
              </w:rPr>
              <w:t>7</w:t>
            </w:r>
          </w:p>
        </w:tc>
        <w:tc>
          <w:tcPr>
            <w:tcW w:w="801" w:type="dxa"/>
            <w:tcBorders>
              <w:top w:val="nil"/>
              <w:left w:val="nil"/>
              <w:bottom w:val="single" w:sz="8" w:space="0" w:color="000000"/>
              <w:right w:val="single" w:sz="8" w:space="0" w:color="000000"/>
            </w:tcBorders>
            <w:shd w:val="clear" w:color="000000" w:fill="DDEBF7"/>
            <w:vAlign w:val="center"/>
            <w:hideMark/>
          </w:tcPr>
          <w:p w14:paraId="4EA58FB0" w14:textId="5743A23A" w:rsidR="000D4D00" w:rsidRPr="005774F8" w:rsidRDefault="00F5298F"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23613,</w:t>
            </w:r>
            <w:r w:rsidR="000D4D00" w:rsidRPr="005774F8">
              <w:rPr>
                <w:rFonts w:eastAsia="Times New Roman" w:cs="Times New Roman"/>
                <w:color w:val="000000"/>
                <w:sz w:val="18"/>
                <w:szCs w:val="18"/>
              </w:rPr>
              <w:t>9</w:t>
            </w:r>
          </w:p>
        </w:tc>
        <w:tc>
          <w:tcPr>
            <w:tcW w:w="801" w:type="dxa"/>
            <w:tcBorders>
              <w:top w:val="nil"/>
              <w:left w:val="nil"/>
              <w:bottom w:val="single" w:sz="8" w:space="0" w:color="000000"/>
              <w:right w:val="single" w:sz="8" w:space="0" w:color="000000"/>
            </w:tcBorders>
            <w:shd w:val="clear" w:color="000000" w:fill="DDEBF7"/>
            <w:vAlign w:val="center"/>
            <w:hideMark/>
          </w:tcPr>
          <w:p w14:paraId="408630D3" w14:textId="3CEE4E62" w:rsidR="000D4D00" w:rsidRPr="005774F8" w:rsidRDefault="00555C2A"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24560,</w:t>
            </w:r>
            <w:r w:rsidR="000D4D00" w:rsidRPr="005774F8">
              <w:rPr>
                <w:rFonts w:eastAsia="Times New Roman" w:cs="Times New Roman"/>
                <w:color w:val="000000"/>
                <w:sz w:val="18"/>
                <w:szCs w:val="18"/>
              </w:rPr>
              <w:t>9</w:t>
            </w:r>
          </w:p>
        </w:tc>
        <w:tc>
          <w:tcPr>
            <w:tcW w:w="801" w:type="dxa"/>
            <w:tcBorders>
              <w:top w:val="nil"/>
              <w:left w:val="nil"/>
              <w:bottom w:val="single" w:sz="8" w:space="0" w:color="000000"/>
              <w:right w:val="single" w:sz="8" w:space="0" w:color="000000"/>
            </w:tcBorders>
            <w:shd w:val="clear" w:color="000000" w:fill="DDEBF7"/>
            <w:vAlign w:val="center"/>
            <w:hideMark/>
          </w:tcPr>
          <w:p w14:paraId="770BD8FA" w14:textId="01425FA8" w:rsidR="000D4D00" w:rsidRPr="005774F8" w:rsidRDefault="00EE5424"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25360,</w:t>
            </w:r>
            <w:r w:rsidR="000D4D00" w:rsidRPr="005774F8">
              <w:rPr>
                <w:rFonts w:eastAsia="Times New Roman" w:cs="Times New Roman"/>
                <w:color w:val="000000"/>
                <w:sz w:val="18"/>
                <w:szCs w:val="18"/>
              </w:rPr>
              <w:t>3</w:t>
            </w:r>
          </w:p>
        </w:tc>
        <w:tc>
          <w:tcPr>
            <w:tcW w:w="818" w:type="dxa"/>
            <w:tcBorders>
              <w:top w:val="nil"/>
              <w:left w:val="nil"/>
              <w:bottom w:val="single" w:sz="8" w:space="0" w:color="000000"/>
              <w:right w:val="single" w:sz="8" w:space="0" w:color="000000"/>
            </w:tcBorders>
            <w:shd w:val="clear" w:color="000000" w:fill="DDEBF7"/>
            <w:vAlign w:val="center"/>
            <w:hideMark/>
          </w:tcPr>
          <w:p w14:paraId="1C8FF638" w14:textId="77777777" w:rsidR="000D4D00" w:rsidRPr="005774F8" w:rsidRDefault="000D4D00"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26962.3</w:t>
            </w:r>
          </w:p>
        </w:tc>
        <w:tc>
          <w:tcPr>
            <w:tcW w:w="850" w:type="dxa"/>
            <w:tcBorders>
              <w:top w:val="nil"/>
              <w:left w:val="nil"/>
              <w:bottom w:val="single" w:sz="8" w:space="0" w:color="000000"/>
              <w:right w:val="single" w:sz="8" w:space="0" w:color="000000"/>
            </w:tcBorders>
            <w:shd w:val="clear" w:color="000000" w:fill="DDEBF7"/>
            <w:vAlign w:val="center"/>
            <w:hideMark/>
          </w:tcPr>
          <w:p w14:paraId="59E57E83" w14:textId="77777777" w:rsidR="000D4D00" w:rsidRPr="005774F8" w:rsidRDefault="000D4D00"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29142.5</w:t>
            </w:r>
          </w:p>
        </w:tc>
        <w:tc>
          <w:tcPr>
            <w:tcW w:w="851" w:type="dxa"/>
            <w:tcBorders>
              <w:top w:val="nil"/>
              <w:left w:val="nil"/>
              <w:bottom w:val="single" w:sz="8" w:space="0" w:color="000000"/>
              <w:right w:val="single" w:sz="8" w:space="0" w:color="000000"/>
            </w:tcBorders>
            <w:shd w:val="clear" w:color="000000" w:fill="DDEBF7"/>
            <w:vAlign w:val="center"/>
            <w:hideMark/>
          </w:tcPr>
          <w:p w14:paraId="54333BF5" w14:textId="4B8C6A86" w:rsidR="000D4D00" w:rsidRPr="005774F8" w:rsidRDefault="00EE5424"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30420,</w:t>
            </w:r>
            <w:r w:rsidR="000D4D00" w:rsidRPr="005774F8">
              <w:rPr>
                <w:rFonts w:eastAsia="Times New Roman" w:cs="Times New Roman"/>
                <w:color w:val="000000"/>
                <w:sz w:val="18"/>
                <w:szCs w:val="18"/>
              </w:rPr>
              <w:t>9</w:t>
            </w:r>
          </w:p>
        </w:tc>
        <w:tc>
          <w:tcPr>
            <w:tcW w:w="890" w:type="dxa"/>
            <w:tcBorders>
              <w:top w:val="nil"/>
              <w:left w:val="nil"/>
              <w:bottom w:val="single" w:sz="8" w:space="0" w:color="000000"/>
              <w:right w:val="single" w:sz="8" w:space="0" w:color="000000"/>
            </w:tcBorders>
            <w:shd w:val="clear" w:color="000000" w:fill="DDEBF7"/>
            <w:vAlign w:val="center"/>
            <w:hideMark/>
          </w:tcPr>
          <w:p w14:paraId="4C901413" w14:textId="1D98EB08" w:rsidR="000D4D00" w:rsidRPr="005774F8" w:rsidRDefault="00EE5424"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30476,</w:t>
            </w:r>
            <w:r w:rsidR="000D4D00" w:rsidRPr="005774F8">
              <w:rPr>
                <w:rFonts w:eastAsia="Times New Roman" w:cs="Times New Roman"/>
                <w:color w:val="000000"/>
                <w:sz w:val="18"/>
                <w:szCs w:val="18"/>
              </w:rPr>
              <w:t>1</w:t>
            </w:r>
          </w:p>
        </w:tc>
      </w:tr>
      <w:tr w:rsidR="000D4D00" w:rsidRPr="005774F8" w14:paraId="1D84433C" w14:textId="77777777" w:rsidTr="005774F8">
        <w:trPr>
          <w:trHeight w:val="484"/>
        </w:trPr>
        <w:tc>
          <w:tcPr>
            <w:tcW w:w="1560" w:type="dxa"/>
            <w:tcBorders>
              <w:top w:val="nil"/>
              <w:left w:val="single" w:sz="8" w:space="0" w:color="000000"/>
              <w:bottom w:val="single" w:sz="8" w:space="0" w:color="000000"/>
              <w:right w:val="single" w:sz="8" w:space="0" w:color="000000"/>
            </w:tcBorders>
            <w:shd w:val="clear" w:color="000000" w:fill="FFFFFF"/>
            <w:vAlign w:val="center"/>
            <w:hideMark/>
          </w:tcPr>
          <w:p w14:paraId="2B3293F3" w14:textId="77777777" w:rsidR="000D4D00" w:rsidRPr="005774F8" w:rsidRDefault="000D4D00" w:rsidP="00EE5424">
            <w:pPr>
              <w:ind w:firstLine="22"/>
              <w:jc w:val="right"/>
              <w:rPr>
                <w:rFonts w:eastAsia="Times New Roman" w:cs="Times New Roman"/>
                <w:i/>
                <w:iCs/>
                <w:color w:val="000000"/>
                <w:sz w:val="18"/>
                <w:szCs w:val="18"/>
              </w:rPr>
            </w:pPr>
            <w:r w:rsidRPr="005774F8">
              <w:rPr>
                <w:rFonts w:eastAsia="Times New Roman" w:cs="Times New Roman"/>
                <w:i/>
                <w:iCs/>
                <w:color w:val="000000"/>
                <w:sz w:val="18"/>
                <w:szCs w:val="18"/>
              </w:rPr>
              <w:t>2</w:t>
            </w:r>
          </w:p>
        </w:tc>
        <w:tc>
          <w:tcPr>
            <w:tcW w:w="1559" w:type="dxa"/>
            <w:tcBorders>
              <w:top w:val="nil"/>
              <w:left w:val="nil"/>
              <w:bottom w:val="single" w:sz="8" w:space="0" w:color="000000"/>
              <w:right w:val="single" w:sz="8" w:space="0" w:color="000000"/>
            </w:tcBorders>
            <w:shd w:val="clear" w:color="auto" w:fill="auto"/>
            <w:vAlign w:val="center"/>
            <w:hideMark/>
          </w:tcPr>
          <w:p w14:paraId="4E629191" w14:textId="33EB0C64" w:rsidR="000D4D00" w:rsidRPr="005774F8" w:rsidRDefault="000D4D00" w:rsidP="00EE5424">
            <w:pPr>
              <w:ind w:firstLine="0"/>
              <w:jc w:val="left"/>
              <w:rPr>
                <w:rFonts w:eastAsia="Times New Roman" w:cs="Times New Roman"/>
                <w:color w:val="000000"/>
                <w:sz w:val="18"/>
                <w:szCs w:val="18"/>
              </w:rPr>
            </w:pPr>
            <w:r w:rsidRPr="005774F8">
              <w:rPr>
                <w:rFonts w:eastAsia="Times New Roman" w:cs="Times New Roman"/>
                <w:color w:val="000000"/>
                <w:sz w:val="18"/>
                <w:szCs w:val="18"/>
              </w:rPr>
              <w:t>Faktiskā vispārējās valdības budže</w:t>
            </w:r>
            <w:r w:rsidR="00555C2A" w:rsidRPr="005774F8">
              <w:rPr>
                <w:rFonts w:eastAsia="Times New Roman" w:cs="Times New Roman"/>
                <w:color w:val="000000"/>
                <w:sz w:val="18"/>
                <w:szCs w:val="18"/>
              </w:rPr>
              <w:t>ta strukturālā bilance, % no iekšzemes kopprodukta</w:t>
            </w:r>
          </w:p>
        </w:tc>
        <w:tc>
          <w:tcPr>
            <w:tcW w:w="850" w:type="dxa"/>
            <w:tcBorders>
              <w:top w:val="nil"/>
              <w:left w:val="nil"/>
              <w:bottom w:val="single" w:sz="8" w:space="0" w:color="000000"/>
              <w:right w:val="single" w:sz="8" w:space="0" w:color="000000"/>
            </w:tcBorders>
            <w:shd w:val="clear" w:color="000000" w:fill="FFFFFF"/>
            <w:vAlign w:val="center"/>
            <w:hideMark/>
          </w:tcPr>
          <w:p w14:paraId="36773BAC" w14:textId="61A7DC00" w:rsidR="000D4D00" w:rsidRPr="005774F8" w:rsidRDefault="00F5298F"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-1,</w:t>
            </w:r>
            <w:r w:rsidR="000D4D00" w:rsidRPr="005774F8">
              <w:rPr>
                <w:rFonts w:eastAsia="Times New Roman" w:cs="Times New Roman"/>
                <w:b/>
                <w:bCs/>
                <w:color w:val="000000"/>
                <w:sz w:val="18"/>
                <w:szCs w:val="18"/>
              </w:rPr>
              <w:t>4</w:t>
            </w:r>
          </w:p>
        </w:tc>
        <w:tc>
          <w:tcPr>
            <w:tcW w:w="801" w:type="dxa"/>
            <w:tcBorders>
              <w:top w:val="nil"/>
              <w:left w:val="nil"/>
              <w:bottom w:val="single" w:sz="8" w:space="0" w:color="000000"/>
              <w:right w:val="single" w:sz="8" w:space="0" w:color="000000"/>
            </w:tcBorders>
            <w:shd w:val="clear" w:color="000000" w:fill="FFFFFF"/>
            <w:vAlign w:val="center"/>
            <w:hideMark/>
          </w:tcPr>
          <w:p w14:paraId="173900B7" w14:textId="0ED39721" w:rsidR="000D4D00" w:rsidRPr="005774F8" w:rsidRDefault="00F5298F"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-1,</w:t>
            </w:r>
            <w:r w:rsidR="000D4D00" w:rsidRPr="005774F8">
              <w:rPr>
                <w:rFonts w:eastAsia="Times New Roman" w:cs="Times New Roman"/>
                <w:b/>
                <w:bCs/>
                <w:color w:val="000000"/>
                <w:sz w:val="18"/>
                <w:szCs w:val="18"/>
              </w:rPr>
              <w:t>6</w:t>
            </w:r>
          </w:p>
        </w:tc>
        <w:tc>
          <w:tcPr>
            <w:tcW w:w="801" w:type="dxa"/>
            <w:tcBorders>
              <w:top w:val="nil"/>
              <w:left w:val="nil"/>
              <w:bottom w:val="single" w:sz="8" w:space="0" w:color="000000"/>
              <w:right w:val="single" w:sz="8" w:space="0" w:color="000000"/>
            </w:tcBorders>
            <w:shd w:val="clear" w:color="000000" w:fill="FFFFFF"/>
            <w:vAlign w:val="center"/>
            <w:hideMark/>
          </w:tcPr>
          <w:p w14:paraId="00DD2E0C" w14:textId="66D2F2EA" w:rsidR="000D4D00" w:rsidRPr="005774F8" w:rsidRDefault="00555C2A"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-2,</w:t>
            </w:r>
            <w:r w:rsidR="000D4D00" w:rsidRPr="005774F8">
              <w:rPr>
                <w:rFonts w:eastAsia="Times New Roman" w:cs="Times New Roman"/>
                <w:b/>
                <w:bCs/>
                <w:color w:val="000000"/>
                <w:sz w:val="18"/>
                <w:szCs w:val="18"/>
              </w:rPr>
              <w:t>0</w:t>
            </w:r>
          </w:p>
        </w:tc>
        <w:tc>
          <w:tcPr>
            <w:tcW w:w="801" w:type="dxa"/>
            <w:tcBorders>
              <w:top w:val="nil"/>
              <w:left w:val="nil"/>
              <w:bottom w:val="single" w:sz="8" w:space="0" w:color="000000"/>
              <w:right w:val="single" w:sz="8" w:space="0" w:color="000000"/>
            </w:tcBorders>
            <w:shd w:val="clear" w:color="000000" w:fill="FFFFFF"/>
            <w:vAlign w:val="center"/>
            <w:hideMark/>
          </w:tcPr>
          <w:p w14:paraId="403C335D" w14:textId="5161496F" w:rsidR="000D4D00" w:rsidRPr="005774F8" w:rsidRDefault="00EE5424"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0D4D00" w:rsidRPr="005774F8">
              <w:rPr>
                <w:rFonts w:eastAsia="Times New Roman" w:cs="Times New Roman"/>
                <w:b/>
                <w:bCs/>
                <w:color w:val="000000"/>
                <w:sz w:val="18"/>
                <w:szCs w:val="18"/>
              </w:rPr>
              <w:t>4</w:t>
            </w:r>
          </w:p>
        </w:tc>
        <w:tc>
          <w:tcPr>
            <w:tcW w:w="818" w:type="dxa"/>
            <w:tcBorders>
              <w:top w:val="nil"/>
              <w:left w:val="nil"/>
              <w:bottom w:val="single" w:sz="8" w:space="0" w:color="000000"/>
              <w:right w:val="single" w:sz="8" w:space="0" w:color="000000"/>
            </w:tcBorders>
            <w:shd w:val="clear" w:color="000000" w:fill="FFFFFF"/>
            <w:vAlign w:val="center"/>
            <w:hideMark/>
          </w:tcPr>
          <w:p w14:paraId="608B48AE" w14:textId="7C369834" w:rsidR="000D4D00" w:rsidRPr="005774F8" w:rsidRDefault="00EE5424"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-1,</w:t>
            </w:r>
            <w:r w:rsidR="000D4D00" w:rsidRPr="005774F8">
              <w:rPr>
                <w:rFonts w:eastAsia="Times New Roman" w:cs="Times New Roman"/>
                <w:b/>
                <w:bCs/>
                <w:color w:val="000000"/>
                <w:sz w:val="18"/>
                <w:szCs w:val="18"/>
              </w:rPr>
              <w:t>4</w:t>
            </w:r>
          </w:p>
        </w:tc>
        <w:tc>
          <w:tcPr>
            <w:tcW w:w="850" w:type="dxa"/>
            <w:tcBorders>
              <w:top w:val="nil"/>
              <w:left w:val="nil"/>
              <w:bottom w:val="single" w:sz="8" w:space="0" w:color="000000"/>
              <w:right w:val="single" w:sz="8" w:space="0" w:color="000000"/>
            </w:tcBorders>
            <w:shd w:val="clear" w:color="000000" w:fill="FFFFFF"/>
            <w:vAlign w:val="center"/>
            <w:hideMark/>
          </w:tcPr>
          <w:p w14:paraId="5A7034F8" w14:textId="122B756F" w:rsidR="000D4D00" w:rsidRPr="005774F8" w:rsidRDefault="00EE5424"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-1,</w:t>
            </w:r>
            <w:r w:rsidR="000D4D00" w:rsidRPr="005774F8">
              <w:rPr>
                <w:rFonts w:eastAsia="Times New Roman" w:cs="Times New Roman"/>
                <w:b/>
                <w:bCs/>
                <w:color w:val="000000"/>
                <w:sz w:val="18"/>
                <w:szCs w:val="18"/>
              </w:rPr>
              <w:t>7</w:t>
            </w:r>
          </w:p>
        </w:tc>
        <w:tc>
          <w:tcPr>
            <w:tcW w:w="851" w:type="dxa"/>
            <w:tcBorders>
              <w:top w:val="nil"/>
              <w:left w:val="nil"/>
              <w:bottom w:val="single" w:sz="8" w:space="0" w:color="000000"/>
              <w:right w:val="single" w:sz="8" w:space="0" w:color="000000"/>
            </w:tcBorders>
            <w:shd w:val="clear" w:color="000000" w:fill="FFFFFF"/>
            <w:vAlign w:val="center"/>
            <w:hideMark/>
          </w:tcPr>
          <w:p w14:paraId="1DACEE4E" w14:textId="286EA57F" w:rsidR="000D4D00" w:rsidRPr="005774F8" w:rsidRDefault="00EE5424"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0D4D00" w:rsidRPr="005774F8">
              <w:rPr>
                <w:rFonts w:eastAsia="Times New Roman" w:cs="Times New Roman"/>
                <w:b/>
                <w:bCs/>
                <w:color w:val="000000"/>
                <w:sz w:val="18"/>
                <w:szCs w:val="18"/>
              </w:rPr>
              <w:t>7</w:t>
            </w:r>
          </w:p>
        </w:tc>
        <w:tc>
          <w:tcPr>
            <w:tcW w:w="890" w:type="dxa"/>
            <w:tcBorders>
              <w:top w:val="nil"/>
              <w:left w:val="nil"/>
              <w:bottom w:val="single" w:sz="8" w:space="0" w:color="000000"/>
              <w:right w:val="single" w:sz="8" w:space="0" w:color="000000"/>
            </w:tcBorders>
            <w:shd w:val="clear" w:color="000000" w:fill="FFFFFF"/>
            <w:vAlign w:val="center"/>
            <w:hideMark/>
          </w:tcPr>
          <w:p w14:paraId="0E3EE282" w14:textId="06DE1B81" w:rsidR="000D4D00" w:rsidRPr="005774F8" w:rsidRDefault="00EE5424"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-2,</w:t>
            </w:r>
            <w:r w:rsidR="000D4D00" w:rsidRPr="005774F8">
              <w:rPr>
                <w:rFonts w:eastAsia="Times New Roman" w:cs="Times New Roman"/>
                <w:b/>
                <w:bCs/>
                <w:color w:val="000000"/>
                <w:sz w:val="18"/>
                <w:szCs w:val="18"/>
              </w:rPr>
              <w:t>8</w:t>
            </w:r>
          </w:p>
        </w:tc>
      </w:tr>
      <w:tr w:rsidR="000D4D00" w:rsidRPr="005774F8" w14:paraId="657CAE34" w14:textId="77777777" w:rsidTr="005774F8">
        <w:trPr>
          <w:trHeight w:val="484"/>
        </w:trPr>
        <w:tc>
          <w:tcPr>
            <w:tcW w:w="1560" w:type="dxa"/>
            <w:tcBorders>
              <w:top w:val="nil"/>
              <w:left w:val="single" w:sz="8" w:space="0" w:color="000000"/>
              <w:bottom w:val="single" w:sz="8" w:space="0" w:color="000000"/>
              <w:right w:val="single" w:sz="8" w:space="0" w:color="000000"/>
            </w:tcBorders>
            <w:shd w:val="clear" w:color="000000" w:fill="FFFFFF"/>
            <w:vAlign w:val="center"/>
            <w:hideMark/>
          </w:tcPr>
          <w:p w14:paraId="76141C80" w14:textId="77777777" w:rsidR="000D4D00" w:rsidRPr="005774F8" w:rsidRDefault="000D4D00" w:rsidP="00EE5424">
            <w:pPr>
              <w:ind w:firstLine="22"/>
              <w:jc w:val="right"/>
              <w:rPr>
                <w:rFonts w:eastAsia="Times New Roman" w:cs="Times New Roman"/>
                <w:i/>
                <w:iCs/>
                <w:color w:val="000000"/>
                <w:sz w:val="18"/>
                <w:szCs w:val="18"/>
              </w:rPr>
            </w:pPr>
            <w:r w:rsidRPr="005774F8">
              <w:rPr>
                <w:rFonts w:eastAsia="Times New Roman" w:cs="Times New Roman"/>
                <w:i/>
                <w:iCs/>
                <w:color w:val="000000"/>
                <w:sz w:val="18"/>
                <w:szCs w:val="18"/>
              </w:rPr>
              <w:t>3.(1.×2.)</w:t>
            </w:r>
          </w:p>
        </w:tc>
        <w:tc>
          <w:tcPr>
            <w:tcW w:w="1559" w:type="dxa"/>
            <w:tcBorders>
              <w:top w:val="nil"/>
              <w:left w:val="nil"/>
              <w:bottom w:val="single" w:sz="8" w:space="0" w:color="000000"/>
              <w:right w:val="single" w:sz="8" w:space="0" w:color="000000"/>
            </w:tcBorders>
            <w:shd w:val="clear" w:color="000000" w:fill="DEEAF6"/>
            <w:vAlign w:val="center"/>
            <w:hideMark/>
          </w:tcPr>
          <w:p w14:paraId="7C96542E" w14:textId="77777777" w:rsidR="000D4D00" w:rsidRPr="005774F8" w:rsidRDefault="000D4D00" w:rsidP="00EE5424">
            <w:pPr>
              <w:ind w:firstLine="0"/>
              <w:jc w:val="left"/>
              <w:rPr>
                <w:rFonts w:eastAsia="Times New Roman" w:cs="Times New Roman"/>
                <w:color w:val="000000"/>
                <w:sz w:val="18"/>
                <w:szCs w:val="18"/>
              </w:rPr>
            </w:pPr>
            <w:r w:rsidRPr="005774F8">
              <w:rPr>
                <w:rFonts w:eastAsia="Times New Roman" w:cs="Times New Roman"/>
                <w:color w:val="000000"/>
                <w:sz w:val="18"/>
                <w:szCs w:val="18"/>
              </w:rPr>
              <w:t xml:space="preserve">Faktiskā vispārējās valdības budžeta strukturālā bilance, milj. </w:t>
            </w:r>
            <w:r w:rsidRPr="005774F8">
              <w:rPr>
                <w:rFonts w:eastAsia="Times New Roman" w:cs="Times New Roman"/>
                <w:i/>
                <w:iCs/>
                <w:color w:val="000000"/>
                <w:sz w:val="18"/>
                <w:szCs w:val="18"/>
              </w:rPr>
              <w:t>euro</w:t>
            </w:r>
          </w:p>
        </w:tc>
        <w:tc>
          <w:tcPr>
            <w:tcW w:w="850" w:type="dxa"/>
            <w:tcBorders>
              <w:top w:val="nil"/>
              <w:left w:val="nil"/>
              <w:bottom w:val="single" w:sz="8" w:space="0" w:color="000000"/>
              <w:right w:val="single" w:sz="8" w:space="0" w:color="000000"/>
            </w:tcBorders>
            <w:shd w:val="clear" w:color="000000" w:fill="DDEBF7"/>
            <w:vAlign w:val="center"/>
            <w:hideMark/>
          </w:tcPr>
          <w:p w14:paraId="2E286851" w14:textId="475E7903" w:rsidR="000D4D00" w:rsidRPr="005774F8" w:rsidRDefault="00F5298F"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-317,</w:t>
            </w:r>
            <w:r w:rsidR="000D4D00" w:rsidRPr="005774F8">
              <w:rPr>
                <w:rFonts w:eastAsia="Times New Roman" w:cs="Times New Roman"/>
                <w:color w:val="000000"/>
                <w:sz w:val="18"/>
                <w:szCs w:val="18"/>
              </w:rPr>
              <w:t>3</w:t>
            </w:r>
          </w:p>
        </w:tc>
        <w:tc>
          <w:tcPr>
            <w:tcW w:w="801" w:type="dxa"/>
            <w:tcBorders>
              <w:top w:val="nil"/>
              <w:left w:val="nil"/>
              <w:bottom w:val="single" w:sz="8" w:space="0" w:color="000000"/>
              <w:right w:val="single" w:sz="8" w:space="0" w:color="000000"/>
            </w:tcBorders>
            <w:shd w:val="clear" w:color="000000" w:fill="DDEBF7"/>
            <w:vAlign w:val="center"/>
            <w:hideMark/>
          </w:tcPr>
          <w:p w14:paraId="5F36ABCA" w14:textId="7F893C36" w:rsidR="000D4D00" w:rsidRPr="005774F8" w:rsidRDefault="00F5298F"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-384,</w:t>
            </w:r>
            <w:r w:rsidR="000D4D00" w:rsidRPr="005774F8">
              <w:rPr>
                <w:rFonts w:eastAsia="Times New Roman" w:cs="Times New Roman"/>
                <w:color w:val="000000"/>
                <w:sz w:val="18"/>
                <w:szCs w:val="18"/>
              </w:rPr>
              <w:t>6</w:t>
            </w:r>
          </w:p>
        </w:tc>
        <w:tc>
          <w:tcPr>
            <w:tcW w:w="801" w:type="dxa"/>
            <w:tcBorders>
              <w:top w:val="nil"/>
              <w:left w:val="nil"/>
              <w:bottom w:val="single" w:sz="8" w:space="0" w:color="000000"/>
              <w:right w:val="single" w:sz="8" w:space="0" w:color="000000"/>
            </w:tcBorders>
            <w:shd w:val="clear" w:color="000000" w:fill="DDEBF7"/>
            <w:vAlign w:val="center"/>
            <w:hideMark/>
          </w:tcPr>
          <w:p w14:paraId="4F693F58" w14:textId="6B8F08D2" w:rsidR="000D4D00" w:rsidRPr="005774F8" w:rsidRDefault="00EE5424"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-480,</w:t>
            </w:r>
            <w:r w:rsidR="000D4D00" w:rsidRPr="005774F8">
              <w:rPr>
                <w:rFonts w:eastAsia="Times New Roman" w:cs="Times New Roman"/>
                <w:color w:val="000000"/>
                <w:sz w:val="18"/>
                <w:szCs w:val="18"/>
              </w:rPr>
              <w:t>0</w:t>
            </w:r>
          </w:p>
        </w:tc>
        <w:tc>
          <w:tcPr>
            <w:tcW w:w="801" w:type="dxa"/>
            <w:tcBorders>
              <w:top w:val="nil"/>
              <w:left w:val="nil"/>
              <w:bottom w:val="single" w:sz="8" w:space="0" w:color="000000"/>
              <w:right w:val="single" w:sz="8" w:space="0" w:color="000000"/>
            </w:tcBorders>
            <w:shd w:val="clear" w:color="000000" w:fill="DDEBF7"/>
            <w:vAlign w:val="center"/>
            <w:hideMark/>
          </w:tcPr>
          <w:p w14:paraId="13B00071" w14:textId="5530F2B3" w:rsidR="000D4D00" w:rsidRPr="005774F8" w:rsidRDefault="00EE5424"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-106,</w:t>
            </w:r>
            <w:r w:rsidR="000D4D00" w:rsidRPr="005774F8">
              <w:rPr>
                <w:rFonts w:eastAsia="Times New Roman" w:cs="Times New Roman"/>
                <w:color w:val="000000"/>
                <w:sz w:val="18"/>
                <w:szCs w:val="18"/>
              </w:rPr>
              <w:t>1</w:t>
            </w:r>
          </w:p>
        </w:tc>
        <w:tc>
          <w:tcPr>
            <w:tcW w:w="818" w:type="dxa"/>
            <w:tcBorders>
              <w:top w:val="nil"/>
              <w:left w:val="nil"/>
              <w:bottom w:val="single" w:sz="8" w:space="0" w:color="000000"/>
              <w:right w:val="single" w:sz="8" w:space="0" w:color="000000"/>
            </w:tcBorders>
            <w:shd w:val="clear" w:color="000000" w:fill="DDEBF7"/>
            <w:vAlign w:val="center"/>
            <w:hideMark/>
          </w:tcPr>
          <w:p w14:paraId="620DB0FC" w14:textId="25CC53C6" w:rsidR="000D4D00" w:rsidRPr="005774F8" w:rsidRDefault="00EE5424"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-374,</w:t>
            </w:r>
            <w:r w:rsidR="000D4D00" w:rsidRPr="005774F8">
              <w:rPr>
                <w:rFonts w:eastAsia="Times New Roman" w:cs="Times New Roman"/>
                <w:color w:val="000000"/>
                <w:sz w:val="18"/>
                <w:szCs w:val="18"/>
              </w:rPr>
              <w:t>3</w:t>
            </w:r>
          </w:p>
        </w:tc>
        <w:tc>
          <w:tcPr>
            <w:tcW w:w="850" w:type="dxa"/>
            <w:tcBorders>
              <w:top w:val="nil"/>
              <w:left w:val="nil"/>
              <w:bottom w:val="single" w:sz="8" w:space="0" w:color="000000"/>
              <w:right w:val="single" w:sz="8" w:space="0" w:color="000000"/>
            </w:tcBorders>
            <w:shd w:val="clear" w:color="000000" w:fill="DDEBF7"/>
            <w:vAlign w:val="center"/>
            <w:hideMark/>
          </w:tcPr>
          <w:p w14:paraId="424BADC1" w14:textId="561D3F67" w:rsidR="000D4D00" w:rsidRPr="005774F8" w:rsidRDefault="000D4D00"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-493</w:t>
            </w:r>
            <w:r w:rsidR="00EE5424" w:rsidRPr="005774F8">
              <w:rPr>
                <w:rFonts w:eastAsia="Times New Roman" w:cs="Times New Roman"/>
                <w:color w:val="000000"/>
                <w:sz w:val="18"/>
                <w:szCs w:val="18"/>
              </w:rPr>
              <w:t>,</w:t>
            </w:r>
            <w:r w:rsidRPr="005774F8">
              <w:rPr>
                <w:rFonts w:eastAsia="Times New Roman" w:cs="Times New Roman"/>
                <w:color w:val="000000"/>
                <w:sz w:val="18"/>
                <w:szCs w:val="18"/>
              </w:rPr>
              <w:t>0</w:t>
            </w:r>
          </w:p>
        </w:tc>
        <w:tc>
          <w:tcPr>
            <w:tcW w:w="851" w:type="dxa"/>
            <w:tcBorders>
              <w:top w:val="nil"/>
              <w:left w:val="nil"/>
              <w:bottom w:val="single" w:sz="8" w:space="0" w:color="000000"/>
              <w:right w:val="single" w:sz="8" w:space="0" w:color="000000"/>
            </w:tcBorders>
            <w:shd w:val="clear" w:color="000000" w:fill="DDEBF7"/>
            <w:vAlign w:val="center"/>
            <w:hideMark/>
          </w:tcPr>
          <w:p w14:paraId="6C55A8C4" w14:textId="5DD05410" w:rsidR="000D4D00" w:rsidRPr="005774F8" w:rsidRDefault="000D4D00"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-203</w:t>
            </w:r>
            <w:r w:rsidR="00555C2A" w:rsidRPr="005774F8">
              <w:rPr>
                <w:rFonts w:eastAsia="Times New Roman" w:cs="Times New Roman"/>
                <w:color w:val="000000"/>
                <w:sz w:val="18"/>
                <w:szCs w:val="18"/>
              </w:rPr>
              <w:t>,</w:t>
            </w:r>
            <w:r w:rsidRPr="005774F8">
              <w:rPr>
                <w:rFonts w:eastAsia="Times New Roman" w:cs="Times New Roman"/>
                <w:color w:val="000000"/>
                <w:sz w:val="18"/>
                <w:szCs w:val="18"/>
              </w:rPr>
              <w:t>8</w:t>
            </w:r>
          </w:p>
        </w:tc>
        <w:tc>
          <w:tcPr>
            <w:tcW w:w="890" w:type="dxa"/>
            <w:tcBorders>
              <w:top w:val="nil"/>
              <w:left w:val="nil"/>
              <w:bottom w:val="single" w:sz="8" w:space="0" w:color="000000"/>
              <w:right w:val="single" w:sz="8" w:space="0" w:color="000000"/>
            </w:tcBorders>
            <w:shd w:val="clear" w:color="000000" w:fill="DDEBF7"/>
            <w:vAlign w:val="center"/>
            <w:hideMark/>
          </w:tcPr>
          <w:p w14:paraId="2D38575F" w14:textId="38479846" w:rsidR="000D4D00" w:rsidRPr="005774F8" w:rsidRDefault="000D4D00"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-847</w:t>
            </w:r>
            <w:r w:rsidR="00555C2A" w:rsidRPr="005774F8">
              <w:rPr>
                <w:rFonts w:eastAsia="Times New Roman" w:cs="Times New Roman"/>
                <w:color w:val="000000"/>
                <w:sz w:val="18"/>
                <w:szCs w:val="18"/>
              </w:rPr>
              <w:t>,</w:t>
            </w:r>
            <w:r w:rsidRPr="005774F8">
              <w:rPr>
                <w:rFonts w:eastAsia="Times New Roman" w:cs="Times New Roman"/>
                <w:color w:val="000000"/>
                <w:sz w:val="18"/>
                <w:szCs w:val="18"/>
              </w:rPr>
              <w:t>7</w:t>
            </w:r>
          </w:p>
        </w:tc>
      </w:tr>
      <w:tr w:rsidR="000D4D00" w:rsidRPr="005774F8" w14:paraId="05B8659E" w14:textId="77777777" w:rsidTr="005774F8">
        <w:trPr>
          <w:trHeight w:val="722"/>
        </w:trPr>
        <w:tc>
          <w:tcPr>
            <w:tcW w:w="1560" w:type="dxa"/>
            <w:tcBorders>
              <w:top w:val="nil"/>
              <w:left w:val="single" w:sz="8" w:space="0" w:color="000000"/>
              <w:bottom w:val="single" w:sz="8" w:space="0" w:color="000000"/>
              <w:right w:val="single" w:sz="8" w:space="0" w:color="000000"/>
            </w:tcBorders>
            <w:shd w:val="clear" w:color="000000" w:fill="FFFFFF"/>
            <w:vAlign w:val="center"/>
            <w:hideMark/>
          </w:tcPr>
          <w:p w14:paraId="7B33E0CC" w14:textId="77777777" w:rsidR="000D4D00" w:rsidRPr="005774F8" w:rsidRDefault="000D4D00" w:rsidP="00EE5424">
            <w:pPr>
              <w:ind w:firstLine="22"/>
              <w:jc w:val="right"/>
              <w:rPr>
                <w:rFonts w:eastAsia="Times New Roman" w:cs="Times New Roman"/>
                <w:i/>
                <w:iCs/>
                <w:color w:val="000000"/>
                <w:sz w:val="18"/>
                <w:szCs w:val="18"/>
              </w:rPr>
            </w:pPr>
            <w:r w:rsidRPr="005774F8">
              <w:rPr>
                <w:rFonts w:eastAsia="Times New Roman" w:cs="Times New Roman"/>
                <w:i/>
                <w:iCs/>
                <w:color w:val="000000"/>
                <w:sz w:val="18"/>
                <w:szCs w:val="18"/>
              </w:rPr>
              <w:t>4</w:t>
            </w:r>
          </w:p>
        </w:tc>
        <w:tc>
          <w:tcPr>
            <w:tcW w:w="1559" w:type="dxa"/>
            <w:tcBorders>
              <w:top w:val="nil"/>
              <w:left w:val="nil"/>
              <w:bottom w:val="single" w:sz="8" w:space="0" w:color="000000"/>
              <w:right w:val="single" w:sz="8" w:space="0" w:color="000000"/>
            </w:tcBorders>
            <w:shd w:val="clear" w:color="auto" w:fill="auto"/>
            <w:vAlign w:val="center"/>
            <w:hideMark/>
          </w:tcPr>
          <w:p w14:paraId="1043DF22" w14:textId="1B92491E" w:rsidR="000D4D00" w:rsidRPr="005774F8" w:rsidRDefault="000D4D00" w:rsidP="00EE5424">
            <w:pPr>
              <w:ind w:firstLine="0"/>
              <w:jc w:val="left"/>
              <w:rPr>
                <w:rFonts w:eastAsia="Times New Roman" w:cs="Times New Roman"/>
                <w:color w:val="000000"/>
                <w:sz w:val="18"/>
                <w:szCs w:val="18"/>
              </w:rPr>
            </w:pPr>
            <w:r w:rsidRPr="005774F8">
              <w:rPr>
                <w:rFonts w:eastAsia="Times New Roman" w:cs="Times New Roman"/>
                <w:color w:val="000000"/>
                <w:sz w:val="18"/>
                <w:szCs w:val="18"/>
              </w:rPr>
              <w:t>Minimālā plānojamā vispārējās valdības budžeta strukturālā bilance, % no</w:t>
            </w:r>
            <w:r w:rsidR="00555C2A" w:rsidRPr="005774F8">
              <w:rPr>
                <w:rFonts w:eastAsia="Times New Roman" w:cs="Times New Roman"/>
                <w:color w:val="000000"/>
                <w:sz w:val="18"/>
                <w:szCs w:val="18"/>
              </w:rPr>
              <w:t xml:space="preserve"> iekšzemes kopprodukta</w:t>
            </w:r>
          </w:p>
        </w:tc>
        <w:tc>
          <w:tcPr>
            <w:tcW w:w="850" w:type="dxa"/>
            <w:tcBorders>
              <w:top w:val="nil"/>
              <w:left w:val="nil"/>
              <w:bottom w:val="single" w:sz="8" w:space="0" w:color="000000"/>
              <w:right w:val="single" w:sz="8" w:space="0" w:color="000000"/>
            </w:tcBorders>
            <w:shd w:val="clear" w:color="000000" w:fill="FFFFFF"/>
            <w:vAlign w:val="center"/>
            <w:hideMark/>
          </w:tcPr>
          <w:p w14:paraId="16D3D9EB" w14:textId="7157CD1E" w:rsidR="000D4D00" w:rsidRPr="005774F8" w:rsidRDefault="00F5298F"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-1,</w:t>
            </w:r>
            <w:r w:rsidR="000D4D00" w:rsidRPr="005774F8">
              <w:rPr>
                <w:rFonts w:eastAsia="Times New Roman" w:cs="Times New Roman"/>
                <w:b/>
                <w:bCs/>
                <w:color w:val="000000"/>
                <w:sz w:val="18"/>
                <w:szCs w:val="18"/>
              </w:rPr>
              <w:t>3</w:t>
            </w:r>
          </w:p>
        </w:tc>
        <w:tc>
          <w:tcPr>
            <w:tcW w:w="801" w:type="dxa"/>
            <w:tcBorders>
              <w:top w:val="nil"/>
              <w:left w:val="nil"/>
              <w:bottom w:val="single" w:sz="8" w:space="0" w:color="000000"/>
              <w:right w:val="single" w:sz="8" w:space="0" w:color="000000"/>
            </w:tcBorders>
            <w:shd w:val="clear" w:color="000000" w:fill="FFFFFF"/>
            <w:vAlign w:val="center"/>
            <w:hideMark/>
          </w:tcPr>
          <w:p w14:paraId="585BD98C" w14:textId="0B73455A" w:rsidR="000D4D00" w:rsidRPr="005774F8" w:rsidRDefault="00F5298F"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-1,</w:t>
            </w:r>
            <w:r w:rsidR="000D4D00" w:rsidRPr="005774F8">
              <w:rPr>
                <w:rFonts w:eastAsia="Times New Roman" w:cs="Times New Roman"/>
                <w:b/>
                <w:bCs/>
                <w:color w:val="000000"/>
                <w:sz w:val="18"/>
                <w:szCs w:val="18"/>
              </w:rPr>
              <w:t>0</w:t>
            </w:r>
          </w:p>
        </w:tc>
        <w:tc>
          <w:tcPr>
            <w:tcW w:w="801" w:type="dxa"/>
            <w:tcBorders>
              <w:top w:val="nil"/>
              <w:left w:val="nil"/>
              <w:bottom w:val="single" w:sz="8" w:space="0" w:color="000000"/>
              <w:right w:val="single" w:sz="8" w:space="0" w:color="000000"/>
            </w:tcBorders>
            <w:shd w:val="clear" w:color="000000" w:fill="FFFFFF"/>
            <w:vAlign w:val="center"/>
            <w:hideMark/>
          </w:tcPr>
          <w:p w14:paraId="56B5AD25" w14:textId="12FA8EA9" w:rsidR="000D4D00" w:rsidRPr="005774F8" w:rsidRDefault="000D4D00"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-1</w:t>
            </w:r>
            <w:r w:rsidR="00555C2A" w:rsidRPr="005774F8">
              <w:rPr>
                <w:rFonts w:eastAsia="Times New Roman" w:cs="Times New Roman"/>
                <w:b/>
                <w:bCs/>
                <w:color w:val="000000"/>
                <w:sz w:val="18"/>
                <w:szCs w:val="18"/>
              </w:rPr>
              <w:t>,</w:t>
            </w:r>
            <w:r w:rsidRPr="005774F8">
              <w:rPr>
                <w:rFonts w:eastAsia="Times New Roman" w:cs="Times New Roman"/>
                <w:b/>
                <w:bCs/>
                <w:color w:val="000000"/>
                <w:sz w:val="18"/>
                <w:szCs w:val="18"/>
              </w:rPr>
              <w:t>0</w:t>
            </w:r>
          </w:p>
        </w:tc>
        <w:tc>
          <w:tcPr>
            <w:tcW w:w="801" w:type="dxa"/>
            <w:tcBorders>
              <w:top w:val="nil"/>
              <w:left w:val="nil"/>
              <w:bottom w:val="single" w:sz="8" w:space="0" w:color="000000"/>
              <w:right w:val="single" w:sz="8" w:space="0" w:color="000000"/>
            </w:tcBorders>
            <w:shd w:val="clear" w:color="000000" w:fill="FFFFFF"/>
            <w:vAlign w:val="center"/>
            <w:hideMark/>
          </w:tcPr>
          <w:p w14:paraId="12C043C1" w14:textId="7DA9F79B" w:rsidR="000D4D00" w:rsidRPr="005774F8" w:rsidRDefault="000D4D00"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555C2A" w:rsidRPr="005774F8">
              <w:rPr>
                <w:rFonts w:eastAsia="Times New Roman" w:cs="Times New Roman"/>
                <w:b/>
                <w:bCs/>
                <w:color w:val="000000"/>
                <w:sz w:val="18"/>
                <w:szCs w:val="18"/>
              </w:rPr>
              <w:t>,</w:t>
            </w:r>
            <w:r w:rsidRPr="005774F8">
              <w:rPr>
                <w:rFonts w:eastAsia="Times New Roman" w:cs="Times New Roman"/>
                <w:b/>
                <w:bCs/>
                <w:color w:val="000000"/>
                <w:sz w:val="18"/>
                <w:szCs w:val="18"/>
              </w:rPr>
              <w:t>9</w:t>
            </w:r>
          </w:p>
        </w:tc>
        <w:tc>
          <w:tcPr>
            <w:tcW w:w="818" w:type="dxa"/>
            <w:tcBorders>
              <w:top w:val="nil"/>
              <w:left w:val="nil"/>
              <w:bottom w:val="single" w:sz="8" w:space="0" w:color="000000"/>
              <w:right w:val="single" w:sz="8" w:space="0" w:color="000000"/>
            </w:tcBorders>
            <w:shd w:val="clear" w:color="000000" w:fill="FFFFFF"/>
            <w:vAlign w:val="center"/>
            <w:hideMark/>
          </w:tcPr>
          <w:p w14:paraId="74F3F862" w14:textId="3FE69EC5" w:rsidR="000D4D00" w:rsidRPr="005774F8" w:rsidRDefault="000D4D00"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-1</w:t>
            </w:r>
            <w:r w:rsidR="00555C2A" w:rsidRPr="005774F8">
              <w:rPr>
                <w:rFonts w:eastAsia="Times New Roman" w:cs="Times New Roman"/>
                <w:b/>
                <w:bCs/>
                <w:color w:val="000000"/>
                <w:sz w:val="18"/>
                <w:szCs w:val="18"/>
              </w:rPr>
              <w:t>,</w:t>
            </w:r>
            <w:r w:rsidRPr="005774F8">
              <w:rPr>
                <w:rFonts w:eastAsia="Times New Roman" w:cs="Times New Roman"/>
                <w:b/>
                <w:bCs/>
                <w:color w:val="000000"/>
                <w:sz w:val="18"/>
                <w:szCs w:val="18"/>
              </w:rPr>
              <w:t>0</w:t>
            </w:r>
          </w:p>
        </w:tc>
        <w:tc>
          <w:tcPr>
            <w:tcW w:w="850" w:type="dxa"/>
            <w:tcBorders>
              <w:top w:val="nil"/>
              <w:left w:val="nil"/>
              <w:bottom w:val="single" w:sz="8" w:space="0" w:color="000000"/>
              <w:right w:val="single" w:sz="8" w:space="0" w:color="000000"/>
            </w:tcBorders>
            <w:shd w:val="clear" w:color="000000" w:fill="FFFFFF"/>
            <w:vAlign w:val="center"/>
            <w:hideMark/>
          </w:tcPr>
          <w:p w14:paraId="4E8CCD6C" w14:textId="2B26F2E0" w:rsidR="000D4D00" w:rsidRPr="005774F8" w:rsidRDefault="000D4D00"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-1</w:t>
            </w:r>
            <w:r w:rsidR="00555C2A" w:rsidRPr="005774F8">
              <w:rPr>
                <w:rFonts w:eastAsia="Times New Roman" w:cs="Times New Roman"/>
                <w:b/>
                <w:bCs/>
                <w:color w:val="000000"/>
                <w:sz w:val="18"/>
                <w:szCs w:val="18"/>
              </w:rPr>
              <w:t>,</w:t>
            </w:r>
            <w:r w:rsidRPr="005774F8">
              <w:rPr>
                <w:rFonts w:eastAsia="Times New Roman" w:cs="Times New Roman"/>
                <w:b/>
                <w:bCs/>
                <w:color w:val="000000"/>
                <w:sz w:val="18"/>
                <w:szCs w:val="18"/>
              </w:rPr>
              <w:t>2</w:t>
            </w:r>
          </w:p>
        </w:tc>
        <w:tc>
          <w:tcPr>
            <w:tcW w:w="851" w:type="dxa"/>
            <w:tcBorders>
              <w:top w:val="nil"/>
              <w:left w:val="nil"/>
              <w:bottom w:val="single" w:sz="8" w:space="0" w:color="000000"/>
              <w:right w:val="single" w:sz="8" w:space="0" w:color="000000"/>
            </w:tcBorders>
            <w:shd w:val="clear" w:color="000000" w:fill="FFFFFF"/>
            <w:vAlign w:val="center"/>
            <w:hideMark/>
          </w:tcPr>
          <w:p w14:paraId="0AB191F6" w14:textId="71222BF6" w:rsidR="000D4D00" w:rsidRPr="005774F8" w:rsidRDefault="000D4D00"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555C2A" w:rsidRPr="005774F8">
              <w:rPr>
                <w:rFonts w:eastAsia="Times New Roman" w:cs="Times New Roman"/>
                <w:b/>
                <w:bCs/>
                <w:color w:val="000000"/>
                <w:sz w:val="18"/>
                <w:szCs w:val="18"/>
              </w:rPr>
              <w:t>,</w:t>
            </w:r>
            <w:r w:rsidRPr="005774F8">
              <w:rPr>
                <w:rFonts w:eastAsia="Times New Roman" w:cs="Times New Roman"/>
                <w:b/>
                <w:bCs/>
                <w:color w:val="000000"/>
                <w:sz w:val="18"/>
                <w:szCs w:val="18"/>
              </w:rPr>
              <w:t>6</w:t>
            </w:r>
          </w:p>
        </w:tc>
        <w:tc>
          <w:tcPr>
            <w:tcW w:w="890" w:type="dxa"/>
            <w:tcBorders>
              <w:top w:val="nil"/>
              <w:left w:val="nil"/>
              <w:bottom w:val="single" w:sz="8" w:space="0" w:color="000000"/>
              <w:right w:val="single" w:sz="8" w:space="0" w:color="000000"/>
            </w:tcBorders>
            <w:shd w:val="clear" w:color="000000" w:fill="FFFFFF"/>
            <w:vAlign w:val="center"/>
            <w:hideMark/>
          </w:tcPr>
          <w:p w14:paraId="59394928" w14:textId="2691F6F7" w:rsidR="000D4D00" w:rsidRPr="005774F8" w:rsidRDefault="000D4D00"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555C2A" w:rsidRPr="005774F8">
              <w:rPr>
                <w:rFonts w:eastAsia="Times New Roman" w:cs="Times New Roman"/>
                <w:b/>
                <w:bCs/>
                <w:color w:val="000000"/>
                <w:sz w:val="18"/>
                <w:szCs w:val="18"/>
              </w:rPr>
              <w:t>,</w:t>
            </w:r>
            <w:r w:rsidRPr="005774F8">
              <w:rPr>
                <w:rFonts w:eastAsia="Times New Roman" w:cs="Times New Roman"/>
                <w:b/>
                <w:bCs/>
                <w:color w:val="000000"/>
                <w:sz w:val="18"/>
                <w:szCs w:val="18"/>
              </w:rPr>
              <w:t>5</w:t>
            </w:r>
          </w:p>
        </w:tc>
      </w:tr>
      <w:tr w:rsidR="000D4D00" w:rsidRPr="005774F8" w14:paraId="297ADFFB" w14:textId="77777777" w:rsidTr="005774F8">
        <w:trPr>
          <w:trHeight w:val="722"/>
        </w:trPr>
        <w:tc>
          <w:tcPr>
            <w:tcW w:w="1560" w:type="dxa"/>
            <w:tcBorders>
              <w:top w:val="nil"/>
              <w:left w:val="single" w:sz="8" w:space="0" w:color="000000"/>
              <w:bottom w:val="single" w:sz="8" w:space="0" w:color="000000"/>
              <w:right w:val="single" w:sz="8" w:space="0" w:color="000000"/>
            </w:tcBorders>
            <w:shd w:val="clear" w:color="000000" w:fill="FFFFFF"/>
            <w:vAlign w:val="center"/>
            <w:hideMark/>
          </w:tcPr>
          <w:p w14:paraId="0E1F08F6" w14:textId="77777777" w:rsidR="000D4D00" w:rsidRPr="005774F8" w:rsidRDefault="000D4D00" w:rsidP="00EE5424">
            <w:pPr>
              <w:ind w:firstLine="22"/>
              <w:jc w:val="right"/>
              <w:rPr>
                <w:rFonts w:eastAsia="Times New Roman" w:cs="Times New Roman"/>
                <w:i/>
                <w:iCs/>
                <w:color w:val="000000"/>
                <w:sz w:val="18"/>
                <w:szCs w:val="18"/>
              </w:rPr>
            </w:pPr>
            <w:r w:rsidRPr="005774F8">
              <w:rPr>
                <w:rFonts w:eastAsia="Times New Roman" w:cs="Times New Roman"/>
                <w:i/>
                <w:iCs/>
                <w:color w:val="000000"/>
                <w:sz w:val="18"/>
                <w:szCs w:val="18"/>
              </w:rPr>
              <w:t>5.(1.×4.)</w:t>
            </w:r>
          </w:p>
        </w:tc>
        <w:tc>
          <w:tcPr>
            <w:tcW w:w="1559" w:type="dxa"/>
            <w:tcBorders>
              <w:top w:val="nil"/>
              <w:left w:val="nil"/>
              <w:bottom w:val="single" w:sz="8" w:space="0" w:color="000000"/>
              <w:right w:val="single" w:sz="8" w:space="0" w:color="000000"/>
            </w:tcBorders>
            <w:shd w:val="clear" w:color="000000" w:fill="DEEAF6"/>
            <w:vAlign w:val="center"/>
            <w:hideMark/>
          </w:tcPr>
          <w:p w14:paraId="57A77F6F" w14:textId="77777777" w:rsidR="000D4D00" w:rsidRPr="005774F8" w:rsidRDefault="000D4D00" w:rsidP="00EE5424">
            <w:pPr>
              <w:ind w:firstLine="0"/>
              <w:jc w:val="left"/>
              <w:rPr>
                <w:rFonts w:eastAsia="Times New Roman" w:cs="Times New Roman"/>
                <w:color w:val="000000"/>
                <w:sz w:val="18"/>
                <w:szCs w:val="18"/>
              </w:rPr>
            </w:pPr>
            <w:r w:rsidRPr="005774F8">
              <w:rPr>
                <w:rFonts w:eastAsia="Times New Roman" w:cs="Times New Roman"/>
                <w:color w:val="000000"/>
                <w:sz w:val="18"/>
                <w:szCs w:val="18"/>
              </w:rPr>
              <w:t xml:space="preserve">Minimālā plānojamā vispārējās valdības budžeta strukturālā bilance, milj. </w:t>
            </w:r>
            <w:r w:rsidRPr="005774F8">
              <w:rPr>
                <w:rFonts w:eastAsia="Times New Roman" w:cs="Times New Roman"/>
                <w:i/>
                <w:iCs/>
                <w:color w:val="000000"/>
                <w:sz w:val="18"/>
                <w:szCs w:val="18"/>
              </w:rPr>
              <w:t>euro</w:t>
            </w:r>
          </w:p>
        </w:tc>
        <w:tc>
          <w:tcPr>
            <w:tcW w:w="850" w:type="dxa"/>
            <w:tcBorders>
              <w:top w:val="nil"/>
              <w:left w:val="nil"/>
              <w:bottom w:val="single" w:sz="8" w:space="0" w:color="000000"/>
              <w:right w:val="single" w:sz="8" w:space="0" w:color="000000"/>
            </w:tcBorders>
            <w:shd w:val="clear" w:color="000000" w:fill="DDEBF7"/>
            <w:vAlign w:val="center"/>
            <w:hideMark/>
          </w:tcPr>
          <w:p w14:paraId="4FD0BCC2" w14:textId="664C9872" w:rsidR="000D4D00" w:rsidRPr="005774F8" w:rsidRDefault="00F5298F"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-296,</w:t>
            </w:r>
            <w:r w:rsidR="000D4D00" w:rsidRPr="005774F8">
              <w:rPr>
                <w:rFonts w:eastAsia="Times New Roman" w:cs="Times New Roman"/>
                <w:color w:val="000000"/>
                <w:sz w:val="18"/>
                <w:szCs w:val="18"/>
              </w:rPr>
              <w:t>2</w:t>
            </w:r>
          </w:p>
        </w:tc>
        <w:tc>
          <w:tcPr>
            <w:tcW w:w="801" w:type="dxa"/>
            <w:tcBorders>
              <w:top w:val="nil"/>
              <w:left w:val="nil"/>
              <w:bottom w:val="single" w:sz="8" w:space="0" w:color="000000"/>
              <w:right w:val="single" w:sz="8" w:space="0" w:color="000000"/>
            </w:tcBorders>
            <w:shd w:val="clear" w:color="000000" w:fill="DDEBF7"/>
            <w:vAlign w:val="center"/>
            <w:hideMark/>
          </w:tcPr>
          <w:p w14:paraId="15E64CD9" w14:textId="1B8645D9" w:rsidR="000D4D00" w:rsidRPr="005774F8" w:rsidRDefault="00F5298F"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-236,</w:t>
            </w:r>
            <w:r w:rsidR="000D4D00" w:rsidRPr="005774F8">
              <w:rPr>
                <w:rFonts w:eastAsia="Times New Roman" w:cs="Times New Roman"/>
                <w:color w:val="000000"/>
                <w:sz w:val="18"/>
                <w:szCs w:val="18"/>
              </w:rPr>
              <w:t>2</w:t>
            </w:r>
          </w:p>
        </w:tc>
        <w:tc>
          <w:tcPr>
            <w:tcW w:w="801" w:type="dxa"/>
            <w:tcBorders>
              <w:top w:val="nil"/>
              <w:left w:val="nil"/>
              <w:bottom w:val="single" w:sz="8" w:space="0" w:color="000000"/>
              <w:right w:val="single" w:sz="8" w:space="0" w:color="000000"/>
            </w:tcBorders>
            <w:shd w:val="clear" w:color="000000" w:fill="DDEBF7"/>
            <w:vAlign w:val="center"/>
            <w:hideMark/>
          </w:tcPr>
          <w:p w14:paraId="3F1EE9AA" w14:textId="37A387B0" w:rsidR="000D4D00" w:rsidRPr="005774F8" w:rsidRDefault="000D4D00"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-243</w:t>
            </w:r>
            <w:r w:rsidR="00555C2A" w:rsidRPr="005774F8">
              <w:rPr>
                <w:rFonts w:eastAsia="Times New Roman" w:cs="Times New Roman"/>
                <w:color w:val="000000"/>
                <w:sz w:val="18"/>
                <w:szCs w:val="18"/>
              </w:rPr>
              <w:t>,</w:t>
            </w:r>
            <w:r w:rsidRPr="005774F8">
              <w:rPr>
                <w:rFonts w:eastAsia="Times New Roman" w:cs="Times New Roman"/>
                <w:color w:val="000000"/>
                <w:sz w:val="18"/>
                <w:szCs w:val="18"/>
              </w:rPr>
              <w:t>2</w:t>
            </w:r>
          </w:p>
        </w:tc>
        <w:tc>
          <w:tcPr>
            <w:tcW w:w="801" w:type="dxa"/>
            <w:tcBorders>
              <w:top w:val="nil"/>
              <w:left w:val="nil"/>
              <w:bottom w:val="single" w:sz="8" w:space="0" w:color="000000"/>
              <w:right w:val="single" w:sz="8" w:space="0" w:color="000000"/>
            </w:tcBorders>
            <w:shd w:val="clear" w:color="000000" w:fill="DDEBF7"/>
            <w:vAlign w:val="center"/>
            <w:hideMark/>
          </w:tcPr>
          <w:p w14:paraId="1FF6E784" w14:textId="7C5AF577" w:rsidR="000D4D00" w:rsidRPr="005774F8" w:rsidRDefault="000D4D00"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-225</w:t>
            </w:r>
            <w:r w:rsidR="00555C2A" w:rsidRPr="005774F8">
              <w:rPr>
                <w:rFonts w:eastAsia="Times New Roman" w:cs="Times New Roman"/>
                <w:color w:val="000000"/>
                <w:sz w:val="18"/>
                <w:szCs w:val="18"/>
              </w:rPr>
              <w:t>,</w:t>
            </w:r>
            <w:r w:rsidRPr="005774F8">
              <w:rPr>
                <w:rFonts w:eastAsia="Times New Roman" w:cs="Times New Roman"/>
                <w:color w:val="000000"/>
                <w:sz w:val="18"/>
                <w:szCs w:val="18"/>
              </w:rPr>
              <w:t>3</w:t>
            </w:r>
          </w:p>
        </w:tc>
        <w:tc>
          <w:tcPr>
            <w:tcW w:w="818" w:type="dxa"/>
            <w:tcBorders>
              <w:top w:val="nil"/>
              <w:left w:val="nil"/>
              <w:bottom w:val="single" w:sz="8" w:space="0" w:color="000000"/>
              <w:right w:val="single" w:sz="8" w:space="0" w:color="000000"/>
            </w:tcBorders>
            <w:shd w:val="clear" w:color="000000" w:fill="DDEBF7"/>
            <w:vAlign w:val="center"/>
            <w:hideMark/>
          </w:tcPr>
          <w:p w14:paraId="5E1C74BD" w14:textId="2DC091A0" w:rsidR="000D4D00" w:rsidRPr="005774F8" w:rsidRDefault="000D4D00"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-270</w:t>
            </w:r>
            <w:r w:rsidR="00555C2A" w:rsidRPr="005774F8">
              <w:rPr>
                <w:rFonts w:eastAsia="Times New Roman" w:cs="Times New Roman"/>
                <w:color w:val="000000"/>
                <w:sz w:val="18"/>
                <w:szCs w:val="18"/>
              </w:rPr>
              <w:t>,</w:t>
            </w:r>
            <w:r w:rsidRPr="005774F8">
              <w:rPr>
                <w:rFonts w:eastAsia="Times New Roman" w:cs="Times New Roman"/>
                <w:color w:val="000000"/>
                <w:sz w:val="18"/>
                <w:szCs w:val="18"/>
              </w:rPr>
              <w:t>3</w:t>
            </w:r>
          </w:p>
        </w:tc>
        <w:tc>
          <w:tcPr>
            <w:tcW w:w="850" w:type="dxa"/>
            <w:tcBorders>
              <w:top w:val="nil"/>
              <w:left w:val="nil"/>
              <w:bottom w:val="single" w:sz="8" w:space="0" w:color="000000"/>
              <w:right w:val="single" w:sz="8" w:space="0" w:color="000000"/>
            </w:tcBorders>
            <w:shd w:val="clear" w:color="000000" w:fill="DDEBF7"/>
            <w:vAlign w:val="center"/>
            <w:hideMark/>
          </w:tcPr>
          <w:p w14:paraId="04B762EF" w14:textId="437A0965" w:rsidR="000D4D00" w:rsidRPr="005774F8" w:rsidRDefault="000D4D00"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-354</w:t>
            </w:r>
            <w:r w:rsidR="00555C2A" w:rsidRPr="005774F8">
              <w:rPr>
                <w:rFonts w:eastAsia="Times New Roman" w:cs="Times New Roman"/>
                <w:color w:val="000000"/>
                <w:sz w:val="18"/>
                <w:szCs w:val="18"/>
              </w:rPr>
              <w:t>,</w:t>
            </w:r>
            <w:r w:rsidRPr="005774F8">
              <w:rPr>
                <w:rFonts w:eastAsia="Times New Roman" w:cs="Times New Roman"/>
                <w:color w:val="000000"/>
                <w:sz w:val="18"/>
                <w:szCs w:val="18"/>
              </w:rPr>
              <w:t>3</w:t>
            </w:r>
          </w:p>
        </w:tc>
        <w:tc>
          <w:tcPr>
            <w:tcW w:w="851" w:type="dxa"/>
            <w:tcBorders>
              <w:top w:val="nil"/>
              <w:left w:val="nil"/>
              <w:bottom w:val="single" w:sz="8" w:space="0" w:color="000000"/>
              <w:right w:val="single" w:sz="8" w:space="0" w:color="000000"/>
            </w:tcBorders>
            <w:shd w:val="clear" w:color="000000" w:fill="DDEBF7"/>
            <w:vAlign w:val="center"/>
            <w:hideMark/>
          </w:tcPr>
          <w:p w14:paraId="0A5B305C" w14:textId="65C4D3AB" w:rsidR="000D4D00" w:rsidRPr="005774F8" w:rsidRDefault="000D4D00"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-172</w:t>
            </w:r>
            <w:r w:rsidR="00555C2A" w:rsidRPr="005774F8">
              <w:rPr>
                <w:rFonts w:eastAsia="Times New Roman" w:cs="Times New Roman"/>
                <w:color w:val="000000"/>
                <w:sz w:val="18"/>
                <w:szCs w:val="18"/>
              </w:rPr>
              <w:t>,</w:t>
            </w:r>
            <w:r w:rsidRPr="005774F8">
              <w:rPr>
                <w:rFonts w:eastAsia="Times New Roman" w:cs="Times New Roman"/>
                <w:color w:val="000000"/>
                <w:sz w:val="18"/>
                <w:szCs w:val="18"/>
              </w:rPr>
              <w:t>3</w:t>
            </w:r>
          </w:p>
        </w:tc>
        <w:tc>
          <w:tcPr>
            <w:tcW w:w="890" w:type="dxa"/>
            <w:tcBorders>
              <w:top w:val="nil"/>
              <w:left w:val="nil"/>
              <w:bottom w:val="single" w:sz="8" w:space="0" w:color="000000"/>
              <w:right w:val="single" w:sz="8" w:space="0" w:color="000000"/>
            </w:tcBorders>
            <w:shd w:val="clear" w:color="000000" w:fill="DDEBF7"/>
            <w:vAlign w:val="center"/>
            <w:hideMark/>
          </w:tcPr>
          <w:p w14:paraId="675B027A" w14:textId="123331EF" w:rsidR="000D4D00" w:rsidRPr="005774F8" w:rsidRDefault="000D4D00"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-141</w:t>
            </w:r>
            <w:r w:rsidR="00555C2A" w:rsidRPr="005774F8">
              <w:rPr>
                <w:rFonts w:eastAsia="Times New Roman" w:cs="Times New Roman"/>
                <w:color w:val="000000"/>
                <w:sz w:val="18"/>
                <w:szCs w:val="18"/>
              </w:rPr>
              <w:t>,</w:t>
            </w:r>
            <w:r w:rsidRPr="005774F8">
              <w:rPr>
                <w:rFonts w:eastAsia="Times New Roman" w:cs="Times New Roman"/>
                <w:color w:val="000000"/>
                <w:sz w:val="18"/>
                <w:szCs w:val="18"/>
              </w:rPr>
              <w:t>7</w:t>
            </w:r>
          </w:p>
        </w:tc>
      </w:tr>
      <w:tr w:rsidR="000D4D00" w:rsidRPr="005774F8" w14:paraId="59771375" w14:textId="77777777" w:rsidTr="005774F8">
        <w:trPr>
          <w:trHeight w:val="484"/>
        </w:trPr>
        <w:tc>
          <w:tcPr>
            <w:tcW w:w="1560" w:type="dxa"/>
            <w:tcBorders>
              <w:top w:val="nil"/>
              <w:left w:val="single" w:sz="8" w:space="0" w:color="000000"/>
              <w:bottom w:val="single" w:sz="8" w:space="0" w:color="000000"/>
              <w:right w:val="single" w:sz="8" w:space="0" w:color="000000"/>
            </w:tcBorders>
            <w:shd w:val="clear" w:color="000000" w:fill="FFFFFF"/>
            <w:vAlign w:val="center"/>
            <w:hideMark/>
          </w:tcPr>
          <w:p w14:paraId="69EF7BF8" w14:textId="77777777" w:rsidR="000D4D00" w:rsidRPr="005774F8" w:rsidRDefault="000D4D00" w:rsidP="00EE5424">
            <w:pPr>
              <w:ind w:firstLine="22"/>
              <w:jc w:val="right"/>
              <w:rPr>
                <w:rFonts w:eastAsia="Times New Roman" w:cs="Times New Roman"/>
                <w:i/>
                <w:iCs/>
                <w:color w:val="000000"/>
                <w:sz w:val="18"/>
                <w:szCs w:val="18"/>
              </w:rPr>
            </w:pPr>
            <w:r w:rsidRPr="005774F8">
              <w:rPr>
                <w:rFonts w:eastAsia="Times New Roman" w:cs="Times New Roman"/>
                <w:i/>
                <w:iCs/>
                <w:color w:val="000000"/>
                <w:sz w:val="18"/>
                <w:szCs w:val="18"/>
              </w:rPr>
              <w:t>6.(3.-5.)</w:t>
            </w:r>
          </w:p>
        </w:tc>
        <w:tc>
          <w:tcPr>
            <w:tcW w:w="1559" w:type="dxa"/>
            <w:tcBorders>
              <w:top w:val="nil"/>
              <w:left w:val="nil"/>
              <w:bottom w:val="single" w:sz="8" w:space="0" w:color="000000"/>
              <w:right w:val="single" w:sz="8" w:space="0" w:color="000000"/>
            </w:tcBorders>
            <w:shd w:val="clear" w:color="auto" w:fill="auto"/>
            <w:vAlign w:val="center"/>
            <w:hideMark/>
          </w:tcPr>
          <w:p w14:paraId="2373C67E" w14:textId="77777777" w:rsidR="000D4D00" w:rsidRPr="005774F8" w:rsidRDefault="000D4D00" w:rsidP="00EE5424">
            <w:pPr>
              <w:ind w:firstLine="0"/>
              <w:jc w:val="left"/>
              <w:rPr>
                <w:rFonts w:eastAsia="Times New Roman" w:cs="Times New Roman"/>
                <w:color w:val="000000"/>
                <w:sz w:val="18"/>
                <w:szCs w:val="18"/>
              </w:rPr>
            </w:pPr>
            <w:r w:rsidRPr="005774F8">
              <w:rPr>
                <w:rFonts w:eastAsia="Times New Roman" w:cs="Times New Roman"/>
                <w:color w:val="000000"/>
                <w:sz w:val="18"/>
                <w:szCs w:val="18"/>
              </w:rPr>
              <w:t xml:space="preserve">Saimnieciskā gada bilanču starpība, milj. </w:t>
            </w:r>
            <w:r w:rsidRPr="005774F8">
              <w:rPr>
                <w:rFonts w:eastAsia="Times New Roman" w:cs="Times New Roman"/>
                <w:i/>
                <w:iCs/>
                <w:color w:val="000000"/>
                <w:sz w:val="18"/>
                <w:szCs w:val="18"/>
              </w:rPr>
              <w:t>euro</w:t>
            </w:r>
            <w:r w:rsidRPr="005774F8">
              <w:rPr>
                <w:rFonts w:eastAsia="Times New Roman" w:cs="Times New Roman"/>
                <w:color w:val="000000"/>
                <w:sz w:val="18"/>
                <w:szCs w:val="18"/>
              </w:rPr>
              <w:t xml:space="preserve"> </w:t>
            </w:r>
          </w:p>
        </w:tc>
        <w:tc>
          <w:tcPr>
            <w:tcW w:w="850" w:type="dxa"/>
            <w:tcBorders>
              <w:top w:val="nil"/>
              <w:left w:val="nil"/>
              <w:bottom w:val="single" w:sz="8" w:space="0" w:color="000000"/>
              <w:right w:val="single" w:sz="8" w:space="0" w:color="000000"/>
            </w:tcBorders>
            <w:shd w:val="clear" w:color="000000" w:fill="FFFFFF"/>
            <w:vAlign w:val="center"/>
            <w:hideMark/>
          </w:tcPr>
          <w:p w14:paraId="2B928ABE" w14:textId="6169CAAC" w:rsidR="000D4D00" w:rsidRPr="005774F8" w:rsidRDefault="00F5298F"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-21,</w:t>
            </w:r>
            <w:r w:rsidR="000D4D00" w:rsidRPr="005774F8">
              <w:rPr>
                <w:rFonts w:eastAsia="Times New Roman" w:cs="Times New Roman"/>
                <w:color w:val="000000"/>
                <w:sz w:val="18"/>
                <w:szCs w:val="18"/>
              </w:rPr>
              <w:t>1</w:t>
            </w:r>
          </w:p>
        </w:tc>
        <w:tc>
          <w:tcPr>
            <w:tcW w:w="801" w:type="dxa"/>
            <w:tcBorders>
              <w:top w:val="nil"/>
              <w:left w:val="nil"/>
              <w:bottom w:val="single" w:sz="8" w:space="0" w:color="000000"/>
              <w:right w:val="single" w:sz="8" w:space="0" w:color="000000"/>
            </w:tcBorders>
            <w:shd w:val="clear" w:color="000000" w:fill="FFFFFF"/>
            <w:vAlign w:val="center"/>
            <w:hideMark/>
          </w:tcPr>
          <w:p w14:paraId="2FE172FE" w14:textId="2539F9D1" w:rsidR="000D4D00" w:rsidRPr="005774F8" w:rsidRDefault="00F5298F"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-148,</w:t>
            </w:r>
            <w:r w:rsidR="000D4D00" w:rsidRPr="005774F8">
              <w:rPr>
                <w:rFonts w:eastAsia="Times New Roman" w:cs="Times New Roman"/>
                <w:color w:val="000000"/>
                <w:sz w:val="18"/>
                <w:szCs w:val="18"/>
              </w:rPr>
              <w:t>4</w:t>
            </w:r>
          </w:p>
        </w:tc>
        <w:tc>
          <w:tcPr>
            <w:tcW w:w="801" w:type="dxa"/>
            <w:tcBorders>
              <w:top w:val="nil"/>
              <w:left w:val="nil"/>
              <w:bottom w:val="single" w:sz="8" w:space="0" w:color="000000"/>
              <w:right w:val="single" w:sz="8" w:space="0" w:color="000000"/>
            </w:tcBorders>
            <w:shd w:val="clear" w:color="000000" w:fill="FFFFFF"/>
            <w:vAlign w:val="center"/>
            <w:hideMark/>
          </w:tcPr>
          <w:p w14:paraId="77053730" w14:textId="6A5D175F" w:rsidR="000D4D00" w:rsidRPr="005774F8" w:rsidRDefault="000D4D00"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-236</w:t>
            </w:r>
            <w:r w:rsidR="00555C2A" w:rsidRPr="005774F8">
              <w:rPr>
                <w:rFonts w:eastAsia="Times New Roman" w:cs="Times New Roman"/>
                <w:color w:val="000000"/>
                <w:sz w:val="18"/>
                <w:szCs w:val="18"/>
              </w:rPr>
              <w:t>,</w:t>
            </w:r>
            <w:r w:rsidRPr="005774F8">
              <w:rPr>
                <w:rFonts w:eastAsia="Times New Roman" w:cs="Times New Roman"/>
                <w:color w:val="000000"/>
                <w:sz w:val="18"/>
                <w:szCs w:val="18"/>
              </w:rPr>
              <w:t>8</w:t>
            </w:r>
          </w:p>
        </w:tc>
        <w:tc>
          <w:tcPr>
            <w:tcW w:w="801" w:type="dxa"/>
            <w:tcBorders>
              <w:top w:val="nil"/>
              <w:left w:val="nil"/>
              <w:bottom w:val="single" w:sz="8" w:space="0" w:color="000000"/>
              <w:right w:val="single" w:sz="8" w:space="0" w:color="000000"/>
            </w:tcBorders>
            <w:shd w:val="clear" w:color="000000" w:fill="FFFFFF"/>
            <w:vAlign w:val="center"/>
            <w:hideMark/>
          </w:tcPr>
          <w:p w14:paraId="1E232021" w14:textId="2D889FDC" w:rsidR="000D4D00" w:rsidRPr="005774F8" w:rsidRDefault="000D4D00"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119</w:t>
            </w:r>
            <w:r w:rsidR="00555C2A" w:rsidRPr="005774F8">
              <w:rPr>
                <w:rFonts w:eastAsia="Times New Roman" w:cs="Times New Roman"/>
                <w:color w:val="000000"/>
                <w:sz w:val="18"/>
                <w:szCs w:val="18"/>
              </w:rPr>
              <w:t>,</w:t>
            </w:r>
            <w:r w:rsidRPr="005774F8">
              <w:rPr>
                <w:rFonts w:eastAsia="Times New Roman" w:cs="Times New Roman"/>
                <w:color w:val="000000"/>
                <w:sz w:val="18"/>
                <w:szCs w:val="18"/>
              </w:rPr>
              <w:t>2</w:t>
            </w:r>
          </w:p>
        </w:tc>
        <w:tc>
          <w:tcPr>
            <w:tcW w:w="818" w:type="dxa"/>
            <w:tcBorders>
              <w:top w:val="nil"/>
              <w:left w:val="nil"/>
              <w:bottom w:val="single" w:sz="8" w:space="0" w:color="000000"/>
              <w:right w:val="single" w:sz="8" w:space="0" w:color="000000"/>
            </w:tcBorders>
            <w:shd w:val="clear" w:color="000000" w:fill="FFFFFF"/>
            <w:vAlign w:val="center"/>
            <w:hideMark/>
          </w:tcPr>
          <w:p w14:paraId="449456D9" w14:textId="37660DE8" w:rsidR="000D4D00" w:rsidRPr="005774F8" w:rsidRDefault="000D4D00"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-104</w:t>
            </w:r>
            <w:r w:rsidR="00555C2A" w:rsidRPr="005774F8">
              <w:rPr>
                <w:rFonts w:eastAsia="Times New Roman" w:cs="Times New Roman"/>
                <w:color w:val="000000"/>
                <w:sz w:val="18"/>
                <w:szCs w:val="18"/>
              </w:rPr>
              <w:t>,</w:t>
            </w:r>
            <w:r w:rsidRPr="005774F8">
              <w:rPr>
                <w:rFonts w:eastAsia="Times New Roman" w:cs="Times New Roman"/>
                <w:color w:val="000000"/>
                <w:sz w:val="18"/>
                <w:szCs w:val="18"/>
              </w:rPr>
              <w:t>0</w:t>
            </w:r>
          </w:p>
        </w:tc>
        <w:tc>
          <w:tcPr>
            <w:tcW w:w="850" w:type="dxa"/>
            <w:tcBorders>
              <w:top w:val="nil"/>
              <w:left w:val="nil"/>
              <w:bottom w:val="single" w:sz="8" w:space="0" w:color="000000"/>
              <w:right w:val="single" w:sz="8" w:space="0" w:color="000000"/>
            </w:tcBorders>
            <w:shd w:val="clear" w:color="000000" w:fill="FFFFFF"/>
            <w:vAlign w:val="center"/>
            <w:hideMark/>
          </w:tcPr>
          <w:p w14:paraId="09D499E7" w14:textId="7443BF22" w:rsidR="000D4D00" w:rsidRPr="005774F8" w:rsidRDefault="000D4D00"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-138</w:t>
            </w:r>
            <w:r w:rsidR="00555C2A" w:rsidRPr="005774F8">
              <w:rPr>
                <w:rFonts w:eastAsia="Times New Roman" w:cs="Times New Roman"/>
                <w:color w:val="000000"/>
                <w:sz w:val="18"/>
                <w:szCs w:val="18"/>
              </w:rPr>
              <w:t>,</w:t>
            </w:r>
            <w:r w:rsidRPr="005774F8">
              <w:rPr>
                <w:rFonts w:eastAsia="Times New Roman" w:cs="Times New Roman"/>
                <w:color w:val="000000"/>
                <w:sz w:val="18"/>
                <w:szCs w:val="18"/>
              </w:rPr>
              <w:t>7</w:t>
            </w:r>
          </w:p>
        </w:tc>
        <w:tc>
          <w:tcPr>
            <w:tcW w:w="851" w:type="dxa"/>
            <w:tcBorders>
              <w:top w:val="nil"/>
              <w:left w:val="nil"/>
              <w:bottom w:val="single" w:sz="8" w:space="0" w:color="000000"/>
              <w:right w:val="single" w:sz="8" w:space="0" w:color="000000"/>
            </w:tcBorders>
            <w:shd w:val="clear" w:color="000000" w:fill="FFFFFF"/>
            <w:vAlign w:val="center"/>
            <w:hideMark/>
          </w:tcPr>
          <w:p w14:paraId="3C20E8F1" w14:textId="7E4F2F01" w:rsidR="000D4D00" w:rsidRPr="005774F8" w:rsidRDefault="000D4D00"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-31</w:t>
            </w:r>
            <w:r w:rsidR="00555C2A" w:rsidRPr="005774F8">
              <w:rPr>
                <w:rFonts w:eastAsia="Times New Roman" w:cs="Times New Roman"/>
                <w:color w:val="000000"/>
                <w:sz w:val="18"/>
                <w:szCs w:val="18"/>
              </w:rPr>
              <w:t>,</w:t>
            </w:r>
            <w:r w:rsidRPr="005774F8">
              <w:rPr>
                <w:rFonts w:eastAsia="Times New Roman" w:cs="Times New Roman"/>
                <w:color w:val="000000"/>
                <w:sz w:val="18"/>
                <w:szCs w:val="18"/>
              </w:rPr>
              <w:t>5</w:t>
            </w:r>
          </w:p>
        </w:tc>
        <w:tc>
          <w:tcPr>
            <w:tcW w:w="890" w:type="dxa"/>
            <w:tcBorders>
              <w:top w:val="nil"/>
              <w:left w:val="nil"/>
              <w:bottom w:val="single" w:sz="8" w:space="0" w:color="000000"/>
              <w:right w:val="single" w:sz="8" w:space="0" w:color="000000"/>
            </w:tcBorders>
            <w:shd w:val="clear" w:color="000000" w:fill="FFFFFF"/>
            <w:vAlign w:val="center"/>
            <w:hideMark/>
          </w:tcPr>
          <w:p w14:paraId="55953DF7" w14:textId="29DFE782" w:rsidR="000D4D00" w:rsidRPr="005774F8" w:rsidRDefault="000D4D00"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-706</w:t>
            </w:r>
            <w:r w:rsidR="00555C2A" w:rsidRPr="005774F8">
              <w:rPr>
                <w:rFonts w:eastAsia="Times New Roman" w:cs="Times New Roman"/>
                <w:color w:val="000000"/>
                <w:sz w:val="18"/>
                <w:szCs w:val="18"/>
              </w:rPr>
              <w:t>,</w:t>
            </w:r>
            <w:r w:rsidRPr="005774F8">
              <w:rPr>
                <w:rFonts w:eastAsia="Times New Roman" w:cs="Times New Roman"/>
                <w:color w:val="000000"/>
                <w:sz w:val="18"/>
                <w:szCs w:val="18"/>
              </w:rPr>
              <w:t>0</w:t>
            </w:r>
          </w:p>
        </w:tc>
      </w:tr>
      <w:tr w:rsidR="000D4D00" w:rsidRPr="005774F8" w14:paraId="7529DEC3" w14:textId="77777777" w:rsidTr="005774F8">
        <w:trPr>
          <w:trHeight w:val="484"/>
        </w:trPr>
        <w:tc>
          <w:tcPr>
            <w:tcW w:w="1560" w:type="dxa"/>
            <w:tcBorders>
              <w:top w:val="nil"/>
              <w:left w:val="single" w:sz="8" w:space="0" w:color="000000"/>
              <w:bottom w:val="single" w:sz="8" w:space="0" w:color="000000"/>
              <w:right w:val="single" w:sz="8" w:space="0" w:color="000000"/>
            </w:tcBorders>
            <w:shd w:val="clear" w:color="000000" w:fill="FFFFFF"/>
            <w:vAlign w:val="center"/>
            <w:hideMark/>
          </w:tcPr>
          <w:p w14:paraId="48324A77" w14:textId="77777777" w:rsidR="000D4D00" w:rsidRPr="005774F8" w:rsidRDefault="000D4D00" w:rsidP="00EE5424">
            <w:pPr>
              <w:ind w:firstLine="22"/>
              <w:jc w:val="right"/>
              <w:rPr>
                <w:rFonts w:eastAsia="Times New Roman" w:cs="Times New Roman"/>
                <w:i/>
                <w:iCs/>
                <w:color w:val="000000"/>
                <w:sz w:val="18"/>
                <w:szCs w:val="18"/>
              </w:rPr>
            </w:pPr>
            <w:r w:rsidRPr="005774F8">
              <w:rPr>
                <w:rFonts w:eastAsia="Times New Roman" w:cs="Times New Roman"/>
                <w:i/>
                <w:iCs/>
                <w:color w:val="000000"/>
                <w:sz w:val="18"/>
                <w:szCs w:val="18"/>
              </w:rPr>
              <w:t>7.((6.:1.)×100)</w:t>
            </w:r>
          </w:p>
        </w:tc>
        <w:tc>
          <w:tcPr>
            <w:tcW w:w="1559" w:type="dxa"/>
            <w:tcBorders>
              <w:top w:val="nil"/>
              <w:left w:val="nil"/>
              <w:bottom w:val="single" w:sz="8" w:space="0" w:color="000000"/>
              <w:right w:val="single" w:sz="8" w:space="0" w:color="000000"/>
            </w:tcBorders>
            <w:shd w:val="clear" w:color="000000" w:fill="DEEAF6"/>
            <w:vAlign w:val="center"/>
            <w:hideMark/>
          </w:tcPr>
          <w:p w14:paraId="4C5FA4B3" w14:textId="6435A99D" w:rsidR="000D4D00" w:rsidRPr="005774F8" w:rsidRDefault="000D4D00" w:rsidP="00EE5424">
            <w:pPr>
              <w:ind w:firstLine="0"/>
              <w:jc w:val="left"/>
              <w:rPr>
                <w:rFonts w:eastAsia="Times New Roman" w:cs="Times New Roman"/>
                <w:color w:val="000000"/>
                <w:sz w:val="18"/>
                <w:szCs w:val="18"/>
              </w:rPr>
            </w:pPr>
            <w:r w:rsidRPr="005774F8">
              <w:rPr>
                <w:rFonts w:eastAsia="Times New Roman" w:cs="Times New Roman"/>
                <w:color w:val="000000"/>
                <w:sz w:val="18"/>
                <w:szCs w:val="18"/>
              </w:rPr>
              <w:t>Saimnieciskā</w:t>
            </w:r>
            <w:r w:rsidR="00555C2A" w:rsidRPr="005774F8">
              <w:rPr>
                <w:rFonts w:eastAsia="Times New Roman" w:cs="Times New Roman"/>
                <w:color w:val="000000"/>
                <w:sz w:val="18"/>
                <w:szCs w:val="18"/>
              </w:rPr>
              <w:t xml:space="preserve"> gada bilanču starpība, % no iekšzemes kopprodukta</w:t>
            </w:r>
          </w:p>
        </w:tc>
        <w:tc>
          <w:tcPr>
            <w:tcW w:w="850" w:type="dxa"/>
            <w:tcBorders>
              <w:top w:val="nil"/>
              <w:left w:val="nil"/>
              <w:bottom w:val="single" w:sz="8" w:space="0" w:color="000000"/>
              <w:right w:val="single" w:sz="8" w:space="0" w:color="000000"/>
            </w:tcBorders>
            <w:shd w:val="clear" w:color="000000" w:fill="DDEBF7"/>
            <w:vAlign w:val="center"/>
            <w:hideMark/>
          </w:tcPr>
          <w:p w14:paraId="0C3E4F55" w14:textId="0E133C78" w:rsidR="000D4D00" w:rsidRPr="005774F8" w:rsidRDefault="00F5298F"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0D4D00" w:rsidRPr="005774F8">
              <w:rPr>
                <w:rFonts w:eastAsia="Times New Roman" w:cs="Times New Roman"/>
                <w:b/>
                <w:bCs/>
                <w:color w:val="000000"/>
                <w:sz w:val="18"/>
                <w:szCs w:val="18"/>
              </w:rPr>
              <w:t>1</w:t>
            </w:r>
          </w:p>
        </w:tc>
        <w:tc>
          <w:tcPr>
            <w:tcW w:w="801" w:type="dxa"/>
            <w:tcBorders>
              <w:top w:val="nil"/>
              <w:left w:val="nil"/>
              <w:bottom w:val="single" w:sz="8" w:space="0" w:color="000000"/>
              <w:right w:val="single" w:sz="8" w:space="0" w:color="000000"/>
            </w:tcBorders>
            <w:shd w:val="clear" w:color="000000" w:fill="DDEBF7"/>
            <w:vAlign w:val="center"/>
            <w:hideMark/>
          </w:tcPr>
          <w:p w14:paraId="4D761D5C" w14:textId="0D12245F" w:rsidR="000D4D00" w:rsidRPr="005774F8" w:rsidRDefault="00F5298F"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0D4D00" w:rsidRPr="005774F8">
              <w:rPr>
                <w:rFonts w:eastAsia="Times New Roman" w:cs="Times New Roman"/>
                <w:b/>
                <w:bCs/>
                <w:color w:val="000000"/>
                <w:sz w:val="18"/>
                <w:szCs w:val="18"/>
              </w:rPr>
              <w:t>6</w:t>
            </w:r>
          </w:p>
        </w:tc>
        <w:tc>
          <w:tcPr>
            <w:tcW w:w="801" w:type="dxa"/>
            <w:tcBorders>
              <w:top w:val="nil"/>
              <w:left w:val="nil"/>
              <w:bottom w:val="single" w:sz="8" w:space="0" w:color="000000"/>
              <w:right w:val="single" w:sz="8" w:space="0" w:color="000000"/>
            </w:tcBorders>
            <w:shd w:val="clear" w:color="000000" w:fill="DDEBF7"/>
            <w:vAlign w:val="center"/>
            <w:hideMark/>
          </w:tcPr>
          <w:p w14:paraId="47513614" w14:textId="403F7080" w:rsidR="000D4D00" w:rsidRPr="005774F8" w:rsidRDefault="00555C2A"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-1,</w:t>
            </w:r>
            <w:r w:rsidR="000D4D00" w:rsidRPr="005774F8">
              <w:rPr>
                <w:rFonts w:eastAsia="Times New Roman" w:cs="Times New Roman"/>
                <w:b/>
                <w:bCs/>
                <w:color w:val="000000"/>
                <w:sz w:val="18"/>
                <w:szCs w:val="18"/>
              </w:rPr>
              <w:t>0</w:t>
            </w:r>
          </w:p>
        </w:tc>
        <w:tc>
          <w:tcPr>
            <w:tcW w:w="801" w:type="dxa"/>
            <w:tcBorders>
              <w:top w:val="nil"/>
              <w:left w:val="nil"/>
              <w:bottom w:val="single" w:sz="8" w:space="0" w:color="000000"/>
              <w:right w:val="single" w:sz="8" w:space="0" w:color="000000"/>
            </w:tcBorders>
            <w:shd w:val="clear" w:color="000000" w:fill="DDEBF7"/>
            <w:vAlign w:val="center"/>
            <w:hideMark/>
          </w:tcPr>
          <w:p w14:paraId="11946713" w14:textId="7C083757" w:rsidR="000D4D00" w:rsidRPr="005774F8" w:rsidRDefault="00555C2A"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0D4D00" w:rsidRPr="005774F8">
              <w:rPr>
                <w:rFonts w:eastAsia="Times New Roman" w:cs="Times New Roman"/>
                <w:b/>
                <w:bCs/>
                <w:color w:val="000000"/>
                <w:sz w:val="18"/>
                <w:szCs w:val="18"/>
              </w:rPr>
              <w:t>5</w:t>
            </w:r>
          </w:p>
        </w:tc>
        <w:tc>
          <w:tcPr>
            <w:tcW w:w="818" w:type="dxa"/>
            <w:tcBorders>
              <w:top w:val="nil"/>
              <w:left w:val="nil"/>
              <w:bottom w:val="single" w:sz="8" w:space="0" w:color="000000"/>
              <w:right w:val="single" w:sz="8" w:space="0" w:color="000000"/>
            </w:tcBorders>
            <w:shd w:val="clear" w:color="000000" w:fill="DDEBF7"/>
            <w:vAlign w:val="center"/>
            <w:hideMark/>
          </w:tcPr>
          <w:p w14:paraId="0542F429" w14:textId="58FCDEDC" w:rsidR="000D4D00" w:rsidRPr="005774F8" w:rsidRDefault="00555C2A"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0D4D00" w:rsidRPr="005774F8">
              <w:rPr>
                <w:rFonts w:eastAsia="Times New Roman" w:cs="Times New Roman"/>
                <w:b/>
                <w:bCs/>
                <w:color w:val="000000"/>
                <w:sz w:val="18"/>
                <w:szCs w:val="18"/>
              </w:rPr>
              <w:t>4</w:t>
            </w:r>
          </w:p>
        </w:tc>
        <w:tc>
          <w:tcPr>
            <w:tcW w:w="850" w:type="dxa"/>
            <w:tcBorders>
              <w:top w:val="nil"/>
              <w:left w:val="nil"/>
              <w:bottom w:val="single" w:sz="8" w:space="0" w:color="000000"/>
              <w:right w:val="single" w:sz="8" w:space="0" w:color="000000"/>
            </w:tcBorders>
            <w:shd w:val="clear" w:color="000000" w:fill="DDEBF7"/>
            <w:vAlign w:val="center"/>
            <w:hideMark/>
          </w:tcPr>
          <w:p w14:paraId="749D7B78" w14:textId="1AAB725A" w:rsidR="000D4D00" w:rsidRPr="005774F8" w:rsidRDefault="00555C2A"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0D4D00" w:rsidRPr="005774F8">
              <w:rPr>
                <w:rFonts w:eastAsia="Times New Roman" w:cs="Times New Roman"/>
                <w:b/>
                <w:bCs/>
                <w:color w:val="000000"/>
                <w:sz w:val="18"/>
                <w:szCs w:val="18"/>
              </w:rPr>
              <w:t>5</w:t>
            </w:r>
          </w:p>
        </w:tc>
        <w:tc>
          <w:tcPr>
            <w:tcW w:w="851" w:type="dxa"/>
            <w:tcBorders>
              <w:top w:val="nil"/>
              <w:left w:val="nil"/>
              <w:bottom w:val="single" w:sz="8" w:space="0" w:color="000000"/>
              <w:right w:val="single" w:sz="8" w:space="0" w:color="000000"/>
            </w:tcBorders>
            <w:shd w:val="clear" w:color="000000" w:fill="DDEBF7"/>
            <w:vAlign w:val="center"/>
            <w:hideMark/>
          </w:tcPr>
          <w:p w14:paraId="58969BBC" w14:textId="1B3D8D07" w:rsidR="000D4D00" w:rsidRPr="005774F8" w:rsidRDefault="00555C2A"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0D4D00" w:rsidRPr="005774F8">
              <w:rPr>
                <w:rFonts w:eastAsia="Times New Roman" w:cs="Times New Roman"/>
                <w:b/>
                <w:bCs/>
                <w:color w:val="000000"/>
                <w:sz w:val="18"/>
                <w:szCs w:val="18"/>
              </w:rPr>
              <w:t>1</w:t>
            </w:r>
          </w:p>
        </w:tc>
        <w:tc>
          <w:tcPr>
            <w:tcW w:w="890" w:type="dxa"/>
            <w:tcBorders>
              <w:top w:val="nil"/>
              <w:left w:val="nil"/>
              <w:bottom w:val="single" w:sz="8" w:space="0" w:color="000000"/>
              <w:right w:val="single" w:sz="8" w:space="0" w:color="000000"/>
            </w:tcBorders>
            <w:shd w:val="clear" w:color="000000" w:fill="DDEBF7"/>
            <w:vAlign w:val="center"/>
            <w:hideMark/>
          </w:tcPr>
          <w:p w14:paraId="24E15FED" w14:textId="68610373" w:rsidR="000D4D00" w:rsidRPr="005774F8" w:rsidRDefault="00555C2A"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-2,</w:t>
            </w:r>
            <w:r w:rsidR="000D4D00" w:rsidRPr="005774F8">
              <w:rPr>
                <w:rFonts w:eastAsia="Times New Roman" w:cs="Times New Roman"/>
                <w:b/>
                <w:bCs/>
                <w:color w:val="000000"/>
                <w:sz w:val="18"/>
                <w:szCs w:val="18"/>
              </w:rPr>
              <w:t>3</w:t>
            </w:r>
          </w:p>
        </w:tc>
      </w:tr>
      <w:tr w:rsidR="000D4D00" w:rsidRPr="005774F8" w14:paraId="11D33C0F" w14:textId="77777777" w:rsidTr="005774F8">
        <w:trPr>
          <w:trHeight w:val="484"/>
        </w:trPr>
        <w:tc>
          <w:tcPr>
            <w:tcW w:w="1560" w:type="dxa"/>
            <w:tcBorders>
              <w:top w:val="nil"/>
              <w:left w:val="single" w:sz="8" w:space="0" w:color="000000"/>
              <w:bottom w:val="single" w:sz="8" w:space="0" w:color="000000"/>
              <w:right w:val="single" w:sz="8" w:space="0" w:color="000000"/>
            </w:tcBorders>
            <w:shd w:val="clear" w:color="000000" w:fill="FFFFFF"/>
            <w:vAlign w:val="center"/>
            <w:hideMark/>
          </w:tcPr>
          <w:p w14:paraId="6253CC9C" w14:textId="77777777" w:rsidR="000D4D00" w:rsidRPr="005774F8" w:rsidRDefault="000D4D00" w:rsidP="00EE5424">
            <w:pPr>
              <w:ind w:firstLine="22"/>
              <w:jc w:val="right"/>
              <w:rPr>
                <w:rFonts w:eastAsia="Times New Roman" w:cs="Times New Roman"/>
                <w:i/>
                <w:iCs/>
                <w:color w:val="000000"/>
                <w:sz w:val="18"/>
                <w:szCs w:val="18"/>
              </w:rPr>
            </w:pPr>
            <w:r w:rsidRPr="005774F8">
              <w:rPr>
                <w:rFonts w:eastAsia="Times New Roman" w:cs="Times New Roman"/>
                <w:i/>
                <w:iCs/>
                <w:color w:val="000000"/>
                <w:sz w:val="18"/>
                <w:szCs w:val="18"/>
              </w:rPr>
              <w:t>8.(Σ(6.))</w:t>
            </w:r>
          </w:p>
        </w:tc>
        <w:tc>
          <w:tcPr>
            <w:tcW w:w="1559" w:type="dxa"/>
            <w:tcBorders>
              <w:top w:val="nil"/>
              <w:left w:val="nil"/>
              <w:bottom w:val="single" w:sz="8" w:space="0" w:color="000000"/>
              <w:right w:val="single" w:sz="8" w:space="0" w:color="000000"/>
            </w:tcBorders>
            <w:shd w:val="clear" w:color="auto" w:fill="auto"/>
            <w:vAlign w:val="center"/>
            <w:hideMark/>
          </w:tcPr>
          <w:p w14:paraId="43DD5A8F" w14:textId="77777777" w:rsidR="000D4D00" w:rsidRPr="005774F8" w:rsidRDefault="000D4D00" w:rsidP="00EE5424">
            <w:pPr>
              <w:ind w:firstLine="0"/>
              <w:jc w:val="left"/>
              <w:rPr>
                <w:rFonts w:eastAsia="Times New Roman" w:cs="Times New Roman"/>
                <w:color w:val="000000"/>
                <w:sz w:val="18"/>
                <w:szCs w:val="18"/>
              </w:rPr>
            </w:pPr>
            <w:r w:rsidRPr="005774F8">
              <w:rPr>
                <w:rFonts w:eastAsia="Times New Roman" w:cs="Times New Roman"/>
                <w:color w:val="000000"/>
                <w:sz w:val="18"/>
                <w:szCs w:val="18"/>
              </w:rPr>
              <w:t xml:space="preserve">Uzkrāto bilanču starpības summa (kumulatīvi), milj. </w:t>
            </w:r>
            <w:r w:rsidRPr="005774F8">
              <w:rPr>
                <w:rFonts w:eastAsia="Times New Roman" w:cs="Times New Roman"/>
                <w:i/>
                <w:iCs/>
                <w:color w:val="000000"/>
                <w:sz w:val="18"/>
                <w:szCs w:val="18"/>
              </w:rPr>
              <w:t xml:space="preserve">euro </w:t>
            </w:r>
          </w:p>
        </w:tc>
        <w:tc>
          <w:tcPr>
            <w:tcW w:w="850" w:type="dxa"/>
            <w:tcBorders>
              <w:top w:val="nil"/>
              <w:left w:val="nil"/>
              <w:bottom w:val="single" w:sz="8" w:space="0" w:color="000000"/>
              <w:right w:val="single" w:sz="8" w:space="0" w:color="000000"/>
            </w:tcBorders>
            <w:shd w:val="clear" w:color="000000" w:fill="FFFFFF"/>
            <w:vAlign w:val="center"/>
            <w:hideMark/>
          </w:tcPr>
          <w:p w14:paraId="1DE7EA48" w14:textId="082B5D94" w:rsidR="000D4D00" w:rsidRPr="005774F8" w:rsidRDefault="00F5298F"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-21,</w:t>
            </w:r>
            <w:r w:rsidR="000D4D00" w:rsidRPr="005774F8">
              <w:rPr>
                <w:rFonts w:eastAsia="Times New Roman" w:cs="Times New Roman"/>
                <w:color w:val="000000"/>
                <w:sz w:val="18"/>
                <w:szCs w:val="18"/>
              </w:rPr>
              <w:t>1</w:t>
            </w:r>
          </w:p>
        </w:tc>
        <w:tc>
          <w:tcPr>
            <w:tcW w:w="801" w:type="dxa"/>
            <w:tcBorders>
              <w:top w:val="nil"/>
              <w:left w:val="nil"/>
              <w:bottom w:val="single" w:sz="8" w:space="0" w:color="000000"/>
              <w:right w:val="single" w:sz="8" w:space="0" w:color="000000"/>
            </w:tcBorders>
            <w:shd w:val="clear" w:color="000000" w:fill="FFFFFF"/>
            <w:vAlign w:val="center"/>
            <w:hideMark/>
          </w:tcPr>
          <w:p w14:paraId="651386D3" w14:textId="43A5E93A" w:rsidR="000D4D00" w:rsidRPr="005774F8" w:rsidRDefault="00F5298F"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-169,</w:t>
            </w:r>
            <w:r w:rsidR="000D4D00" w:rsidRPr="005774F8">
              <w:rPr>
                <w:rFonts w:eastAsia="Times New Roman" w:cs="Times New Roman"/>
                <w:color w:val="000000"/>
                <w:sz w:val="18"/>
                <w:szCs w:val="18"/>
              </w:rPr>
              <w:t>4</w:t>
            </w:r>
          </w:p>
        </w:tc>
        <w:tc>
          <w:tcPr>
            <w:tcW w:w="801" w:type="dxa"/>
            <w:tcBorders>
              <w:top w:val="nil"/>
              <w:left w:val="nil"/>
              <w:bottom w:val="single" w:sz="8" w:space="0" w:color="000000"/>
              <w:right w:val="single" w:sz="8" w:space="0" w:color="000000"/>
            </w:tcBorders>
            <w:shd w:val="clear" w:color="000000" w:fill="FFFFFF"/>
            <w:vAlign w:val="center"/>
            <w:hideMark/>
          </w:tcPr>
          <w:p w14:paraId="39282F1C" w14:textId="254D908C" w:rsidR="000D4D00" w:rsidRPr="005774F8" w:rsidRDefault="00555C2A"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-406,</w:t>
            </w:r>
            <w:r w:rsidR="000D4D00" w:rsidRPr="005774F8">
              <w:rPr>
                <w:rFonts w:eastAsia="Times New Roman" w:cs="Times New Roman"/>
                <w:color w:val="000000"/>
                <w:sz w:val="18"/>
                <w:szCs w:val="18"/>
              </w:rPr>
              <w:t>2</w:t>
            </w:r>
          </w:p>
        </w:tc>
        <w:tc>
          <w:tcPr>
            <w:tcW w:w="801" w:type="dxa"/>
            <w:tcBorders>
              <w:top w:val="nil"/>
              <w:left w:val="nil"/>
              <w:bottom w:val="single" w:sz="8" w:space="0" w:color="000000"/>
              <w:right w:val="single" w:sz="8" w:space="0" w:color="000000"/>
            </w:tcBorders>
            <w:shd w:val="clear" w:color="000000" w:fill="FFFFFF"/>
            <w:vAlign w:val="center"/>
            <w:hideMark/>
          </w:tcPr>
          <w:p w14:paraId="55A41292" w14:textId="556FE199" w:rsidR="000D4D00" w:rsidRPr="005774F8" w:rsidRDefault="00555C2A"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-287,</w:t>
            </w:r>
            <w:r w:rsidR="000D4D00" w:rsidRPr="005774F8">
              <w:rPr>
                <w:rFonts w:eastAsia="Times New Roman" w:cs="Times New Roman"/>
                <w:color w:val="000000"/>
                <w:sz w:val="18"/>
                <w:szCs w:val="18"/>
              </w:rPr>
              <w:t>1</w:t>
            </w:r>
          </w:p>
        </w:tc>
        <w:tc>
          <w:tcPr>
            <w:tcW w:w="818" w:type="dxa"/>
            <w:tcBorders>
              <w:top w:val="nil"/>
              <w:left w:val="nil"/>
              <w:bottom w:val="single" w:sz="8" w:space="0" w:color="000000"/>
              <w:right w:val="single" w:sz="8" w:space="0" w:color="000000"/>
            </w:tcBorders>
            <w:shd w:val="clear" w:color="000000" w:fill="FFFFFF"/>
            <w:vAlign w:val="center"/>
            <w:hideMark/>
          </w:tcPr>
          <w:p w14:paraId="12695D3C" w14:textId="5B996DB9" w:rsidR="000D4D00" w:rsidRPr="005774F8" w:rsidRDefault="00555C2A"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-391,</w:t>
            </w:r>
            <w:r w:rsidR="000D4D00" w:rsidRPr="005774F8">
              <w:rPr>
                <w:rFonts w:eastAsia="Times New Roman" w:cs="Times New Roman"/>
                <w:color w:val="000000"/>
                <w:sz w:val="18"/>
                <w:szCs w:val="18"/>
              </w:rPr>
              <w:t>1</w:t>
            </w:r>
          </w:p>
        </w:tc>
        <w:tc>
          <w:tcPr>
            <w:tcW w:w="850" w:type="dxa"/>
            <w:tcBorders>
              <w:top w:val="nil"/>
              <w:left w:val="nil"/>
              <w:bottom w:val="single" w:sz="8" w:space="0" w:color="000000"/>
              <w:right w:val="single" w:sz="8" w:space="0" w:color="000000"/>
            </w:tcBorders>
            <w:shd w:val="clear" w:color="000000" w:fill="FFFFFF"/>
            <w:vAlign w:val="center"/>
            <w:hideMark/>
          </w:tcPr>
          <w:p w14:paraId="6F2A7360" w14:textId="0CF52101" w:rsidR="000D4D00" w:rsidRPr="005774F8" w:rsidRDefault="00555C2A"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-529,</w:t>
            </w:r>
            <w:r w:rsidR="000D4D00" w:rsidRPr="005774F8">
              <w:rPr>
                <w:rFonts w:eastAsia="Times New Roman" w:cs="Times New Roman"/>
                <w:color w:val="000000"/>
                <w:sz w:val="18"/>
                <w:szCs w:val="18"/>
              </w:rPr>
              <w:t>8</w:t>
            </w:r>
          </w:p>
        </w:tc>
        <w:tc>
          <w:tcPr>
            <w:tcW w:w="851" w:type="dxa"/>
            <w:tcBorders>
              <w:top w:val="nil"/>
              <w:left w:val="nil"/>
              <w:bottom w:val="single" w:sz="8" w:space="0" w:color="000000"/>
              <w:right w:val="single" w:sz="8" w:space="0" w:color="000000"/>
            </w:tcBorders>
            <w:shd w:val="clear" w:color="000000" w:fill="FFFFFF"/>
            <w:vAlign w:val="center"/>
            <w:hideMark/>
          </w:tcPr>
          <w:p w14:paraId="4A992D00" w14:textId="6E1DEFD5" w:rsidR="000D4D00" w:rsidRPr="005774F8" w:rsidRDefault="00555C2A"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-561,</w:t>
            </w:r>
            <w:r w:rsidR="000D4D00" w:rsidRPr="005774F8">
              <w:rPr>
                <w:rFonts w:eastAsia="Times New Roman" w:cs="Times New Roman"/>
                <w:color w:val="000000"/>
                <w:sz w:val="18"/>
                <w:szCs w:val="18"/>
              </w:rPr>
              <w:t>3</w:t>
            </w:r>
          </w:p>
        </w:tc>
        <w:tc>
          <w:tcPr>
            <w:tcW w:w="890" w:type="dxa"/>
            <w:tcBorders>
              <w:top w:val="nil"/>
              <w:left w:val="nil"/>
              <w:bottom w:val="single" w:sz="8" w:space="0" w:color="000000"/>
              <w:right w:val="single" w:sz="8" w:space="0" w:color="000000"/>
            </w:tcBorders>
            <w:shd w:val="clear" w:color="000000" w:fill="FFFFFF"/>
            <w:vAlign w:val="center"/>
            <w:hideMark/>
          </w:tcPr>
          <w:p w14:paraId="71602E0A" w14:textId="785AD83B" w:rsidR="000D4D00" w:rsidRPr="005774F8" w:rsidRDefault="00555C2A" w:rsidP="00EE5424">
            <w:pPr>
              <w:ind w:firstLine="0"/>
              <w:jc w:val="center"/>
              <w:rPr>
                <w:rFonts w:eastAsia="Times New Roman" w:cs="Times New Roman"/>
                <w:color w:val="000000"/>
                <w:sz w:val="18"/>
                <w:szCs w:val="18"/>
              </w:rPr>
            </w:pPr>
            <w:r w:rsidRPr="005774F8">
              <w:rPr>
                <w:rFonts w:eastAsia="Times New Roman" w:cs="Times New Roman"/>
                <w:color w:val="000000"/>
                <w:sz w:val="18"/>
                <w:szCs w:val="18"/>
              </w:rPr>
              <w:t>-1267,</w:t>
            </w:r>
            <w:r w:rsidR="000D4D00" w:rsidRPr="005774F8">
              <w:rPr>
                <w:rFonts w:eastAsia="Times New Roman" w:cs="Times New Roman"/>
                <w:color w:val="000000"/>
                <w:sz w:val="18"/>
                <w:szCs w:val="18"/>
              </w:rPr>
              <w:t>3</w:t>
            </w:r>
          </w:p>
        </w:tc>
      </w:tr>
      <w:tr w:rsidR="000D4D00" w:rsidRPr="005774F8" w14:paraId="5A65B838" w14:textId="77777777" w:rsidTr="005774F8">
        <w:trPr>
          <w:trHeight w:val="484"/>
        </w:trPr>
        <w:tc>
          <w:tcPr>
            <w:tcW w:w="1560" w:type="dxa"/>
            <w:tcBorders>
              <w:top w:val="nil"/>
              <w:left w:val="single" w:sz="8" w:space="0" w:color="000000"/>
              <w:bottom w:val="single" w:sz="8" w:space="0" w:color="000000"/>
              <w:right w:val="single" w:sz="8" w:space="0" w:color="000000"/>
            </w:tcBorders>
            <w:shd w:val="clear" w:color="000000" w:fill="FFFFFF"/>
            <w:vAlign w:val="center"/>
            <w:hideMark/>
          </w:tcPr>
          <w:p w14:paraId="6FB3B9D4" w14:textId="77777777" w:rsidR="000D4D00" w:rsidRPr="005774F8" w:rsidRDefault="000D4D00" w:rsidP="00EE5424">
            <w:pPr>
              <w:ind w:firstLine="22"/>
              <w:jc w:val="right"/>
              <w:rPr>
                <w:rFonts w:eastAsia="Times New Roman" w:cs="Times New Roman"/>
                <w:i/>
                <w:iCs/>
                <w:color w:val="000000"/>
                <w:sz w:val="18"/>
                <w:szCs w:val="18"/>
              </w:rPr>
            </w:pPr>
            <w:r w:rsidRPr="005774F8">
              <w:rPr>
                <w:rFonts w:eastAsia="Times New Roman" w:cs="Times New Roman"/>
                <w:i/>
                <w:iCs/>
                <w:color w:val="000000"/>
                <w:sz w:val="18"/>
                <w:szCs w:val="18"/>
              </w:rPr>
              <w:t>9.((8./1.)×100)</w:t>
            </w:r>
          </w:p>
        </w:tc>
        <w:tc>
          <w:tcPr>
            <w:tcW w:w="1559" w:type="dxa"/>
            <w:tcBorders>
              <w:top w:val="nil"/>
              <w:left w:val="nil"/>
              <w:bottom w:val="single" w:sz="8" w:space="0" w:color="000000"/>
              <w:right w:val="single" w:sz="8" w:space="0" w:color="000000"/>
            </w:tcBorders>
            <w:shd w:val="clear" w:color="000000" w:fill="DEEAF6"/>
            <w:vAlign w:val="center"/>
            <w:hideMark/>
          </w:tcPr>
          <w:p w14:paraId="5CECE490" w14:textId="5CCBE264" w:rsidR="000D4D00" w:rsidRPr="005774F8" w:rsidRDefault="000D4D00" w:rsidP="00EE5424">
            <w:pPr>
              <w:ind w:firstLine="0"/>
              <w:jc w:val="left"/>
              <w:rPr>
                <w:rFonts w:eastAsia="Times New Roman" w:cs="Times New Roman"/>
                <w:color w:val="000000"/>
                <w:sz w:val="18"/>
                <w:szCs w:val="18"/>
              </w:rPr>
            </w:pPr>
            <w:r w:rsidRPr="005774F8">
              <w:rPr>
                <w:rFonts w:eastAsia="Times New Roman" w:cs="Times New Roman"/>
                <w:color w:val="000000"/>
                <w:sz w:val="18"/>
                <w:szCs w:val="18"/>
              </w:rPr>
              <w:t>Uzkrāto b</w:t>
            </w:r>
            <w:r w:rsidR="00555C2A" w:rsidRPr="005774F8">
              <w:rPr>
                <w:rFonts w:eastAsia="Times New Roman" w:cs="Times New Roman"/>
                <w:color w:val="000000"/>
                <w:sz w:val="18"/>
                <w:szCs w:val="18"/>
              </w:rPr>
              <w:t>ilanču starpības summa, % no iekšzemes kopprodukta</w:t>
            </w:r>
          </w:p>
        </w:tc>
        <w:tc>
          <w:tcPr>
            <w:tcW w:w="850" w:type="dxa"/>
            <w:tcBorders>
              <w:top w:val="nil"/>
              <w:left w:val="nil"/>
              <w:bottom w:val="single" w:sz="8" w:space="0" w:color="000000"/>
              <w:right w:val="single" w:sz="8" w:space="0" w:color="000000"/>
            </w:tcBorders>
            <w:shd w:val="clear" w:color="000000" w:fill="DDEBF7"/>
            <w:vAlign w:val="center"/>
            <w:hideMark/>
          </w:tcPr>
          <w:p w14:paraId="07094D8B" w14:textId="759677B7" w:rsidR="000D4D00" w:rsidRPr="005774F8" w:rsidRDefault="00F5298F" w:rsidP="00EE5424">
            <w:pPr>
              <w:ind w:firstLine="0"/>
              <w:jc w:val="center"/>
              <w:rPr>
                <w:rFonts w:eastAsia="Times New Roman" w:cs="Times New Roman"/>
                <w:b/>
                <w:bCs/>
                <w:sz w:val="18"/>
                <w:szCs w:val="18"/>
              </w:rPr>
            </w:pPr>
            <w:r w:rsidRPr="005774F8">
              <w:rPr>
                <w:rFonts w:eastAsia="Times New Roman" w:cs="Times New Roman"/>
                <w:b/>
                <w:bCs/>
                <w:sz w:val="18"/>
                <w:szCs w:val="18"/>
              </w:rPr>
              <w:t>-0,</w:t>
            </w:r>
            <w:r w:rsidR="000D4D00" w:rsidRPr="005774F8">
              <w:rPr>
                <w:rFonts w:eastAsia="Times New Roman" w:cs="Times New Roman"/>
                <w:b/>
                <w:bCs/>
                <w:sz w:val="18"/>
                <w:szCs w:val="18"/>
              </w:rPr>
              <w:t>1</w:t>
            </w:r>
          </w:p>
        </w:tc>
        <w:tc>
          <w:tcPr>
            <w:tcW w:w="801" w:type="dxa"/>
            <w:tcBorders>
              <w:top w:val="nil"/>
              <w:left w:val="nil"/>
              <w:bottom w:val="single" w:sz="8" w:space="0" w:color="000000"/>
              <w:right w:val="single" w:sz="8" w:space="0" w:color="000000"/>
            </w:tcBorders>
            <w:shd w:val="clear" w:color="000000" w:fill="DDEBF7"/>
            <w:vAlign w:val="center"/>
            <w:hideMark/>
          </w:tcPr>
          <w:p w14:paraId="0AF09030" w14:textId="20CF24A3" w:rsidR="000D4D00" w:rsidRPr="005774F8" w:rsidRDefault="00F5298F" w:rsidP="00EE5424">
            <w:pPr>
              <w:ind w:firstLine="0"/>
              <w:jc w:val="center"/>
              <w:rPr>
                <w:rFonts w:eastAsia="Times New Roman" w:cs="Times New Roman"/>
                <w:b/>
                <w:bCs/>
                <w:sz w:val="18"/>
                <w:szCs w:val="18"/>
              </w:rPr>
            </w:pPr>
            <w:r w:rsidRPr="005774F8">
              <w:rPr>
                <w:rFonts w:eastAsia="Times New Roman" w:cs="Times New Roman"/>
                <w:b/>
                <w:bCs/>
                <w:sz w:val="18"/>
                <w:szCs w:val="18"/>
              </w:rPr>
              <w:t>-0,</w:t>
            </w:r>
            <w:r w:rsidR="000D4D00" w:rsidRPr="005774F8">
              <w:rPr>
                <w:rFonts w:eastAsia="Times New Roman" w:cs="Times New Roman"/>
                <w:b/>
                <w:bCs/>
                <w:sz w:val="18"/>
                <w:szCs w:val="18"/>
              </w:rPr>
              <w:t>7</w:t>
            </w:r>
          </w:p>
        </w:tc>
        <w:tc>
          <w:tcPr>
            <w:tcW w:w="801" w:type="dxa"/>
            <w:tcBorders>
              <w:top w:val="nil"/>
              <w:left w:val="nil"/>
              <w:bottom w:val="single" w:sz="8" w:space="0" w:color="000000"/>
              <w:right w:val="single" w:sz="8" w:space="0" w:color="000000"/>
            </w:tcBorders>
            <w:shd w:val="clear" w:color="000000" w:fill="DDEBF7"/>
            <w:vAlign w:val="center"/>
            <w:hideMark/>
          </w:tcPr>
          <w:p w14:paraId="49D827E0" w14:textId="45E4FCB9" w:rsidR="000D4D00" w:rsidRPr="005774F8" w:rsidRDefault="00555C2A" w:rsidP="00EE5424">
            <w:pPr>
              <w:ind w:firstLine="0"/>
              <w:jc w:val="center"/>
              <w:rPr>
                <w:rFonts w:eastAsia="Times New Roman" w:cs="Times New Roman"/>
                <w:b/>
                <w:bCs/>
                <w:sz w:val="18"/>
                <w:szCs w:val="18"/>
              </w:rPr>
            </w:pPr>
            <w:r w:rsidRPr="005774F8">
              <w:rPr>
                <w:rFonts w:eastAsia="Times New Roman" w:cs="Times New Roman"/>
                <w:b/>
                <w:bCs/>
                <w:sz w:val="18"/>
                <w:szCs w:val="18"/>
              </w:rPr>
              <w:t>-1,</w:t>
            </w:r>
            <w:r w:rsidR="000D4D00" w:rsidRPr="005774F8">
              <w:rPr>
                <w:rFonts w:eastAsia="Times New Roman" w:cs="Times New Roman"/>
                <w:b/>
                <w:bCs/>
                <w:sz w:val="18"/>
                <w:szCs w:val="18"/>
              </w:rPr>
              <w:t>7</w:t>
            </w:r>
          </w:p>
        </w:tc>
        <w:tc>
          <w:tcPr>
            <w:tcW w:w="801" w:type="dxa"/>
            <w:tcBorders>
              <w:top w:val="nil"/>
              <w:left w:val="nil"/>
              <w:bottom w:val="single" w:sz="8" w:space="0" w:color="000000"/>
              <w:right w:val="single" w:sz="8" w:space="0" w:color="000000"/>
            </w:tcBorders>
            <w:shd w:val="clear" w:color="000000" w:fill="DDEBF7"/>
            <w:vAlign w:val="center"/>
            <w:hideMark/>
          </w:tcPr>
          <w:p w14:paraId="047E9D30" w14:textId="324CD6F1" w:rsidR="000D4D00" w:rsidRPr="005774F8" w:rsidRDefault="00555C2A" w:rsidP="00EE5424">
            <w:pPr>
              <w:ind w:firstLine="0"/>
              <w:jc w:val="center"/>
              <w:rPr>
                <w:rFonts w:eastAsia="Times New Roman" w:cs="Times New Roman"/>
                <w:b/>
                <w:bCs/>
                <w:sz w:val="18"/>
                <w:szCs w:val="18"/>
              </w:rPr>
            </w:pPr>
            <w:r w:rsidRPr="005774F8">
              <w:rPr>
                <w:rFonts w:eastAsia="Times New Roman" w:cs="Times New Roman"/>
                <w:b/>
                <w:bCs/>
                <w:sz w:val="18"/>
                <w:szCs w:val="18"/>
              </w:rPr>
              <w:t>-1,</w:t>
            </w:r>
            <w:r w:rsidR="000D4D00" w:rsidRPr="005774F8">
              <w:rPr>
                <w:rFonts w:eastAsia="Times New Roman" w:cs="Times New Roman"/>
                <w:b/>
                <w:bCs/>
                <w:sz w:val="18"/>
                <w:szCs w:val="18"/>
              </w:rPr>
              <w:t>1</w:t>
            </w:r>
          </w:p>
        </w:tc>
        <w:tc>
          <w:tcPr>
            <w:tcW w:w="818" w:type="dxa"/>
            <w:tcBorders>
              <w:top w:val="nil"/>
              <w:left w:val="nil"/>
              <w:bottom w:val="single" w:sz="8" w:space="0" w:color="000000"/>
              <w:right w:val="single" w:sz="8" w:space="0" w:color="000000"/>
            </w:tcBorders>
            <w:shd w:val="clear" w:color="000000" w:fill="DDEBF7"/>
            <w:vAlign w:val="center"/>
            <w:hideMark/>
          </w:tcPr>
          <w:p w14:paraId="0860E1A1" w14:textId="6B4D52FF" w:rsidR="000D4D00" w:rsidRPr="005774F8" w:rsidRDefault="00555C2A" w:rsidP="00EE5424">
            <w:pPr>
              <w:ind w:firstLine="0"/>
              <w:jc w:val="center"/>
              <w:rPr>
                <w:rFonts w:eastAsia="Times New Roman" w:cs="Times New Roman"/>
                <w:b/>
                <w:bCs/>
                <w:sz w:val="18"/>
                <w:szCs w:val="18"/>
              </w:rPr>
            </w:pPr>
            <w:r w:rsidRPr="005774F8">
              <w:rPr>
                <w:rFonts w:eastAsia="Times New Roman" w:cs="Times New Roman"/>
                <w:b/>
                <w:bCs/>
                <w:sz w:val="18"/>
                <w:szCs w:val="18"/>
              </w:rPr>
              <w:t>-1,</w:t>
            </w:r>
            <w:r w:rsidR="000D4D00" w:rsidRPr="005774F8">
              <w:rPr>
                <w:rFonts w:eastAsia="Times New Roman" w:cs="Times New Roman"/>
                <w:b/>
                <w:bCs/>
                <w:sz w:val="18"/>
                <w:szCs w:val="18"/>
              </w:rPr>
              <w:t>5</w:t>
            </w:r>
          </w:p>
        </w:tc>
        <w:tc>
          <w:tcPr>
            <w:tcW w:w="850" w:type="dxa"/>
            <w:tcBorders>
              <w:top w:val="nil"/>
              <w:left w:val="nil"/>
              <w:bottom w:val="single" w:sz="8" w:space="0" w:color="000000"/>
              <w:right w:val="single" w:sz="8" w:space="0" w:color="000000"/>
            </w:tcBorders>
            <w:shd w:val="clear" w:color="000000" w:fill="DDEBF7"/>
            <w:vAlign w:val="center"/>
            <w:hideMark/>
          </w:tcPr>
          <w:p w14:paraId="07BC90E5" w14:textId="22574E2D" w:rsidR="000D4D00" w:rsidRPr="005774F8" w:rsidRDefault="00555C2A" w:rsidP="00EE5424">
            <w:pPr>
              <w:ind w:firstLine="0"/>
              <w:jc w:val="center"/>
              <w:rPr>
                <w:rFonts w:eastAsia="Times New Roman" w:cs="Times New Roman"/>
                <w:b/>
                <w:bCs/>
                <w:sz w:val="18"/>
                <w:szCs w:val="18"/>
              </w:rPr>
            </w:pPr>
            <w:r w:rsidRPr="005774F8">
              <w:rPr>
                <w:rFonts w:eastAsia="Times New Roman" w:cs="Times New Roman"/>
                <w:b/>
                <w:bCs/>
                <w:sz w:val="18"/>
                <w:szCs w:val="18"/>
              </w:rPr>
              <w:t>-1,</w:t>
            </w:r>
            <w:r w:rsidR="000D4D00" w:rsidRPr="005774F8">
              <w:rPr>
                <w:rFonts w:eastAsia="Times New Roman" w:cs="Times New Roman"/>
                <w:b/>
                <w:bCs/>
                <w:sz w:val="18"/>
                <w:szCs w:val="18"/>
              </w:rPr>
              <w:t>8</w:t>
            </w:r>
          </w:p>
        </w:tc>
        <w:tc>
          <w:tcPr>
            <w:tcW w:w="851" w:type="dxa"/>
            <w:tcBorders>
              <w:top w:val="nil"/>
              <w:left w:val="nil"/>
              <w:bottom w:val="single" w:sz="8" w:space="0" w:color="000000"/>
              <w:right w:val="single" w:sz="8" w:space="0" w:color="000000"/>
            </w:tcBorders>
            <w:shd w:val="clear" w:color="000000" w:fill="DDEBF7"/>
            <w:vAlign w:val="center"/>
            <w:hideMark/>
          </w:tcPr>
          <w:p w14:paraId="680F4588" w14:textId="06D82EFF" w:rsidR="000D4D00" w:rsidRPr="005774F8" w:rsidRDefault="00555C2A" w:rsidP="00EE5424">
            <w:pPr>
              <w:ind w:firstLine="0"/>
              <w:jc w:val="center"/>
              <w:rPr>
                <w:rFonts w:eastAsia="Times New Roman" w:cs="Times New Roman"/>
                <w:b/>
                <w:bCs/>
                <w:sz w:val="18"/>
                <w:szCs w:val="18"/>
              </w:rPr>
            </w:pPr>
            <w:r w:rsidRPr="005774F8">
              <w:rPr>
                <w:rFonts w:eastAsia="Times New Roman" w:cs="Times New Roman"/>
                <w:b/>
                <w:bCs/>
                <w:sz w:val="18"/>
                <w:szCs w:val="18"/>
              </w:rPr>
              <w:t>-1,</w:t>
            </w:r>
            <w:r w:rsidR="000D4D00" w:rsidRPr="005774F8">
              <w:rPr>
                <w:rFonts w:eastAsia="Times New Roman" w:cs="Times New Roman"/>
                <w:b/>
                <w:bCs/>
                <w:sz w:val="18"/>
                <w:szCs w:val="18"/>
              </w:rPr>
              <w:t>8</w:t>
            </w:r>
          </w:p>
        </w:tc>
        <w:tc>
          <w:tcPr>
            <w:tcW w:w="890" w:type="dxa"/>
            <w:tcBorders>
              <w:top w:val="nil"/>
              <w:left w:val="nil"/>
              <w:bottom w:val="single" w:sz="8" w:space="0" w:color="000000"/>
              <w:right w:val="single" w:sz="8" w:space="0" w:color="000000"/>
            </w:tcBorders>
            <w:shd w:val="clear" w:color="000000" w:fill="DDEBF7"/>
            <w:vAlign w:val="center"/>
            <w:hideMark/>
          </w:tcPr>
          <w:p w14:paraId="2CEB4FEB" w14:textId="6A55F288" w:rsidR="000D4D00" w:rsidRPr="005774F8" w:rsidRDefault="00555C2A" w:rsidP="00EE5424">
            <w:pPr>
              <w:ind w:firstLine="0"/>
              <w:jc w:val="center"/>
              <w:rPr>
                <w:rFonts w:eastAsia="Times New Roman" w:cs="Times New Roman"/>
                <w:b/>
                <w:bCs/>
                <w:sz w:val="18"/>
                <w:szCs w:val="18"/>
              </w:rPr>
            </w:pPr>
            <w:r w:rsidRPr="005774F8">
              <w:rPr>
                <w:rFonts w:eastAsia="Times New Roman" w:cs="Times New Roman"/>
                <w:b/>
                <w:bCs/>
                <w:sz w:val="18"/>
                <w:szCs w:val="18"/>
              </w:rPr>
              <w:t>-4,</w:t>
            </w:r>
            <w:r w:rsidR="000D4D00" w:rsidRPr="005774F8">
              <w:rPr>
                <w:rFonts w:eastAsia="Times New Roman" w:cs="Times New Roman"/>
                <w:b/>
                <w:bCs/>
                <w:sz w:val="18"/>
                <w:szCs w:val="18"/>
              </w:rPr>
              <w:t>2</w:t>
            </w:r>
          </w:p>
        </w:tc>
      </w:tr>
      <w:tr w:rsidR="000D4D00" w:rsidRPr="005774F8" w14:paraId="3CCCA0A4" w14:textId="77777777" w:rsidTr="005774F8">
        <w:trPr>
          <w:trHeight w:val="484"/>
        </w:trPr>
        <w:tc>
          <w:tcPr>
            <w:tcW w:w="1560" w:type="dxa"/>
            <w:tcBorders>
              <w:top w:val="nil"/>
              <w:left w:val="single" w:sz="8" w:space="0" w:color="000000"/>
              <w:bottom w:val="single" w:sz="8" w:space="0" w:color="000000"/>
              <w:right w:val="single" w:sz="8" w:space="0" w:color="000000"/>
            </w:tcBorders>
            <w:shd w:val="clear" w:color="000000" w:fill="FFFFFF"/>
            <w:vAlign w:val="center"/>
            <w:hideMark/>
          </w:tcPr>
          <w:p w14:paraId="0B5931FC" w14:textId="77777777" w:rsidR="000D4D00" w:rsidRPr="005774F8" w:rsidRDefault="000D4D00" w:rsidP="00EE5424">
            <w:pPr>
              <w:ind w:firstLine="22"/>
              <w:jc w:val="right"/>
              <w:rPr>
                <w:rFonts w:eastAsia="Times New Roman" w:cs="Times New Roman"/>
                <w:i/>
                <w:iCs/>
                <w:color w:val="000000"/>
                <w:sz w:val="18"/>
                <w:szCs w:val="18"/>
              </w:rPr>
            </w:pPr>
            <w:r w:rsidRPr="005774F8">
              <w:rPr>
                <w:rFonts w:eastAsia="Times New Roman" w:cs="Times New Roman"/>
                <w:i/>
                <w:iCs/>
                <w:color w:val="000000"/>
                <w:sz w:val="18"/>
                <w:szCs w:val="18"/>
              </w:rPr>
              <w:t>10</w:t>
            </w:r>
          </w:p>
        </w:tc>
        <w:tc>
          <w:tcPr>
            <w:tcW w:w="1559" w:type="dxa"/>
            <w:tcBorders>
              <w:top w:val="nil"/>
              <w:left w:val="nil"/>
              <w:bottom w:val="single" w:sz="8" w:space="0" w:color="000000"/>
              <w:right w:val="single" w:sz="8" w:space="0" w:color="000000"/>
            </w:tcBorders>
            <w:shd w:val="clear" w:color="auto" w:fill="auto"/>
            <w:vAlign w:val="center"/>
            <w:hideMark/>
          </w:tcPr>
          <w:p w14:paraId="77DF4AC3" w14:textId="6BFA46FA" w:rsidR="000D4D00" w:rsidRPr="005774F8" w:rsidRDefault="00555C2A" w:rsidP="00EE5424">
            <w:pPr>
              <w:ind w:firstLine="0"/>
              <w:jc w:val="left"/>
              <w:rPr>
                <w:rFonts w:eastAsia="Times New Roman" w:cs="Times New Roman"/>
                <w:color w:val="000000"/>
                <w:sz w:val="18"/>
                <w:szCs w:val="18"/>
              </w:rPr>
            </w:pPr>
            <w:r w:rsidRPr="005774F8">
              <w:rPr>
                <w:rFonts w:eastAsia="Times New Roman" w:cs="Times New Roman"/>
                <w:color w:val="000000"/>
                <w:sz w:val="18"/>
                <w:szCs w:val="18"/>
              </w:rPr>
              <w:t>Likuma “Fiskālās disciplīnas likums” 11. panta nosacījums, % no iekšzemes kopprodukta</w:t>
            </w:r>
          </w:p>
        </w:tc>
        <w:tc>
          <w:tcPr>
            <w:tcW w:w="850" w:type="dxa"/>
            <w:tcBorders>
              <w:top w:val="nil"/>
              <w:left w:val="nil"/>
              <w:bottom w:val="single" w:sz="8" w:space="0" w:color="000000"/>
              <w:right w:val="single" w:sz="8" w:space="0" w:color="000000"/>
            </w:tcBorders>
            <w:shd w:val="clear" w:color="000000" w:fill="FFFFFF"/>
            <w:vAlign w:val="center"/>
            <w:hideMark/>
          </w:tcPr>
          <w:p w14:paraId="4C442036" w14:textId="19BF3DBC" w:rsidR="000D4D00" w:rsidRPr="005774F8" w:rsidRDefault="00F5298F"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0D4D00" w:rsidRPr="005774F8">
              <w:rPr>
                <w:rFonts w:eastAsia="Times New Roman" w:cs="Times New Roman"/>
                <w:b/>
                <w:bCs/>
                <w:color w:val="000000"/>
                <w:sz w:val="18"/>
                <w:szCs w:val="18"/>
              </w:rPr>
              <w:t>5</w:t>
            </w:r>
          </w:p>
        </w:tc>
        <w:tc>
          <w:tcPr>
            <w:tcW w:w="801" w:type="dxa"/>
            <w:tcBorders>
              <w:top w:val="nil"/>
              <w:left w:val="nil"/>
              <w:bottom w:val="single" w:sz="8" w:space="0" w:color="000000"/>
              <w:right w:val="single" w:sz="8" w:space="0" w:color="000000"/>
            </w:tcBorders>
            <w:shd w:val="clear" w:color="000000" w:fill="FFFFFF"/>
            <w:vAlign w:val="center"/>
            <w:hideMark/>
          </w:tcPr>
          <w:p w14:paraId="6C949DBE" w14:textId="503B2CC6" w:rsidR="000D4D00" w:rsidRPr="005774F8" w:rsidRDefault="00F5298F"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0D4D00" w:rsidRPr="005774F8">
              <w:rPr>
                <w:rFonts w:eastAsia="Times New Roman" w:cs="Times New Roman"/>
                <w:b/>
                <w:bCs/>
                <w:color w:val="000000"/>
                <w:sz w:val="18"/>
                <w:szCs w:val="18"/>
              </w:rPr>
              <w:t>5</w:t>
            </w:r>
          </w:p>
        </w:tc>
        <w:tc>
          <w:tcPr>
            <w:tcW w:w="801" w:type="dxa"/>
            <w:tcBorders>
              <w:top w:val="nil"/>
              <w:left w:val="nil"/>
              <w:bottom w:val="single" w:sz="8" w:space="0" w:color="000000"/>
              <w:right w:val="single" w:sz="8" w:space="0" w:color="000000"/>
            </w:tcBorders>
            <w:shd w:val="clear" w:color="000000" w:fill="FFFFFF"/>
            <w:vAlign w:val="center"/>
            <w:hideMark/>
          </w:tcPr>
          <w:p w14:paraId="1C7471F8" w14:textId="4D9A0381" w:rsidR="000D4D00" w:rsidRPr="005774F8" w:rsidRDefault="00555C2A"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0D4D00" w:rsidRPr="005774F8">
              <w:rPr>
                <w:rFonts w:eastAsia="Times New Roman" w:cs="Times New Roman"/>
                <w:b/>
                <w:bCs/>
                <w:color w:val="000000"/>
                <w:sz w:val="18"/>
                <w:szCs w:val="18"/>
              </w:rPr>
              <w:t>5</w:t>
            </w:r>
          </w:p>
        </w:tc>
        <w:tc>
          <w:tcPr>
            <w:tcW w:w="801" w:type="dxa"/>
            <w:tcBorders>
              <w:top w:val="nil"/>
              <w:left w:val="nil"/>
              <w:bottom w:val="single" w:sz="8" w:space="0" w:color="000000"/>
              <w:right w:val="single" w:sz="8" w:space="0" w:color="000000"/>
            </w:tcBorders>
            <w:shd w:val="clear" w:color="000000" w:fill="FFFFFF"/>
            <w:vAlign w:val="center"/>
            <w:hideMark/>
          </w:tcPr>
          <w:p w14:paraId="3A44F8F5" w14:textId="156C7101" w:rsidR="000D4D00" w:rsidRPr="005774F8" w:rsidRDefault="00555C2A"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0D4D00" w:rsidRPr="005774F8">
              <w:rPr>
                <w:rFonts w:eastAsia="Times New Roman" w:cs="Times New Roman"/>
                <w:b/>
                <w:bCs/>
                <w:color w:val="000000"/>
                <w:sz w:val="18"/>
                <w:szCs w:val="18"/>
              </w:rPr>
              <w:t>5</w:t>
            </w:r>
          </w:p>
        </w:tc>
        <w:tc>
          <w:tcPr>
            <w:tcW w:w="818" w:type="dxa"/>
            <w:tcBorders>
              <w:top w:val="nil"/>
              <w:left w:val="nil"/>
              <w:bottom w:val="single" w:sz="8" w:space="0" w:color="000000"/>
              <w:right w:val="single" w:sz="8" w:space="0" w:color="000000"/>
            </w:tcBorders>
            <w:shd w:val="clear" w:color="000000" w:fill="FFFFFF"/>
            <w:vAlign w:val="center"/>
            <w:hideMark/>
          </w:tcPr>
          <w:p w14:paraId="030F9BE2" w14:textId="63D5F0DA" w:rsidR="000D4D00" w:rsidRPr="005774F8" w:rsidRDefault="00555C2A"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0D4D00" w:rsidRPr="005774F8">
              <w:rPr>
                <w:rFonts w:eastAsia="Times New Roman" w:cs="Times New Roman"/>
                <w:b/>
                <w:bCs/>
                <w:color w:val="000000"/>
                <w:sz w:val="18"/>
                <w:szCs w:val="18"/>
              </w:rPr>
              <w:t>5</w:t>
            </w:r>
          </w:p>
        </w:tc>
        <w:tc>
          <w:tcPr>
            <w:tcW w:w="850" w:type="dxa"/>
            <w:tcBorders>
              <w:top w:val="nil"/>
              <w:left w:val="nil"/>
              <w:bottom w:val="single" w:sz="8" w:space="0" w:color="000000"/>
              <w:right w:val="single" w:sz="8" w:space="0" w:color="000000"/>
            </w:tcBorders>
            <w:shd w:val="clear" w:color="000000" w:fill="FFFFFF"/>
            <w:vAlign w:val="center"/>
            <w:hideMark/>
          </w:tcPr>
          <w:p w14:paraId="08DBEE85" w14:textId="54D9EC3F" w:rsidR="000D4D00" w:rsidRPr="005774F8" w:rsidRDefault="00555C2A"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0D4D00" w:rsidRPr="005774F8">
              <w:rPr>
                <w:rFonts w:eastAsia="Times New Roman" w:cs="Times New Roman"/>
                <w:b/>
                <w:bCs/>
                <w:color w:val="000000"/>
                <w:sz w:val="18"/>
                <w:szCs w:val="18"/>
              </w:rPr>
              <w:t>5</w:t>
            </w:r>
          </w:p>
        </w:tc>
        <w:tc>
          <w:tcPr>
            <w:tcW w:w="851" w:type="dxa"/>
            <w:tcBorders>
              <w:top w:val="nil"/>
              <w:left w:val="nil"/>
              <w:bottom w:val="single" w:sz="8" w:space="0" w:color="000000"/>
              <w:right w:val="single" w:sz="8" w:space="0" w:color="000000"/>
            </w:tcBorders>
            <w:shd w:val="clear" w:color="000000" w:fill="FFFFFF"/>
            <w:vAlign w:val="center"/>
            <w:hideMark/>
          </w:tcPr>
          <w:p w14:paraId="785A0762" w14:textId="416321EE" w:rsidR="000D4D00" w:rsidRPr="005774F8" w:rsidRDefault="00555C2A"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0D4D00" w:rsidRPr="005774F8">
              <w:rPr>
                <w:rFonts w:eastAsia="Times New Roman" w:cs="Times New Roman"/>
                <w:b/>
                <w:bCs/>
                <w:color w:val="000000"/>
                <w:sz w:val="18"/>
                <w:szCs w:val="18"/>
              </w:rPr>
              <w:t>5</w:t>
            </w:r>
          </w:p>
        </w:tc>
        <w:tc>
          <w:tcPr>
            <w:tcW w:w="890" w:type="dxa"/>
            <w:tcBorders>
              <w:top w:val="nil"/>
              <w:left w:val="nil"/>
              <w:bottom w:val="single" w:sz="8" w:space="0" w:color="000000"/>
              <w:right w:val="single" w:sz="8" w:space="0" w:color="000000"/>
            </w:tcBorders>
            <w:shd w:val="clear" w:color="000000" w:fill="FFFFFF"/>
            <w:vAlign w:val="center"/>
            <w:hideMark/>
          </w:tcPr>
          <w:p w14:paraId="30DA2BBC" w14:textId="0AB04D30" w:rsidR="000D4D00" w:rsidRPr="005774F8" w:rsidRDefault="00555C2A" w:rsidP="00EE5424">
            <w:pPr>
              <w:ind w:firstLine="0"/>
              <w:jc w:val="center"/>
              <w:rPr>
                <w:rFonts w:eastAsia="Times New Roman" w:cs="Times New Roman"/>
                <w:b/>
                <w:bCs/>
                <w:color w:val="000000"/>
                <w:sz w:val="18"/>
                <w:szCs w:val="18"/>
              </w:rPr>
            </w:pPr>
            <w:r w:rsidRPr="005774F8">
              <w:rPr>
                <w:rFonts w:eastAsia="Times New Roman" w:cs="Times New Roman"/>
                <w:b/>
                <w:bCs/>
                <w:color w:val="000000"/>
                <w:sz w:val="18"/>
                <w:szCs w:val="18"/>
              </w:rPr>
              <w:t>-0,</w:t>
            </w:r>
            <w:r w:rsidR="000D4D00" w:rsidRPr="005774F8">
              <w:rPr>
                <w:rFonts w:eastAsia="Times New Roman" w:cs="Times New Roman"/>
                <w:b/>
                <w:bCs/>
                <w:color w:val="000000"/>
                <w:sz w:val="18"/>
                <w:szCs w:val="18"/>
              </w:rPr>
              <w:t>5</w:t>
            </w:r>
          </w:p>
        </w:tc>
      </w:tr>
    </w:tbl>
    <w:p w14:paraId="3E80CC31" w14:textId="614EFBC0" w:rsidR="000D4D00" w:rsidRPr="00811E00" w:rsidRDefault="00555C2A" w:rsidP="005774F8">
      <w:pPr>
        <w:widowControl w:val="0"/>
        <w:rPr>
          <w:rFonts w:eastAsia="Times New Roman" w:cs="Times New Roman"/>
          <w:szCs w:val="24"/>
        </w:rPr>
      </w:pPr>
      <w:r w:rsidRPr="00811E00">
        <w:rPr>
          <w:rFonts w:eastAsia="Times New Roman" w:cs="Times New Roman"/>
          <w:szCs w:val="24"/>
        </w:rPr>
        <w:lastRenderedPageBreak/>
        <w:t>Salīdzinot ar likumu “Par vidēja termiņa budžeta ietvaru</w:t>
      </w:r>
      <w:r w:rsidR="000D4D00" w:rsidRPr="00811E00">
        <w:rPr>
          <w:rFonts w:eastAsia="Times New Roman" w:cs="Times New Roman"/>
          <w:szCs w:val="24"/>
        </w:rPr>
        <w:t xml:space="preserve"> 2021., 2022. un 2023.</w:t>
      </w:r>
      <w:r w:rsidRPr="00811E00">
        <w:rPr>
          <w:rFonts w:eastAsia="Times New Roman" w:cs="Times New Roman"/>
          <w:szCs w:val="24"/>
        </w:rPr>
        <w:t xml:space="preserve"> </w:t>
      </w:r>
      <w:r w:rsidR="000D4D00" w:rsidRPr="00811E00">
        <w:rPr>
          <w:rFonts w:eastAsia="Times New Roman" w:cs="Times New Roman"/>
          <w:szCs w:val="24"/>
        </w:rPr>
        <w:t>gadam</w:t>
      </w:r>
      <w:r w:rsidRPr="00811E00">
        <w:rPr>
          <w:rFonts w:eastAsia="Times New Roman" w:cs="Times New Roman"/>
          <w:szCs w:val="24"/>
        </w:rPr>
        <w:t>”</w:t>
      </w:r>
      <w:r w:rsidR="000D4D00" w:rsidRPr="00811E00">
        <w:rPr>
          <w:rFonts w:eastAsia="Times New Roman" w:cs="Times New Roman"/>
          <w:szCs w:val="24"/>
        </w:rPr>
        <w:t xml:space="preserve"> tika precizēti vispārējās valdības strukturālās bilances faktiskie rādītāji visā apskatāmajā laika periodā. Izmaiņas sk</w:t>
      </w:r>
      <w:r w:rsidRPr="00811E00">
        <w:rPr>
          <w:rFonts w:eastAsia="Times New Roman" w:cs="Times New Roman"/>
          <w:szCs w:val="24"/>
        </w:rPr>
        <w:t>aidrojamas gan ar potenciāla iekšzemes kopprodukta</w:t>
      </w:r>
      <w:r w:rsidR="000D4D00" w:rsidRPr="00811E00">
        <w:rPr>
          <w:rFonts w:eastAsia="Times New Roman" w:cs="Times New Roman"/>
          <w:szCs w:val="24"/>
        </w:rPr>
        <w:t xml:space="preserve"> pārskatīšanu</w:t>
      </w:r>
      <w:r w:rsidRPr="00811E00">
        <w:rPr>
          <w:rFonts w:eastAsia="Times New Roman" w:cs="Times New Roman"/>
          <w:szCs w:val="24"/>
        </w:rPr>
        <w:t xml:space="preserve"> no Finanšu ministrijas</w:t>
      </w:r>
      <w:r w:rsidR="000D4D00" w:rsidRPr="00811E00">
        <w:rPr>
          <w:rFonts w:eastAsia="Times New Roman" w:cs="Times New Roman"/>
          <w:szCs w:val="24"/>
        </w:rPr>
        <w:t xml:space="preserve"> puses, gan ar faktisko </w:t>
      </w:r>
      <w:r w:rsidRPr="00811E00">
        <w:rPr>
          <w:rFonts w:eastAsia="Times New Roman" w:cs="Times New Roman"/>
          <w:szCs w:val="24"/>
        </w:rPr>
        <w:t>iekšzemes kopprodukta datu korekciju, ko veic Centrālā statistikas pārvalde</w:t>
      </w:r>
      <w:r w:rsidR="000D4D00" w:rsidRPr="00811E00">
        <w:rPr>
          <w:rFonts w:eastAsia="Times New Roman" w:cs="Times New Roman"/>
          <w:szCs w:val="24"/>
        </w:rPr>
        <w:t>, kas ietekmēja cikliskās komponentes rādītājus un līdz ar to arī vispārējās valdības strukturālo bil</w:t>
      </w:r>
      <w:r w:rsidRPr="00811E00">
        <w:rPr>
          <w:rFonts w:eastAsia="Times New Roman" w:cs="Times New Roman"/>
          <w:szCs w:val="24"/>
        </w:rPr>
        <w:t>anci. Rezultātā, gatavojot likumprojektu “Par vidēja termiņa budžeta ietvaru</w:t>
      </w:r>
      <w:r w:rsidR="000D4D00" w:rsidRPr="00811E00">
        <w:rPr>
          <w:rFonts w:eastAsia="Times New Roman" w:cs="Times New Roman"/>
          <w:szCs w:val="24"/>
        </w:rPr>
        <w:t xml:space="preserve"> 2022. 2023. un 2024.</w:t>
      </w:r>
      <w:r w:rsidRPr="00811E00">
        <w:rPr>
          <w:rFonts w:eastAsia="Times New Roman" w:cs="Times New Roman"/>
          <w:szCs w:val="24"/>
        </w:rPr>
        <w:t xml:space="preserve"> gadam” tika </w:t>
      </w:r>
      <w:r w:rsidR="000D4D00" w:rsidRPr="00811E00">
        <w:rPr>
          <w:rFonts w:eastAsia="Times New Roman" w:cs="Times New Roman"/>
          <w:szCs w:val="24"/>
        </w:rPr>
        <w:t>secināts, ka jau kopš 2014.</w:t>
      </w:r>
      <w:r w:rsidRPr="00811E00">
        <w:rPr>
          <w:rFonts w:eastAsia="Times New Roman" w:cs="Times New Roman"/>
          <w:szCs w:val="24"/>
        </w:rPr>
        <w:t xml:space="preserve"> </w:t>
      </w:r>
      <w:r w:rsidR="000D4D00" w:rsidRPr="00811E00">
        <w:rPr>
          <w:rFonts w:eastAsia="Times New Roman" w:cs="Times New Roman"/>
          <w:szCs w:val="24"/>
        </w:rPr>
        <w:t xml:space="preserve">gada uzkrāto bilanču starpības summa pārsniedz pieļaujamo kritēriju. </w:t>
      </w:r>
    </w:p>
    <w:p w14:paraId="6E2644F2" w14:textId="17AE74E3" w:rsidR="000D4D00" w:rsidRPr="00811E00" w:rsidRDefault="00555C2A" w:rsidP="000D4D00">
      <w:pPr>
        <w:widowControl w:val="0"/>
        <w:rPr>
          <w:rFonts w:eastAsia="Times New Roman" w:cs="Times New Roman"/>
          <w:szCs w:val="24"/>
        </w:rPr>
      </w:pPr>
      <w:r w:rsidRPr="00811E00">
        <w:rPr>
          <w:rFonts w:eastAsia="Times New Roman" w:cs="Times New Roman"/>
          <w:szCs w:val="24"/>
        </w:rPr>
        <w:t xml:space="preserve"> Atbilstoši likuma “Fiskālās disciplīnas likums”</w:t>
      </w:r>
      <w:r w:rsidR="000D4D00" w:rsidRPr="00811E00">
        <w:rPr>
          <w:rFonts w:eastAsia="Times New Roman" w:cs="Times New Roman"/>
          <w:szCs w:val="24"/>
        </w:rPr>
        <w:t xml:space="preserve"> 11.</w:t>
      </w:r>
      <w:r w:rsidRPr="00811E00">
        <w:rPr>
          <w:rFonts w:eastAsia="Times New Roman" w:cs="Times New Roman"/>
          <w:szCs w:val="24"/>
        </w:rPr>
        <w:t xml:space="preserve"> </w:t>
      </w:r>
      <w:r w:rsidR="000D4D00" w:rsidRPr="00811E00">
        <w:rPr>
          <w:rFonts w:eastAsia="Times New Roman" w:cs="Times New Roman"/>
          <w:szCs w:val="24"/>
        </w:rPr>
        <w:t>panta ceturtajam punktam, minimālo plānojamo vispārējās valdības budžeta strukturālo bilanci koriģē, ja uzkrāto bilanču starpību summa pārsniedz robežvērtību ietvara likuma projekta sagatavošanas gadā. Uz pašreizējo brīdi pēdējais gads, par kuru ir pieejami faktiskie statistikas dati par nominālo budžeta bilanci ir 2020.</w:t>
      </w:r>
      <w:r w:rsidRPr="00811E00">
        <w:rPr>
          <w:rFonts w:eastAsia="Times New Roman" w:cs="Times New Roman"/>
          <w:szCs w:val="24"/>
        </w:rPr>
        <w:t xml:space="preserve"> </w:t>
      </w:r>
      <w:r w:rsidR="000D4D00" w:rsidRPr="00811E00">
        <w:rPr>
          <w:rFonts w:eastAsia="Times New Roman" w:cs="Times New Roman"/>
          <w:szCs w:val="24"/>
        </w:rPr>
        <w:t>gads, kas attiecīgi tālāk tiek izmantots kā references gads nosacījuma pārbaudei. Attiecīgi uz 2020.</w:t>
      </w:r>
      <w:r w:rsidRPr="00811E00">
        <w:rPr>
          <w:rFonts w:eastAsia="Times New Roman" w:cs="Times New Roman"/>
          <w:szCs w:val="24"/>
        </w:rPr>
        <w:t xml:space="preserve"> </w:t>
      </w:r>
      <w:r w:rsidR="000D4D00" w:rsidRPr="00811E00">
        <w:rPr>
          <w:rFonts w:eastAsia="Times New Roman" w:cs="Times New Roman"/>
          <w:szCs w:val="24"/>
        </w:rPr>
        <w:t>gadu, ņemot vērā statistisko informāciju par vispārējās valdība</w:t>
      </w:r>
      <w:r w:rsidRPr="00811E00">
        <w:rPr>
          <w:rFonts w:eastAsia="Times New Roman" w:cs="Times New Roman"/>
          <w:szCs w:val="24"/>
        </w:rPr>
        <w:t>s budžeta nominālo bilanci un Finanšu ministrijas</w:t>
      </w:r>
      <w:r w:rsidR="000D4D00" w:rsidRPr="00811E00">
        <w:rPr>
          <w:rFonts w:eastAsia="Times New Roman" w:cs="Times New Roman"/>
          <w:szCs w:val="24"/>
        </w:rPr>
        <w:t xml:space="preserve"> izlaižu starpības novērtējumu, uzkrāto bilan</w:t>
      </w:r>
      <w:r w:rsidRPr="00811E00">
        <w:rPr>
          <w:rFonts w:eastAsia="Times New Roman" w:cs="Times New Roman"/>
          <w:szCs w:val="24"/>
        </w:rPr>
        <w:t xml:space="preserve">ču starpību summa pārsniedz likumā “Fiskālās disciplīnas likums” </w:t>
      </w:r>
      <w:r w:rsidR="000D4D00" w:rsidRPr="00811E00">
        <w:rPr>
          <w:rFonts w:eastAsia="Times New Roman" w:cs="Times New Roman"/>
          <w:szCs w:val="24"/>
        </w:rPr>
        <w:t>noteikto</w:t>
      </w:r>
      <w:r w:rsidRPr="00811E00">
        <w:rPr>
          <w:rFonts w:eastAsia="Times New Roman" w:cs="Times New Roman"/>
          <w:szCs w:val="24"/>
        </w:rPr>
        <w:t xml:space="preserve"> robežvērtību un ir -4,2% no iekšzemes kopprodukta, tādējādi pirmsšķietami</w:t>
      </w:r>
      <w:r w:rsidR="000D4D00" w:rsidRPr="00811E00">
        <w:rPr>
          <w:rFonts w:eastAsia="Times New Roman" w:cs="Times New Roman"/>
          <w:szCs w:val="24"/>
        </w:rPr>
        <w:t xml:space="preserve"> 2024.</w:t>
      </w:r>
      <w:r w:rsidRPr="00811E00">
        <w:rPr>
          <w:rFonts w:eastAsia="Times New Roman" w:cs="Times New Roman"/>
          <w:szCs w:val="24"/>
        </w:rPr>
        <w:t> </w:t>
      </w:r>
      <w:r w:rsidR="000D4D00" w:rsidRPr="00811E00">
        <w:rPr>
          <w:rFonts w:eastAsia="Times New Roman" w:cs="Times New Roman"/>
          <w:szCs w:val="24"/>
        </w:rPr>
        <w:t xml:space="preserve">gadā būtu jāveic strukturālās bilances mērķa korekcijas. </w:t>
      </w:r>
    </w:p>
    <w:p w14:paraId="778CDF34" w14:textId="77777777" w:rsidR="00744046" w:rsidRPr="00811E00" w:rsidRDefault="000D4D00" w:rsidP="00744046">
      <w:pPr>
        <w:widowControl w:val="0"/>
        <w:rPr>
          <w:rFonts w:eastAsia="Times New Roman" w:cs="Times New Roman"/>
          <w:szCs w:val="24"/>
        </w:rPr>
      </w:pPr>
      <w:r w:rsidRPr="00811E00">
        <w:rPr>
          <w:rFonts w:eastAsia="Times New Roman" w:cs="Times New Roman"/>
          <w:szCs w:val="24"/>
        </w:rPr>
        <w:t xml:space="preserve">Tomēr izdarot secinājumus par strukturālās bilances mērķa korekciju </w:t>
      </w:r>
      <w:r w:rsidR="00555C2A" w:rsidRPr="00811E00">
        <w:rPr>
          <w:rFonts w:eastAsia="Times New Roman" w:cs="Times New Roman"/>
          <w:szCs w:val="24"/>
        </w:rPr>
        <w:t>ir jāņem vērā vairāki apstākļi. Pirmkārt, šī vidēja termiņa budžeta ietvara likuma</w:t>
      </w:r>
      <w:r w:rsidRPr="00811E00">
        <w:rPr>
          <w:rFonts w:eastAsia="Times New Roman" w:cs="Times New Roman"/>
          <w:szCs w:val="24"/>
        </w:rPr>
        <w:t xml:space="preserve"> </w:t>
      </w:r>
      <w:r w:rsidR="00555C2A" w:rsidRPr="00811E00">
        <w:rPr>
          <w:rFonts w:eastAsia="Times New Roman" w:cs="Times New Roman"/>
          <w:szCs w:val="24"/>
        </w:rPr>
        <w:t>sa</w:t>
      </w:r>
      <w:r w:rsidRPr="00811E00">
        <w:rPr>
          <w:rFonts w:eastAsia="Times New Roman" w:cs="Times New Roman"/>
          <w:szCs w:val="24"/>
        </w:rPr>
        <w:t xml:space="preserve">gatavošanā netiek piemēroti </w:t>
      </w:r>
      <w:r w:rsidR="00555C2A" w:rsidRPr="00811E00">
        <w:rPr>
          <w:rFonts w:eastAsia="Times New Roman" w:cs="Times New Roman"/>
          <w:szCs w:val="24"/>
        </w:rPr>
        <w:t>likuma “Fiskālās disciplīnas likums”</w:t>
      </w:r>
      <w:r w:rsidR="00744046" w:rsidRPr="00811E00">
        <w:rPr>
          <w:rFonts w:eastAsia="Times New Roman" w:cs="Times New Roman"/>
          <w:szCs w:val="24"/>
        </w:rPr>
        <w:t xml:space="preserve"> fiskālie nosacījumi</w:t>
      </w:r>
      <w:r w:rsidRPr="00811E00">
        <w:rPr>
          <w:rFonts w:eastAsia="Times New Roman" w:cs="Times New Roman"/>
          <w:szCs w:val="24"/>
        </w:rPr>
        <w:t xml:space="preserve"> t.sk. bilances nosacījums. Tā kā</w:t>
      </w:r>
      <w:r w:rsidR="00744046" w:rsidRPr="00811E00">
        <w:rPr>
          <w:rFonts w:eastAsia="Times New Roman" w:cs="Times New Roman"/>
          <w:szCs w:val="24"/>
        </w:rPr>
        <w:t xml:space="preserve"> likuma “Fiskālās disciplīnas likums” </w:t>
      </w:r>
      <w:r w:rsidRPr="00811E00">
        <w:rPr>
          <w:rFonts w:eastAsia="Times New Roman" w:cs="Times New Roman"/>
          <w:szCs w:val="24"/>
        </w:rPr>
        <w:t xml:space="preserve">11. panta korekcijas mehānisma piemērošana ir pakārtota bilances nosacījuma darbībai, attiecīgi strukturālās bilances mērķa korekcija nebūtu veicama.  </w:t>
      </w:r>
    </w:p>
    <w:p w14:paraId="3901EA91" w14:textId="03AABB2E" w:rsidR="000D4D00" w:rsidRPr="00811E00" w:rsidRDefault="005774F8" w:rsidP="005774F8">
      <w:pPr>
        <w:widowControl w:val="0"/>
        <w:rPr>
          <w:rFonts w:eastAsia="Times New Roman" w:cs="Times New Roman"/>
          <w:szCs w:val="24"/>
        </w:rPr>
      </w:pPr>
      <w:r>
        <w:rPr>
          <w:rFonts w:eastAsia="Times New Roman" w:cs="Times New Roman"/>
          <w:szCs w:val="24"/>
        </w:rPr>
        <w:t>Otrkārt</w:t>
      </w:r>
      <w:r w:rsidR="000D4D00" w:rsidRPr="00811E00">
        <w:rPr>
          <w:rFonts w:eastAsia="Times New Roman" w:cs="Times New Roman"/>
          <w:szCs w:val="24"/>
        </w:rPr>
        <w:t>, kā iepriekš tika minēts, paš</w:t>
      </w:r>
      <w:r>
        <w:rPr>
          <w:rFonts w:eastAsia="Times New Roman" w:cs="Times New Roman"/>
          <w:szCs w:val="24"/>
        </w:rPr>
        <w:t xml:space="preserve">laik nav zināms, kāda būs Eiropas Savienībā </w:t>
      </w:r>
      <w:r w:rsidR="000D4D00" w:rsidRPr="00811E00">
        <w:rPr>
          <w:rFonts w:eastAsia="Times New Roman" w:cs="Times New Roman"/>
          <w:szCs w:val="24"/>
        </w:rPr>
        <w:t xml:space="preserve">noteiktā deficīta samazināšanas trajektorija </w:t>
      </w:r>
      <w:r>
        <w:rPr>
          <w:rFonts w:eastAsia="Times New Roman" w:cs="Times New Roman"/>
          <w:szCs w:val="24"/>
        </w:rPr>
        <w:t xml:space="preserve">dalībvalstīm </w:t>
      </w:r>
      <w:r w:rsidR="000D4D00" w:rsidRPr="00811E00">
        <w:rPr>
          <w:rFonts w:eastAsia="Times New Roman" w:cs="Times New Roman"/>
          <w:szCs w:val="24"/>
        </w:rPr>
        <w:t>vidējam te</w:t>
      </w:r>
      <w:r w:rsidR="00744046" w:rsidRPr="00811E00">
        <w:rPr>
          <w:rFonts w:eastAsia="Times New Roman" w:cs="Times New Roman"/>
          <w:szCs w:val="24"/>
        </w:rPr>
        <w:t xml:space="preserve">rmiņam. </w:t>
      </w:r>
      <w:r>
        <w:rPr>
          <w:rFonts w:eastAsia="Times New Roman" w:cs="Times New Roman"/>
          <w:szCs w:val="24"/>
        </w:rPr>
        <w:t xml:space="preserve">Šādos apstākļos fiskālās korekcijas mehānismu nav iespējams pielietot.  </w:t>
      </w:r>
    </w:p>
    <w:p w14:paraId="0258947B" w14:textId="1DF113E3" w:rsidR="008A4FF5" w:rsidRPr="008A4FF5" w:rsidRDefault="000D4D00" w:rsidP="004614E3">
      <w:pPr>
        <w:widowControl w:val="0"/>
        <w:rPr>
          <w:rFonts w:eastAsia="Times New Roman" w:cs="Times New Roman"/>
          <w:szCs w:val="24"/>
        </w:rPr>
      </w:pPr>
      <w:r w:rsidRPr="00811E00">
        <w:rPr>
          <w:rFonts w:eastAsia="Times New Roman" w:cs="Times New Roman"/>
          <w:szCs w:val="24"/>
        </w:rPr>
        <w:t>Ņemot</w:t>
      </w:r>
      <w:r w:rsidR="00744046" w:rsidRPr="00811E00">
        <w:rPr>
          <w:rFonts w:eastAsia="Times New Roman" w:cs="Times New Roman"/>
          <w:szCs w:val="24"/>
        </w:rPr>
        <w:t xml:space="preserve"> vērā augstāk minēto, šajā vidēja termiņā budžeta ietvara likumā</w:t>
      </w:r>
      <w:r w:rsidRPr="00811E00">
        <w:rPr>
          <w:rFonts w:eastAsia="Times New Roman" w:cs="Times New Roman"/>
          <w:szCs w:val="24"/>
        </w:rPr>
        <w:t xml:space="preserve"> strukturālās</w:t>
      </w:r>
      <w:r w:rsidR="005774F8">
        <w:rPr>
          <w:rFonts w:eastAsia="Times New Roman" w:cs="Times New Roman"/>
          <w:szCs w:val="24"/>
        </w:rPr>
        <w:t xml:space="preserve"> bilances mērķa koriģēšana</w:t>
      </w:r>
      <w:r w:rsidR="008A4FF5">
        <w:rPr>
          <w:rFonts w:eastAsia="Times New Roman" w:cs="Times New Roman"/>
          <w:szCs w:val="24"/>
        </w:rPr>
        <w:t xml:space="preserve"> netiek veikta.</w:t>
      </w:r>
    </w:p>
    <w:p w14:paraId="44378E11" w14:textId="347D311F" w:rsidR="000D4D00" w:rsidRPr="00811E00" w:rsidRDefault="00D57DD6" w:rsidP="00811E00">
      <w:pPr>
        <w:pStyle w:val="Heading3"/>
        <w:numPr>
          <w:ilvl w:val="0"/>
          <w:numId w:val="0"/>
        </w:numPr>
        <w:spacing w:before="240" w:after="240"/>
        <w:rPr>
          <w:rFonts w:eastAsia="Times New Roman"/>
        </w:rPr>
      </w:pPr>
      <w:bookmarkStart w:id="44" w:name="_Toc84756409"/>
      <w:r w:rsidRPr="002B3B96">
        <w:t>2.1.4</w:t>
      </w:r>
      <w:r w:rsidR="00E8646E" w:rsidRPr="002B3B96">
        <w:t xml:space="preserve">. </w:t>
      </w:r>
      <w:r w:rsidR="000548A5" w:rsidRPr="00811E00">
        <w:t xml:space="preserve">Vidēja termiņa strukturālās budžeta </w:t>
      </w:r>
      <w:r w:rsidR="007A5D9E">
        <w:t xml:space="preserve">bilances </w:t>
      </w:r>
      <w:r w:rsidR="000548A5" w:rsidRPr="00811E00">
        <w:t>mēr</w:t>
      </w:r>
      <w:r w:rsidR="007A5D9E">
        <w:t>ķu salīdzinājums</w:t>
      </w:r>
      <w:bookmarkEnd w:id="44"/>
    </w:p>
    <w:p w14:paraId="61C70909" w14:textId="3C8DA0CB" w:rsidR="000D4D00" w:rsidRDefault="00666D52" w:rsidP="00811E00">
      <w:pPr>
        <w:widowControl w:val="0"/>
        <w:ind w:firstLine="709"/>
        <w:rPr>
          <w:rFonts w:eastAsia="Times New Roman" w:cs="Times New Roman"/>
          <w:color w:val="000000"/>
        </w:rPr>
      </w:pPr>
      <w:r>
        <w:rPr>
          <w:rFonts w:eastAsia="Times New Roman" w:cs="Times New Roman"/>
          <w:color w:val="000000"/>
        </w:rPr>
        <w:t>2.5</w:t>
      </w:r>
      <w:r w:rsidR="000D4D00" w:rsidRPr="00811E00">
        <w:rPr>
          <w:rFonts w:eastAsia="Times New Roman" w:cs="Times New Roman"/>
          <w:color w:val="000000"/>
        </w:rPr>
        <w:t>.</w:t>
      </w:r>
      <w:r>
        <w:rPr>
          <w:rFonts w:eastAsia="Times New Roman" w:cs="Times New Roman"/>
          <w:color w:val="000000"/>
        </w:rPr>
        <w:t xml:space="preserve"> </w:t>
      </w:r>
      <w:r w:rsidR="000D4D00" w:rsidRPr="00811E00">
        <w:rPr>
          <w:rFonts w:eastAsia="Times New Roman" w:cs="Times New Roman"/>
          <w:color w:val="000000"/>
        </w:rPr>
        <w:t>tabulā ir atspoguļots salīdzinājums</w:t>
      </w:r>
      <w:r w:rsidR="00744046" w:rsidRPr="00811E00">
        <w:rPr>
          <w:rFonts w:eastAsia="Times New Roman" w:cs="Times New Roman"/>
          <w:color w:val="000000"/>
        </w:rPr>
        <w:t xml:space="preserve"> starp likumā “Par vidēja termiņa budžeta ietvaru</w:t>
      </w:r>
      <w:r w:rsidR="000D4D00" w:rsidRPr="00811E00">
        <w:rPr>
          <w:rFonts w:eastAsia="Times New Roman" w:cs="Times New Roman"/>
          <w:color w:val="000000"/>
        </w:rPr>
        <w:t xml:space="preserve"> </w:t>
      </w:r>
      <w:r w:rsidR="000D4D00" w:rsidRPr="00811E00">
        <w:rPr>
          <w:rFonts w:eastAsia="Times New Roman" w:cs="Times New Roman"/>
          <w:szCs w:val="24"/>
        </w:rPr>
        <w:t>2021., 2022. un 2023.</w:t>
      </w:r>
      <w:r w:rsidR="00744046" w:rsidRPr="00811E00">
        <w:rPr>
          <w:rFonts w:eastAsia="Times New Roman" w:cs="Times New Roman"/>
          <w:szCs w:val="24"/>
        </w:rPr>
        <w:t xml:space="preserve"> </w:t>
      </w:r>
      <w:r w:rsidR="000D4D00" w:rsidRPr="00811E00">
        <w:rPr>
          <w:rFonts w:eastAsia="Times New Roman" w:cs="Times New Roman"/>
          <w:szCs w:val="24"/>
        </w:rPr>
        <w:t>gadam</w:t>
      </w:r>
      <w:r w:rsidR="00744046" w:rsidRPr="00811E00">
        <w:rPr>
          <w:rFonts w:eastAsia="Times New Roman" w:cs="Times New Roman"/>
          <w:szCs w:val="24"/>
        </w:rPr>
        <w:t>”</w:t>
      </w:r>
      <w:r w:rsidR="000D4D00" w:rsidRPr="00811E00">
        <w:rPr>
          <w:rFonts w:eastAsia="Times New Roman" w:cs="Times New Roman"/>
          <w:szCs w:val="24"/>
        </w:rPr>
        <w:t xml:space="preserve"> </w:t>
      </w:r>
      <w:r w:rsidR="00744046" w:rsidRPr="00811E00">
        <w:rPr>
          <w:rFonts w:eastAsia="Times New Roman" w:cs="Times New Roman"/>
          <w:color w:val="000000"/>
        </w:rPr>
        <w:t>un likumā “Par vidēja termiņa budžeta ietvaru</w:t>
      </w:r>
      <w:r w:rsidR="000D4D00" w:rsidRPr="00811E00">
        <w:rPr>
          <w:rFonts w:eastAsia="Times New Roman" w:cs="Times New Roman"/>
          <w:color w:val="000000"/>
        </w:rPr>
        <w:t xml:space="preserve"> </w:t>
      </w:r>
      <w:r w:rsidR="000D4D00" w:rsidRPr="00811E00">
        <w:rPr>
          <w:rFonts w:eastAsia="Times New Roman" w:cs="Times New Roman"/>
          <w:szCs w:val="24"/>
        </w:rPr>
        <w:t>2022., 2023. un 2024.</w:t>
      </w:r>
      <w:r w:rsidR="00744046" w:rsidRPr="00811E00">
        <w:rPr>
          <w:rFonts w:eastAsia="Times New Roman" w:cs="Times New Roman"/>
          <w:szCs w:val="24"/>
        </w:rPr>
        <w:t xml:space="preserve"> </w:t>
      </w:r>
      <w:r w:rsidR="000D4D00" w:rsidRPr="00811E00">
        <w:rPr>
          <w:rFonts w:eastAsia="Times New Roman" w:cs="Times New Roman"/>
          <w:szCs w:val="24"/>
        </w:rPr>
        <w:t xml:space="preserve">gadam </w:t>
      </w:r>
      <w:r w:rsidR="000D4D00" w:rsidRPr="00811E00">
        <w:rPr>
          <w:rFonts w:eastAsia="Times New Roman" w:cs="Times New Roman"/>
          <w:color w:val="000000"/>
        </w:rPr>
        <w:t>noteiktajiem vispārējās valdības</w:t>
      </w:r>
      <w:r w:rsidR="00811E00">
        <w:rPr>
          <w:rFonts w:eastAsia="Times New Roman" w:cs="Times New Roman"/>
          <w:color w:val="000000"/>
        </w:rPr>
        <w:t xml:space="preserve"> strukturālās bilances mērķiem.</w:t>
      </w:r>
    </w:p>
    <w:p w14:paraId="205E557A" w14:textId="73156696" w:rsidR="002B2F86" w:rsidRDefault="002B2F86" w:rsidP="00811E00">
      <w:pPr>
        <w:widowControl w:val="0"/>
        <w:ind w:firstLine="709"/>
        <w:rPr>
          <w:rFonts w:eastAsia="Times New Roman" w:cs="Times New Roman"/>
          <w:color w:val="000000"/>
        </w:rPr>
      </w:pPr>
    </w:p>
    <w:p w14:paraId="170D6BB3" w14:textId="29FA4147" w:rsidR="002B2F86" w:rsidRDefault="002B2F86" w:rsidP="00811E00">
      <w:pPr>
        <w:widowControl w:val="0"/>
        <w:ind w:firstLine="709"/>
        <w:rPr>
          <w:rFonts w:eastAsia="Times New Roman" w:cs="Times New Roman"/>
          <w:color w:val="000000"/>
        </w:rPr>
      </w:pPr>
    </w:p>
    <w:p w14:paraId="00A6F9BE" w14:textId="4D5B445A" w:rsidR="002B2F86" w:rsidRDefault="002B2F86" w:rsidP="00811E00">
      <w:pPr>
        <w:widowControl w:val="0"/>
        <w:ind w:firstLine="709"/>
        <w:rPr>
          <w:rFonts w:eastAsia="Times New Roman" w:cs="Times New Roman"/>
          <w:color w:val="000000"/>
        </w:rPr>
      </w:pPr>
    </w:p>
    <w:p w14:paraId="415A2223" w14:textId="42D3991D" w:rsidR="002B2F86" w:rsidRDefault="002B2F86" w:rsidP="00811E00">
      <w:pPr>
        <w:widowControl w:val="0"/>
        <w:ind w:firstLine="709"/>
        <w:rPr>
          <w:rFonts w:eastAsia="Times New Roman" w:cs="Times New Roman"/>
          <w:color w:val="000000"/>
        </w:rPr>
      </w:pPr>
    </w:p>
    <w:p w14:paraId="4AA5B94A" w14:textId="7E30FB30" w:rsidR="002B2F86" w:rsidRDefault="002B2F86" w:rsidP="00811E00">
      <w:pPr>
        <w:widowControl w:val="0"/>
        <w:ind w:firstLine="709"/>
        <w:rPr>
          <w:rFonts w:eastAsia="Times New Roman" w:cs="Times New Roman"/>
          <w:color w:val="000000"/>
        </w:rPr>
      </w:pPr>
    </w:p>
    <w:p w14:paraId="38216716" w14:textId="571847F9" w:rsidR="002B2F86" w:rsidRDefault="002B2F86" w:rsidP="00811E00">
      <w:pPr>
        <w:widowControl w:val="0"/>
        <w:ind w:firstLine="709"/>
        <w:rPr>
          <w:rFonts w:eastAsia="Times New Roman" w:cs="Times New Roman"/>
          <w:color w:val="000000"/>
        </w:rPr>
      </w:pPr>
    </w:p>
    <w:p w14:paraId="598DFD63" w14:textId="77777777" w:rsidR="002B2F86" w:rsidRPr="00811E00" w:rsidRDefault="002B2F86" w:rsidP="00811E00">
      <w:pPr>
        <w:widowControl w:val="0"/>
        <w:ind w:firstLine="709"/>
        <w:rPr>
          <w:rFonts w:eastAsia="Times New Roman" w:cs="Times New Roman"/>
          <w:color w:val="000000"/>
        </w:rPr>
      </w:pPr>
    </w:p>
    <w:p w14:paraId="2BB27C75" w14:textId="5A58D1BD" w:rsidR="000D4D00" w:rsidRPr="000D4D00" w:rsidRDefault="004614E3" w:rsidP="002B2F86">
      <w:pPr>
        <w:widowControl w:val="0"/>
        <w:ind w:left="1559" w:firstLine="0"/>
        <w:jc w:val="right"/>
        <w:rPr>
          <w:rFonts w:eastAsia="Times New Roman" w:cs="Times New Roman"/>
          <w:b/>
          <w:i/>
          <w:color w:val="000000"/>
        </w:rPr>
      </w:pPr>
      <w:r>
        <w:rPr>
          <w:rFonts w:eastAsia="Times New Roman" w:cs="Times New Roman"/>
          <w:b/>
          <w:i/>
          <w:color w:val="000000"/>
        </w:rPr>
        <w:lastRenderedPageBreak/>
        <w:t>2.6</w:t>
      </w:r>
      <w:r w:rsidR="000D4D00" w:rsidRPr="000D4D00">
        <w:rPr>
          <w:rFonts w:eastAsia="Times New Roman" w:cs="Times New Roman"/>
          <w:b/>
          <w:i/>
          <w:color w:val="000000"/>
        </w:rPr>
        <w:t>.</w:t>
      </w:r>
      <w:r w:rsidR="00744046">
        <w:rPr>
          <w:rFonts w:eastAsia="Times New Roman" w:cs="Times New Roman"/>
          <w:b/>
          <w:i/>
          <w:color w:val="000000"/>
        </w:rPr>
        <w:t xml:space="preserve"> </w:t>
      </w:r>
      <w:r w:rsidR="000D4D00" w:rsidRPr="000D4D00">
        <w:rPr>
          <w:rFonts w:eastAsia="Times New Roman" w:cs="Times New Roman"/>
          <w:b/>
          <w:i/>
          <w:color w:val="000000"/>
        </w:rPr>
        <w:t>tabula. Vispārējās valdības budžeta</w:t>
      </w:r>
      <w:r w:rsidR="00886A0C">
        <w:rPr>
          <w:rFonts w:eastAsia="Times New Roman" w:cs="Times New Roman"/>
          <w:b/>
          <w:i/>
          <w:color w:val="000000"/>
        </w:rPr>
        <w:t xml:space="preserve"> mērķu salīdzinājums starp vidēja termiņa budžeta ietvaru</w:t>
      </w:r>
      <w:r w:rsidR="000D4D00" w:rsidRPr="000D4D00">
        <w:rPr>
          <w:rFonts w:eastAsia="Times New Roman" w:cs="Times New Roman"/>
          <w:b/>
          <w:i/>
          <w:color w:val="000000"/>
        </w:rPr>
        <w:t xml:space="preserve"> 2021., 2022. un 2023.</w:t>
      </w:r>
      <w:r w:rsidR="002B2F86">
        <w:rPr>
          <w:rFonts w:eastAsia="Times New Roman" w:cs="Times New Roman"/>
          <w:b/>
          <w:i/>
          <w:color w:val="000000"/>
        </w:rPr>
        <w:t xml:space="preserve"> </w:t>
      </w:r>
      <w:r w:rsidR="000D4D00" w:rsidRPr="000D4D00">
        <w:rPr>
          <w:rFonts w:eastAsia="Times New Roman" w:cs="Times New Roman"/>
          <w:b/>
          <w:i/>
          <w:color w:val="000000"/>
        </w:rPr>
        <w:t xml:space="preserve">gadam un </w:t>
      </w:r>
      <w:r w:rsidR="00886A0C">
        <w:rPr>
          <w:rFonts w:eastAsia="Times New Roman" w:cs="Times New Roman"/>
          <w:b/>
          <w:i/>
          <w:color w:val="000000"/>
        </w:rPr>
        <w:t>vidēja termiņa budžeta ietvaru</w:t>
      </w:r>
      <w:r w:rsidR="000D4D00" w:rsidRPr="000D4D00">
        <w:rPr>
          <w:rFonts w:eastAsia="Times New Roman" w:cs="Times New Roman"/>
          <w:b/>
          <w:i/>
          <w:color w:val="000000"/>
        </w:rPr>
        <w:t xml:space="preserve"> 2022., 2023. un 2024.</w:t>
      </w:r>
      <w:r>
        <w:rPr>
          <w:rFonts w:eastAsia="Times New Roman" w:cs="Times New Roman"/>
          <w:b/>
          <w:i/>
          <w:color w:val="000000"/>
        </w:rPr>
        <w:t xml:space="preserve"> </w:t>
      </w:r>
      <w:r w:rsidR="000D4D00" w:rsidRPr="000D4D00">
        <w:rPr>
          <w:rFonts w:eastAsia="Times New Roman" w:cs="Times New Roman"/>
          <w:b/>
          <w:i/>
          <w:color w:val="000000"/>
        </w:rPr>
        <w:t>gadam</w:t>
      </w:r>
    </w:p>
    <w:tbl>
      <w:tblPr>
        <w:tblW w:w="0" w:type="auto"/>
        <w:jc w:val="center"/>
        <w:tblLayout w:type="fixed"/>
        <w:tblCellMar>
          <w:left w:w="10" w:type="dxa"/>
          <w:right w:w="10" w:type="dxa"/>
        </w:tblCellMar>
        <w:tblLook w:val="0000" w:firstRow="0" w:lastRow="0" w:firstColumn="0" w:lastColumn="0" w:noHBand="0" w:noVBand="0"/>
      </w:tblPr>
      <w:tblGrid>
        <w:gridCol w:w="988"/>
        <w:gridCol w:w="1339"/>
        <w:gridCol w:w="1719"/>
        <w:gridCol w:w="1749"/>
        <w:gridCol w:w="1719"/>
        <w:gridCol w:w="1547"/>
      </w:tblGrid>
      <w:tr w:rsidR="000D4D00" w:rsidRPr="000D4D00" w14:paraId="0E635C25" w14:textId="77777777" w:rsidTr="004614E3">
        <w:trPr>
          <w:jc w:val="center"/>
        </w:trPr>
        <w:tc>
          <w:tcPr>
            <w:tcW w:w="988" w:type="dxa"/>
            <w:vMerge w:val="restart"/>
            <w:tcBorders>
              <w:top w:val="single" w:sz="4" w:space="0" w:color="000000"/>
              <w:left w:val="single" w:sz="4" w:space="0" w:color="000000"/>
              <w:bottom w:val="single" w:sz="12" w:space="0" w:color="9CC2E5"/>
              <w:right w:val="single" w:sz="4" w:space="0" w:color="000000"/>
            </w:tcBorders>
            <w:shd w:val="clear" w:color="000000" w:fill="BDD6EE"/>
            <w:tcMar>
              <w:left w:w="108" w:type="dxa"/>
              <w:right w:w="108" w:type="dxa"/>
            </w:tcMar>
            <w:vAlign w:val="center"/>
          </w:tcPr>
          <w:p w14:paraId="795D5457" w14:textId="77777777" w:rsidR="000D4D00" w:rsidRPr="000D4D00" w:rsidRDefault="000D4D00" w:rsidP="000D4D00">
            <w:pPr>
              <w:widowControl w:val="0"/>
              <w:jc w:val="center"/>
              <w:rPr>
                <w:rFonts w:ascii="Calibri" w:eastAsia="Calibri" w:hAnsi="Calibri" w:cs="Calibri"/>
              </w:rPr>
            </w:pPr>
          </w:p>
        </w:tc>
        <w:tc>
          <w:tcPr>
            <w:tcW w:w="3058" w:type="dxa"/>
            <w:gridSpan w:val="2"/>
            <w:tcBorders>
              <w:top w:val="single" w:sz="4" w:space="0" w:color="000000"/>
              <w:left w:val="single" w:sz="4" w:space="0" w:color="000000"/>
              <w:bottom w:val="single" w:sz="4" w:space="0" w:color="000000"/>
              <w:right w:val="single" w:sz="4" w:space="0" w:color="000000"/>
            </w:tcBorders>
            <w:shd w:val="clear" w:color="000000" w:fill="BDD6EE"/>
            <w:tcMar>
              <w:left w:w="108" w:type="dxa"/>
              <w:right w:w="108" w:type="dxa"/>
            </w:tcMar>
            <w:vAlign w:val="center"/>
          </w:tcPr>
          <w:p w14:paraId="0C798485" w14:textId="09972911" w:rsidR="000D4D00" w:rsidRPr="000D4D00" w:rsidRDefault="00255306" w:rsidP="00811E00">
            <w:pPr>
              <w:widowControl w:val="0"/>
              <w:ind w:firstLine="0"/>
              <w:jc w:val="center"/>
            </w:pPr>
            <w:r>
              <w:rPr>
                <w:rFonts w:eastAsia="Times New Roman" w:cs="Times New Roman"/>
                <w:b/>
                <w:color w:val="000000"/>
                <w:sz w:val="20"/>
              </w:rPr>
              <w:t xml:space="preserve">Vidēja termiņa budžeta ietvara likums </w:t>
            </w:r>
            <w:r w:rsidR="000D4D00" w:rsidRPr="000D4D00">
              <w:rPr>
                <w:rFonts w:eastAsia="Times New Roman" w:cs="Times New Roman"/>
                <w:b/>
                <w:color w:val="000000"/>
                <w:sz w:val="20"/>
              </w:rPr>
              <w:t>2021-2023</w:t>
            </w:r>
          </w:p>
        </w:tc>
        <w:tc>
          <w:tcPr>
            <w:tcW w:w="3468" w:type="dxa"/>
            <w:gridSpan w:val="2"/>
            <w:tcBorders>
              <w:top w:val="single" w:sz="4" w:space="0" w:color="000000"/>
              <w:left w:val="single" w:sz="4" w:space="0" w:color="000000"/>
              <w:bottom w:val="single" w:sz="4" w:space="0" w:color="000000"/>
              <w:right w:val="single" w:sz="4" w:space="0" w:color="000000"/>
            </w:tcBorders>
            <w:shd w:val="clear" w:color="000000" w:fill="BDD6EE"/>
            <w:tcMar>
              <w:left w:w="108" w:type="dxa"/>
              <w:right w:w="108" w:type="dxa"/>
            </w:tcMar>
            <w:vAlign w:val="center"/>
          </w:tcPr>
          <w:p w14:paraId="2CDD9FFC" w14:textId="23FBF8D9" w:rsidR="000D4D00" w:rsidRPr="000D4D00" w:rsidRDefault="00255306" w:rsidP="00811E00">
            <w:pPr>
              <w:widowControl w:val="0"/>
              <w:ind w:firstLine="0"/>
              <w:jc w:val="center"/>
            </w:pPr>
            <w:r>
              <w:rPr>
                <w:rFonts w:eastAsia="Times New Roman" w:cs="Times New Roman"/>
                <w:b/>
                <w:color w:val="000000"/>
                <w:sz w:val="20"/>
              </w:rPr>
              <w:t xml:space="preserve">Vidēja termiņa budžeta ietvara likums </w:t>
            </w:r>
            <w:r w:rsidR="000D4D00" w:rsidRPr="000D4D00">
              <w:rPr>
                <w:rFonts w:eastAsia="Times New Roman" w:cs="Times New Roman"/>
                <w:b/>
                <w:color w:val="000000"/>
                <w:sz w:val="20"/>
              </w:rPr>
              <w:t>2022-2024</w:t>
            </w:r>
          </w:p>
        </w:tc>
        <w:tc>
          <w:tcPr>
            <w:tcW w:w="1547" w:type="dxa"/>
            <w:vMerge w:val="restart"/>
            <w:tcBorders>
              <w:top w:val="single" w:sz="4" w:space="0" w:color="000000"/>
              <w:left w:val="single" w:sz="4" w:space="0" w:color="000000"/>
              <w:bottom w:val="single" w:sz="12" w:space="0" w:color="9CC2E5"/>
              <w:right w:val="single" w:sz="4" w:space="0" w:color="000000"/>
            </w:tcBorders>
            <w:shd w:val="clear" w:color="000000" w:fill="BDD6EE"/>
            <w:tcMar>
              <w:left w:w="108" w:type="dxa"/>
              <w:right w:w="108" w:type="dxa"/>
            </w:tcMar>
            <w:vAlign w:val="center"/>
          </w:tcPr>
          <w:p w14:paraId="4D4F4CD4" w14:textId="77777777" w:rsidR="000D4D00" w:rsidRPr="000D4D00" w:rsidRDefault="000D4D00" w:rsidP="00811E00">
            <w:pPr>
              <w:widowControl w:val="0"/>
              <w:ind w:firstLine="0"/>
              <w:jc w:val="center"/>
              <w:rPr>
                <w:rFonts w:eastAsia="Times New Roman" w:cs="Times New Roman"/>
                <w:b/>
                <w:color w:val="000000"/>
                <w:sz w:val="20"/>
              </w:rPr>
            </w:pPr>
            <w:r w:rsidRPr="000D4D00">
              <w:rPr>
                <w:rFonts w:eastAsia="Times New Roman" w:cs="Times New Roman"/>
                <w:b/>
                <w:color w:val="000000"/>
                <w:sz w:val="20"/>
              </w:rPr>
              <w:t>Starpība</w:t>
            </w:r>
          </w:p>
          <w:p w14:paraId="76434963" w14:textId="77777777" w:rsidR="000D4D00" w:rsidRPr="000D4D00" w:rsidRDefault="000D4D00" w:rsidP="00811E00">
            <w:pPr>
              <w:widowControl w:val="0"/>
              <w:ind w:firstLine="0"/>
              <w:jc w:val="center"/>
            </w:pPr>
            <w:r w:rsidRPr="000D4D00">
              <w:rPr>
                <w:rFonts w:eastAsia="Times New Roman" w:cs="Times New Roman"/>
                <w:b/>
                <w:color w:val="000000"/>
                <w:sz w:val="20"/>
              </w:rPr>
              <w:t>(3)=(2)-(1)</w:t>
            </w:r>
          </w:p>
        </w:tc>
      </w:tr>
      <w:tr w:rsidR="000D4D00" w:rsidRPr="000D4D00" w14:paraId="2B6C05D6" w14:textId="77777777" w:rsidTr="004614E3">
        <w:trPr>
          <w:jc w:val="center"/>
        </w:trPr>
        <w:tc>
          <w:tcPr>
            <w:tcW w:w="988" w:type="dxa"/>
            <w:vMerge/>
            <w:tcBorders>
              <w:top w:val="single" w:sz="4" w:space="0" w:color="000000"/>
              <w:left w:val="single" w:sz="4" w:space="0" w:color="000000"/>
              <w:bottom w:val="single" w:sz="12" w:space="0" w:color="9CC2E5"/>
              <w:right w:val="single" w:sz="4" w:space="0" w:color="000000"/>
            </w:tcBorders>
            <w:shd w:val="clear" w:color="000000" w:fill="BDD6EE"/>
            <w:tcMar>
              <w:left w:w="108" w:type="dxa"/>
              <w:right w:w="108" w:type="dxa"/>
            </w:tcMar>
            <w:vAlign w:val="center"/>
          </w:tcPr>
          <w:p w14:paraId="14D2B09D" w14:textId="77777777" w:rsidR="000D4D00" w:rsidRPr="000D4D00" w:rsidRDefault="000D4D00" w:rsidP="000D4D00">
            <w:pPr>
              <w:rPr>
                <w:rFonts w:ascii="Calibri" w:eastAsia="Calibri" w:hAnsi="Calibri" w:cs="Calibri"/>
              </w:rPr>
            </w:pPr>
          </w:p>
        </w:tc>
        <w:tc>
          <w:tcPr>
            <w:tcW w:w="1339" w:type="dxa"/>
            <w:tcBorders>
              <w:top w:val="single" w:sz="4" w:space="0" w:color="000000"/>
              <w:left w:val="single" w:sz="4" w:space="0" w:color="000000"/>
              <w:bottom w:val="single" w:sz="4" w:space="0" w:color="000000"/>
              <w:right w:val="single" w:sz="4" w:space="0" w:color="000000"/>
            </w:tcBorders>
            <w:shd w:val="clear" w:color="000000" w:fill="BDD6EE"/>
            <w:tcMar>
              <w:left w:w="108" w:type="dxa"/>
              <w:right w:w="108" w:type="dxa"/>
            </w:tcMar>
            <w:vAlign w:val="center"/>
          </w:tcPr>
          <w:p w14:paraId="71CE4136" w14:textId="77777777" w:rsidR="000D4D00" w:rsidRPr="000D4D00" w:rsidRDefault="000D4D00" w:rsidP="00811E00">
            <w:pPr>
              <w:widowControl w:val="0"/>
              <w:ind w:firstLine="28"/>
              <w:jc w:val="center"/>
              <w:rPr>
                <w:rFonts w:eastAsia="Times New Roman" w:cs="Times New Roman"/>
                <w:color w:val="000000"/>
                <w:sz w:val="20"/>
              </w:rPr>
            </w:pPr>
            <w:r w:rsidRPr="000D4D00">
              <w:rPr>
                <w:rFonts w:eastAsia="Times New Roman" w:cs="Times New Roman"/>
                <w:color w:val="000000"/>
                <w:sz w:val="20"/>
              </w:rPr>
              <w:t>Strukturālās bilances mērķis</w:t>
            </w:r>
          </w:p>
          <w:p w14:paraId="10A8AE14" w14:textId="77777777" w:rsidR="000D4D00" w:rsidRPr="000D4D00" w:rsidRDefault="000D4D00" w:rsidP="00811E00">
            <w:pPr>
              <w:widowControl w:val="0"/>
              <w:ind w:firstLine="28"/>
              <w:jc w:val="center"/>
            </w:pPr>
            <w:r w:rsidRPr="000D4D00">
              <w:rPr>
                <w:rFonts w:eastAsia="Times New Roman" w:cs="Times New Roman"/>
                <w:color w:val="000000"/>
                <w:sz w:val="20"/>
              </w:rPr>
              <w:t>(1)</w:t>
            </w:r>
          </w:p>
        </w:tc>
        <w:tc>
          <w:tcPr>
            <w:tcW w:w="1719" w:type="dxa"/>
            <w:tcBorders>
              <w:top w:val="single" w:sz="4" w:space="0" w:color="000000"/>
              <w:left w:val="single" w:sz="4" w:space="0" w:color="000000"/>
              <w:bottom w:val="single" w:sz="4" w:space="0" w:color="000000"/>
              <w:right w:val="single" w:sz="4" w:space="0" w:color="000000"/>
            </w:tcBorders>
            <w:shd w:val="clear" w:color="000000" w:fill="BDD6EE"/>
            <w:tcMar>
              <w:left w:w="108" w:type="dxa"/>
              <w:right w:w="108" w:type="dxa"/>
            </w:tcMar>
            <w:vAlign w:val="center"/>
          </w:tcPr>
          <w:p w14:paraId="322AF9AD" w14:textId="77777777" w:rsidR="000D4D00" w:rsidRPr="000D4D00" w:rsidRDefault="000D4D00" w:rsidP="00811E00">
            <w:pPr>
              <w:widowControl w:val="0"/>
              <w:ind w:firstLine="28"/>
              <w:jc w:val="center"/>
            </w:pPr>
            <w:r w:rsidRPr="000D4D00">
              <w:rPr>
                <w:rFonts w:eastAsia="Times New Roman" w:cs="Times New Roman"/>
                <w:color w:val="000000"/>
                <w:sz w:val="20"/>
              </w:rPr>
              <w:t>Noteicošais fiskālais nosacījums</w:t>
            </w:r>
          </w:p>
        </w:tc>
        <w:tc>
          <w:tcPr>
            <w:tcW w:w="1749" w:type="dxa"/>
            <w:tcBorders>
              <w:top w:val="single" w:sz="4" w:space="0" w:color="000000"/>
              <w:left w:val="single" w:sz="4" w:space="0" w:color="000000"/>
              <w:bottom w:val="single" w:sz="4" w:space="0" w:color="000000"/>
              <w:right w:val="single" w:sz="4" w:space="0" w:color="000000"/>
            </w:tcBorders>
            <w:shd w:val="clear" w:color="000000" w:fill="BDD6EE"/>
            <w:tcMar>
              <w:left w:w="108" w:type="dxa"/>
              <w:right w:w="108" w:type="dxa"/>
            </w:tcMar>
            <w:vAlign w:val="center"/>
          </w:tcPr>
          <w:p w14:paraId="35B93578" w14:textId="77777777" w:rsidR="000D4D00" w:rsidRPr="000D4D00" w:rsidRDefault="000D4D00" w:rsidP="00811E00">
            <w:pPr>
              <w:widowControl w:val="0"/>
              <w:ind w:firstLine="28"/>
              <w:jc w:val="center"/>
              <w:rPr>
                <w:rFonts w:eastAsia="Times New Roman" w:cs="Times New Roman"/>
                <w:color w:val="000000"/>
                <w:sz w:val="20"/>
              </w:rPr>
            </w:pPr>
            <w:r w:rsidRPr="000D4D00">
              <w:rPr>
                <w:rFonts w:eastAsia="Times New Roman" w:cs="Times New Roman"/>
                <w:color w:val="000000"/>
                <w:sz w:val="20"/>
              </w:rPr>
              <w:t>Strukturālās bilances mērķis</w:t>
            </w:r>
          </w:p>
          <w:p w14:paraId="1D450B59" w14:textId="77777777" w:rsidR="000D4D00" w:rsidRPr="000D4D00" w:rsidRDefault="000D4D00" w:rsidP="00811E00">
            <w:pPr>
              <w:widowControl w:val="0"/>
              <w:ind w:firstLine="28"/>
              <w:jc w:val="center"/>
            </w:pPr>
            <w:r w:rsidRPr="000D4D00">
              <w:rPr>
                <w:rFonts w:eastAsia="Times New Roman" w:cs="Times New Roman"/>
                <w:color w:val="000000"/>
                <w:sz w:val="20"/>
              </w:rPr>
              <w:t>(2)</w:t>
            </w:r>
          </w:p>
        </w:tc>
        <w:tc>
          <w:tcPr>
            <w:tcW w:w="1719" w:type="dxa"/>
            <w:tcBorders>
              <w:top w:val="single" w:sz="4" w:space="0" w:color="000000"/>
              <w:left w:val="single" w:sz="4" w:space="0" w:color="000000"/>
              <w:bottom w:val="single" w:sz="4" w:space="0" w:color="000000"/>
              <w:right w:val="single" w:sz="4" w:space="0" w:color="000000"/>
            </w:tcBorders>
            <w:shd w:val="clear" w:color="000000" w:fill="BDD6EE"/>
            <w:tcMar>
              <w:left w:w="108" w:type="dxa"/>
              <w:right w:w="108" w:type="dxa"/>
            </w:tcMar>
            <w:vAlign w:val="center"/>
          </w:tcPr>
          <w:p w14:paraId="7CD10522" w14:textId="77777777" w:rsidR="000D4D00" w:rsidRPr="000D4D00" w:rsidRDefault="000D4D00" w:rsidP="00811E00">
            <w:pPr>
              <w:widowControl w:val="0"/>
              <w:ind w:firstLine="28"/>
              <w:jc w:val="center"/>
            </w:pPr>
            <w:r w:rsidRPr="000D4D00">
              <w:rPr>
                <w:rFonts w:eastAsia="Times New Roman" w:cs="Times New Roman"/>
                <w:color w:val="000000"/>
                <w:sz w:val="20"/>
              </w:rPr>
              <w:t>Noteicošais fiskālais nosacījums</w:t>
            </w:r>
          </w:p>
        </w:tc>
        <w:tc>
          <w:tcPr>
            <w:tcW w:w="1547" w:type="dxa"/>
            <w:vMerge/>
            <w:tcBorders>
              <w:top w:val="single" w:sz="4" w:space="0" w:color="000000"/>
              <w:left w:val="single" w:sz="4" w:space="0" w:color="000000"/>
              <w:bottom w:val="single" w:sz="12" w:space="0" w:color="9CC2E5"/>
              <w:right w:val="single" w:sz="4" w:space="0" w:color="000000"/>
            </w:tcBorders>
            <w:shd w:val="clear" w:color="000000" w:fill="BDD6EE"/>
            <w:tcMar>
              <w:left w:w="108" w:type="dxa"/>
              <w:right w:w="108" w:type="dxa"/>
            </w:tcMar>
            <w:vAlign w:val="center"/>
          </w:tcPr>
          <w:p w14:paraId="79BEE534" w14:textId="77777777" w:rsidR="000D4D00" w:rsidRPr="000D4D00" w:rsidRDefault="000D4D00" w:rsidP="000D4D00"/>
        </w:tc>
      </w:tr>
      <w:tr w:rsidR="000D4D00" w:rsidRPr="000D4D00" w14:paraId="39A1D388" w14:textId="77777777" w:rsidTr="00D0442A">
        <w:trPr>
          <w:trHeight w:val="149"/>
          <w:jc w:val="center"/>
        </w:trPr>
        <w:tc>
          <w:tcPr>
            <w:tcW w:w="98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vAlign w:val="center"/>
          </w:tcPr>
          <w:p w14:paraId="6A28A5A7" w14:textId="77777777" w:rsidR="000D4D00" w:rsidRPr="000D4D00" w:rsidRDefault="000D4D00" w:rsidP="00811E00">
            <w:pPr>
              <w:widowControl w:val="0"/>
              <w:ind w:firstLine="0"/>
              <w:jc w:val="center"/>
            </w:pPr>
            <w:r w:rsidRPr="000D4D00">
              <w:rPr>
                <w:rFonts w:eastAsia="Times New Roman" w:cs="Times New Roman"/>
                <w:b/>
                <w:color w:val="000000"/>
                <w:sz w:val="20"/>
              </w:rPr>
              <w:t>2021</w:t>
            </w:r>
          </w:p>
        </w:tc>
        <w:tc>
          <w:tcPr>
            <w:tcW w:w="1339"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vAlign w:val="center"/>
          </w:tcPr>
          <w:p w14:paraId="3467D960" w14:textId="77777777" w:rsidR="000D4D00" w:rsidRPr="000D4D00" w:rsidRDefault="000D4D00" w:rsidP="00811E00">
            <w:pPr>
              <w:widowControl w:val="0"/>
              <w:ind w:firstLine="28"/>
              <w:jc w:val="center"/>
            </w:pPr>
            <w:r w:rsidRPr="000D4D00">
              <w:rPr>
                <w:rFonts w:eastAsia="Times New Roman" w:cs="Times New Roman"/>
                <w:color w:val="000000"/>
                <w:sz w:val="20"/>
              </w:rPr>
              <w:t>-2,1</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vAlign w:val="center"/>
          </w:tcPr>
          <w:p w14:paraId="0F0B0C53" w14:textId="77777777" w:rsidR="000D4D00" w:rsidRPr="000D4D00" w:rsidRDefault="000D4D00" w:rsidP="00811E00">
            <w:pPr>
              <w:widowControl w:val="0"/>
              <w:ind w:firstLine="28"/>
              <w:jc w:val="center"/>
            </w:pPr>
            <w:r w:rsidRPr="000D4D00">
              <w:rPr>
                <w:rFonts w:eastAsia="Times New Roman" w:cs="Times New Roman"/>
                <w:color w:val="000000"/>
                <w:sz w:val="20"/>
              </w:rPr>
              <w:t>Bilances nosacījums</w:t>
            </w:r>
          </w:p>
        </w:tc>
        <w:tc>
          <w:tcPr>
            <w:tcW w:w="1749"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vAlign w:val="center"/>
          </w:tcPr>
          <w:p w14:paraId="35E47477" w14:textId="77777777" w:rsidR="000D4D00" w:rsidRPr="000D4D00" w:rsidRDefault="000D4D00" w:rsidP="00811E00">
            <w:pPr>
              <w:widowControl w:val="0"/>
              <w:ind w:firstLine="28"/>
              <w:jc w:val="center"/>
              <w:rPr>
                <w:rFonts w:eastAsia="Times New Roman" w:cs="Times New Roman"/>
                <w:color w:val="000000"/>
                <w:sz w:val="20"/>
              </w:rPr>
            </w:pPr>
            <w:r w:rsidRPr="000D4D00">
              <w:rPr>
                <w:rFonts w:eastAsia="Times New Roman" w:cs="Times New Roman"/>
                <w:color w:val="000000"/>
                <w:sz w:val="20"/>
              </w:rPr>
              <w:t>x</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vAlign w:val="center"/>
          </w:tcPr>
          <w:p w14:paraId="1854C86F" w14:textId="77777777" w:rsidR="000D4D00" w:rsidRPr="000D4D00" w:rsidRDefault="000D4D00" w:rsidP="00811E00">
            <w:pPr>
              <w:widowControl w:val="0"/>
              <w:ind w:firstLine="28"/>
              <w:jc w:val="center"/>
              <w:rPr>
                <w:rFonts w:eastAsia="Times New Roman" w:cs="Times New Roman"/>
                <w:color w:val="000000"/>
                <w:sz w:val="20"/>
              </w:rPr>
            </w:pPr>
            <w:r w:rsidRPr="000D4D00">
              <w:rPr>
                <w:rFonts w:eastAsia="Times New Roman" w:cs="Times New Roman"/>
                <w:color w:val="000000"/>
                <w:sz w:val="20"/>
              </w:rPr>
              <w:t>x</w:t>
            </w:r>
          </w:p>
        </w:tc>
        <w:tc>
          <w:tcPr>
            <w:tcW w:w="15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vAlign w:val="center"/>
          </w:tcPr>
          <w:p w14:paraId="0799FD94" w14:textId="77777777" w:rsidR="000D4D00" w:rsidRPr="000D4D00" w:rsidRDefault="000D4D00" w:rsidP="000D4D00">
            <w:pPr>
              <w:widowControl w:val="0"/>
              <w:jc w:val="center"/>
              <w:rPr>
                <w:rFonts w:eastAsia="Times New Roman" w:cs="Times New Roman"/>
                <w:color w:val="000000"/>
                <w:sz w:val="20"/>
              </w:rPr>
            </w:pPr>
            <w:r w:rsidRPr="000D4D00">
              <w:rPr>
                <w:rFonts w:eastAsia="Times New Roman" w:cs="Times New Roman"/>
                <w:color w:val="000000"/>
                <w:sz w:val="20"/>
              </w:rPr>
              <w:t>x</w:t>
            </w:r>
          </w:p>
        </w:tc>
      </w:tr>
      <w:tr w:rsidR="000D4D00" w:rsidRPr="000D4D00" w14:paraId="6A36A8F4" w14:textId="77777777" w:rsidTr="004614E3">
        <w:trPr>
          <w:jc w:val="center"/>
        </w:trPr>
        <w:tc>
          <w:tcPr>
            <w:tcW w:w="988"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103CEE2A" w14:textId="77777777" w:rsidR="000D4D00" w:rsidRPr="000D4D00" w:rsidRDefault="000D4D00" w:rsidP="00811E00">
            <w:pPr>
              <w:widowControl w:val="0"/>
              <w:ind w:firstLine="0"/>
              <w:jc w:val="center"/>
            </w:pPr>
            <w:r w:rsidRPr="000D4D00">
              <w:rPr>
                <w:rFonts w:eastAsia="Times New Roman" w:cs="Times New Roman"/>
                <w:b/>
                <w:color w:val="000000"/>
                <w:sz w:val="20"/>
              </w:rPr>
              <w:t>2022</w:t>
            </w:r>
          </w:p>
        </w:tc>
        <w:tc>
          <w:tcPr>
            <w:tcW w:w="1339"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0C896800" w14:textId="77777777" w:rsidR="000D4D00" w:rsidRPr="000D4D00" w:rsidRDefault="000D4D00" w:rsidP="00811E00">
            <w:pPr>
              <w:widowControl w:val="0"/>
              <w:ind w:firstLine="28"/>
              <w:jc w:val="center"/>
            </w:pPr>
            <w:r w:rsidRPr="000D4D00">
              <w:rPr>
                <w:rFonts w:eastAsia="Times New Roman" w:cs="Times New Roman"/>
                <w:color w:val="000000"/>
                <w:sz w:val="20"/>
              </w:rPr>
              <w:t>-1,1</w:t>
            </w:r>
          </w:p>
        </w:tc>
        <w:tc>
          <w:tcPr>
            <w:tcW w:w="1719"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0E6777F5" w14:textId="77777777" w:rsidR="000D4D00" w:rsidRPr="000D4D00" w:rsidRDefault="000D4D00" w:rsidP="00811E00">
            <w:pPr>
              <w:widowControl w:val="0"/>
              <w:ind w:firstLine="28"/>
              <w:jc w:val="center"/>
            </w:pPr>
            <w:r w:rsidRPr="000D4D00">
              <w:rPr>
                <w:rFonts w:eastAsia="Times New Roman" w:cs="Times New Roman"/>
                <w:color w:val="000000"/>
                <w:sz w:val="20"/>
              </w:rPr>
              <w:t>Bilances nosacījums</w:t>
            </w:r>
          </w:p>
        </w:tc>
        <w:tc>
          <w:tcPr>
            <w:tcW w:w="1749"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3271AF12" w14:textId="7275858F" w:rsidR="000D4D00" w:rsidRPr="000D4D00" w:rsidRDefault="0018367D" w:rsidP="00811E00">
            <w:pPr>
              <w:widowControl w:val="0"/>
              <w:ind w:firstLine="28"/>
              <w:jc w:val="center"/>
              <w:rPr>
                <w:rFonts w:eastAsia="Times New Roman" w:cs="Times New Roman"/>
                <w:color w:val="000000"/>
                <w:sz w:val="20"/>
              </w:rPr>
            </w:pPr>
            <w:r w:rsidRPr="0018367D">
              <w:rPr>
                <w:rFonts w:eastAsia="Times New Roman" w:cs="Times New Roman"/>
                <w:color w:val="000000"/>
                <w:sz w:val="20"/>
              </w:rPr>
              <w:t>-4,7</w:t>
            </w:r>
          </w:p>
        </w:tc>
        <w:tc>
          <w:tcPr>
            <w:tcW w:w="1719"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4E5620CD" w14:textId="77777777" w:rsidR="000D4D00" w:rsidRPr="000D4D00" w:rsidRDefault="000D4D00" w:rsidP="00811E00">
            <w:pPr>
              <w:widowControl w:val="0"/>
              <w:ind w:firstLine="28"/>
              <w:jc w:val="center"/>
              <w:rPr>
                <w:rFonts w:eastAsia="Times New Roman" w:cs="Times New Roman"/>
                <w:color w:val="000000"/>
                <w:sz w:val="20"/>
              </w:rPr>
            </w:pPr>
          </w:p>
        </w:tc>
        <w:tc>
          <w:tcPr>
            <w:tcW w:w="1547"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59353B74" w14:textId="027DD9C1" w:rsidR="000D4D00" w:rsidRPr="000D4D00" w:rsidRDefault="0018367D" w:rsidP="000D4D00">
            <w:pPr>
              <w:widowControl w:val="0"/>
              <w:jc w:val="center"/>
              <w:rPr>
                <w:rFonts w:eastAsia="Times New Roman" w:cs="Times New Roman"/>
                <w:color w:val="000000"/>
                <w:sz w:val="20"/>
              </w:rPr>
            </w:pPr>
            <w:r>
              <w:rPr>
                <w:rFonts w:eastAsia="Times New Roman" w:cs="Times New Roman"/>
                <w:color w:val="000000"/>
                <w:sz w:val="20"/>
              </w:rPr>
              <w:t>-3</w:t>
            </w:r>
            <w:r w:rsidR="000D4D00" w:rsidRPr="000D4D00">
              <w:rPr>
                <w:rFonts w:eastAsia="Times New Roman" w:cs="Times New Roman"/>
                <w:color w:val="000000"/>
                <w:sz w:val="20"/>
              </w:rPr>
              <w:t>,6</w:t>
            </w:r>
          </w:p>
        </w:tc>
      </w:tr>
      <w:tr w:rsidR="000D4D00" w:rsidRPr="000D4D00" w14:paraId="269B262B" w14:textId="77777777" w:rsidTr="004614E3">
        <w:trPr>
          <w:trHeight w:val="429"/>
          <w:jc w:val="center"/>
        </w:trPr>
        <w:tc>
          <w:tcPr>
            <w:tcW w:w="988"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4DFC9459" w14:textId="77777777" w:rsidR="000D4D00" w:rsidRPr="000D4D00" w:rsidRDefault="000D4D00" w:rsidP="00811E00">
            <w:pPr>
              <w:widowControl w:val="0"/>
              <w:ind w:firstLine="0"/>
              <w:jc w:val="center"/>
              <w:rPr>
                <w:rFonts w:eastAsia="Times New Roman" w:cs="Times New Roman"/>
                <w:b/>
                <w:color w:val="000000"/>
                <w:sz w:val="20"/>
              </w:rPr>
            </w:pPr>
            <w:r w:rsidRPr="000D4D00">
              <w:rPr>
                <w:rFonts w:eastAsia="Times New Roman" w:cs="Times New Roman"/>
                <w:b/>
                <w:color w:val="000000"/>
                <w:sz w:val="20"/>
              </w:rPr>
              <w:t>2023</w:t>
            </w:r>
          </w:p>
        </w:tc>
        <w:tc>
          <w:tcPr>
            <w:tcW w:w="1339"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6DD3EFE6" w14:textId="77777777" w:rsidR="000D4D00" w:rsidRPr="000D4D00" w:rsidRDefault="000D4D00" w:rsidP="00811E00">
            <w:pPr>
              <w:widowControl w:val="0"/>
              <w:ind w:firstLine="28"/>
              <w:jc w:val="center"/>
              <w:rPr>
                <w:rFonts w:eastAsia="Times New Roman" w:cs="Times New Roman"/>
                <w:color w:val="000000"/>
                <w:sz w:val="20"/>
              </w:rPr>
            </w:pPr>
            <w:r w:rsidRPr="000D4D00">
              <w:rPr>
                <w:rFonts w:eastAsia="Times New Roman" w:cs="Times New Roman"/>
                <w:color w:val="000000"/>
                <w:sz w:val="20"/>
              </w:rPr>
              <w:t>-0,5</w:t>
            </w:r>
          </w:p>
        </w:tc>
        <w:tc>
          <w:tcPr>
            <w:tcW w:w="1719"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76A73506" w14:textId="77777777" w:rsidR="000D4D00" w:rsidRPr="000D4D00" w:rsidRDefault="000D4D00" w:rsidP="00811E00">
            <w:pPr>
              <w:widowControl w:val="0"/>
              <w:ind w:firstLine="28"/>
              <w:jc w:val="center"/>
              <w:rPr>
                <w:rFonts w:eastAsia="Times New Roman" w:cs="Times New Roman"/>
                <w:color w:val="000000"/>
                <w:sz w:val="20"/>
              </w:rPr>
            </w:pPr>
            <w:r w:rsidRPr="000D4D00">
              <w:rPr>
                <w:rFonts w:eastAsia="Times New Roman" w:cs="Times New Roman"/>
                <w:color w:val="000000"/>
                <w:sz w:val="20"/>
              </w:rPr>
              <w:t>Bilances nosacījums</w:t>
            </w:r>
          </w:p>
        </w:tc>
        <w:tc>
          <w:tcPr>
            <w:tcW w:w="1749"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07AA2BBB" w14:textId="777A5881" w:rsidR="000D4D00" w:rsidRPr="000D4D00" w:rsidRDefault="0018367D" w:rsidP="00811E00">
            <w:pPr>
              <w:widowControl w:val="0"/>
              <w:ind w:firstLine="28"/>
              <w:jc w:val="center"/>
              <w:rPr>
                <w:rFonts w:eastAsia="Times New Roman" w:cs="Times New Roman"/>
                <w:color w:val="000000"/>
                <w:sz w:val="20"/>
              </w:rPr>
            </w:pPr>
            <w:r w:rsidRPr="0018367D">
              <w:rPr>
                <w:rFonts w:eastAsia="Times New Roman" w:cs="Times New Roman"/>
                <w:color w:val="000000"/>
                <w:sz w:val="20"/>
              </w:rPr>
              <w:t>-2,1</w:t>
            </w:r>
          </w:p>
        </w:tc>
        <w:tc>
          <w:tcPr>
            <w:tcW w:w="1719"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265C64D9" w14:textId="77777777" w:rsidR="000D4D00" w:rsidRPr="000D4D00" w:rsidRDefault="000D4D00" w:rsidP="00811E00">
            <w:pPr>
              <w:widowControl w:val="0"/>
              <w:ind w:firstLine="28"/>
              <w:jc w:val="center"/>
              <w:rPr>
                <w:rFonts w:eastAsia="Times New Roman" w:cs="Times New Roman"/>
                <w:color w:val="000000"/>
                <w:sz w:val="20"/>
              </w:rPr>
            </w:pPr>
          </w:p>
        </w:tc>
        <w:tc>
          <w:tcPr>
            <w:tcW w:w="1547"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4195B059" w14:textId="66530905" w:rsidR="000D4D00" w:rsidRPr="000D4D00" w:rsidRDefault="008B3D22" w:rsidP="000D4D00">
            <w:pPr>
              <w:widowControl w:val="0"/>
              <w:jc w:val="center"/>
              <w:rPr>
                <w:rFonts w:eastAsia="Times New Roman" w:cs="Times New Roman"/>
                <w:color w:val="000000"/>
                <w:sz w:val="20"/>
              </w:rPr>
            </w:pPr>
            <w:r>
              <w:rPr>
                <w:rFonts w:eastAsia="Times New Roman" w:cs="Times New Roman"/>
                <w:color w:val="000000"/>
                <w:sz w:val="20"/>
              </w:rPr>
              <w:t>-1</w:t>
            </w:r>
            <w:r w:rsidR="000D4D00" w:rsidRPr="000D4D00">
              <w:rPr>
                <w:rFonts w:eastAsia="Times New Roman" w:cs="Times New Roman"/>
                <w:color w:val="000000"/>
                <w:sz w:val="20"/>
              </w:rPr>
              <w:t>,6</w:t>
            </w:r>
          </w:p>
        </w:tc>
      </w:tr>
      <w:tr w:rsidR="000D4D00" w:rsidRPr="000D4D00" w14:paraId="7A7D6EDC" w14:textId="77777777" w:rsidTr="004614E3">
        <w:trPr>
          <w:trHeight w:val="429"/>
          <w:jc w:val="center"/>
        </w:trPr>
        <w:tc>
          <w:tcPr>
            <w:tcW w:w="988"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2913FF50" w14:textId="77777777" w:rsidR="000D4D00" w:rsidRPr="000D4D00" w:rsidRDefault="000D4D00" w:rsidP="00811E00">
            <w:pPr>
              <w:widowControl w:val="0"/>
              <w:ind w:firstLine="0"/>
              <w:jc w:val="center"/>
              <w:rPr>
                <w:rFonts w:eastAsia="Times New Roman" w:cs="Times New Roman"/>
                <w:b/>
                <w:color w:val="000000"/>
                <w:sz w:val="20"/>
              </w:rPr>
            </w:pPr>
            <w:r w:rsidRPr="000D4D00">
              <w:rPr>
                <w:rFonts w:eastAsia="Times New Roman" w:cs="Times New Roman"/>
                <w:b/>
                <w:color w:val="000000"/>
                <w:sz w:val="20"/>
              </w:rPr>
              <w:t>2024</w:t>
            </w:r>
          </w:p>
        </w:tc>
        <w:tc>
          <w:tcPr>
            <w:tcW w:w="1339"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7F3662AC" w14:textId="77777777" w:rsidR="000D4D00" w:rsidRPr="000D4D00" w:rsidRDefault="000D4D00" w:rsidP="00811E00">
            <w:pPr>
              <w:widowControl w:val="0"/>
              <w:ind w:firstLine="28"/>
              <w:jc w:val="center"/>
              <w:rPr>
                <w:rFonts w:eastAsia="Times New Roman" w:cs="Times New Roman"/>
                <w:color w:val="000000"/>
                <w:sz w:val="20"/>
              </w:rPr>
            </w:pPr>
            <w:r w:rsidRPr="000D4D00">
              <w:rPr>
                <w:rFonts w:eastAsia="Times New Roman" w:cs="Times New Roman"/>
                <w:color w:val="000000"/>
                <w:sz w:val="20"/>
              </w:rPr>
              <w:t>x</w:t>
            </w:r>
          </w:p>
        </w:tc>
        <w:tc>
          <w:tcPr>
            <w:tcW w:w="1719"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64744CAE" w14:textId="77777777" w:rsidR="000D4D00" w:rsidRPr="000D4D00" w:rsidRDefault="000D4D00" w:rsidP="00811E00">
            <w:pPr>
              <w:widowControl w:val="0"/>
              <w:ind w:firstLine="28"/>
              <w:jc w:val="center"/>
              <w:rPr>
                <w:rFonts w:eastAsia="Times New Roman" w:cs="Times New Roman"/>
                <w:color w:val="000000"/>
                <w:sz w:val="20"/>
              </w:rPr>
            </w:pPr>
            <w:r w:rsidRPr="000D4D00">
              <w:rPr>
                <w:rFonts w:eastAsia="Times New Roman" w:cs="Times New Roman"/>
                <w:color w:val="000000"/>
                <w:sz w:val="20"/>
              </w:rPr>
              <w:t>x</w:t>
            </w:r>
          </w:p>
        </w:tc>
        <w:tc>
          <w:tcPr>
            <w:tcW w:w="1749"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5CAE9423" w14:textId="3AC386DC" w:rsidR="000D4D00" w:rsidRPr="000D4D00" w:rsidRDefault="0018367D" w:rsidP="00811E00">
            <w:pPr>
              <w:widowControl w:val="0"/>
              <w:ind w:firstLine="28"/>
              <w:jc w:val="center"/>
              <w:rPr>
                <w:rFonts w:eastAsia="Times New Roman" w:cs="Times New Roman"/>
                <w:color w:val="000000"/>
                <w:sz w:val="20"/>
              </w:rPr>
            </w:pPr>
            <w:r w:rsidRPr="0018367D">
              <w:rPr>
                <w:rFonts w:eastAsia="Times New Roman" w:cs="Times New Roman"/>
                <w:color w:val="000000"/>
                <w:sz w:val="20"/>
              </w:rPr>
              <w:t>-1,4</w:t>
            </w:r>
          </w:p>
        </w:tc>
        <w:tc>
          <w:tcPr>
            <w:tcW w:w="1719"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3075F641" w14:textId="77777777" w:rsidR="000D4D00" w:rsidRPr="000D4D00" w:rsidRDefault="000D4D00" w:rsidP="00811E00">
            <w:pPr>
              <w:widowControl w:val="0"/>
              <w:ind w:firstLine="28"/>
              <w:jc w:val="center"/>
              <w:rPr>
                <w:rFonts w:eastAsia="Times New Roman" w:cs="Times New Roman"/>
                <w:color w:val="000000"/>
                <w:sz w:val="20"/>
              </w:rPr>
            </w:pPr>
          </w:p>
        </w:tc>
        <w:tc>
          <w:tcPr>
            <w:tcW w:w="1547"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vAlign w:val="center"/>
          </w:tcPr>
          <w:p w14:paraId="3874F8E6" w14:textId="77777777" w:rsidR="000D4D00" w:rsidRPr="000D4D00" w:rsidRDefault="000D4D00" w:rsidP="000D4D00">
            <w:pPr>
              <w:widowControl w:val="0"/>
              <w:jc w:val="center"/>
              <w:rPr>
                <w:rFonts w:eastAsia="Times New Roman" w:cs="Times New Roman"/>
                <w:color w:val="000000"/>
                <w:sz w:val="20"/>
              </w:rPr>
            </w:pPr>
            <w:r w:rsidRPr="000D4D00">
              <w:rPr>
                <w:rFonts w:eastAsia="Times New Roman" w:cs="Times New Roman"/>
                <w:color w:val="000000"/>
                <w:sz w:val="20"/>
              </w:rPr>
              <w:t>x</w:t>
            </w:r>
          </w:p>
        </w:tc>
      </w:tr>
    </w:tbl>
    <w:p w14:paraId="3912EFEC" w14:textId="77777777" w:rsidR="000D4D00" w:rsidRPr="000D4D00" w:rsidRDefault="000D4D00" w:rsidP="000D4D00">
      <w:pPr>
        <w:widowControl w:val="0"/>
        <w:rPr>
          <w:rFonts w:eastAsia="Times New Roman" w:cs="Times New Roman"/>
          <w:b/>
          <w:color w:val="000000"/>
        </w:rPr>
      </w:pPr>
    </w:p>
    <w:p w14:paraId="49E25D9F" w14:textId="07508286" w:rsidR="003F3FCD" w:rsidRPr="00EB7D26" w:rsidRDefault="000D4D00" w:rsidP="00EB7D26">
      <w:pPr>
        <w:widowControl w:val="0"/>
        <w:rPr>
          <w:rFonts w:eastAsia="Times New Roman" w:cs="Times New Roman"/>
          <w:color w:val="000000"/>
        </w:rPr>
      </w:pPr>
      <w:r w:rsidRPr="00811E00">
        <w:rPr>
          <w:rFonts w:eastAsia="Times New Roman" w:cs="Times New Roman"/>
          <w:color w:val="000000"/>
        </w:rPr>
        <w:t>Salīdzinot strukturālās bilances mērķi 2022. gadam un 2023.</w:t>
      </w:r>
      <w:r w:rsidR="00255306" w:rsidRPr="00811E00">
        <w:rPr>
          <w:rFonts w:eastAsia="Times New Roman" w:cs="Times New Roman"/>
          <w:color w:val="000000"/>
        </w:rPr>
        <w:t xml:space="preserve"> </w:t>
      </w:r>
      <w:r w:rsidRPr="00811E00">
        <w:rPr>
          <w:rFonts w:eastAsia="Times New Roman" w:cs="Times New Roman"/>
          <w:color w:val="000000"/>
        </w:rPr>
        <w:t xml:space="preserve">gadam starp abiem </w:t>
      </w:r>
      <w:r w:rsidR="00255306" w:rsidRPr="00811E00">
        <w:rPr>
          <w:rFonts w:eastAsia="Times New Roman" w:cs="Times New Roman"/>
          <w:color w:val="000000"/>
        </w:rPr>
        <w:t>vidēja termiņa budžeta ietvara likumiem</w:t>
      </w:r>
      <w:r w:rsidRPr="00811E00">
        <w:rPr>
          <w:rFonts w:eastAsia="Times New Roman" w:cs="Times New Roman"/>
          <w:color w:val="000000"/>
        </w:rPr>
        <w:t>, jāņem vērā specifiskie apstākļi 2020.</w:t>
      </w:r>
      <w:r w:rsidR="00255306" w:rsidRPr="00811E00">
        <w:rPr>
          <w:rFonts w:eastAsia="Times New Roman" w:cs="Times New Roman"/>
          <w:color w:val="000000"/>
        </w:rPr>
        <w:t xml:space="preserve"> </w:t>
      </w:r>
      <w:r w:rsidRPr="00811E00">
        <w:rPr>
          <w:rFonts w:eastAsia="Times New Roman" w:cs="Times New Roman"/>
          <w:color w:val="000000"/>
        </w:rPr>
        <w:t>gadā un 2021.</w:t>
      </w:r>
      <w:r w:rsidR="00255306" w:rsidRPr="00811E00">
        <w:rPr>
          <w:rFonts w:eastAsia="Times New Roman" w:cs="Times New Roman"/>
          <w:color w:val="000000"/>
        </w:rPr>
        <w:t xml:space="preserve"> </w:t>
      </w:r>
      <w:r w:rsidRPr="00811E00">
        <w:rPr>
          <w:rFonts w:eastAsia="Times New Roman" w:cs="Times New Roman"/>
          <w:color w:val="000000"/>
        </w:rPr>
        <w:t>gadā, kas attiecīgi izskaidro būtisko starpību attiecīgajos gados un ir detalizēti aprakstīti 2.1.1.</w:t>
      </w:r>
      <w:r w:rsidR="00255306" w:rsidRPr="00811E00">
        <w:rPr>
          <w:rFonts w:eastAsia="Times New Roman" w:cs="Times New Roman"/>
          <w:color w:val="000000"/>
        </w:rPr>
        <w:t xml:space="preserve"> </w:t>
      </w:r>
      <w:r w:rsidR="00EB7D26">
        <w:rPr>
          <w:rFonts w:eastAsia="Times New Roman" w:cs="Times New Roman"/>
          <w:color w:val="000000"/>
        </w:rPr>
        <w:t>nodaļā.</w:t>
      </w:r>
    </w:p>
    <w:p w14:paraId="2111554F" w14:textId="37C97822" w:rsidR="007F305B" w:rsidRDefault="00D57DD6" w:rsidP="00811E00">
      <w:pPr>
        <w:pStyle w:val="Heading3"/>
        <w:numPr>
          <w:ilvl w:val="0"/>
          <w:numId w:val="0"/>
        </w:numPr>
      </w:pPr>
      <w:bookmarkStart w:id="45" w:name="_Toc84756410"/>
      <w:r>
        <w:t>2.1.5</w:t>
      </w:r>
      <w:r w:rsidR="00E8646E">
        <w:t xml:space="preserve">. </w:t>
      </w:r>
      <w:r w:rsidR="007F305B" w:rsidRPr="00811E00">
        <w:t>Vispārējās valdības sektorā klasif</w:t>
      </w:r>
      <w:r w:rsidR="005715BC" w:rsidRPr="00811E00">
        <w:t>icēto kapitālsabiedrību faktiskā ietekme</w:t>
      </w:r>
      <w:r w:rsidR="007F305B" w:rsidRPr="00811E00">
        <w:t xml:space="preserve"> uz vispārējās valdības budžeta bilanci un parādu</w:t>
      </w:r>
      <w:bookmarkEnd w:id="45"/>
    </w:p>
    <w:p w14:paraId="58C21657" w14:textId="7D82E5C6" w:rsidR="0052019B" w:rsidRPr="00EB7D26" w:rsidRDefault="00EB7D26" w:rsidP="00EB7D26">
      <w:r>
        <w:t>Likumprojekta “Par vidēja termiņa budžeta ietvaru 2022., 2023. un 2024</w:t>
      </w:r>
      <w:r w:rsidRPr="00EB7D26">
        <w:t>.</w:t>
      </w:r>
      <w:r>
        <w:t xml:space="preserve"> </w:t>
      </w:r>
      <w:r w:rsidRPr="00EB7D26">
        <w:t>gadam</w:t>
      </w:r>
      <w:r>
        <w:t>”</w:t>
      </w:r>
      <w:r w:rsidRPr="00EB7D26">
        <w:t xml:space="preserve"> projekta 18.</w:t>
      </w:r>
      <w:r>
        <w:t xml:space="preserve"> </w:t>
      </w:r>
      <w:r w:rsidRPr="00EB7D26">
        <w:t>pantā ir noteikts, ka informācija par vispārējās valdības sektorā iekļauto kapitālsabiedrību faktisko un prognozēto ietekmi uz vispārējās valdības izdevumiem, ieņēmumiem, budžeta bilanci un parādu ir publiski pi</w:t>
      </w:r>
      <w:r>
        <w:t>eejama un Finanšu ministrija</w:t>
      </w:r>
      <w:r w:rsidRPr="00EB7D26">
        <w:t xml:space="preserve"> to iekļauj likuma paskaidrojumos. Informācija par vispārējā valdības sektorā iekļauto kapitālsabiedrību faktisko ietekmi uz vispārējās valdības neto aizdevumiem vai  a</w:t>
      </w:r>
      <w:r>
        <w:t>izņēmumiem  (B.9) un parādu 2018., 2019. un 2020</w:t>
      </w:r>
      <w:r w:rsidRPr="00EB7D26">
        <w:t>.</w:t>
      </w:r>
      <w:r>
        <w:t xml:space="preserve"> </w:t>
      </w:r>
      <w:r w:rsidRPr="00EB7D26">
        <w:t>gadā tiek atspoguļota 2.</w:t>
      </w:r>
      <w:r w:rsidR="002B2F86">
        <w:t xml:space="preserve"> </w:t>
      </w:r>
      <w:r w:rsidRPr="00EB7D26">
        <w:t>pielikumā. Informācija par vispārējās valdības sektorā iekļauto kapitālsabiedrību prognozēto ietekmi vispārējās valdības neto aizdevum</w:t>
      </w:r>
      <w:r>
        <w:t>iem vai  aizņēmumiem  (B.9) 2022., 2023. un 2024</w:t>
      </w:r>
      <w:r w:rsidRPr="00EB7D26">
        <w:t>.</w:t>
      </w:r>
      <w:r>
        <w:t xml:space="preserve"> gadā atrodama 2</w:t>
      </w:r>
      <w:r w:rsidRPr="00EB7D26">
        <w:t>.</w:t>
      </w:r>
      <w:r>
        <w:t xml:space="preserve"> </w:t>
      </w:r>
      <w:r w:rsidRPr="00EB7D26">
        <w:t>pielikumā, un informācija par vispārējās valdības sektorā iekļauto kapitālsabiedrību prognozēto ietekmi uz</w:t>
      </w:r>
      <w:r>
        <w:t xml:space="preserve"> vispārējās valdības parādu 2022., 2023. un 2024</w:t>
      </w:r>
      <w:r w:rsidRPr="00EB7D26">
        <w:t>.</w:t>
      </w:r>
      <w:r>
        <w:t xml:space="preserve"> gadā atrodama 3</w:t>
      </w:r>
      <w:r w:rsidRPr="00EB7D26">
        <w:t>.</w:t>
      </w:r>
      <w:r>
        <w:t xml:space="preserve"> </w:t>
      </w:r>
      <w:r w:rsidRPr="00EB7D26">
        <w:t>pielikumā.</w:t>
      </w:r>
    </w:p>
    <w:p w14:paraId="10D09C2C" w14:textId="40EC5934" w:rsidR="00322C7C" w:rsidRPr="00FD5F28" w:rsidRDefault="00DD5211" w:rsidP="00DD5211">
      <w:pPr>
        <w:pStyle w:val="Heading2"/>
        <w:spacing w:before="0"/>
        <w:jc w:val="center"/>
        <w:rPr>
          <w:rFonts w:eastAsia="Times New Roman" w:cs="Times New Roman"/>
        </w:rPr>
      </w:pPr>
      <w:bookmarkStart w:id="46" w:name="_Toc84756411"/>
      <w:r>
        <w:rPr>
          <w:rFonts w:eastAsia="Times New Roman" w:cs="Times New Roman"/>
        </w:rPr>
        <w:t xml:space="preserve">2.2. </w:t>
      </w:r>
      <w:r w:rsidR="000548A5" w:rsidRPr="00DD5211">
        <w:t>Vispārējās valdības budžeta bilance</w:t>
      </w:r>
      <w:bookmarkEnd w:id="46"/>
    </w:p>
    <w:p w14:paraId="09389F70" w14:textId="4EE0B330" w:rsidR="003F3FCD" w:rsidRPr="00E17E3F" w:rsidRDefault="005D361F" w:rsidP="00D0442A">
      <w:pPr>
        <w:pStyle w:val="Heading3"/>
        <w:numPr>
          <w:ilvl w:val="0"/>
          <w:numId w:val="0"/>
        </w:numPr>
      </w:pPr>
      <w:bookmarkStart w:id="47" w:name="_Toc84756412"/>
      <w:r>
        <w:t xml:space="preserve">2.2.1. </w:t>
      </w:r>
      <w:r w:rsidR="000548A5" w:rsidRPr="00E17E3F">
        <w:t>Vispārējās valdības budžeta struktūra</w:t>
      </w:r>
      <w:bookmarkEnd w:id="47"/>
    </w:p>
    <w:p w14:paraId="01FFD731" w14:textId="0A1AA6F4" w:rsidR="00D0442A" w:rsidRPr="0090538F" w:rsidRDefault="00D0442A" w:rsidP="00D0442A">
      <w:pPr>
        <w:rPr>
          <w:szCs w:val="28"/>
        </w:rPr>
      </w:pPr>
      <w:r>
        <w:rPr>
          <w:szCs w:val="28"/>
        </w:rPr>
        <w:t>Eiropas Savienības</w:t>
      </w:r>
      <w:r w:rsidRPr="0090538F">
        <w:rPr>
          <w:szCs w:val="28"/>
        </w:rPr>
        <w:t xml:space="preserve"> dalībvalstīs makroekonomisko rādītāju un publisko finanšu statistiku uzskaita atbilstoši vienotai un harmonizētai metodoloģijai – </w:t>
      </w:r>
      <w:r>
        <w:rPr>
          <w:szCs w:val="28"/>
        </w:rPr>
        <w:t>Eiro</w:t>
      </w:r>
      <w:r w:rsidRPr="0090538F">
        <w:rPr>
          <w:szCs w:val="28"/>
        </w:rPr>
        <w:t>pas nacionālo un reģionālo kontu sistēmai (turpmāk – EKS)</w:t>
      </w:r>
      <w:r w:rsidRPr="0090538F">
        <w:rPr>
          <w:szCs w:val="28"/>
          <w:vertAlign w:val="superscript"/>
        </w:rPr>
        <w:footnoteReference w:id="10"/>
      </w:r>
      <w:r w:rsidRPr="0090538F">
        <w:rPr>
          <w:szCs w:val="28"/>
        </w:rPr>
        <w:t>. 2014.</w:t>
      </w:r>
      <w:r>
        <w:rPr>
          <w:szCs w:val="28"/>
        </w:rPr>
        <w:t xml:space="preserve"> gada septembrī Eiropas Savienībā</w:t>
      </w:r>
      <w:r w:rsidRPr="0090538F">
        <w:rPr>
          <w:szCs w:val="28"/>
        </w:rPr>
        <w:t xml:space="preserve"> tika ievie</w:t>
      </w:r>
      <w:r>
        <w:rPr>
          <w:szCs w:val="28"/>
        </w:rPr>
        <w:t>sta pārskatītā un atjaunotā EKS </w:t>
      </w:r>
      <w:r w:rsidRPr="0090538F">
        <w:rPr>
          <w:szCs w:val="28"/>
        </w:rPr>
        <w:t xml:space="preserve">2010, savukārt līdz tam nacionālo kontu sistēmas </w:t>
      </w:r>
      <w:r w:rsidRPr="0090538F">
        <w:rPr>
          <w:szCs w:val="28"/>
        </w:rPr>
        <w:lastRenderedPageBreak/>
        <w:t>aprēķinos lietoja EKS 95, kas balstījās uz ANO 1993.</w:t>
      </w:r>
      <w:r>
        <w:rPr>
          <w:szCs w:val="28"/>
        </w:rPr>
        <w:t xml:space="preserve"> </w:t>
      </w:r>
      <w:r w:rsidRPr="0090538F">
        <w:rPr>
          <w:szCs w:val="28"/>
        </w:rPr>
        <w:t>gadā pieņemtajām nacionālo kontu sistēmas metodoloģijas rekomendācijām.</w:t>
      </w:r>
    </w:p>
    <w:p w14:paraId="4EEF27B3" w14:textId="3C47EF3E" w:rsidR="00D0442A" w:rsidRPr="0090538F" w:rsidRDefault="00D0442A" w:rsidP="00D0442A">
      <w:pPr>
        <w:rPr>
          <w:szCs w:val="28"/>
        </w:rPr>
      </w:pPr>
      <w:r w:rsidRPr="0090538F">
        <w:rPr>
          <w:szCs w:val="28"/>
        </w:rPr>
        <w:t>EKS ir starptautiski atzīts gan vispārēju ekonomikas procesu, gan atsevišķu ekonomikas sektoru, piemēram, valdības finanšu uzskaites standarts. EKS piemēro Māstrihtas k</w:t>
      </w:r>
      <w:r>
        <w:rPr>
          <w:szCs w:val="28"/>
        </w:rPr>
        <w:t>ritēriju uzraudzībai un tā ir Eiropas Savienības</w:t>
      </w:r>
      <w:r w:rsidRPr="0090538F">
        <w:rPr>
          <w:szCs w:val="28"/>
        </w:rPr>
        <w:t xml:space="preserve"> fiskālās pārvaldības pamatā.</w:t>
      </w:r>
    </w:p>
    <w:p w14:paraId="47D2E103" w14:textId="54451FC4" w:rsidR="00D0442A" w:rsidRPr="0090538F" w:rsidRDefault="00D0442A" w:rsidP="00D0442A">
      <w:pPr>
        <w:rPr>
          <w:szCs w:val="28"/>
        </w:rPr>
      </w:pPr>
      <w:r w:rsidRPr="0090538F">
        <w:rPr>
          <w:szCs w:val="28"/>
        </w:rPr>
        <w:t>Ja Latvijā valsts finanšu vadībai izmanto naudas plūsmā balstītu nacionālo metodoloģiju, tad EKS mērķis ir, ievērojot detalizētus metodiskus nosacījumus, transformēt naudas plūsmas ieņēmumus un izdevumus uz EKS ieņēmumiem un izdevumiem. Tādējādi arī budžeta deficītu vai pārpalikumu var izteikt kā:</w:t>
      </w:r>
    </w:p>
    <w:p w14:paraId="000EF88D" w14:textId="1175F609" w:rsidR="00D0442A" w:rsidRPr="0090538F" w:rsidRDefault="00D0442A" w:rsidP="00D0442A">
      <w:pPr>
        <w:numPr>
          <w:ilvl w:val="0"/>
          <w:numId w:val="17"/>
        </w:numPr>
        <w:rPr>
          <w:szCs w:val="28"/>
        </w:rPr>
      </w:pPr>
      <w:r w:rsidRPr="0090538F">
        <w:rPr>
          <w:szCs w:val="28"/>
        </w:rPr>
        <w:t>vispārējās valdības budžeta bilanci</w:t>
      </w:r>
      <w:r w:rsidRPr="0090538F">
        <w:rPr>
          <w:rStyle w:val="FootnoteReference"/>
          <w:color w:val="FFFFFF" w:themeColor="background1"/>
          <w:szCs w:val="28"/>
        </w:rPr>
        <w:footnoteReference w:id="11"/>
      </w:r>
      <w:r w:rsidRPr="0090538F">
        <w:rPr>
          <w:szCs w:val="28"/>
        </w:rPr>
        <w:t>(EKS metodoloģija) vai</w:t>
      </w:r>
    </w:p>
    <w:p w14:paraId="5961DF23" w14:textId="4B0E5F13" w:rsidR="00D0442A" w:rsidRPr="0090538F" w:rsidRDefault="00D0442A" w:rsidP="00D0442A">
      <w:pPr>
        <w:numPr>
          <w:ilvl w:val="0"/>
          <w:numId w:val="17"/>
        </w:numPr>
        <w:rPr>
          <w:szCs w:val="28"/>
        </w:rPr>
      </w:pPr>
      <w:r w:rsidRPr="0090538F">
        <w:rPr>
          <w:szCs w:val="28"/>
        </w:rPr>
        <w:t>konsolidētā kopbudžeta bilanci</w:t>
      </w:r>
      <w:r w:rsidRPr="0090538F">
        <w:rPr>
          <w:rStyle w:val="FootnoteReference"/>
          <w:color w:val="FFFFFF" w:themeColor="background1"/>
          <w:szCs w:val="28"/>
        </w:rPr>
        <w:footnoteReference w:id="12"/>
      </w:r>
      <w:r w:rsidRPr="0090538F">
        <w:rPr>
          <w:szCs w:val="28"/>
        </w:rPr>
        <w:t>(nacionālā metodoloģija).</w:t>
      </w:r>
    </w:p>
    <w:p w14:paraId="1ABA181C" w14:textId="016230CD" w:rsidR="00D0442A" w:rsidRDefault="002B2F86" w:rsidP="00D0442A">
      <w:pPr>
        <w:pStyle w:val="ListParagraph"/>
        <w:ind w:left="1429" w:firstLine="0"/>
        <w:contextualSpacing w:val="0"/>
        <w:jc w:val="center"/>
        <w:rPr>
          <w:b/>
          <w:i/>
          <w:szCs w:val="24"/>
        </w:rPr>
      </w:pPr>
      <w:r w:rsidRPr="008D2464">
        <w:rPr>
          <w:noProof/>
        </w:rPr>
        <w:drawing>
          <wp:anchor distT="0" distB="0" distL="114300" distR="114300" simplePos="0" relativeHeight="251660288" behindDoc="0" locked="0" layoutInCell="1" allowOverlap="1" wp14:anchorId="734F117B" wp14:editId="226A4233">
            <wp:simplePos x="0" y="0"/>
            <wp:positionH relativeFrom="margin">
              <wp:align>center</wp:align>
            </wp:positionH>
            <wp:positionV relativeFrom="page">
              <wp:posOffset>3457402</wp:posOffset>
            </wp:positionV>
            <wp:extent cx="4518660" cy="2436495"/>
            <wp:effectExtent l="0" t="0" r="0" b="1905"/>
            <wp:wrapSquare wrapText="bothSides"/>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18660" cy="2436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3BBBD7" w14:textId="68715BD7" w:rsidR="00D0442A" w:rsidRDefault="00D0442A" w:rsidP="00D0442A">
      <w:pPr>
        <w:pStyle w:val="ListParagraph"/>
        <w:ind w:left="1429" w:firstLine="0"/>
        <w:contextualSpacing w:val="0"/>
        <w:jc w:val="center"/>
        <w:rPr>
          <w:b/>
          <w:i/>
          <w:szCs w:val="24"/>
        </w:rPr>
      </w:pPr>
    </w:p>
    <w:p w14:paraId="3EA226DC" w14:textId="47CDC0A6" w:rsidR="00D0442A" w:rsidRDefault="00D0442A" w:rsidP="00D0442A">
      <w:pPr>
        <w:pStyle w:val="ListParagraph"/>
        <w:ind w:left="1429" w:firstLine="0"/>
        <w:contextualSpacing w:val="0"/>
        <w:jc w:val="center"/>
        <w:rPr>
          <w:b/>
          <w:i/>
          <w:szCs w:val="24"/>
        </w:rPr>
      </w:pPr>
    </w:p>
    <w:p w14:paraId="556E732F" w14:textId="417DD407" w:rsidR="00D0442A" w:rsidRPr="002B2F86" w:rsidRDefault="00D0442A" w:rsidP="002B2F86">
      <w:pPr>
        <w:ind w:firstLine="0"/>
        <w:rPr>
          <w:b/>
          <w:i/>
          <w:szCs w:val="24"/>
        </w:rPr>
      </w:pPr>
    </w:p>
    <w:p w14:paraId="0945A313" w14:textId="73F9B5CF" w:rsidR="00D0442A" w:rsidRDefault="00D0442A" w:rsidP="00D0442A">
      <w:pPr>
        <w:pStyle w:val="ListParagraph"/>
        <w:ind w:left="1429" w:firstLine="0"/>
        <w:contextualSpacing w:val="0"/>
        <w:jc w:val="center"/>
        <w:rPr>
          <w:b/>
          <w:i/>
          <w:szCs w:val="24"/>
        </w:rPr>
      </w:pPr>
    </w:p>
    <w:p w14:paraId="4F8DD0F1" w14:textId="77777777" w:rsidR="00D0442A" w:rsidRDefault="00D0442A" w:rsidP="00D0442A">
      <w:pPr>
        <w:pStyle w:val="ListParagraph"/>
        <w:ind w:left="1429" w:firstLine="0"/>
        <w:contextualSpacing w:val="0"/>
        <w:jc w:val="center"/>
        <w:rPr>
          <w:b/>
          <w:i/>
          <w:szCs w:val="24"/>
        </w:rPr>
      </w:pPr>
    </w:p>
    <w:p w14:paraId="0E957A81" w14:textId="5F55C2E0" w:rsidR="00D0442A" w:rsidRDefault="00D0442A" w:rsidP="00D0442A">
      <w:pPr>
        <w:pStyle w:val="ListParagraph"/>
        <w:ind w:left="1429" w:firstLine="0"/>
        <w:contextualSpacing w:val="0"/>
        <w:jc w:val="center"/>
        <w:rPr>
          <w:b/>
          <w:i/>
          <w:szCs w:val="24"/>
        </w:rPr>
      </w:pPr>
    </w:p>
    <w:p w14:paraId="3FA4ED88" w14:textId="77777777" w:rsidR="002B2F86" w:rsidRDefault="002B2F86" w:rsidP="00EB7D26">
      <w:pPr>
        <w:pStyle w:val="ListParagraph"/>
        <w:ind w:left="0" w:firstLine="0"/>
        <w:contextualSpacing w:val="0"/>
        <w:jc w:val="center"/>
        <w:rPr>
          <w:b/>
          <w:szCs w:val="24"/>
        </w:rPr>
      </w:pPr>
    </w:p>
    <w:p w14:paraId="698DD659" w14:textId="77777777" w:rsidR="002B2F86" w:rsidRDefault="002B2F86" w:rsidP="00EB7D26">
      <w:pPr>
        <w:pStyle w:val="ListParagraph"/>
        <w:ind w:left="0" w:firstLine="0"/>
        <w:contextualSpacing w:val="0"/>
        <w:jc w:val="center"/>
        <w:rPr>
          <w:b/>
          <w:szCs w:val="24"/>
        </w:rPr>
      </w:pPr>
    </w:p>
    <w:p w14:paraId="0F26F367" w14:textId="77777777" w:rsidR="002B2F86" w:rsidRDefault="002B2F86" w:rsidP="00EB7D26">
      <w:pPr>
        <w:pStyle w:val="ListParagraph"/>
        <w:ind w:left="0" w:firstLine="0"/>
        <w:contextualSpacing w:val="0"/>
        <w:jc w:val="center"/>
        <w:rPr>
          <w:b/>
          <w:szCs w:val="24"/>
        </w:rPr>
      </w:pPr>
    </w:p>
    <w:p w14:paraId="6B88AD1F" w14:textId="77777777" w:rsidR="002B2F86" w:rsidRDefault="002B2F86" w:rsidP="00EB7D26">
      <w:pPr>
        <w:pStyle w:val="ListParagraph"/>
        <w:ind w:left="0" w:firstLine="0"/>
        <w:contextualSpacing w:val="0"/>
        <w:jc w:val="center"/>
        <w:rPr>
          <w:b/>
          <w:szCs w:val="24"/>
        </w:rPr>
      </w:pPr>
    </w:p>
    <w:p w14:paraId="32F6CDED" w14:textId="77777777" w:rsidR="002B2F86" w:rsidRDefault="002B2F86" w:rsidP="00EB7D26">
      <w:pPr>
        <w:pStyle w:val="ListParagraph"/>
        <w:ind w:left="0" w:firstLine="0"/>
        <w:contextualSpacing w:val="0"/>
        <w:jc w:val="center"/>
        <w:rPr>
          <w:b/>
          <w:szCs w:val="24"/>
        </w:rPr>
      </w:pPr>
    </w:p>
    <w:p w14:paraId="0E7D8933" w14:textId="05373B9E" w:rsidR="00D0442A" w:rsidRPr="00EB7D26" w:rsidRDefault="00D0442A" w:rsidP="00EB7D26">
      <w:pPr>
        <w:pStyle w:val="ListParagraph"/>
        <w:ind w:left="0" w:firstLine="0"/>
        <w:contextualSpacing w:val="0"/>
        <w:jc w:val="center"/>
        <w:rPr>
          <w:b/>
          <w:szCs w:val="24"/>
        </w:rPr>
      </w:pPr>
      <w:r w:rsidRPr="00D0442A">
        <w:rPr>
          <w:b/>
          <w:szCs w:val="24"/>
        </w:rPr>
        <w:t>2.1. attēls</w:t>
      </w:r>
      <w:r w:rsidR="00EB7D26">
        <w:rPr>
          <w:b/>
          <w:szCs w:val="24"/>
        </w:rPr>
        <w:t>.</w:t>
      </w:r>
      <w:r w:rsidRPr="00D0442A">
        <w:rPr>
          <w:b/>
          <w:szCs w:val="24"/>
        </w:rPr>
        <w:t xml:space="preserve"> Vispārējās valdī</w:t>
      </w:r>
      <w:r w:rsidR="00EB7D26">
        <w:rPr>
          <w:b/>
          <w:szCs w:val="24"/>
        </w:rPr>
        <w:t>bas budžeta struktūra (S130000)</w:t>
      </w:r>
    </w:p>
    <w:p w14:paraId="01051DAE" w14:textId="77777777" w:rsidR="00D0442A" w:rsidRPr="0090538F" w:rsidRDefault="00D0442A" w:rsidP="00D0442A">
      <w:pPr>
        <w:spacing w:before="120"/>
        <w:rPr>
          <w:szCs w:val="28"/>
        </w:rPr>
      </w:pPr>
      <w:r w:rsidRPr="0090538F">
        <w:rPr>
          <w:szCs w:val="28"/>
        </w:rPr>
        <w:t>Lai nodrošinātu pāreju no nacionālās uzskaites kopbudžeta uz vienoto EKS standartu, konsolidētā kopbudžeta bilancei piemēro EKS korekcijas, kas sevī ietver uzskaites metodoloģijas atšķirības. Būtiskākās EKS publisko finanšu statistikas metodoloģijas atšķirības salīdzinājumā ar nacionālo metodoloģiju ir šādas:</w:t>
      </w:r>
    </w:p>
    <w:p w14:paraId="3C505FDF" w14:textId="77777777" w:rsidR="00D0442A" w:rsidRPr="0090538F" w:rsidRDefault="00D0442A" w:rsidP="00D0442A">
      <w:pPr>
        <w:numPr>
          <w:ilvl w:val="0"/>
          <w:numId w:val="18"/>
        </w:numPr>
        <w:ind w:hanging="357"/>
        <w:rPr>
          <w:szCs w:val="28"/>
        </w:rPr>
      </w:pPr>
      <w:r w:rsidRPr="0090538F">
        <w:rPr>
          <w:szCs w:val="28"/>
        </w:rPr>
        <w:t>EKS uzskaites pamatā ir uzkrājuma princips, savukārt nacionālajā budžeta vadībā ievēro naudas plūsmas principu;</w:t>
      </w:r>
    </w:p>
    <w:p w14:paraId="727AC8AC" w14:textId="77777777" w:rsidR="00D0442A" w:rsidRPr="0090538F" w:rsidRDefault="00D0442A" w:rsidP="00D0442A">
      <w:pPr>
        <w:numPr>
          <w:ilvl w:val="0"/>
          <w:numId w:val="18"/>
        </w:numPr>
        <w:ind w:hanging="357"/>
        <w:rPr>
          <w:noProof/>
          <w:szCs w:val="28"/>
        </w:rPr>
      </w:pPr>
      <w:r>
        <w:rPr>
          <w:noProof/>
          <w:szCs w:val="28"/>
        </w:rPr>
        <w:t>n</w:t>
      </w:r>
      <w:r w:rsidRPr="0090538F">
        <w:rPr>
          <w:noProof/>
          <w:szCs w:val="28"/>
        </w:rPr>
        <w:t xml:space="preserve">acionālajā uzskaitē </w:t>
      </w:r>
      <w:r w:rsidRPr="0090538F">
        <w:rPr>
          <w:szCs w:val="28"/>
        </w:rPr>
        <w:t xml:space="preserve">atsevišķu veidu finanšu darījumi (aizdevumi u.tml.) EKS izpratnē var būt </w:t>
      </w:r>
      <w:r w:rsidRPr="0090538F">
        <w:rPr>
          <w:noProof/>
          <w:szCs w:val="28"/>
        </w:rPr>
        <w:t>nefinanšu darījumi, attiecīgi ietekmējot budžeta izdevumus;</w:t>
      </w:r>
    </w:p>
    <w:p w14:paraId="6B7171E8" w14:textId="77777777" w:rsidR="00D0442A" w:rsidRPr="0090538F" w:rsidRDefault="00D0442A" w:rsidP="00D0442A">
      <w:pPr>
        <w:numPr>
          <w:ilvl w:val="0"/>
          <w:numId w:val="18"/>
        </w:numPr>
        <w:ind w:hanging="357"/>
        <w:rPr>
          <w:szCs w:val="28"/>
        </w:rPr>
      </w:pPr>
      <w:r w:rsidRPr="0090538F">
        <w:rPr>
          <w:noProof/>
          <w:szCs w:val="28"/>
        </w:rPr>
        <w:t>EKS ir plašāks sektorālais</w:t>
      </w:r>
      <w:r w:rsidRPr="0090538F">
        <w:rPr>
          <w:szCs w:val="28"/>
        </w:rPr>
        <w:t xml:space="preserve"> tvērums – tas ir attiecināms uz visu vispārējās valdības institucionālo sektoru, tajā skaitā uz valsts vai pašvaldību kontrolētām </w:t>
      </w:r>
      <w:r w:rsidRPr="0090538F">
        <w:rPr>
          <w:szCs w:val="28"/>
        </w:rPr>
        <w:lastRenderedPageBreak/>
        <w:t>un finansētām komercsabiedrībām, taču nacionālā budžeta uzskaite aptver vien tipiskās budžeta iestādes.</w:t>
      </w:r>
    </w:p>
    <w:p w14:paraId="7A2BC232" w14:textId="61D426AF" w:rsidR="00D0442A" w:rsidRPr="0090538F" w:rsidRDefault="00D0442A" w:rsidP="00D0442A">
      <w:pPr>
        <w:rPr>
          <w:szCs w:val="28"/>
        </w:rPr>
      </w:pPr>
      <w:r w:rsidRPr="0090538F">
        <w:rPr>
          <w:szCs w:val="28"/>
        </w:rPr>
        <w:t>Valsts finanšu uzskaiti atbilstoši</w:t>
      </w:r>
      <w:r>
        <w:rPr>
          <w:szCs w:val="28"/>
        </w:rPr>
        <w:t xml:space="preserve"> EKS metodoloģijai Latvijā veic Centrālās statistikas pārvalde. </w:t>
      </w:r>
      <w:r w:rsidRPr="0090538F">
        <w:rPr>
          <w:szCs w:val="28"/>
        </w:rPr>
        <w:t xml:space="preserve">Savukārt </w:t>
      </w:r>
      <w:r>
        <w:rPr>
          <w:szCs w:val="28"/>
        </w:rPr>
        <w:t xml:space="preserve">Finanšu ministrija </w:t>
      </w:r>
      <w:r w:rsidRPr="0090538F">
        <w:rPr>
          <w:szCs w:val="28"/>
        </w:rPr>
        <w:t xml:space="preserve">izstrādā vispārējās valdības budžeta prognozes, ievērojot </w:t>
      </w:r>
      <w:r>
        <w:rPr>
          <w:szCs w:val="28"/>
        </w:rPr>
        <w:t>Centrālās statistikas pārvaldes</w:t>
      </w:r>
      <w:r w:rsidRPr="0090538F">
        <w:rPr>
          <w:szCs w:val="28"/>
        </w:rPr>
        <w:t xml:space="preserve"> izmantoto EKS metodiku, tādējādi nodrošinot prognozēto rādītāju metodoloģisku atbilstību vienotajiem EKS pamatprincipiem.</w:t>
      </w:r>
    </w:p>
    <w:p w14:paraId="513BB15A" w14:textId="6824A8C1" w:rsidR="00322C7C" w:rsidRPr="00D0442A" w:rsidRDefault="00D0442A" w:rsidP="00D0442A">
      <w:pPr>
        <w:rPr>
          <w:szCs w:val="28"/>
        </w:rPr>
      </w:pPr>
      <w:r>
        <w:rPr>
          <w:szCs w:val="28"/>
        </w:rPr>
        <w:t>Finanšu ministrija</w:t>
      </w:r>
      <w:r w:rsidRPr="0090538F">
        <w:rPr>
          <w:szCs w:val="28"/>
        </w:rPr>
        <w:t xml:space="preserve">, veidojot vispārējās valdības budžeta bilances prognozes, veic pieklasificēto valsts un pašvaldību komersantu aptauju. Aptaujās tiek apkopota informācija par visu vispārējās valdības sektorā ietilpstošo valsts un pēc apgrozījuma lielāko pašvaldību komersantu plānoto saimniecisko darbību. Apkopotā informācija ļauj </w:t>
      </w:r>
      <w:r>
        <w:rPr>
          <w:szCs w:val="28"/>
        </w:rPr>
        <w:t>Finanšu ministrijai</w:t>
      </w:r>
      <w:r w:rsidRPr="0090538F">
        <w:rPr>
          <w:szCs w:val="28"/>
        </w:rPr>
        <w:t xml:space="preserve"> aprēķināt šo komersantu saimnieciskās darbības rezultāta ietekmi uz visp</w:t>
      </w:r>
      <w:r>
        <w:rPr>
          <w:szCs w:val="28"/>
        </w:rPr>
        <w:t>ārējās valdības budžeta bilanci.</w:t>
      </w:r>
    </w:p>
    <w:p w14:paraId="54FCAB8B" w14:textId="25998ADF" w:rsidR="003F3FCD" w:rsidRPr="00E17E3F" w:rsidRDefault="006C030A" w:rsidP="00EB7D26">
      <w:pPr>
        <w:pStyle w:val="Heading3"/>
        <w:numPr>
          <w:ilvl w:val="0"/>
          <w:numId w:val="0"/>
        </w:numPr>
      </w:pPr>
      <w:bookmarkStart w:id="48" w:name="_Toc84756413"/>
      <w:r>
        <w:t xml:space="preserve">2.2.2. </w:t>
      </w:r>
      <w:r w:rsidR="000548A5" w:rsidRPr="00E17E3F">
        <w:t>Vispārējās valdības budžeta bilance</w:t>
      </w:r>
      <w:bookmarkEnd w:id="48"/>
    </w:p>
    <w:p w14:paraId="2B4C4D56" w14:textId="633261A1" w:rsidR="00D0442A" w:rsidRDefault="00D0442A" w:rsidP="00D0442A">
      <w:pPr>
        <w:spacing w:after="60"/>
        <w:rPr>
          <w:noProof/>
        </w:rPr>
      </w:pPr>
      <w:bookmarkStart w:id="49" w:name="_Hlk83887434"/>
      <w:r>
        <w:rPr>
          <w:noProof/>
        </w:rPr>
        <w:t xml:space="preserve">Covid-19 pandēmijas ietekmē vispārējās valdības budžeta deficīts pēdējos divos gados ir būtiski palielinājies un ievērojami pārsniedz līmeni pirms pandēmijas. Ja saskaņā ar </w:t>
      </w:r>
      <w:r w:rsidRPr="00E844A2">
        <w:rPr>
          <w:i/>
          <w:iCs/>
          <w:noProof/>
        </w:rPr>
        <w:t>Eurostat</w:t>
      </w:r>
      <w:r>
        <w:rPr>
          <w:noProof/>
        </w:rPr>
        <w:t xml:space="preserve"> datiem 2019. gadā vispārējās valdības budžeta deficīts bija 171,7 milj. </w:t>
      </w:r>
      <w:r w:rsidRPr="00E428E0">
        <w:rPr>
          <w:i/>
          <w:iCs/>
          <w:noProof/>
        </w:rPr>
        <w:t>euro</w:t>
      </w:r>
      <w:r>
        <w:rPr>
          <w:noProof/>
        </w:rPr>
        <w:t xml:space="preserve"> jeb 0,6% no </w:t>
      </w:r>
      <w:r w:rsidR="00EB7D26">
        <w:rPr>
          <w:noProof/>
        </w:rPr>
        <w:t>iekšzemes kopprodukta</w:t>
      </w:r>
      <w:r>
        <w:rPr>
          <w:noProof/>
        </w:rPr>
        <w:t xml:space="preserve">, tad 2020. gadā, samazinoties nodokļu ieņēmumiem un būtiski palielinoties izdevumiem ekonomikas atbalstam, deficīts bija 1,3 miljardi </w:t>
      </w:r>
      <w:r w:rsidRPr="00E428E0">
        <w:rPr>
          <w:i/>
          <w:iCs/>
          <w:noProof/>
        </w:rPr>
        <w:t>euro</w:t>
      </w:r>
      <w:r>
        <w:rPr>
          <w:noProof/>
        </w:rPr>
        <w:t xml:space="preserve"> jeb 4,5% no </w:t>
      </w:r>
      <w:r w:rsidR="00EB7D26">
        <w:rPr>
          <w:noProof/>
        </w:rPr>
        <w:t>iekšzemes kopprodukta</w:t>
      </w:r>
      <w:r>
        <w:rPr>
          <w:noProof/>
        </w:rPr>
        <w:t xml:space="preserve">. Atbilstoši Finanšu ministrijas novērtējumam vispārējās valdības budžeta deficīts </w:t>
      </w:r>
      <w:r w:rsidRPr="00213627">
        <w:rPr>
          <w:b/>
          <w:bCs/>
          <w:noProof/>
        </w:rPr>
        <w:t>2021.</w:t>
      </w:r>
      <w:r>
        <w:rPr>
          <w:b/>
          <w:bCs/>
          <w:noProof/>
        </w:rPr>
        <w:t> </w:t>
      </w:r>
      <w:r w:rsidRPr="00213627">
        <w:rPr>
          <w:b/>
          <w:bCs/>
          <w:noProof/>
        </w:rPr>
        <w:t>gadā</w:t>
      </w:r>
      <w:r>
        <w:rPr>
          <w:noProof/>
        </w:rPr>
        <w:t xml:space="preserve"> (skat. 2.2. attēlu) varētu sasniegt </w:t>
      </w:r>
      <w:r w:rsidRPr="005663B1">
        <w:rPr>
          <w:noProof/>
        </w:rPr>
        <w:t xml:space="preserve">2,9 miljardus </w:t>
      </w:r>
      <w:r w:rsidRPr="00E428E0">
        <w:rPr>
          <w:i/>
          <w:iCs/>
          <w:noProof/>
        </w:rPr>
        <w:t>euro</w:t>
      </w:r>
      <w:r w:rsidRPr="005663B1">
        <w:rPr>
          <w:noProof/>
        </w:rPr>
        <w:t xml:space="preserve"> jeb 9,3% no</w:t>
      </w:r>
      <w:r>
        <w:rPr>
          <w:noProof/>
        </w:rPr>
        <w:t xml:space="preserve"> </w:t>
      </w:r>
      <w:r w:rsidR="00EB7D26">
        <w:rPr>
          <w:noProof/>
        </w:rPr>
        <w:t>iekšzemes kopprodukta</w:t>
      </w:r>
      <w:r>
        <w:rPr>
          <w:noProof/>
        </w:rPr>
        <w:t xml:space="preserve">, kas ir divreiz augstāks nekā plānots budžeta likumā. Augstu deficītu nosaka apjomīga Covid-19 atbalsta pasākumu pakete, kuras ietekme šim gadam ir novērtēta 2,2 miljardu </w:t>
      </w:r>
      <w:r w:rsidRPr="00E428E0">
        <w:rPr>
          <w:i/>
          <w:iCs/>
          <w:noProof/>
        </w:rPr>
        <w:t>euro</w:t>
      </w:r>
      <w:r>
        <w:rPr>
          <w:noProof/>
        </w:rPr>
        <w:t xml:space="preserve"> jeb 6,9% no </w:t>
      </w:r>
      <w:r w:rsidR="00EB7D26">
        <w:rPr>
          <w:noProof/>
        </w:rPr>
        <w:t>iekšzemes kopprodukta</w:t>
      </w:r>
      <w:r>
        <w:rPr>
          <w:noProof/>
        </w:rPr>
        <w:t xml:space="preserve"> apmērā. </w:t>
      </w:r>
    </w:p>
    <w:p w14:paraId="293F9ABC" w14:textId="77777777" w:rsidR="00D0442A" w:rsidRDefault="00D0442A" w:rsidP="00D0442A">
      <w:pPr>
        <w:spacing w:before="60" w:after="0"/>
        <w:ind w:firstLine="0"/>
        <w:jc w:val="center"/>
        <w:rPr>
          <w:b/>
          <w:i/>
          <w:szCs w:val="24"/>
        </w:rPr>
      </w:pPr>
      <w:r w:rsidRPr="0004675A">
        <w:rPr>
          <w:noProof/>
        </w:rPr>
        <w:drawing>
          <wp:inline distT="0" distB="0" distL="0" distR="0" wp14:anchorId="423CFF62" wp14:editId="391E3655">
            <wp:extent cx="4568148" cy="2520000"/>
            <wp:effectExtent l="0" t="0" r="444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1565" r="1344" b="3327"/>
                    <a:stretch/>
                  </pic:blipFill>
                  <pic:spPr bwMode="auto">
                    <a:xfrm>
                      <a:off x="0" y="0"/>
                      <a:ext cx="4568148"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081FE482" w14:textId="1B79F8CD" w:rsidR="00D0442A" w:rsidRPr="002B2F86" w:rsidRDefault="00D0442A" w:rsidP="00D0442A">
      <w:pPr>
        <w:spacing w:before="60" w:after="0"/>
        <w:ind w:firstLine="0"/>
        <w:jc w:val="center"/>
        <w:rPr>
          <w:b/>
          <w:szCs w:val="24"/>
        </w:rPr>
      </w:pPr>
      <w:r w:rsidRPr="002B2F86">
        <w:rPr>
          <w:b/>
          <w:szCs w:val="24"/>
        </w:rPr>
        <w:t>2.2. attēls</w:t>
      </w:r>
      <w:r w:rsidR="002B2F86">
        <w:rPr>
          <w:b/>
          <w:szCs w:val="24"/>
        </w:rPr>
        <w:t>.</w:t>
      </w:r>
      <w:r w:rsidRPr="002B2F86">
        <w:rPr>
          <w:b/>
          <w:szCs w:val="24"/>
        </w:rPr>
        <w:t xml:space="preserve"> Vispārējās valdības budžeta bilance, % no </w:t>
      </w:r>
      <w:r w:rsidR="00EB7D26" w:rsidRPr="002B2F86">
        <w:rPr>
          <w:b/>
          <w:szCs w:val="24"/>
        </w:rPr>
        <w:t>iekšzemes kopprodukta</w:t>
      </w:r>
      <w:r w:rsidRPr="002B2F86">
        <w:rPr>
          <w:b/>
          <w:szCs w:val="24"/>
        </w:rPr>
        <w:br/>
        <w:t xml:space="preserve">(Datu avots: </w:t>
      </w:r>
      <w:r w:rsidRPr="002B2F86">
        <w:rPr>
          <w:b/>
          <w:iCs/>
          <w:noProof/>
          <w:szCs w:val="24"/>
        </w:rPr>
        <w:t>Eurostat</w:t>
      </w:r>
      <w:r w:rsidR="00EB7D26" w:rsidRPr="002B2F86">
        <w:rPr>
          <w:b/>
          <w:noProof/>
          <w:szCs w:val="24"/>
        </w:rPr>
        <w:t>, Finanšu ministrija</w:t>
      </w:r>
      <w:r w:rsidRPr="002B2F86">
        <w:rPr>
          <w:b/>
          <w:szCs w:val="24"/>
        </w:rPr>
        <w:t xml:space="preserve">) </w:t>
      </w:r>
    </w:p>
    <w:p w14:paraId="4A8E0A45" w14:textId="23358D61" w:rsidR="00D0442A" w:rsidRDefault="00D0442A" w:rsidP="00D0442A">
      <w:pPr>
        <w:spacing w:before="60" w:after="60"/>
        <w:rPr>
          <w:noProof/>
          <w:color w:val="000000" w:themeColor="text1"/>
          <w:szCs w:val="24"/>
        </w:rPr>
      </w:pPr>
      <w:r>
        <w:rPr>
          <w:noProof/>
          <w:color w:val="000000" w:themeColor="text1"/>
          <w:szCs w:val="24"/>
        </w:rPr>
        <w:t>Līdz šā gada 3. oktobrim apstiprinātais Covid-19</w:t>
      </w:r>
      <w:r w:rsidRPr="00297E5E">
        <w:rPr>
          <w:noProof/>
          <w:color w:val="000000" w:themeColor="text1"/>
          <w:szCs w:val="24"/>
        </w:rPr>
        <w:t xml:space="preserve"> atbalst</w:t>
      </w:r>
      <w:r>
        <w:rPr>
          <w:noProof/>
          <w:color w:val="000000" w:themeColor="text1"/>
          <w:szCs w:val="24"/>
        </w:rPr>
        <w:t>s tautsaimniecībai</w:t>
      </w:r>
      <w:r w:rsidRPr="00297E5E">
        <w:rPr>
          <w:noProof/>
          <w:color w:val="000000" w:themeColor="text1"/>
          <w:szCs w:val="24"/>
        </w:rPr>
        <w:t xml:space="preserve"> </w:t>
      </w:r>
      <w:r>
        <w:rPr>
          <w:noProof/>
          <w:color w:val="000000" w:themeColor="text1"/>
          <w:szCs w:val="24"/>
        </w:rPr>
        <w:t>2021. gadam</w:t>
      </w:r>
      <w:r w:rsidRPr="00297E5E">
        <w:rPr>
          <w:noProof/>
          <w:color w:val="000000" w:themeColor="text1"/>
          <w:szCs w:val="24"/>
        </w:rPr>
        <w:t xml:space="preserve"> </w:t>
      </w:r>
      <w:r>
        <w:rPr>
          <w:noProof/>
          <w:color w:val="000000" w:themeColor="text1"/>
          <w:szCs w:val="24"/>
        </w:rPr>
        <w:t xml:space="preserve">pēc </w:t>
      </w:r>
      <w:r w:rsidRPr="00297E5E">
        <w:rPr>
          <w:noProof/>
          <w:color w:val="000000" w:themeColor="text1"/>
          <w:szCs w:val="24"/>
        </w:rPr>
        <w:t xml:space="preserve">Finanšu ministrijas novērtējuma </w:t>
      </w:r>
      <w:r>
        <w:rPr>
          <w:noProof/>
          <w:color w:val="000000" w:themeColor="text1"/>
          <w:szCs w:val="24"/>
        </w:rPr>
        <w:t>veidoja</w:t>
      </w:r>
      <w:r w:rsidRPr="00297E5E">
        <w:rPr>
          <w:noProof/>
          <w:color w:val="000000" w:themeColor="text1"/>
          <w:szCs w:val="24"/>
        </w:rPr>
        <w:t xml:space="preserve"> </w:t>
      </w:r>
      <w:r w:rsidRPr="00D02120">
        <w:rPr>
          <w:noProof/>
          <w:color w:val="000000" w:themeColor="text1"/>
          <w:szCs w:val="24"/>
        </w:rPr>
        <w:t xml:space="preserve">3,25 miljardus </w:t>
      </w:r>
      <w:r w:rsidRPr="00E428E0">
        <w:rPr>
          <w:i/>
          <w:iCs/>
          <w:noProof/>
          <w:color w:val="000000" w:themeColor="text1"/>
          <w:szCs w:val="24"/>
        </w:rPr>
        <w:t>euro</w:t>
      </w:r>
      <w:r w:rsidRPr="00D02120">
        <w:rPr>
          <w:noProof/>
          <w:color w:val="000000" w:themeColor="text1"/>
          <w:szCs w:val="24"/>
        </w:rPr>
        <w:t xml:space="preserve"> jeb 10,4% no</w:t>
      </w:r>
      <w:r w:rsidRPr="00297E5E">
        <w:rPr>
          <w:noProof/>
          <w:color w:val="000000" w:themeColor="text1"/>
          <w:szCs w:val="24"/>
        </w:rPr>
        <w:t xml:space="preserve"> </w:t>
      </w:r>
      <w:r w:rsidR="00EB7D26">
        <w:rPr>
          <w:noProof/>
        </w:rPr>
        <w:t>iekšzemes kopprodukta</w:t>
      </w:r>
      <w:r>
        <w:rPr>
          <w:noProof/>
          <w:color w:val="000000" w:themeColor="text1"/>
          <w:szCs w:val="24"/>
        </w:rPr>
        <w:t xml:space="preserve">, un no tā līdz 30. septembrim tika faktiski izsniegti 1,75 miljardi </w:t>
      </w:r>
      <w:r w:rsidRPr="00E428E0">
        <w:rPr>
          <w:i/>
          <w:iCs/>
          <w:noProof/>
          <w:color w:val="000000" w:themeColor="text1"/>
          <w:szCs w:val="24"/>
        </w:rPr>
        <w:t>euro</w:t>
      </w:r>
      <w:r>
        <w:rPr>
          <w:noProof/>
          <w:color w:val="000000" w:themeColor="text1"/>
          <w:szCs w:val="24"/>
        </w:rPr>
        <w:t>. Lielākais atbalsts šā gada deviņos mēnešos tika izlietots grantiem apgr</w:t>
      </w:r>
      <w:r w:rsidR="002B2F86">
        <w:rPr>
          <w:noProof/>
          <w:color w:val="000000" w:themeColor="text1"/>
          <w:szCs w:val="24"/>
        </w:rPr>
        <w:t>ozāmajiem līdzekļiem (501 milj. </w:t>
      </w:r>
      <w:r w:rsidRPr="00E428E0">
        <w:rPr>
          <w:i/>
          <w:iCs/>
          <w:noProof/>
          <w:color w:val="000000" w:themeColor="text1"/>
          <w:szCs w:val="24"/>
        </w:rPr>
        <w:t>euro</w:t>
      </w:r>
      <w:r>
        <w:rPr>
          <w:noProof/>
          <w:color w:val="000000" w:themeColor="text1"/>
          <w:szCs w:val="24"/>
        </w:rPr>
        <w:t xml:space="preserve">), veselības nozarei (309 milj. </w:t>
      </w:r>
      <w:r w:rsidRPr="00E428E0">
        <w:rPr>
          <w:i/>
          <w:iCs/>
          <w:noProof/>
          <w:color w:val="000000" w:themeColor="text1"/>
          <w:szCs w:val="24"/>
        </w:rPr>
        <w:t>euro</w:t>
      </w:r>
      <w:r>
        <w:rPr>
          <w:noProof/>
          <w:color w:val="000000" w:themeColor="text1"/>
          <w:szCs w:val="24"/>
        </w:rPr>
        <w:t xml:space="preserve">), vienreizējiem pabalstiem ģimenēm par </w:t>
      </w:r>
      <w:r>
        <w:rPr>
          <w:noProof/>
          <w:color w:val="000000" w:themeColor="text1"/>
          <w:szCs w:val="24"/>
        </w:rPr>
        <w:lastRenderedPageBreak/>
        <w:t xml:space="preserve">bērniem (188 milj. </w:t>
      </w:r>
      <w:r w:rsidRPr="00E428E0">
        <w:rPr>
          <w:i/>
          <w:iCs/>
          <w:noProof/>
          <w:color w:val="000000" w:themeColor="text1"/>
          <w:szCs w:val="24"/>
        </w:rPr>
        <w:t>euro</w:t>
      </w:r>
      <w:r>
        <w:rPr>
          <w:noProof/>
          <w:color w:val="000000" w:themeColor="text1"/>
          <w:szCs w:val="24"/>
        </w:rPr>
        <w:t xml:space="preserve">), dīkstāves pabalstiem (136 milj. </w:t>
      </w:r>
      <w:r w:rsidRPr="00E428E0">
        <w:rPr>
          <w:i/>
          <w:iCs/>
          <w:noProof/>
          <w:color w:val="000000" w:themeColor="text1"/>
          <w:szCs w:val="24"/>
        </w:rPr>
        <w:t>euro</w:t>
      </w:r>
      <w:r>
        <w:rPr>
          <w:noProof/>
          <w:color w:val="000000" w:themeColor="text1"/>
          <w:szCs w:val="24"/>
        </w:rPr>
        <w:t>) un vienreizējiem pabalstiem senioriem un cilvēkiem ar invaliditāti (110 milj. </w:t>
      </w:r>
      <w:r w:rsidRPr="00E428E0">
        <w:rPr>
          <w:i/>
          <w:iCs/>
          <w:noProof/>
          <w:color w:val="000000" w:themeColor="text1"/>
          <w:szCs w:val="24"/>
        </w:rPr>
        <w:t>euro</w:t>
      </w:r>
      <w:r>
        <w:rPr>
          <w:noProof/>
          <w:color w:val="000000" w:themeColor="text1"/>
          <w:szCs w:val="24"/>
        </w:rPr>
        <w:t>).</w:t>
      </w:r>
    </w:p>
    <w:p w14:paraId="487E0DDB" w14:textId="6C324514" w:rsidR="00EB7D26" w:rsidRPr="00847E83" w:rsidRDefault="00D0442A" w:rsidP="002B2F86">
      <w:pPr>
        <w:spacing w:before="60" w:after="60"/>
        <w:rPr>
          <w:noProof/>
        </w:rPr>
      </w:pPr>
      <w:r>
        <w:rPr>
          <w:noProof/>
        </w:rPr>
        <w:t xml:space="preserve">2021. gada trijos ceturkšņos nodokļu </w:t>
      </w:r>
      <w:r w:rsidRPr="007C495E">
        <w:rPr>
          <w:noProof/>
        </w:rPr>
        <w:t xml:space="preserve">ieņēmumu dinamikā </w:t>
      </w:r>
      <w:r>
        <w:rPr>
          <w:noProof/>
        </w:rPr>
        <w:t xml:space="preserve">bija </w:t>
      </w:r>
      <w:r w:rsidRPr="007C495E">
        <w:rPr>
          <w:noProof/>
        </w:rPr>
        <w:t xml:space="preserve">vērojamas pozitīvas tendences. Ja vēl </w:t>
      </w:r>
      <w:r>
        <w:rPr>
          <w:noProof/>
        </w:rPr>
        <w:t>šā </w:t>
      </w:r>
      <w:r w:rsidRPr="007C495E">
        <w:rPr>
          <w:noProof/>
        </w:rPr>
        <w:t>gada pirmajā ceturksnī nodokļu ieņēmumi atpalika no 2020.</w:t>
      </w:r>
      <w:r>
        <w:rPr>
          <w:noProof/>
        </w:rPr>
        <w:t> </w:t>
      </w:r>
      <w:r w:rsidRPr="007C495E">
        <w:rPr>
          <w:noProof/>
        </w:rPr>
        <w:t xml:space="preserve">gada </w:t>
      </w:r>
      <w:r>
        <w:rPr>
          <w:noProof/>
        </w:rPr>
        <w:t xml:space="preserve">attiecīgā perioda </w:t>
      </w:r>
      <w:r w:rsidRPr="007C495E">
        <w:rPr>
          <w:noProof/>
        </w:rPr>
        <w:t xml:space="preserve">ieņēmumiem, tad </w:t>
      </w:r>
      <w:r>
        <w:rPr>
          <w:noProof/>
        </w:rPr>
        <w:t>otrajā un trešajā ceturksnī līdz ar epidemioloģiskās situācijas uzlabošanos un ierobežojumu mīkstināšanu</w:t>
      </w:r>
      <w:r w:rsidRPr="007C495E">
        <w:rPr>
          <w:noProof/>
        </w:rPr>
        <w:t xml:space="preserve"> </w:t>
      </w:r>
      <w:r>
        <w:rPr>
          <w:noProof/>
        </w:rPr>
        <w:t>nodokļu ieņēmumi</w:t>
      </w:r>
      <w:r w:rsidRPr="007C495E">
        <w:rPr>
          <w:noProof/>
        </w:rPr>
        <w:t xml:space="preserve"> būtiski pārsniedz</w:t>
      </w:r>
      <w:r>
        <w:rPr>
          <w:noProof/>
        </w:rPr>
        <w:t>a</w:t>
      </w:r>
      <w:r w:rsidRPr="007C495E">
        <w:rPr>
          <w:noProof/>
        </w:rPr>
        <w:t xml:space="preserve"> 2020.</w:t>
      </w:r>
      <w:r>
        <w:rPr>
          <w:noProof/>
        </w:rPr>
        <w:t> </w:t>
      </w:r>
      <w:r w:rsidRPr="007C495E">
        <w:rPr>
          <w:noProof/>
        </w:rPr>
        <w:t>gada attiecīgā perioda līmeni</w:t>
      </w:r>
      <w:r>
        <w:rPr>
          <w:noProof/>
        </w:rPr>
        <w:t>.</w:t>
      </w:r>
      <w:r w:rsidRPr="007C495E">
        <w:rPr>
          <w:noProof/>
        </w:rPr>
        <w:t xml:space="preserve"> </w:t>
      </w:r>
      <w:r>
        <w:rPr>
          <w:noProof/>
        </w:rPr>
        <w:t xml:space="preserve">Kopējais nodokļu ieņēmumu apmērs šā gada trijos ceturkšņos </w:t>
      </w:r>
      <w:r w:rsidRPr="005663B1">
        <w:rPr>
          <w:noProof/>
        </w:rPr>
        <w:t>pārsniedza pat pirmspandēmijas</w:t>
      </w:r>
      <w:r>
        <w:rPr>
          <w:noProof/>
        </w:rPr>
        <w:t xml:space="preserve"> – 2019. gada attiecīgā perioda – līmeni. Ja gada pēdējos mēnešos nodokļu ieņēmumi pieaugs straujāk nekā prognozēts, paātrinoties ekonomikas izaugsmei, un nebūs nepieciešams papildus finansēt atbalsta pasākumus, deficīts šogad varētu būt</w:t>
      </w:r>
      <w:r w:rsidR="002B2F86">
        <w:rPr>
          <w:noProof/>
        </w:rPr>
        <w:t xml:space="preserve"> mazāks nekā pašreiz novērtēts.</w:t>
      </w:r>
    </w:p>
    <w:p w14:paraId="41675729" w14:textId="4B685A8A" w:rsidR="00D0442A" w:rsidRPr="00D0442A" w:rsidRDefault="00D0442A" w:rsidP="00D0442A">
      <w:pPr>
        <w:keepNext/>
        <w:spacing w:before="120"/>
        <w:ind w:firstLine="0"/>
        <w:jc w:val="right"/>
        <w:rPr>
          <w:b/>
          <w:i/>
          <w:szCs w:val="24"/>
        </w:rPr>
      </w:pPr>
      <w:bookmarkStart w:id="50" w:name="_Hlk83887469"/>
      <w:r w:rsidRPr="00D0442A">
        <w:rPr>
          <w:b/>
          <w:i/>
          <w:szCs w:val="24"/>
        </w:rPr>
        <w:t>2.7. tabula. Vispārējās valdības budžeta un konsoli</w:t>
      </w:r>
      <w:r w:rsidR="002B2F86">
        <w:rPr>
          <w:b/>
          <w:i/>
          <w:szCs w:val="24"/>
        </w:rPr>
        <w:t>dētā kopbudžeta bilance 2020.-</w:t>
      </w:r>
      <w:r w:rsidRPr="00D0442A">
        <w:rPr>
          <w:b/>
          <w:i/>
          <w:szCs w:val="24"/>
        </w:rPr>
        <w:t xml:space="preserve">2024. gadā, milj. </w:t>
      </w:r>
      <w:r w:rsidRPr="00D0442A">
        <w:rPr>
          <w:b/>
          <w:i/>
          <w:noProof/>
          <w:szCs w:val="24"/>
        </w:rPr>
        <w:t>euro</w:t>
      </w:r>
      <w:r w:rsidRPr="00D0442A">
        <w:rPr>
          <w:b/>
          <w:i/>
          <w:szCs w:val="24"/>
        </w:rPr>
        <w:t xml:space="preserve"> un % no </w:t>
      </w:r>
      <w:r w:rsidR="00EB7D26" w:rsidRPr="00EB7D26">
        <w:rPr>
          <w:b/>
          <w:i/>
          <w:szCs w:val="24"/>
        </w:rPr>
        <w:t>iekšzemes kopprodukta</w:t>
      </w: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851"/>
        <w:gridCol w:w="850"/>
        <w:gridCol w:w="851"/>
        <w:gridCol w:w="850"/>
        <w:gridCol w:w="851"/>
        <w:gridCol w:w="850"/>
        <w:gridCol w:w="864"/>
        <w:gridCol w:w="863"/>
      </w:tblGrid>
      <w:tr w:rsidR="00D0442A" w:rsidRPr="0026061A" w14:paraId="58DF0A7F" w14:textId="77777777" w:rsidTr="00D0442A">
        <w:trPr>
          <w:trHeight w:val="20"/>
          <w:tblHeader/>
          <w:jc w:val="center"/>
        </w:trPr>
        <w:tc>
          <w:tcPr>
            <w:tcW w:w="2263" w:type="dxa"/>
            <w:shd w:val="clear" w:color="auto" w:fill="9CC2E5" w:themeFill="accent1" w:themeFillTint="99"/>
            <w:noWrap/>
            <w:vAlign w:val="center"/>
            <w:hideMark/>
          </w:tcPr>
          <w:bookmarkEnd w:id="50"/>
          <w:p w14:paraId="34878D99" w14:textId="77777777" w:rsidR="00D0442A" w:rsidRPr="007333CF" w:rsidRDefault="00D0442A" w:rsidP="00D0442A">
            <w:pPr>
              <w:spacing w:after="0"/>
              <w:ind w:firstLine="0"/>
              <w:contextualSpacing/>
              <w:jc w:val="left"/>
              <w:rPr>
                <w:color w:val="000000"/>
                <w:sz w:val="18"/>
                <w:szCs w:val="18"/>
              </w:rPr>
            </w:pPr>
            <w:r w:rsidRPr="007333CF">
              <w:rPr>
                <w:color w:val="000000"/>
                <w:sz w:val="18"/>
                <w:szCs w:val="18"/>
              </w:rPr>
              <w:t> </w:t>
            </w:r>
          </w:p>
        </w:tc>
        <w:tc>
          <w:tcPr>
            <w:tcW w:w="851" w:type="dxa"/>
            <w:shd w:val="clear" w:color="auto" w:fill="9CC2E5" w:themeFill="accent1" w:themeFillTint="99"/>
            <w:noWrap/>
            <w:vAlign w:val="center"/>
            <w:hideMark/>
          </w:tcPr>
          <w:p w14:paraId="4F4FE7EB" w14:textId="77777777" w:rsidR="00D0442A" w:rsidRPr="007333CF" w:rsidRDefault="00D0442A" w:rsidP="00D0442A">
            <w:pPr>
              <w:spacing w:after="0"/>
              <w:ind w:firstLine="0"/>
              <w:contextualSpacing/>
              <w:jc w:val="center"/>
              <w:rPr>
                <w:b/>
                <w:bCs/>
                <w:color w:val="000000"/>
                <w:sz w:val="18"/>
                <w:szCs w:val="18"/>
              </w:rPr>
            </w:pPr>
            <w:r w:rsidRPr="007333CF">
              <w:rPr>
                <w:b/>
                <w:bCs/>
                <w:color w:val="000000"/>
                <w:sz w:val="18"/>
                <w:szCs w:val="18"/>
              </w:rPr>
              <w:t>20</w:t>
            </w:r>
            <w:r>
              <w:rPr>
                <w:b/>
                <w:bCs/>
                <w:color w:val="000000"/>
                <w:sz w:val="18"/>
                <w:szCs w:val="18"/>
              </w:rPr>
              <w:t>20</w:t>
            </w:r>
          </w:p>
        </w:tc>
        <w:tc>
          <w:tcPr>
            <w:tcW w:w="850" w:type="dxa"/>
            <w:shd w:val="clear" w:color="auto" w:fill="9CC2E5" w:themeFill="accent1" w:themeFillTint="99"/>
            <w:noWrap/>
            <w:vAlign w:val="center"/>
            <w:hideMark/>
          </w:tcPr>
          <w:p w14:paraId="47810B32" w14:textId="77777777" w:rsidR="00D0442A" w:rsidRPr="007333CF" w:rsidRDefault="00D0442A" w:rsidP="00D0442A">
            <w:pPr>
              <w:spacing w:after="0"/>
              <w:ind w:firstLine="0"/>
              <w:contextualSpacing/>
              <w:jc w:val="center"/>
              <w:rPr>
                <w:b/>
                <w:bCs/>
                <w:color w:val="000000"/>
                <w:sz w:val="18"/>
                <w:szCs w:val="18"/>
              </w:rPr>
            </w:pPr>
            <w:r w:rsidRPr="007333CF">
              <w:rPr>
                <w:b/>
                <w:bCs/>
                <w:color w:val="000000"/>
                <w:sz w:val="18"/>
                <w:szCs w:val="18"/>
              </w:rPr>
              <w:t>20</w:t>
            </w:r>
            <w:r>
              <w:rPr>
                <w:b/>
                <w:bCs/>
                <w:color w:val="000000"/>
                <w:sz w:val="18"/>
                <w:szCs w:val="18"/>
              </w:rPr>
              <w:t>21</w:t>
            </w:r>
          </w:p>
        </w:tc>
        <w:tc>
          <w:tcPr>
            <w:tcW w:w="851" w:type="dxa"/>
            <w:shd w:val="clear" w:color="auto" w:fill="9CC2E5" w:themeFill="accent1" w:themeFillTint="99"/>
            <w:noWrap/>
            <w:vAlign w:val="center"/>
            <w:hideMark/>
          </w:tcPr>
          <w:p w14:paraId="3C975B6D" w14:textId="77777777" w:rsidR="00D0442A" w:rsidRPr="007333CF" w:rsidRDefault="00D0442A" w:rsidP="00D0442A">
            <w:pPr>
              <w:spacing w:after="0"/>
              <w:ind w:firstLine="0"/>
              <w:contextualSpacing/>
              <w:jc w:val="center"/>
              <w:rPr>
                <w:b/>
                <w:bCs/>
                <w:color w:val="000000"/>
                <w:sz w:val="18"/>
                <w:szCs w:val="18"/>
              </w:rPr>
            </w:pPr>
            <w:r w:rsidRPr="007333CF">
              <w:rPr>
                <w:b/>
                <w:bCs/>
                <w:color w:val="000000"/>
                <w:sz w:val="18"/>
                <w:szCs w:val="18"/>
              </w:rPr>
              <w:t>202</w:t>
            </w:r>
            <w:r>
              <w:rPr>
                <w:b/>
                <w:bCs/>
                <w:color w:val="000000"/>
                <w:sz w:val="18"/>
                <w:szCs w:val="18"/>
              </w:rPr>
              <w:t>2</w:t>
            </w:r>
          </w:p>
        </w:tc>
        <w:tc>
          <w:tcPr>
            <w:tcW w:w="850" w:type="dxa"/>
            <w:shd w:val="clear" w:color="auto" w:fill="9CC2E5" w:themeFill="accent1" w:themeFillTint="99"/>
            <w:noWrap/>
            <w:vAlign w:val="center"/>
            <w:hideMark/>
          </w:tcPr>
          <w:p w14:paraId="159B2B68" w14:textId="77777777" w:rsidR="00D0442A" w:rsidRPr="007333CF" w:rsidRDefault="00D0442A" w:rsidP="00D0442A">
            <w:pPr>
              <w:spacing w:after="0"/>
              <w:ind w:firstLine="0"/>
              <w:contextualSpacing/>
              <w:jc w:val="center"/>
              <w:rPr>
                <w:b/>
                <w:bCs/>
                <w:color w:val="000000"/>
                <w:sz w:val="18"/>
                <w:szCs w:val="18"/>
              </w:rPr>
            </w:pPr>
            <w:r w:rsidRPr="007333CF">
              <w:rPr>
                <w:b/>
                <w:bCs/>
                <w:color w:val="000000"/>
                <w:sz w:val="18"/>
                <w:szCs w:val="18"/>
              </w:rPr>
              <w:t>202</w:t>
            </w:r>
            <w:r>
              <w:rPr>
                <w:b/>
                <w:bCs/>
                <w:color w:val="000000"/>
                <w:sz w:val="18"/>
                <w:szCs w:val="18"/>
              </w:rPr>
              <w:t>3</w:t>
            </w:r>
          </w:p>
        </w:tc>
        <w:tc>
          <w:tcPr>
            <w:tcW w:w="851" w:type="dxa"/>
            <w:shd w:val="clear" w:color="auto" w:fill="9CC2E5" w:themeFill="accent1" w:themeFillTint="99"/>
          </w:tcPr>
          <w:p w14:paraId="7CDD0134" w14:textId="77777777" w:rsidR="00D0442A" w:rsidRPr="007333CF" w:rsidRDefault="00D0442A" w:rsidP="00D0442A">
            <w:pPr>
              <w:spacing w:after="0"/>
              <w:ind w:firstLine="0"/>
              <w:contextualSpacing/>
              <w:jc w:val="center"/>
              <w:rPr>
                <w:b/>
                <w:bCs/>
                <w:color w:val="000000"/>
                <w:sz w:val="18"/>
                <w:szCs w:val="18"/>
              </w:rPr>
            </w:pPr>
            <w:r w:rsidRPr="007333CF">
              <w:rPr>
                <w:b/>
                <w:bCs/>
                <w:color w:val="000000"/>
                <w:sz w:val="18"/>
                <w:szCs w:val="18"/>
              </w:rPr>
              <w:t>202</w:t>
            </w:r>
            <w:r>
              <w:rPr>
                <w:b/>
                <w:bCs/>
                <w:color w:val="000000"/>
                <w:sz w:val="18"/>
                <w:szCs w:val="18"/>
              </w:rPr>
              <w:t>4</w:t>
            </w:r>
          </w:p>
        </w:tc>
        <w:tc>
          <w:tcPr>
            <w:tcW w:w="850" w:type="dxa"/>
            <w:shd w:val="clear" w:color="auto" w:fill="9CC2E5" w:themeFill="accent1" w:themeFillTint="99"/>
            <w:noWrap/>
            <w:vAlign w:val="center"/>
            <w:hideMark/>
          </w:tcPr>
          <w:p w14:paraId="45843295" w14:textId="77777777" w:rsidR="00D0442A" w:rsidRPr="007333CF" w:rsidRDefault="00D0442A" w:rsidP="00D0442A">
            <w:pPr>
              <w:spacing w:after="0"/>
              <w:ind w:firstLine="0"/>
              <w:contextualSpacing/>
              <w:jc w:val="center"/>
              <w:rPr>
                <w:b/>
                <w:bCs/>
                <w:color w:val="000000"/>
                <w:sz w:val="18"/>
                <w:szCs w:val="18"/>
              </w:rPr>
            </w:pPr>
            <w:r w:rsidRPr="007333CF">
              <w:rPr>
                <w:b/>
                <w:bCs/>
                <w:color w:val="000000"/>
                <w:sz w:val="18"/>
                <w:szCs w:val="18"/>
              </w:rPr>
              <w:t>202</w:t>
            </w:r>
            <w:r>
              <w:rPr>
                <w:b/>
                <w:bCs/>
                <w:color w:val="000000"/>
                <w:sz w:val="18"/>
                <w:szCs w:val="18"/>
              </w:rPr>
              <w:t>2</w:t>
            </w:r>
          </w:p>
        </w:tc>
        <w:tc>
          <w:tcPr>
            <w:tcW w:w="864" w:type="dxa"/>
            <w:shd w:val="clear" w:color="auto" w:fill="9CC2E5" w:themeFill="accent1" w:themeFillTint="99"/>
            <w:noWrap/>
            <w:vAlign w:val="center"/>
            <w:hideMark/>
          </w:tcPr>
          <w:p w14:paraId="7B95605B" w14:textId="77777777" w:rsidR="00D0442A" w:rsidRPr="00DB4C4C" w:rsidRDefault="00D0442A" w:rsidP="00D0442A">
            <w:pPr>
              <w:spacing w:after="0"/>
              <w:ind w:firstLine="0"/>
              <w:contextualSpacing/>
              <w:jc w:val="center"/>
              <w:rPr>
                <w:b/>
                <w:bCs/>
                <w:color w:val="000000"/>
                <w:sz w:val="18"/>
                <w:szCs w:val="18"/>
              </w:rPr>
            </w:pPr>
            <w:r w:rsidRPr="007333CF">
              <w:rPr>
                <w:b/>
                <w:bCs/>
                <w:color w:val="000000"/>
                <w:sz w:val="18"/>
                <w:szCs w:val="18"/>
              </w:rPr>
              <w:t>202</w:t>
            </w:r>
            <w:r>
              <w:rPr>
                <w:b/>
                <w:bCs/>
                <w:color w:val="000000"/>
                <w:sz w:val="18"/>
                <w:szCs w:val="18"/>
              </w:rPr>
              <w:t>3</w:t>
            </w:r>
          </w:p>
        </w:tc>
        <w:tc>
          <w:tcPr>
            <w:tcW w:w="863" w:type="dxa"/>
            <w:shd w:val="clear" w:color="auto" w:fill="9CC2E5" w:themeFill="accent1" w:themeFillTint="99"/>
            <w:noWrap/>
            <w:hideMark/>
          </w:tcPr>
          <w:p w14:paraId="2C9E8848" w14:textId="77777777" w:rsidR="00D0442A" w:rsidRPr="00DB4C4C" w:rsidRDefault="00D0442A" w:rsidP="00D0442A">
            <w:pPr>
              <w:spacing w:after="0"/>
              <w:ind w:firstLine="0"/>
              <w:contextualSpacing/>
              <w:jc w:val="center"/>
              <w:rPr>
                <w:b/>
                <w:bCs/>
                <w:color w:val="000000"/>
                <w:sz w:val="18"/>
                <w:szCs w:val="18"/>
              </w:rPr>
            </w:pPr>
            <w:r w:rsidRPr="007333CF">
              <w:rPr>
                <w:b/>
                <w:bCs/>
                <w:color w:val="000000"/>
                <w:sz w:val="18"/>
                <w:szCs w:val="18"/>
              </w:rPr>
              <w:t>202</w:t>
            </w:r>
            <w:r>
              <w:rPr>
                <w:b/>
                <w:bCs/>
                <w:color w:val="000000"/>
                <w:sz w:val="18"/>
                <w:szCs w:val="18"/>
              </w:rPr>
              <w:t>4</w:t>
            </w:r>
          </w:p>
        </w:tc>
      </w:tr>
      <w:tr w:rsidR="00D0442A" w:rsidRPr="0026061A" w14:paraId="6882B142" w14:textId="77777777" w:rsidTr="00D0442A">
        <w:trPr>
          <w:trHeight w:val="20"/>
          <w:tblHeader/>
          <w:jc w:val="center"/>
        </w:trPr>
        <w:tc>
          <w:tcPr>
            <w:tcW w:w="2263" w:type="dxa"/>
            <w:shd w:val="clear" w:color="auto" w:fill="9CC2E5" w:themeFill="accent1" w:themeFillTint="99"/>
            <w:noWrap/>
            <w:vAlign w:val="center"/>
            <w:hideMark/>
          </w:tcPr>
          <w:p w14:paraId="7FA289E4" w14:textId="77777777" w:rsidR="00D0442A" w:rsidRPr="007333CF" w:rsidRDefault="00D0442A" w:rsidP="00D0442A">
            <w:pPr>
              <w:spacing w:after="0"/>
              <w:ind w:firstLine="0"/>
              <w:contextualSpacing/>
              <w:jc w:val="left"/>
              <w:rPr>
                <w:b/>
                <w:bCs/>
                <w:color w:val="000000"/>
                <w:sz w:val="18"/>
                <w:szCs w:val="18"/>
              </w:rPr>
            </w:pPr>
            <w:r w:rsidRPr="007333CF">
              <w:rPr>
                <w:b/>
                <w:bCs/>
                <w:color w:val="000000"/>
                <w:sz w:val="18"/>
                <w:szCs w:val="18"/>
              </w:rPr>
              <w:t> </w:t>
            </w:r>
          </w:p>
        </w:tc>
        <w:tc>
          <w:tcPr>
            <w:tcW w:w="851" w:type="dxa"/>
            <w:shd w:val="clear" w:color="auto" w:fill="9CC2E5" w:themeFill="accent1" w:themeFillTint="99"/>
            <w:noWrap/>
            <w:vAlign w:val="center"/>
            <w:hideMark/>
          </w:tcPr>
          <w:p w14:paraId="1990F547" w14:textId="77777777" w:rsidR="00D0442A" w:rsidRPr="006A6D52" w:rsidRDefault="00D0442A" w:rsidP="00D0442A">
            <w:pPr>
              <w:spacing w:after="0"/>
              <w:ind w:firstLine="0"/>
              <w:contextualSpacing/>
              <w:jc w:val="center"/>
              <w:rPr>
                <w:b/>
                <w:color w:val="000000"/>
                <w:sz w:val="18"/>
                <w:szCs w:val="18"/>
              </w:rPr>
            </w:pPr>
            <w:r w:rsidRPr="006A6D52">
              <w:rPr>
                <w:b/>
                <w:color w:val="000000"/>
                <w:sz w:val="18"/>
                <w:szCs w:val="18"/>
              </w:rPr>
              <w:t>Fakts</w:t>
            </w:r>
          </w:p>
        </w:tc>
        <w:tc>
          <w:tcPr>
            <w:tcW w:w="850" w:type="dxa"/>
            <w:shd w:val="clear" w:color="auto" w:fill="9CC2E5" w:themeFill="accent1" w:themeFillTint="99"/>
            <w:vAlign w:val="center"/>
          </w:tcPr>
          <w:p w14:paraId="691E6B99" w14:textId="77777777" w:rsidR="00D0442A" w:rsidRPr="006A6D52" w:rsidRDefault="00D0442A" w:rsidP="00D0442A">
            <w:pPr>
              <w:spacing w:after="0"/>
              <w:ind w:firstLine="0"/>
              <w:contextualSpacing/>
              <w:jc w:val="center"/>
              <w:rPr>
                <w:b/>
                <w:color w:val="000000"/>
                <w:sz w:val="18"/>
                <w:szCs w:val="18"/>
              </w:rPr>
            </w:pPr>
            <w:r w:rsidRPr="006A6D52">
              <w:rPr>
                <w:b/>
                <w:color w:val="000000"/>
                <w:sz w:val="18"/>
                <w:szCs w:val="18"/>
              </w:rPr>
              <w:t>Novērt.</w:t>
            </w:r>
          </w:p>
        </w:tc>
        <w:tc>
          <w:tcPr>
            <w:tcW w:w="2552" w:type="dxa"/>
            <w:gridSpan w:val="3"/>
            <w:shd w:val="clear" w:color="auto" w:fill="9CC2E5" w:themeFill="accent1" w:themeFillTint="99"/>
            <w:vAlign w:val="center"/>
          </w:tcPr>
          <w:p w14:paraId="4F12BF5F" w14:textId="77777777" w:rsidR="00D0442A" w:rsidRPr="006A6D52" w:rsidRDefault="00D0442A" w:rsidP="00D0442A">
            <w:pPr>
              <w:spacing w:after="0"/>
              <w:ind w:firstLine="0"/>
              <w:contextualSpacing/>
              <w:jc w:val="center"/>
              <w:rPr>
                <w:b/>
                <w:color w:val="000000"/>
                <w:sz w:val="18"/>
                <w:szCs w:val="18"/>
              </w:rPr>
            </w:pPr>
            <w:r w:rsidRPr="006A6D52">
              <w:rPr>
                <w:b/>
                <w:color w:val="000000"/>
                <w:sz w:val="18"/>
                <w:szCs w:val="18"/>
              </w:rPr>
              <w:t>Prognoze</w:t>
            </w:r>
            <w:r>
              <w:rPr>
                <w:b/>
                <w:color w:val="000000"/>
                <w:sz w:val="18"/>
                <w:szCs w:val="18"/>
              </w:rPr>
              <w:br/>
            </w:r>
            <w:r w:rsidRPr="006A6D52">
              <w:rPr>
                <w:b/>
                <w:color w:val="000000"/>
                <w:sz w:val="18"/>
                <w:szCs w:val="18"/>
              </w:rPr>
              <w:t>(</w:t>
            </w:r>
            <w:r>
              <w:rPr>
                <w:b/>
                <w:color w:val="000000"/>
                <w:sz w:val="18"/>
                <w:szCs w:val="18"/>
              </w:rPr>
              <w:t xml:space="preserve">pie </w:t>
            </w:r>
            <w:r w:rsidRPr="006A6D52">
              <w:rPr>
                <w:b/>
                <w:color w:val="000000"/>
                <w:sz w:val="18"/>
                <w:szCs w:val="18"/>
              </w:rPr>
              <w:t>nemainīga</w:t>
            </w:r>
            <w:r>
              <w:rPr>
                <w:b/>
                <w:color w:val="000000"/>
                <w:sz w:val="18"/>
                <w:szCs w:val="18"/>
              </w:rPr>
              <w:t>s</w:t>
            </w:r>
            <w:r w:rsidRPr="006A6D52">
              <w:rPr>
                <w:b/>
                <w:color w:val="000000"/>
                <w:sz w:val="18"/>
                <w:szCs w:val="18"/>
              </w:rPr>
              <w:t xml:space="preserve"> politika</w:t>
            </w:r>
            <w:r>
              <w:rPr>
                <w:b/>
                <w:color w:val="000000"/>
                <w:sz w:val="18"/>
                <w:szCs w:val="18"/>
              </w:rPr>
              <w:t>s</w:t>
            </w:r>
            <w:r w:rsidRPr="006A6D52">
              <w:rPr>
                <w:b/>
                <w:color w:val="000000"/>
                <w:sz w:val="18"/>
                <w:szCs w:val="18"/>
              </w:rPr>
              <w:t>)</w:t>
            </w:r>
            <w:r>
              <w:rPr>
                <w:rStyle w:val="FootnoteReference"/>
                <w:b/>
                <w:color w:val="000000"/>
                <w:sz w:val="18"/>
                <w:szCs w:val="18"/>
              </w:rPr>
              <w:footnoteReference w:id="13"/>
            </w:r>
          </w:p>
        </w:tc>
        <w:tc>
          <w:tcPr>
            <w:tcW w:w="2577" w:type="dxa"/>
            <w:gridSpan w:val="3"/>
            <w:shd w:val="clear" w:color="auto" w:fill="9CC2E5" w:themeFill="accent1" w:themeFillTint="99"/>
            <w:vAlign w:val="center"/>
            <w:hideMark/>
          </w:tcPr>
          <w:p w14:paraId="1D4483D8" w14:textId="77777777" w:rsidR="00D0442A" w:rsidRPr="006A6D52" w:rsidRDefault="00D0442A" w:rsidP="00D0442A">
            <w:pPr>
              <w:spacing w:after="0"/>
              <w:ind w:firstLine="0"/>
              <w:contextualSpacing/>
              <w:jc w:val="center"/>
              <w:rPr>
                <w:b/>
                <w:color w:val="000000"/>
                <w:sz w:val="18"/>
                <w:szCs w:val="18"/>
              </w:rPr>
            </w:pPr>
            <w:r w:rsidRPr="006A6D52">
              <w:rPr>
                <w:b/>
                <w:color w:val="000000"/>
                <w:sz w:val="18"/>
                <w:szCs w:val="18"/>
              </w:rPr>
              <w:t xml:space="preserve">Prognoze </w:t>
            </w:r>
          </w:p>
        </w:tc>
      </w:tr>
      <w:tr w:rsidR="00D0442A" w:rsidRPr="006A6D52" w14:paraId="3F503099" w14:textId="77777777" w:rsidTr="00D0442A">
        <w:trPr>
          <w:trHeight w:val="20"/>
          <w:jc w:val="center"/>
        </w:trPr>
        <w:tc>
          <w:tcPr>
            <w:tcW w:w="2263" w:type="dxa"/>
            <w:shd w:val="clear" w:color="auto" w:fill="auto"/>
            <w:vAlign w:val="center"/>
            <w:hideMark/>
          </w:tcPr>
          <w:p w14:paraId="78D72F3A" w14:textId="7AE16DDC" w:rsidR="00D0442A" w:rsidRPr="006A6D52" w:rsidRDefault="00D0442A" w:rsidP="00D0442A">
            <w:pPr>
              <w:spacing w:after="0"/>
              <w:ind w:firstLine="0"/>
              <w:contextualSpacing/>
              <w:jc w:val="left"/>
              <w:rPr>
                <w:b/>
                <w:bCs/>
                <w:color w:val="000000"/>
                <w:sz w:val="18"/>
                <w:szCs w:val="18"/>
              </w:rPr>
            </w:pPr>
            <w:r w:rsidRPr="006A6D52">
              <w:rPr>
                <w:b/>
                <w:bCs/>
                <w:color w:val="000000"/>
                <w:sz w:val="18"/>
                <w:szCs w:val="18"/>
              </w:rPr>
              <w:t xml:space="preserve">Vispārējās valdības budžeta bilance, % no </w:t>
            </w:r>
            <w:r w:rsidR="00EB7D26" w:rsidRPr="00EB7D26">
              <w:rPr>
                <w:b/>
                <w:bCs/>
                <w:color w:val="000000"/>
                <w:sz w:val="18"/>
                <w:szCs w:val="18"/>
              </w:rPr>
              <w:t>iekšzemes kopprodukta</w:t>
            </w:r>
          </w:p>
        </w:tc>
        <w:tc>
          <w:tcPr>
            <w:tcW w:w="851" w:type="dxa"/>
            <w:shd w:val="clear" w:color="auto" w:fill="auto"/>
            <w:noWrap/>
            <w:vAlign w:val="center"/>
            <w:hideMark/>
          </w:tcPr>
          <w:p w14:paraId="723BC6BE" w14:textId="77777777" w:rsidR="00D0442A" w:rsidRPr="003F6E0A" w:rsidRDefault="00D0442A" w:rsidP="00D0442A">
            <w:pPr>
              <w:spacing w:after="0"/>
              <w:ind w:firstLine="0"/>
              <w:jc w:val="right"/>
              <w:rPr>
                <w:b/>
                <w:bCs/>
                <w:sz w:val="18"/>
                <w:szCs w:val="18"/>
              </w:rPr>
            </w:pPr>
            <w:r w:rsidRPr="002D02BA">
              <w:rPr>
                <w:b/>
                <w:bCs/>
                <w:sz w:val="18"/>
                <w:szCs w:val="18"/>
              </w:rPr>
              <w:t>-4,5</w:t>
            </w:r>
          </w:p>
        </w:tc>
        <w:tc>
          <w:tcPr>
            <w:tcW w:w="850" w:type="dxa"/>
            <w:shd w:val="clear" w:color="auto" w:fill="auto"/>
            <w:noWrap/>
            <w:vAlign w:val="center"/>
            <w:hideMark/>
          </w:tcPr>
          <w:p w14:paraId="7A445ED5" w14:textId="77777777" w:rsidR="00D0442A" w:rsidRPr="00856300" w:rsidRDefault="00D0442A" w:rsidP="00D0442A">
            <w:pPr>
              <w:spacing w:after="0"/>
              <w:ind w:firstLine="0"/>
              <w:contextualSpacing/>
              <w:jc w:val="right"/>
              <w:rPr>
                <w:b/>
                <w:bCs/>
                <w:color w:val="FF0000"/>
                <w:sz w:val="18"/>
                <w:szCs w:val="18"/>
              </w:rPr>
            </w:pPr>
            <w:r w:rsidRPr="00856300">
              <w:rPr>
                <w:b/>
                <w:bCs/>
                <w:sz w:val="18"/>
                <w:szCs w:val="18"/>
              </w:rPr>
              <w:t xml:space="preserve">-9,3 </w:t>
            </w:r>
          </w:p>
        </w:tc>
        <w:tc>
          <w:tcPr>
            <w:tcW w:w="851" w:type="dxa"/>
            <w:shd w:val="clear" w:color="auto" w:fill="auto"/>
            <w:noWrap/>
            <w:vAlign w:val="center"/>
            <w:hideMark/>
          </w:tcPr>
          <w:p w14:paraId="2BF6FC4E" w14:textId="77777777" w:rsidR="00D0442A" w:rsidRPr="002D02BA" w:rsidRDefault="00D0442A" w:rsidP="00D0442A">
            <w:pPr>
              <w:spacing w:after="0"/>
              <w:ind w:firstLine="0"/>
              <w:jc w:val="right"/>
              <w:rPr>
                <w:b/>
                <w:bCs/>
                <w:sz w:val="18"/>
                <w:szCs w:val="18"/>
                <w:highlight w:val="yellow"/>
              </w:rPr>
            </w:pPr>
            <w:r w:rsidRPr="002D02BA">
              <w:rPr>
                <w:b/>
                <w:bCs/>
                <w:sz w:val="18"/>
                <w:szCs w:val="18"/>
              </w:rPr>
              <w:t xml:space="preserve">-2,9 </w:t>
            </w:r>
          </w:p>
        </w:tc>
        <w:tc>
          <w:tcPr>
            <w:tcW w:w="850" w:type="dxa"/>
            <w:shd w:val="clear" w:color="auto" w:fill="auto"/>
            <w:noWrap/>
            <w:vAlign w:val="center"/>
            <w:hideMark/>
          </w:tcPr>
          <w:p w14:paraId="3D39F79B" w14:textId="77777777" w:rsidR="00D0442A" w:rsidRPr="002D02BA" w:rsidRDefault="00D0442A" w:rsidP="00D0442A">
            <w:pPr>
              <w:spacing w:after="0"/>
              <w:ind w:firstLine="0"/>
              <w:contextualSpacing/>
              <w:jc w:val="right"/>
              <w:rPr>
                <w:b/>
                <w:bCs/>
                <w:color w:val="FF0000"/>
                <w:sz w:val="18"/>
                <w:szCs w:val="18"/>
                <w:highlight w:val="yellow"/>
              </w:rPr>
            </w:pPr>
            <w:r w:rsidRPr="002D02BA">
              <w:rPr>
                <w:b/>
                <w:bCs/>
                <w:sz w:val="18"/>
                <w:szCs w:val="18"/>
              </w:rPr>
              <w:t xml:space="preserve">-1,2 </w:t>
            </w:r>
          </w:p>
        </w:tc>
        <w:tc>
          <w:tcPr>
            <w:tcW w:w="851" w:type="dxa"/>
            <w:shd w:val="clear" w:color="auto" w:fill="auto"/>
            <w:vAlign w:val="center"/>
          </w:tcPr>
          <w:p w14:paraId="73DCC2C8" w14:textId="77777777" w:rsidR="00D0442A" w:rsidRPr="002D02BA" w:rsidRDefault="00D0442A" w:rsidP="00D0442A">
            <w:pPr>
              <w:spacing w:after="0"/>
              <w:ind w:firstLine="0"/>
              <w:contextualSpacing/>
              <w:jc w:val="right"/>
              <w:rPr>
                <w:b/>
                <w:bCs/>
                <w:color w:val="FF0000"/>
                <w:sz w:val="18"/>
                <w:szCs w:val="18"/>
                <w:highlight w:val="yellow"/>
              </w:rPr>
            </w:pPr>
            <w:r w:rsidRPr="002D02BA">
              <w:rPr>
                <w:b/>
                <w:bCs/>
                <w:sz w:val="18"/>
                <w:szCs w:val="18"/>
              </w:rPr>
              <w:t xml:space="preserve">-0,3 </w:t>
            </w:r>
          </w:p>
        </w:tc>
        <w:tc>
          <w:tcPr>
            <w:tcW w:w="850" w:type="dxa"/>
            <w:shd w:val="clear" w:color="auto" w:fill="auto"/>
            <w:noWrap/>
            <w:vAlign w:val="center"/>
            <w:hideMark/>
          </w:tcPr>
          <w:p w14:paraId="77296BD0" w14:textId="77777777" w:rsidR="00D0442A" w:rsidRPr="00106DAD" w:rsidRDefault="00D0442A" w:rsidP="00D0442A">
            <w:pPr>
              <w:spacing w:after="0"/>
              <w:ind w:firstLine="0"/>
              <w:contextualSpacing/>
              <w:jc w:val="right"/>
              <w:rPr>
                <w:b/>
                <w:bCs/>
                <w:color w:val="FF0000"/>
                <w:sz w:val="18"/>
                <w:szCs w:val="18"/>
              </w:rPr>
            </w:pPr>
            <w:r w:rsidRPr="00106DAD">
              <w:rPr>
                <w:b/>
                <w:bCs/>
                <w:sz w:val="18"/>
                <w:szCs w:val="44"/>
              </w:rPr>
              <w:t>-4,</w:t>
            </w:r>
            <w:r>
              <w:rPr>
                <w:b/>
                <w:bCs/>
                <w:sz w:val="18"/>
                <w:szCs w:val="44"/>
              </w:rPr>
              <w:t>8</w:t>
            </w:r>
          </w:p>
        </w:tc>
        <w:tc>
          <w:tcPr>
            <w:tcW w:w="864" w:type="dxa"/>
            <w:shd w:val="clear" w:color="auto" w:fill="auto"/>
            <w:noWrap/>
            <w:vAlign w:val="center"/>
            <w:hideMark/>
          </w:tcPr>
          <w:p w14:paraId="0B19FFD4" w14:textId="77777777" w:rsidR="00D0442A" w:rsidRPr="00106DAD" w:rsidRDefault="00D0442A" w:rsidP="00D0442A">
            <w:pPr>
              <w:spacing w:after="0"/>
              <w:ind w:firstLine="0"/>
              <w:contextualSpacing/>
              <w:jc w:val="right"/>
              <w:rPr>
                <w:b/>
                <w:bCs/>
                <w:color w:val="FF0000"/>
                <w:sz w:val="18"/>
                <w:szCs w:val="18"/>
              </w:rPr>
            </w:pPr>
            <w:r w:rsidRPr="00106DAD">
              <w:rPr>
                <w:b/>
                <w:bCs/>
                <w:sz w:val="18"/>
                <w:szCs w:val="44"/>
              </w:rPr>
              <w:t xml:space="preserve">-2,1 </w:t>
            </w:r>
          </w:p>
        </w:tc>
        <w:tc>
          <w:tcPr>
            <w:tcW w:w="863" w:type="dxa"/>
            <w:shd w:val="clear" w:color="auto" w:fill="auto"/>
            <w:noWrap/>
            <w:vAlign w:val="center"/>
            <w:hideMark/>
          </w:tcPr>
          <w:p w14:paraId="7F7825D4" w14:textId="77777777" w:rsidR="00D0442A" w:rsidRPr="00106DAD" w:rsidRDefault="00D0442A" w:rsidP="00D0442A">
            <w:pPr>
              <w:spacing w:after="0"/>
              <w:ind w:firstLine="0"/>
              <w:contextualSpacing/>
              <w:jc w:val="right"/>
              <w:rPr>
                <w:b/>
                <w:bCs/>
                <w:color w:val="FF0000"/>
                <w:sz w:val="18"/>
                <w:szCs w:val="18"/>
              </w:rPr>
            </w:pPr>
            <w:r w:rsidRPr="00106DAD">
              <w:rPr>
                <w:b/>
                <w:bCs/>
                <w:sz w:val="18"/>
                <w:szCs w:val="44"/>
              </w:rPr>
              <w:t xml:space="preserve">-1,3 </w:t>
            </w:r>
          </w:p>
        </w:tc>
      </w:tr>
      <w:tr w:rsidR="00D0442A" w:rsidRPr="006A6D52" w14:paraId="30D10F92" w14:textId="77777777" w:rsidTr="00D0442A">
        <w:trPr>
          <w:trHeight w:val="20"/>
          <w:jc w:val="center"/>
        </w:trPr>
        <w:tc>
          <w:tcPr>
            <w:tcW w:w="2263" w:type="dxa"/>
            <w:shd w:val="clear" w:color="auto" w:fill="auto"/>
            <w:vAlign w:val="center"/>
            <w:hideMark/>
          </w:tcPr>
          <w:p w14:paraId="02653DB8" w14:textId="77777777" w:rsidR="00D0442A" w:rsidRPr="006A6D52" w:rsidRDefault="00D0442A" w:rsidP="00D0442A">
            <w:pPr>
              <w:spacing w:after="0"/>
              <w:ind w:firstLine="0"/>
              <w:contextualSpacing/>
              <w:jc w:val="left"/>
              <w:rPr>
                <w:b/>
                <w:bCs/>
                <w:color w:val="000000"/>
                <w:sz w:val="18"/>
                <w:szCs w:val="18"/>
              </w:rPr>
            </w:pPr>
            <w:r w:rsidRPr="006A6D52">
              <w:rPr>
                <w:b/>
                <w:bCs/>
                <w:color w:val="000000"/>
                <w:sz w:val="18"/>
                <w:szCs w:val="18"/>
              </w:rPr>
              <w:t>Vispārējās valdības budžeta bilance</w:t>
            </w:r>
          </w:p>
        </w:tc>
        <w:tc>
          <w:tcPr>
            <w:tcW w:w="851" w:type="dxa"/>
            <w:shd w:val="clear" w:color="auto" w:fill="auto"/>
            <w:noWrap/>
            <w:vAlign w:val="center"/>
            <w:hideMark/>
          </w:tcPr>
          <w:p w14:paraId="00FD710C" w14:textId="77777777" w:rsidR="00D0442A" w:rsidRPr="002D02BA" w:rsidRDefault="00D0442A" w:rsidP="00D0442A">
            <w:pPr>
              <w:spacing w:after="0"/>
              <w:ind w:firstLine="0"/>
              <w:jc w:val="right"/>
              <w:rPr>
                <w:b/>
                <w:bCs/>
                <w:sz w:val="18"/>
                <w:szCs w:val="18"/>
              </w:rPr>
            </w:pPr>
            <w:r w:rsidRPr="002D02BA">
              <w:rPr>
                <w:b/>
                <w:bCs/>
                <w:sz w:val="18"/>
                <w:szCs w:val="18"/>
              </w:rPr>
              <w:t>-1 326,6</w:t>
            </w:r>
          </w:p>
        </w:tc>
        <w:tc>
          <w:tcPr>
            <w:tcW w:w="850" w:type="dxa"/>
            <w:shd w:val="clear" w:color="auto" w:fill="auto"/>
            <w:noWrap/>
            <w:vAlign w:val="center"/>
            <w:hideMark/>
          </w:tcPr>
          <w:p w14:paraId="15E68B7E" w14:textId="77777777" w:rsidR="00D0442A" w:rsidRPr="00856300" w:rsidRDefault="00D0442A" w:rsidP="00D0442A">
            <w:pPr>
              <w:spacing w:after="0"/>
              <w:ind w:firstLine="0"/>
              <w:contextualSpacing/>
              <w:jc w:val="right"/>
              <w:rPr>
                <w:b/>
                <w:bCs/>
                <w:color w:val="FF0000"/>
                <w:sz w:val="18"/>
                <w:szCs w:val="18"/>
              </w:rPr>
            </w:pPr>
            <w:r w:rsidRPr="00856300">
              <w:rPr>
                <w:b/>
                <w:bCs/>
                <w:sz w:val="18"/>
                <w:szCs w:val="18"/>
              </w:rPr>
              <w:t xml:space="preserve">-2 931,8 </w:t>
            </w:r>
          </w:p>
        </w:tc>
        <w:tc>
          <w:tcPr>
            <w:tcW w:w="851" w:type="dxa"/>
            <w:shd w:val="clear" w:color="auto" w:fill="auto"/>
            <w:noWrap/>
            <w:vAlign w:val="center"/>
            <w:hideMark/>
          </w:tcPr>
          <w:p w14:paraId="488218BD" w14:textId="77777777" w:rsidR="00D0442A" w:rsidRPr="002D02BA" w:rsidRDefault="00D0442A" w:rsidP="00D0442A">
            <w:pPr>
              <w:spacing w:after="0"/>
              <w:ind w:firstLine="0"/>
              <w:contextualSpacing/>
              <w:jc w:val="right"/>
              <w:rPr>
                <w:b/>
                <w:bCs/>
                <w:color w:val="FF0000"/>
                <w:sz w:val="18"/>
                <w:szCs w:val="18"/>
                <w:highlight w:val="yellow"/>
              </w:rPr>
            </w:pPr>
            <w:r w:rsidRPr="002D02BA">
              <w:rPr>
                <w:b/>
                <w:bCs/>
                <w:sz w:val="18"/>
                <w:szCs w:val="18"/>
              </w:rPr>
              <w:t xml:space="preserve">-1 000,1 </w:t>
            </w:r>
          </w:p>
        </w:tc>
        <w:tc>
          <w:tcPr>
            <w:tcW w:w="850" w:type="dxa"/>
            <w:shd w:val="clear" w:color="auto" w:fill="auto"/>
            <w:noWrap/>
            <w:vAlign w:val="center"/>
            <w:hideMark/>
          </w:tcPr>
          <w:p w14:paraId="41FBEBAC" w14:textId="77777777" w:rsidR="00D0442A" w:rsidRPr="002D02BA" w:rsidRDefault="00D0442A" w:rsidP="00D0442A">
            <w:pPr>
              <w:spacing w:after="0"/>
              <w:ind w:firstLine="0"/>
              <w:contextualSpacing/>
              <w:jc w:val="right"/>
              <w:rPr>
                <w:b/>
                <w:bCs/>
                <w:color w:val="FF0000"/>
                <w:sz w:val="18"/>
                <w:szCs w:val="18"/>
                <w:highlight w:val="yellow"/>
              </w:rPr>
            </w:pPr>
            <w:r w:rsidRPr="002D02BA">
              <w:rPr>
                <w:b/>
                <w:bCs/>
                <w:sz w:val="18"/>
                <w:szCs w:val="18"/>
              </w:rPr>
              <w:t xml:space="preserve">-443,8 </w:t>
            </w:r>
          </w:p>
        </w:tc>
        <w:tc>
          <w:tcPr>
            <w:tcW w:w="851" w:type="dxa"/>
            <w:shd w:val="clear" w:color="auto" w:fill="auto"/>
            <w:vAlign w:val="center"/>
          </w:tcPr>
          <w:p w14:paraId="788D0FCE" w14:textId="77777777" w:rsidR="00D0442A" w:rsidRPr="002D02BA" w:rsidRDefault="00D0442A" w:rsidP="00D0442A">
            <w:pPr>
              <w:spacing w:after="0"/>
              <w:ind w:firstLine="0"/>
              <w:contextualSpacing/>
              <w:jc w:val="right"/>
              <w:rPr>
                <w:b/>
                <w:bCs/>
                <w:color w:val="FF0000"/>
                <w:sz w:val="18"/>
                <w:szCs w:val="18"/>
                <w:highlight w:val="yellow"/>
              </w:rPr>
            </w:pPr>
            <w:r w:rsidRPr="002D02BA">
              <w:rPr>
                <w:b/>
                <w:bCs/>
                <w:sz w:val="18"/>
                <w:szCs w:val="18"/>
              </w:rPr>
              <w:t xml:space="preserve">-130,6 </w:t>
            </w:r>
          </w:p>
        </w:tc>
        <w:tc>
          <w:tcPr>
            <w:tcW w:w="850" w:type="dxa"/>
            <w:shd w:val="clear" w:color="auto" w:fill="auto"/>
            <w:noWrap/>
            <w:vAlign w:val="center"/>
            <w:hideMark/>
          </w:tcPr>
          <w:p w14:paraId="56A4485F" w14:textId="77777777" w:rsidR="00D0442A" w:rsidRPr="00106DAD" w:rsidRDefault="00D0442A" w:rsidP="00D0442A">
            <w:pPr>
              <w:spacing w:after="0"/>
              <w:ind w:firstLine="0"/>
              <w:contextualSpacing/>
              <w:jc w:val="right"/>
              <w:rPr>
                <w:b/>
                <w:bCs/>
                <w:color w:val="FF0000"/>
                <w:sz w:val="18"/>
                <w:szCs w:val="18"/>
              </w:rPr>
            </w:pPr>
            <w:r w:rsidRPr="00106DAD">
              <w:rPr>
                <w:b/>
                <w:bCs/>
                <w:sz w:val="18"/>
                <w:szCs w:val="44"/>
              </w:rPr>
              <w:t xml:space="preserve">-1 </w:t>
            </w:r>
            <w:r>
              <w:rPr>
                <w:b/>
                <w:bCs/>
                <w:sz w:val="18"/>
                <w:szCs w:val="44"/>
              </w:rPr>
              <w:t>620</w:t>
            </w:r>
            <w:r w:rsidRPr="00106DAD">
              <w:rPr>
                <w:b/>
                <w:bCs/>
                <w:sz w:val="18"/>
                <w:szCs w:val="44"/>
              </w:rPr>
              <w:t xml:space="preserve">,9 </w:t>
            </w:r>
          </w:p>
        </w:tc>
        <w:tc>
          <w:tcPr>
            <w:tcW w:w="864" w:type="dxa"/>
            <w:shd w:val="clear" w:color="auto" w:fill="auto"/>
            <w:noWrap/>
            <w:vAlign w:val="center"/>
            <w:hideMark/>
          </w:tcPr>
          <w:p w14:paraId="77794C22" w14:textId="77777777" w:rsidR="00D0442A" w:rsidRPr="00106DAD" w:rsidRDefault="00D0442A" w:rsidP="00D0442A">
            <w:pPr>
              <w:spacing w:after="0"/>
              <w:ind w:firstLine="0"/>
              <w:contextualSpacing/>
              <w:jc w:val="right"/>
              <w:rPr>
                <w:b/>
                <w:bCs/>
                <w:color w:val="FF0000"/>
                <w:sz w:val="18"/>
                <w:szCs w:val="18"/>
              </w:rPr>
            </w:pPr>
            <w:r w:rsidRPr="00106DAD">
              <w:rPr>
                <w:b/>
                <w:bCs/>
                <w:sz w:val="18"/>
                <w:szCs w:val="44"/>
              </w:rPr>
              <w:t xml:space="preserve">-748,4 </w:t>
            </w:r>
          </w:p>
        </w:tc>
        <w:tc>
          <w:tcPr>
            <w:tcW w:w="863" w:type="dxa"/>
            <w:shd w:val="clear" w:color="auto" w:fill="auto"/>
            <w:noWrap/>
            <w:vAlign w:val="center"/>
            <w:hideMark/>
          </w:tcPr>
          <w:p w14:paraId="036ABC93" w14:textId="77777777" w:rsidR="00D0442A" w:rsidRPr="00106DAD" w:rsidRDefault="00D0442A" w:rsidP="00D0442A">
            <w:pPr>
              <w:spacing w:after="0"/>
              <w:ind w:firstLine="0"/>
              <w:contextualSpacing/>
              <w:jc w:val="right"/>
              <w:rPr>
                <w:b/>
                <w:bCs/>
                <w:color w:val="FF0000"/>
                <w:sz w:val="18"/>
                <w:szCs w:val="18"/>
              </w:rPr>
            </w:pPr>
            <w:r w:rsidRPr="00106DAD">
              <w:rPr>
                <w:b/>
                <w:bCs/>
                <w:sz w:val="18"/>
                <w:szCs w:val="44"/>
              </w:rPr>
              <w:t xml:space="preserve">-478,1 </w:t>
            </w:r>
          </w:p>
        </w:tc>
      </w:tr>
      <w:tr w:rsidR="00D0442A" w:rsidRPr="006A6D52" w14:paraId="0904B393" w14:textId="77777777" w:rsidTr="00D0442A">
        <w:trPr>
          <w:trHeight w:val="20"/>
          <w:jc w:val="center"/>
        </w:trPr>
        <w:tc>
          <w:tcPr>
            <w:tcW w:w="2263" w:type="dxa"/>
            <w:shd w:val="clear" w:color="auto" w:fill="auto"/>
            <w:vAlign w:val="center"/>
          </w:tcPr>
          <w:p w14:paraId="5F4F2868" w14:textId="77777777" w:rsidR="00D0442A" w:rsidRPr="006A6D52" w:rsidRDefault="00D0442A" w:rsidP="00D0442A">
            <w:pPr>
              <w:spacing w:after="0"/>
              <w:ind w:firstLine="0"/>
              <w:contextualSpacing/>
              <w:jc w:val="left"/>
              <w:rPr>
                <w:b/>
                <w:bCs/>
                <w:color w:val="000000"/>
                <w:sz w:val="18"/>
                <w:szCs w:val="18"/>
              </w:rPr>
            </w:pPr>
            <w:r w:rsidRPr="006A6D52">
              <w:rPr>
                <w:b/>
                <w:bCs/>
                <w:color w:val="000000"/>
                <w:sz w:val="18"/>
                <w:szCs w:val="18"/>
              </w:rPr>
              <w:t xml:space="preserve">     Centrālā valdība</w:t>
            </w:r>
          </w:p>
        </w:tc>
        <w:tc>
          <w:tcPr>
            <w:tcW w:w="851" w:type="dxa"/>
            <w:shd w:val="clear" w:color="auto" w:fill="auto"/>
            <w:noWrap/>
            <w:vAlign w:val="center"/>
          </w:tcPr>
          <w:p w14:paraId="7ACE0BD9" w14:textId="77777777" w:rsidR="00D0442A" w:rsidRPr="007524D4" w:rsidRDefault="00D0442A" w:rsidP="00D0442A">
            <w:pPr>
              <w:spacing w:after="0"/>
              <w:ind w:firstLine="0"/>
              <w:contextualSpacing/>
              <w:jc w:val="right"/>
              <w:rPr>
                <w:b/>
                <w:bCs/>
                <w:sz w:val="18"/>
                <w:szCs w:val="18"/>
              </w:rPr>
            </w:pPr>
            <w:r w:rsidRPr="007524D4">
              <w:rPr>
                <w:b/>
                <w:bCs/>
                <w:sz w:val="18"/>
                <w:szCs w:val="18"/>
              </w:rPr>
              <w:t>-1 420,8</w:t>
            </w:r>
          </w:p>
        </w:tc>
        <w:tc>
          <w:tcPr>
            <w:tcW w:w="850" w:type="dxa"/>
            <w:shd w:val="clear" w:color="auto" w:fill="auto"/>
            <w:noWrap/>
            <w:vAlign w:val="center"/>
          </w:tcPr>
          <w:p w14:paraId="4DA97D84" w14:textId="77777777" w:rsidR="00D0442A" w:rsidRPr="00856300" w:rsidRDefault="00D0442A" w:rsidP="00D0442A">
            <w:pPr>
              <w:spacing w:after="0"/>
              <w:ind w:firstLine="0"/>
              <w:contextualSpacing/>
              <w:jc w:val="right"/>
              <w:rPr>
                <w:b/>
                <w:bCs/>
                <w:sz w:val="18"/>
                <w:szCs w:val="18"/>
              </w:rPr>
            </w:pPr>
            <w:r w:rsidRPr="00856300">
              <w:rPr>
                <w:b/>
                <w:bCs/>
                <w:sz w:val="18"/>
                <w:szCs w:val="18"/>
              </w:rPr>
              <w:t>-2 805,9</w:t>
            </w:r>
          </w:p>
        </w:tc>
        <w:tc>
          <w:tcPr>
            <w:tcW w:w="851" w:type="dxa"/>
            <w:shd w:val="clear" w:color="auto" w:fill="auto"/>
            <w:noWrap/>
            <w:vAlign w:val="center"/>
          </w:tcPr>
          <w:p w14:paraId="7A410A31" w14:textId="77777777" w:rsidR="00D0442A" w:rsidRPr="00856300" w:rsidRDefault="00D0442A" w:rsidP="00D0442A">
            <w:pPr>
              <w:spacing w:after="0"/>
              <w:ind w:firstLine="0"/>
              <w:contextualSpacing/>
              <w:jc w:val="right"/>
              <w:rPr>
                <w:b/>
                <w:bCs/>
                <w:sz w:val="18"/>
                <w:szCs w:val="18"/>
              </w:rPr>
            </w:pPr>
            <w:r w:rsidRPr="00856300">
              <w:rPr>
                <w:b/>
                <w:bCs/>
                <w:sz w:val="18"/>
                <w:szCs w:val="18"/>
              </w:rPr>
              <w:t>-969,7</w:t>
            </w:r>
          </w:p>
        </w:tc>
        <w:tc>
          <w:tcPr>
            <w:tcW w:w="850" w:type="dxa"/>
            <w:shd w:val="clear" w:color="auto" w:fill="auto"/>
            <w:noWrap/>
            <w:vAlign w:val="center"/>
          </w:tcPr>
          <w:p w14:paraId="2C30E074" w14:textId="77777777" w:rsidR="00D0442A" w:rsidRPr="00856300" w:rsidRDefault="00D0442A" w:rsidP="00D0442A">
            <w:pPr>
              <w:spacing w:after="0"/>
              <w:ind w:firstLine="0"/>
              <w:contextualSpacing/>
              <w:jc w:val="right"/>
              <w:rPr>
                <w:b/>
                <w:bCs/>
                <w:sz w:val="18"/>
                <w:szCs w:val="18"/>
              </w:rPr>
            </w:pPr>
            <w:r w:rsidRPr="00856300">
              <w:rPr>
                <w:b/>
                <w:bCs/>
                <w:sz w:val="18"/>
                <w:szCs w:val="18"/>
              </w:rPr>
              <w:t>-458,2</w:t>
            </w:r>
          </w:p>
        </w:tc>
        <w:tc>
          <w:tcPr>
            <w:tcW w:w="851" w:type="dxa"/>
            <w:shd w:val="clear" w:color="auto" w:fill="auto"/>
            <w:vAlign w:val="center"/>
          </w:tcPr>
          <w:p w14:paraId="6A1F9648" w14:textId="77777777" w:rsidR="00D0442A" w:rsidRPr="00856300" w:rsidRDefault="00D0442A" w:rsidP="00D0442A">
            <w:pPr>
              <w:spacing w:after="0"/>
              <w:ind w:firstLine="0"/>
              <w:contextualSpacing/>
              <w:jc w:val="right"/>
              <w:rPr>
                <w:b/>
                <w:bCs/>
                <w:sz w:val="18"/>
                <w:szCs w:val="18"/>
              </w:rPr>
            </w:pPr>
            <w:r w:rsidRPr="00856300">
              <w:rPr>
                <w:b/>
                <w:bCs/>
                <w:sz w:val="18"/>
                <w:szCs w:val="18"/>
              </w:rPr>
              <w:t>-97,4</w:t>
            </w:r>
          </w:p>
        </w:tc>
        <w:tc>
          <w:tcPr>
            <w:tcW w:w="850" w:type="dxa"/>
            <w:shd w:val="clear" w:color="auto" w:fill="auto"/>
            <w:noWrap/>
            <w:vAlign w:val="center"/>
          </w:tcPr>
          <w:p w14:paraId="58D547AF" w14:textId="77777777" w:rsidR="00D0442A" w:rsidRPr="00106DAD" w:rsidRDefault="00D0442A" w:rsidP="00D0442A">
            <w:pPr>
              <w:spacing w:after="0"/>
              <w:ind w:firstLine="0"/>
              <w:contextualSpacing/>
              <w:jc w:val="right"/>
              <w:rPr>
                <w:b/>
                <w:bCs/>
                <w:sz w:val="18"/>
                <w:szCs w:val="18"/>
              </w:rPr>
            </w:pPr>
            <w:r w:rsidRPr="00106DAD">
              <w:rPr>
                <w:b/>
                <w:bCs/>
                <w:sz w:val="18"/>
                <w:szCs w:val="18"/>
              </w:rPr>
              <w:t>-1 4</w:t>
            </w:r>
            <w:r>
              <w:rPr>
                <w:b/>
                <w:bCs/>
                <w:sz w:val="18"/>
                <w:szCs w:val="18"/>
              </w:rPr>
              <w:t>6</w:t>
            </w:r>
            <w:r w:rsidRPr="00106DAD">
              <w:rPr>
                <w:b/>
                <w:bCs/>
                <w:sz w:val="18"/>
                <w:szCs w:val="18"/>
              </w:rPr>
              <w:t>8,1</w:t>
            </w:r>
          </w:p>
        </w:tc>
        <w:tc>
          <w:tcPr>
            <w:tcW w:w="864" w:type="dxa"/>
            <w:shd w:val="clear" w:color="auto" w:fill="auto"/>
            <w:noWrap/>
            <w:vAlign w:val="center"/>
          </w:tcPr>
          <w:p w14:paraId="092BE443" w14:textId="77777777" w:rsidR="00D0442A" w:rsidRPr="00106DAD" w:rsidRDefault="00D0442A" w:rsidP="00D0442A">
            <w:pPr>
              <w:spacing w:after="0"/>
              <w:ind w:firstLine="0"/>
              <w:contextualSpacing/>
              <w:jc w:val="right"/>
              <w:rPr>
                <w:b/>
                <w:bCs/>
                <w:sz w:val="18"/>
                <w:szCs w:val="18"/>
              </w:rPr>
            </w:pPr>
            <w:r w:rsidRPr="00106DAD">
              <w:rPr>
                <w:b/>
                <w:bCs/>
                <w:sz w:val="18"/>
                <w:szCs w:val="18"/>
              </w:rPr>
              <w:t>-686,4</w:t>
            </w:r>
          </w:p>
        </w:tc>
        <w:tc>
          <w:tcPr>
            <w:tcW w:w="863" w:type="dxa"/>
            <w:shd w:val="clear" w:color="auto" w:fill="auto"/>
            <w:noWrap/>
            <w:vAlign w:val="center"/>
          </w:tcPr>
          <w:p w14:paraId="73E09017" w14:textId="77777777" w:rsidR="00D0442A" w:rsidRPr="00106DAD" w:rsidRDefault="00D0442A" w:rsidP="00D0442A">
            <w:pPr>
              <w:spacing w:after="0"/>
              <w:ind w:firstLine="0"/>
              <w:contextualSpacing/>
              <w:jc w:val="right"/>
              <w:rPr>
                <w:b/>
                <w:bCs/>
                <w:sz w:val="18"/>
                <w:szCs w:val="18"/>
              </w:rPr>
            </w:pPr>
            <w:r w:rsidRPr="00106DAD">
              <w:rPr>
                <w:b/>
                <w:bCs/>
                <w:sz w:val="18"/>
                <w:szCs w:val="18"/>
              </w:rPr>
              <w:t>-368,3</w:t>
            </w:r>
          </w:p>
        </w:tc>
      </w:tr>
      <w:tr w:rsidR="00D0442A" w:rsidRPr="006A6D52" w14:paraId="55EB17BC" w14:textId="77777777" w:rsidTr="00D0442A">
        <w:trPr>
          <w:trHeight w:val="20"/>
          <w:jc w:val="center"/>
        </w:trPr>
        <w:tc>
          <w:tcPr>
            <w:tcW w:w="2263" w:type="dxa"/>
            <w:shd w:val="clear" w:color="auto" w:fill="auto"/>
            <w:vAlign w:val="center"/>
          </w:tcPr>
          <w:p w14:paraId="1469D390" w14:textId="77777777" w:rsidR="00D0442A" w:rsidRPr="006A6D52" w:rsidRDefault="00D0442A" w:rsidP="00D0442A">
            <w:pPr>
              <w:spacing w:after="0"/>
              <w:ind w:firstLine="0"/>
              <w:contextualSpacing/>
              <w:jc w:val="right"/>
              <w:rPr>
                <w:bCs/>
                <w:i/>
                <w:color w:val="000000"/>
                <w:sz w:val="18"/>
                <w:szCs w:val="18"/>
              </w:rPr>
            </w:pPr>
            <w:r w:rsidRPr="006A6D52">
              <w:rPr>
                <w:bCs/>
                <w:i/>
                <w:color w:val="000000"/>
                <w:sz w:val="18"/>
                <w:szCs w:val="18"/>
              </w:rPr>
              <w:t>t.sk. komersanti</w:t>
            </w:r>
          </w:p>
        </w:tc>
        <w:tc>
          <w:tcPr>
            <w:tcW w:w="851" w:type="dxa"/>
            <w:shd w:val="clear" w:color="auto" w:fill="auto"/>
            <w:noWrap/>
            <w:vAlign w:val="center"/>
          </w:tcPr>
          <w:p w14:paraId="3AE607E4" w14:textId="77777777" w:rsidR="00D0442A" w:rsidRPr="007524D4" w:rsidRDefault="00D0442A" w:rsidP="00D0442A">
            <w:pPr>
              <w:spacing w:after="0"/>
              <w:ind w:firstLine="0"/>
              <w:contextualSpacing/>
              <w:jc w:val="right"/>
              <w:rPr>
                <w:bCs/>
                <w:sz w:val="18"/>
                <w:szCs w:val="18"/>
              </w:rPr>
            </w:pPr>
            <w:r w:rsidRPr="007524D4">
              <w:rPr>
                <w:bCs/>
                <w:sz w:val="18"/>
                <w:szCs w:val="18"/>
              </w:rPr>
              <w:t>-25,4</w:t>
            </w:r>
          </w:p>
        </w:tc>
        <w:tc>
          <w:tcPr>
            <w:tcW w:w="850" w:type="dxa"/>
            <w:shd w:val="clear" w:color="auto" w:fill="auto"/>
            <w:noWrap/>
            <w:vAlign w:val="center"/>
          </w:tcPr>
          <w:p w14:paraId="25C981BB" w14:textId="77777777" w:rsidR="00D0442A" w:rsidRPr="00856300" w:rsidRDefault="00D0442A" w:rsidP="00D0442A">
            <w:pPr>
              <w:spacing w:after="0"/>
              <w:ind w:firstLine="0"/>
              <w:contextualSpacing/>
              <w:jc w:val="right"/>
              <w:rPr>
                <w:bCs/>
                <w:sz w:val="18"/>
                <w:szCs w:val="18"/>
              </w:rPr>
            </w:pPr>
            <w:r w:rsidRPr="00856300">
              <w:rPr>
                <w:bCs/>
                <w:sz w:val="18"/>
                <w:szCs w:val="18"/>
              </w:rPr>
              <w:t>-17,1</w:t>
            </w:r>
          </w:p>
        </w:tc>
        <w:tc>
          <w:tcPr>
            <w:tcW w:w="851" w:type="dxa"/>
            <w:shd w:val="clear" w:color="auto" w:fill="auto"/>
            <w:noWrap/>
            <w:vAlign w:val="center"/>
          </w:tcPr>
          <w:p w14:paraId="3E82BCD9" w14:textId="77777777" w:rsidR="00D0442A" w:rsidRPr="00856300" w:rsidRDefault="00D0442A" w:rsidP="00D0442A">
            <w:pPr>
              <w:spacing w:after="0"/>
              <w:ind w:firstLine="0"/>
              <w:contextualSpacing/>
              <w:jc w:val="right"/>
              <w:rPr>
                <w:bCs/>
                <w:sz w:val="18"/>
                <w:szCs w:val="18"/>
              </w:rPr>
            </w:pPr>
            <w:r w:rsidRPr="00856300">
              <w:rPr>
                <w:bCs/>
                <w:sz w:val="18"/>
                <w:szCs w:val="18"/>
              </w:rPr>
              <w:t>-53,7</w:t>
            </w:r>
          </w:p>
        </w:tc>
        <w:tc>
          <w:tcPr>
            <w:tcW w:w="850" w:type="dxa"/>
            <w:shd w:val="clear" w:color="auto" w:fill="auto"/>
            <w:noWrap/>
            <w:vAlign w:val="center"/>
          </w:tcPr>
          <w:p w14:paraId="3893A979" w14:textId="77777777" w:rsidR="00D0442A" w:rsidRPr="00856300" w:rsidRDefault="00D0442A" w:rsidP="00D0442A">
            <w:pPr>
              <w:spacing w:after="0"/>
              <w:ind w:firstLine="0"/>
              <w:contextualSpacing/>
              <w:jc w:val="right"/>
              <w:rPr>
                <w:bCs/>
                <w:sz w:val="18"/>
                <w:szCs w:val="18"/>
              </w:rPr>
            </w:pPr>
            <w:r w:rsidRPr="00856300">
              <w:rPr>
                <w:bCs/>
                <w:sz w:val="18"/>
                <w:szCs w:val="18"/>
              </w:rPr>
              <w:t>-52,1</w:t>
            </w:r>
          </w:p>
        </w:tc>
        <w:tc>
          <w:tcPr>
            <w:tcW w:w="851" w:type="dxa"/>
            <w:shd w:val="clear" w:color="auto" w:fill="auto"/>
            <w:vAlign w:val="center"/>
          </w:tcPr>
          <w:p w14:paraId="13D95C3A" w14:textId="77777777" w:rsidR="00D0442A" w:rsidRPr="00856300" w:rsidRDefault="00D0442A" w:rsidP="00D0442A">
            <w:pPr>
              <w:spacing w:after="0"/>
              <w:ind w:firstLine="0"/>
              <w:contextualSpacing/>
              <w:jc w:val="right"/>
              <w:rPr>
                <w:bCs/>
                <w:sz w:val="18"/>
                <w:szCs w:val="18"/>
              </w:rPr>
            </w:pPr>
            <w:r w:rsidRPr="00856300">
              <w:rPr>
                <w:bCs/>
                <w:sz w:val="18"/>
                <w:szCs w:val="18"/>
              </w:rPr>
              <w:t>-7,0</w:t>
            </w:r>
          </w:p>
        </w:tc>
        <w:tc>
          <w:tcPr>
            <w:tcW w:w="850" w:type="dxa"/>
            <w:shd w:val="clear" w:color="auto" w:fill="auto"/>
            <w:noWrap/>
            <w:vAlign w:val="center"/>
          </w:tcPr>
          <w:p w14:paraId="14B3EBAC" w14:textId="77777777" w:rsidR="00D0442A" w:rsidRPr="00A75C11" w:rsidRDefault="00D0442A" w:rsidP="00D0442A">
            <w:pPr>
              <w:spacing w:after="0"/>
              <w:ind w:firstLine="0"/>
              <w:contextualSpacing/>
              <w:jc w:val="right"/>
              <w:rPr>
                <w:bCs/>
                <w:sz w:val="18"/>
                <w:szCs w:val="18"/>
                <w:highlight w:val="yellow"/>
              </w:rPr>
            </w:pPr>
            <w:r w:rsidRPr="00856300">
              <w:rPr>
                <w:bCs/>
                <w:sz w:val="18"/>
                <w:szCs w:val="18"/>
              </w:rPr>
              <w:t>-53,7</w:t>
            </w:r>
          </w:p>
        </w:tc>
        <w:tc>
          <w:tcPr>
            <w:tcW w:w="864" w:type="dxa"/>
            <w:shd w:val="clear" w:color="auto" w:fill="auto"/>
            <w:noWrap/>
            <w:vAlign w:val="center"/>
          </w:tcPr>
          <w:p w14:paraId="5564EDB7" w14:textId="77777777" w:rsidR="00D0442A" w:rsidRPr="00A75C11" w:rsidRDefault="00D0442A" w:rsidP="00D0442A">
            <w:pPr>
              <w:spacing w:after="0"/>
              <w:ind w:firstLine="0"/>
              <w:contextualSpacing/>
              <w:jc w:val="right"/>
              <w:rPr>
                <w:bCs/>
                <w:sz w:val="18"/>
                <w:szCs w:val="18"/>
                <w:highlight w:val="yellow"/>
              </w:rPr>
            </w:pPr>
            <w:r w:rsidRPr="00856300">
              <w:rPr>
                <w:bCs/>
                <w:sz w:val="18"/>
                <w:szCs w:val="18"/>
              </w:rPr>
              <w:t>-52,1</w:t>
            </w:r>
          </w:p>
        </w:tc>
        <w:tc>
          <w:tcPr>
            <w:tcW w:w="863" w:type="dxa"/>
            <w:shd w:val="clear" w:color="auto" w:fill="auto"/>
            <w:noWrap/>
            <w:vAlign w:val="center"/>
          </w:tcPr>
          <w:p w14:paraId="1C006338" w14:textId="77777777" w:rsidR="00D0442A" w:rsidRPr="00A75C11" w:rsidRDefault="00D0442A" w:rsidP="00D0442A">
            <w:pPr>
              <w:spacing w:after="0"/>
              <w:ind w:firstLine="0"/>
              <w:contextualSpacing/>
              <w:jc w:val="right"/>
              <w:rPr>
                <w:bCs/>
                <w:sz w:val="18"/>
                <w:szCs w:val="18"/>
                <w:highlight w:val="yellow"/>
              </w:rPr>
            </w:pPr>
            <w:r w:rsidRPr="00856300">
              <w:rPr>
                <w:bCs/>
                <w:sz w:val="18"/>
                <w:szCs w:val="18"/>
              </w:rPr>
              <w:t>-7,0</w:t>
            </w:r>
          </w:p>
        </w:tc>
      </w:tr>
      <w:tr w:rsidR="00D0442A" w:rsidRPr="006A6D52" w14:paraId="5CAC14B3" w14:textId="77777777" w:rsidTr="00D0442A">
        <w:trPr>
          <w:trHeight w:val="20"/>
          <w:jc w:val="center"/>
        </w:trPr>
        <w:tc>
          <w:tcPr>
            <w:tcW w:w="2263" w:type="dxa"/>
            <w:shd w:val="clear" w:color="auto" w:fill="auto"/>
            <w:vAlign w:val="center"/>
          </w:tcPr>
          <w:p w14:paraId="36FA7092" w14:textId="77777777" w:rsidR="00D0442A" w:rsidRPr="006A6D52" w:rsidRDefault="00D0442A" w:rsidP="00D0442A">
            <w:pPr>
              <w:spacing w:after="0"/>
              <w:ind w:firstLine="0"/>
              <w:contextualSpacing/>
              <w:jc w:val="left"/>
              <w:rPr>
                <w:b/>
                <w:bCs/>
                <w:color w:val="000000"/>
                <w:sz w:val="18"/>
                <w:szCs w:val="18"/>
              </w:rPr>
            </w:pPr>
            <w:r w:rsidRPr="006A6D52">
              <w:rPr>
                <w:b/>
                <w:bCs/>
                <w:color w:val="000000"/>
                <w:sz w:val="18"/>
                <w:szCs w:val="18"/>
              </w:rPr>
              <w:t xml:space="preserve">     Vietējā valdība</w:t>
            </w:r>
          </w:p>
        </w:tc>
        <w:tc>
          <w:tcPr>
            <w:tcW w:w="851" w:type="dxa"/>
            <w:shd w:val="clear" w:color="auto" w:fill="auto"/>
            <w:noWrap/>
            <w:vAlign w:val="center"/>
          </w:tcPr>
          <w:p w14:paraId="40BD72BF" w14:textId="77777777" w:rsidR="00D0442A" w:rsidRPr="007524D4" w:rsidRDefault="00D0442A" w:rsidP="00D0442A">
            <w:pPr>
              <w:spacing w:after="0"/>
              <w:ind w:firstLine="0"/>
              <w:contextualSpacing/>
              <w:jc w:val="right"/>
              <w:rPr>
                <w:b/>
                <w:bCs/>
                <w:sz w:val="18"/>
                <w:szCs w:val="18"/>
              </w:rPr>
            </w:pPr>
            <w:r w:rsidRPr="007524D4">
              <w:rPr>
                <w:b/>
                <w:bCs/>
                <w:sz w:val="18"/>
                <w:szCs w:val="18"/>
              </w:rPr>
              <w:t>-38,4</w:t>
            </w:r>
          </w:p>
        </w:tc>
        <w:tc>
          <w:tcPr>
            <w:tcW w:w="850" w:type="dxa"/>
            <w:shd w:val="clear" w:color="auto" w:fill="auto"/>
            <w:noWrap/>
            <w:vAlign w:val="center"/>
          </w:tcPr>
          <w:p w14:paraId="3EE7DDD5" w14:textId="77777777" w:rsidR="00D0442A" w:rsidRPr="00856300" w:rsidRDefault="00D0442A" w:rsidP="00D0442A">
            <w:pPr>
              <w:spacing w:after="0"/>
              <w:ind w:firstLine="0"/>
              <w:contextualSpacing/>
              <w:jc w:val="right"/>
              <w:rPr>
                <w:b/>
                <w:bCs/>
                <w:sz w:val="18"/>
                <w:szCs w:val="18"/>
              </w:rPr>
            </w:pPr>
            <w:r>
              <w:rPr>
                <w:b/>
                <w:bCs/>
                <w:sz w:val="18"/>
                <w:szCs w:val="18"/>
              </w:rPr>
              <w:t>-</w:t>
            </w:r>
            <w:r w:rsidRPr="00856300">
              <w:rPr>
                <w:b/>
                <w:bCs/>
                <w:sz w:val="18"/>
                <w:szCs w:val="18"/>
              </w:rPr>
              <w:t>105,3</w:t>
            </w:r>
          </w:p>
        </w:tc>
        <w:tc>
          <w:tcPr>
            <w:tcW w:w="851" w:type="dxa"/>
            <w:shd w:val="clear" w:color="auto" w:fill="auto"/>
            <w:noWrap/>
            <w:vAlign w:val="center"/>
          </w:tcPr>
          <w:p w14:paraId="6036030D" w14:textId="77777777" w:rsidR="00D0442A" w:rsidRPr="00856300" w:rsidRDefault="00D0442A" w:rsidP="00D0442A">
            <w:pPr>
              <w:spacing w:after="0"/>
              <w:ind w:firstLine="0"/>
              <w:contextualSpacing/>
              <w:jc w:val="right"/>
              <w:rPr>
                <w:b/>
                <w:bCs/>
                <w:sz w:val="18"/>
                <w:szCs w:val="18"/>
              </w:rPr>
            </w:pPr>
            <w:r w:rsidRPr="00856300">
              <w:rPr>
                <w:b/>
                <w:bCs/>
                <w:sz w:val="18"/>
                <w:szCs w:val="18"/>
              </w:rPr>
              <w:t>-20,2</w:t>
            </w:r>
          </w:p>
        </w:tc>
        <w:tc>
          <w:tcPr>
            <w:tcW w:w="850" w:type="dxa"/>
            <w:shd w:val="clear" w:color="auto" w:fill="auto"/>
            <w:noWrap/>
            <w:vAlign w:val="center"/>
          </w:tcPr>
          <w:p w14:paraId="131FFF4A" w14:textId="77777777" w:rsidR="00D0442A" w:rsidRPr="00856300" w:rsidRDefault="00D0442A" w:rsidP="00D0442A">
            <w:pPr>
              <w:spacing w:after="0"/>
              <w:ind w:firstLine="0"/>
              <w:contextualSpacing/>
              <w:jc w:val="right"/>
              <w:rPr>
                <w:b/>
                <w:bCs/>
                <w:sz w:val="18"/>
                <w:szCs w:val="18"/>
              </w:rPr>
            </w:pPr>
            <w:r w:rsidRPr="00856300">
              <w:rPr>
                <w:b/>
                <w:bCs/>
                <w:sz w:val="18"/>
                <w:szCs w:val="18"/>
              </w:rPr>
              <w:t>-24,5</w:t>
            </w:r>
          </w:p>
        </w:tc>
        <w:tc>
          <w:tcPr>
            <w:tcW w:w="851" w:type="dxa"/>
            <w:shd w:val="clear" w:color="auto" w:fill="auto"/>
            <w:vAlign w:val="center"/>
          </w:tcPr>
          <w:p w14:paraId="4D916D22" w14:textId="77777777" w:rsidR="00D0442A" w:rsidRPr="00856300" w:rsidRDefault="00D0442A" w:rsidP="00D0442A">
            <w:pPr>
              <w:spacing w:after="0"/>
              <w:ind w:firstLine="0"/>
              <w:contextualSpacing/>
              <w:jc w:val="right"/>
              <w:rPr>
                <w:b/>
                <w:bCs/>
                <w:sz w:val="18"/>
                <w:szCs w:val="18"/>
              </w:rPr>
            </w:pPr>
            <w:r w:rsidRPr="00856300">
              <w:rPr>
                <w:b/>
                <w:bCs/>
                <w:sz w:val="18"/>
                <w:szCs w:val="18"/>
              </w:rPr>
              <w:t>-13,9</w:t>
            </w:r>
          </w:p>
        </w:tc>
        <w:tc>
          <w:tcPr>
            <w:tcW w:w="850" w:type="dxa"/>
            <w:shd w:val="clear" w:color="auto" w:fill="auto"/>
            <w:noWrap/>
            <w:vAlign w:val="center"/>
          </w:tcPr>
          <w:p w14:paraId="5F14947B" w14:textId="77777777" w:rsidR="00D0442A" w:rsidRPr="00106DAD" w:rsidRDefault="00D0442A" w:rsidP="00D0442A">
            <w:pPr>
              <w:spacing w:after="0"/>
              <w:ind w:firstLine="0"/>
              <w:contextualSpacing/>
              <w:jc w:val="right"/>
              <w:rPr>
                <w:b/>
                <w:bCs/>
                <w:sz w:val="18"/>
                <w:szCs w:val="18"/>
              </w:rPr>
            </w:pPr>
            <w:r w:rsidRPr="00106DAD">
              <w:rPr>
                <w:b/>
                <w:bCs/>
                <w:sz w:val="18"/>
                <w:szCs w:val="18"/>
              </w:rPr>
              <w:t>-181,1</w:t>
            </w:r>
          </w:p>
        </w:tc>
        <w:tc>
          <w:tcPr>
            <w:tcW w:w="864" w:type="dxa"/>
            <w:shd w:val="clear" w:color="auto" w:fill="auto"/>
            <w:noWrap/>
            <w:vAlign w:val="center"/>
          </w:tcPr>
          <w:p w14:paraId="33911870" w14:textId="77777777" w:rsidR="00D0442A" w:rsidRPr="00106DAD" w:rsidRDefault="00D0442A" w:rsidP="00D0442A">
            <w:pPr>
              <w:spacing w:after="0"/>
              <w:ind w:firstLine="0"/>
              <w:contextualSpacing/>
              <w:jc w:val="right"/>
              <w:rPr>
                <w:b/>
                <w:bCs/>
                <w:sz w:val="18"/>
                <w:szCs w:val="18"/>
              </w:rPr>
            </w:pPr>
            <w:r w:rsidRPr="00106DAD">
              <w:rPr>
                <w:b/>
                <w:bCs/>
                <w:sz w:val="18"/>
                <w:szCs w:val="18"/>
              </w:rPr>
              <w:t>-144,6</w:t>
            </w:r>
          </w:p>
        </w:tc>
        <w:tc>
          <w:tcPr>
            <w:tcW w:w="863" w:type="dxa"/>
            <w:shd w:val="clear" w:color="auto" w:fill="auto"/>
            <w:noWrap/>
            <w:vAlign w:val="center"/>
          </w:tcPr>
          <w:p w14:paraId="60634DC9" w14:textId="77777777" w:rsidR="00D0442A" w:rsidRPr="00106DAD" w:rsidRDefault="00D0442A" w:rsidP="00D0442A">
            <w:pPr>
              <w:spacing w:after="0"/>
              <w:ind w:firstLine="0"/>
              <w:contextualSpacing/>
              <w:jc w:val="right"/>
              <w:rPr>
                <w:b/>
                <w:bCs/>
                <w:sz w:val="18"/>
                <w:szCs w:val="18"/>
              </w:rPr>
            </w:pPr>
            <w:r w:rsidRPr="00106DAD">
              <w:rPr>
                <w:b/>
                <w:bCs/>
                <w:sz w:val="18"/>
                <w:szCs w:val="18"/>
              </w:rPr>
              <w:t>-135,1</w:t>
            </w:r>
          </w:p>
        </w:tc>
      </w:tr>
      <w:tr w:rsidR="00D0442A" w:rsidRPr="006A6D52" w14:paraId="16E867D2" w14:textId="77777777" w:rsidTr="00D0442A">
        <w:trPr>
          <w:trHeight w:val="20"/>
          <w:jc w:val="center"/>
        </w:trPr>
        <w:tc>
          <w:tcPr>
            <w:tcW w:w="2263" w:type="dxa"/>
            <w:shd w:val="clear" w:color="auto" w:fill="auto"/>
            <w:vAlign w:val="center"/>
          </w:tcPr>
          <w:p w14:paraId="50A2FA75" w14:textId="77777777" w:rsidR="00D0442A" w:rsidRPr="006A6D52" w:rsidRDefault="00D0442A" w:rsidP="00D0442A">
            <w:pPr>
              <w:spacing w:after="0"/>
              <w:ind w:firstLine="0"/>
              <w:contextualSpacing/>
              <w:jc w:val="right"/>
              <w:rPr>
                <w:b/>
                <w:bCs/>
                <w:color w:val="000000"/>
                <w:sz w:val="18"/>
                <w:szCs w:val="18"/>
              </w:rPr>
            </w:pPr>
            <w:r w:rsidRPr="006A6D52">
              <w:rPr>
                <w:bCs/>
                <w:i/>
                <w:color w:val="000000"/>
                <w:sz w:val="18"/>
                <w:szCs w:val="18"/>
              </w:rPr>
              <w:t>t.sk. komersanti</w:t>
            </w:r>
          </w:p>
        </w:tc>
        <w:tc>
          <w:tcPr>
            <w:tcW w:w="851" w:type="dxa"/>
            <w:shd w:val="clear" w:color="auto" w:fill="auto"/>
            <w:noWrap/>
            <w:vAlign w:val="center"/>
          </w:tcPr>
          <w:p w14:paraId="176F35C5" w14:textId="77777777" w:rsidR="00D0442A" w:rsidRPr="007524D4" w:rsidRDefault="00D0442A" w:rsidP="00D0442A">
            <w:pPr>
              <w:spacing w:after="0"/>
              <w:ind w:firstLine="0"/>
              <w:contextualSpacing/>
              <w:jc w:val="right"/>
              <w:rPr>
                <w:bCs/>
                <w:sz w:val="18"/>
                <w:szCs w:val="18"/>
              </w:rPr>
            </w:pPr>
            <w:r w:rsidRPr="007524D4">
              <w:rPr>
                <w:bCs/>
                <w:sz w:val="18"/>
                <w:szCs w:val="18"/>
              </w:rPr>
              <w:t>19,4</w:t>
            </w:r>
          </w:p>
        </w:tc>
        <w:tc>
          <w:tcPr>
            <w:tcW w:w="850" w:type="dxa"/>
            <w:shd w:val="clear" w:color="auto" w:fill="auto"/>
            <w:noWrap/>
            <w:vAlign w:val="center"/>
          </w:tcPr>
          <w:p w14:paraId="206E8330" w14:textId="77777777" w:rsidR="00D0442A" w:rsidRPr="00856300" w:rsidRDefault="00D0442A" w:rsidP="00D0442A">
            <w:pPr>
              <w:spacing w:after="0"/>
              <w:ind w:firstLine="0"/>
              <w:contextualSpacing/>
              <w:jc w:val="right"/>
              <w:rPr>
                <w:bCs/>
                <w:sz w:val="18"/>
                <w:szCs w:val="18"/>
              </w:rPr>
            </w:pPr>
            <w:r w:rsidRPr="00856300">
              <w:rPr>
                <w:bCs/>
                <w:sz w:val="18"/>
                <w:szCs w:val="18"/>
              </w:rPr>
              <w:t>-43,3</w:t>
            </w:r>
          </w:p>
        </w:tc>
        <w:tc>
          <w:tcPr>
            <w:tcW w:w="851" w:type="dxa"/>
            <w:shd w:val="clear" w:color="auto" w:fill="auto"/>
            <w:noWrap/>
            <w:vAlign w:val="center"/>
          </w:tcPr>
          <w:p w14:paraId="4AAB79E4" w14:textId="77777777" w:rsidR="00D0442A" w:rsidRPr="00856300" w:rsidRDefault="00D0442A" w:rsidP="00D0442A">
            <w:pPr>
              <w:spacing w:after="0"/>
              <w:ind w:firstLine="0"/>
              <w:contextualSpacing/>
              <w:jc w:val="right"/>
              <w:rPr>
                <w:bCs/>
                <w:sz w:val="18"/>
                <w:szCs w:val="18"/>
              </w:rPr>
            </w:pPr>
            <w:r w:rsidRPr="00856300">
              <w:rPr>
                <w:bCs/>
                <w:sz w:val="18"/>
                <w:szCs w:val="18"/>
              </w:rPr>
              <w:t>11,4</w:t>
            </w:r>
          </w:p>
        </w:tc>
        <w:tc>
          <w:tcPr>
            <w:tcW w:w="850" w:type="dxa"/>
            <w:shd w:val="clear" w:color="auto" w:fill="auto"/>
            <w:noWrap/>
            <w:vAlign w:val="center"/>
          </w:tcPr>
          <w:p w14:paraId="2F6FF52C" w14:textId="77777777" w:rsidR="00D0442A" w:rsidRPr="00856300" w:rsidRDefault="00D0442A" w:rsidP="00D0442A">
            <w:pPr>
              <w:spacing w:after="0"/>
              <w:ind w:firstLine="0"/>
              <w:contextualSpacing/>
              <w:jc w:val="right"/>
              <w:rPr>
                <w:bCs/>
                <w:sz w:val="18"/>
                <w:szCs w:val="18"/>
              </w:rPr>
            </w:pPr>
            <w:r w:rsidRPr="00856300">
              <w:rPr>
                <w:bCs/>
                <w:sz w:val="18"/>
                <w:szCs w:val="18"/>
              </w:rPr>
              <w:t>13,0</w:t>
            </w:r>
          </w:p>
        </w:tc>
        <w:tc>
          <w:tcPr>
            <w:tcW w:w="851" w:type="dxa"/>
            <w:shd w:val="clear" w:color="auto" w:fill="auto"/>
            <w:vAlign w:val="center"/>
          </w:tcPr>
          <w:p w14:paraId="751D6E8D" w14:textId="77777777" w:rsidR="00D0442A" w:rsidRPr="00856300" w:rsidRDefault="00D0442A" w:rsidP="00D0442A">
            <w:pPr>
              <w:spacing w:after="0"/>
              <w:ind w:firstLine="0"/>
              <w:contextualSpacing/>
              <w:jc w:val="right"/>
              <w:rPr>
                <w:bCs/>
                <w:sz w:val="18"/>
                <w:szCs w:val="18"/>
              </w:rPr>
            </w:pPr>
            <w:r w:rsidRPr="00856300">
              <w:rPr>
                <w:bCs/>
                <w:sz w:val="18"/>
                <w:szCs w:val="18"/>
              </w:rPr>
              <w:t>33,3</w:t>
            </w:r>
          </w:p>
        </w:tc>
        <w:tc>
          <w:tcPr>
            <w:tcW w:w="850" w:type="dxa"/>
            <w:shd w:val="clear" w:color="auto" w:fill="auto"/>
            <w:noWrap/>
            <w:vAlign w:val="center"/>
          </w:tcPr>
          <w:p w14:paraId="052701B3" w14:textId="77777777" w:rsidR="00D0442A" w:rsidRPr="00106DAD" w:rsidRDefault="00D0442A" w:rsidP="00D0442A">
            <w:pPr>
              <w:spacing w:after="0"/>
              <w:ind w:firstLine="0"/>
              <w:contextualSpacing/>
              <w:jc w:val="right"/>
              <w:rPr>
                <w:bCs/>
                <w:sz w:val="18"/>
                <w:szCs w:val="18"/>
              </w:rPr>
            </w:pPr>
            <w:r w:rsidRPr="00106DAD">
              <w:rPr>
                <w:bCs/>
                <w:sz w:val="18"/>
                <w:szCs w:val="18"/>
              </w:rPr>
              <w:t>-9,6</w:t>
            </w:r>
          </w:p>
        </w:tc>
        <w:tc>
          <w:tcPr>
            <w:tcW w:w="864" w:type="dxa"/>
            <w:shd w:val="clear" w:color="auto" w:fill="auto"/>
            <w:noWrap/>
            <w:vAlign w:val="center"/>
          </w:tcPr>
          <w:p w14:paraId="4478E7D9" w14:textId="77777777" w:rsidR="00D0442A" w:rsidRPr="00106DAD" w:rsidRDefault="00D0442A" w:rsidP="00D0442A">
            <w:pPr>
              <w:spacing w:after="0"/>
              <w:ind w:firstLine="0"/>
              <w:contextualSpacing/>
              <w:jc w:val="right"/>
              <w:rPr>
                <w:bCs/>
                <w:sz w:val="18"/>
                <w:szCs w:val="18"/>
              </w:rPr>
            </w:pPr>
            <w:r w:rsidRPr="00106DAD">
              <w:rPr>
                <w:bCs/>
                <w:sz w:val="18"/>
                <w:szCs w:val="18"/>
              </w:rPr>
              <w:t>13,0</w:t>
            </w:r>
          </w:p>
        </w:tc>
        <w:tc>
          <w:tcPr>
            <w:tcW w:w="863" w:type="dxa"/>
            <w:shd w:val="clear" w:color="auto" w:fill="auto"/>
            <w:noWrap/>
            <w:vAlign w:val="center"/>
          </w:tcPr>
          <w:p w14:paraId="6D635608" w14:textId="77777777" w:rsidR="00D0442A" w:rsidRPr="00A75C11" w:rsidRDefault="00D0442A" w:rsidP="00D0442A">
            <w:pPr>
              <w:spacing w:after="0"/>
              <w:ind w:firstLine="0"/>
              <w:contextualSpacing/>
              <w:jc w:val="right"/>
              <w:rPr>
                <w:bCs/>
                <w:sz w:val="18"/>
                <w:szCs w:val="18"/>
                <w:highlight w:val="yellow"/>
              </w:rPr>
            </w:pPr>
            <w:r w:rsidRPr="00856300">
              <w:rPr>
                <w:bCs/>
                <w:sz w:val="18"/>
                <w:szCs w:val="18"/>
              </w:rPr>
              <w:t>33,3</w:t>
            </w:r>
          </w:p>
        </w:tc>
      </w:tr>
      <w:tr w:rsidR="00D0442A" w:rsidRPr="006A6D52" w14:paraId="33F68F8E" w14:textId="77777777" w:rsidTr="00D0442A">
        <w:trPr>
          <w:trHeight w:val="20"/>
          <w:jc w:val="center"/>
        </w:trPr>
        <w:tc>
          <w:tcPr>
            <w:tcW w:w="2263" w:type="dxa"/>
            <w:shd w:val="clear" w:color="auto" w:fill="auto"/>
            <w:vAlign w:val="center"/>
          </w:tcPr>
          <w:p w14:paraId="6CE3A0F4" w14:textId="77777777" w:rsidR="00D0442A" w:rsidRPr="006A6D52" w:rsidRDefault="00D0442A" w:rsidP="00D0442A">
            <w:pPr>
              <w:spacing w:after="0"/>
              <w:ind w:firstLine="0"/>
              <w:contextualSpacing/>
              <w:jc w:val="left"/>
              <w:rPr>
                <w:b/>
                <w:bCs/>
                <w:color w:val="000000"/>
                <w:sz w:val="18"/>
                <w:szCs w:val="18"/>
              </w:rPr>
            </w:pPr>
            <w:r w:rsidRPr="006A6D52">
              <w:rPr>
                <w:b/>
                <w:bCs/>
                <w:color w:val="000000"/>
                <w:sz w:val="18"/>
                <w:szCs w:val="18"/>
              </w:rPr>
              <w:t xml:space="preserve">     Sociālās nodrošināšanas fondi</w:t>
            </w:r>
          </w:p>
        </w:tc>
        <w:tc>
          <w:tcPr>
            <w:tcW w:w="851" w:type="dxa"/>
            <w:shd w:val="clear" w:color="auto" w:fill="auto"/>
            <w:noWrap/>
            <w:vAlign w:val="center"/>
          </w:tcPr>
          <w:p w14:paraId="73A29D49" w14:textId="77777777" w:rsidR="00D0442A" w:rsidRPr="007524D4" w:rsidRDefault="00D0442A" w:rsidP="00D0442A">
            <w:pPr>
              <w:spacing w:after="0"/>
              <w:ind w:firstLine="0"/>
              <w:contextualSpacing/>
              <w:jc w:val="right"/>
              <w:rPr>
                <w:b/>
                <w:bCs/>
                <w:sz w:val="18"/>
                <w:szCs w:val="18"/>
              </w:rPr>
            </w:pPr>
            <w:r w:rsidRPr="007524D4">
              <w:rPr>
                <w:b/>
                <w:bCs/>
                <w:sz w:val="18"/>
                <w:szCs w:val="18"/>
              </w:rPr>
              <w:t>132,6</w:t>
            </w:r>
          </w:p>
        </w:tc>
        <w:tc>
          <w:tcPr>
            <w:tcW w:w="850" w:type="dxa"/>
            <w:shd w:val="clear" w:color="auto" w:fill="auto"/>
            <w:noWrap/>
            <w:vAlign w:val="center"/>
          </w:tcPr>
          <w:p w14:paraId="4078E20B" w14:textId="77777777" w:rsidR="00D0442A" w:rsidRPr="00856300" w:rsidRDefault="00D0442A" w:rsidP="00D0442A">
            <w:pPr>
              <w:spacing w:after="0"/>
              <w:ind w:firstLine="0"/>
              <w:contextualSpacing/>
              <w:jc w:val="right"/>
              <w:rPr>
                <w:b/>
                <w:bCs/>
                <w:sz w:val="18"/>
                <w:szCs w:val="18"/>
              </w:rPr>
            </w:pPr>
            <w:r w:rsidRPr="00856300">
              <w:rPr>
                <w:b/>
                <w:bCs/>
                <w:sz w:val="18"/>
                <w:szCs w:val="18"/>
              </w:rPr>
              <w:t>-20,7</w:t>
            </w:r>
          </w:p>
        </w:tc>
        <w:tc>
          <w:tcPr>
            <w:tcW w:w="851" w:type="dxa"/>
            <w:shd w:val="clear" w:color="auto" w:fill="auto"/>
            <w:noWrap/>
            <w:vAlign w:val="center"/>
          </w:tcPr>
          <w:p w14:paraId="7884A8D1" w14:textId="77777777" w:rsidR="00D0442A" w:rsidRPr="00856300" w:rsidRDefault="00D0442A" w:rsidP="00D0442A">
            <w:pPr>
              <w:spacing w:after="0"/>
              <w:ind w:firstLine="0"/>
              <w:contextualSpacing/>
              <w:jc w:val="right"/>
              <w:rPr>
                <w:b/>
                <w:bCs/>
                <w:sz w:val="18"/>
                <w:szCs w:val="18"/>
              </w:rPr>
            </w:pPr>
            <w:r w:rsidRPr="00856300">
              <w:rPr>
                <w:b/>
                <w:bCs/>
                <w:sz w:val="18"/>
                <w:szCs w:val="18"/>
              </w:rPr>
              <w:t>-10,2</w:t>
            </w:r>
          </w:p>
        </w:tc>
        <w:tc>
          <w:tcPr>
            <w:tcW w:w="850" w:type="dxa"/>
            <w:shd w:val="clear" w:color="auto" w:fill="auto"/>
            <w:noWrap/>
            <w:vAlign w:val="center"/>
          </w:tcPr>
          <w:p w14:paraId="144D5E8D" w14:textId="77777777" w:rsidR="00D0442A" w:rsidRPr="00856300" w:rsidRDefault="00D0442A" w:rsidP="00D0442A">
            <w:pPr>
              <w:spacing w:after="0"/>
              <w:ind w:firstLine="0"/>
              <w:contextualSpacing/>
              <w:jc w:val="right"/>
              <w:rPr>
                <w:b/>
                <w:bCs/>
                <w:sz w:val="18"/>
                <w:szCs w:val="18"/>
              </w:rPr>
            </w:pPr>
            <w:r w:rsidRPr="00856300">
              <w:rPr>
                <w:b/>
                <w:bCs/>
                <w:sz w:val="18"/>
                <w:szCs w:val="18"/>
              </w:rPr>
              <w:t>39,0</w:t>
            </w:r>
          </w:p>
        </w:tc>
        <w:tc>
          <w:tcPr>
            <w:tcW w:w="851" w:type="dxa"/>
            <w:shd w:val="clear" w:color="auto" w:fill="auto"/>
            <w:vAlign w:val="center"/>
          </w:tcPr>
          <w:p w14:paraId="77310E2D" w14:textId="77777777" w:rsidR="00D0442A" w:rsidRPr="00856300" w:rsidRDefault="00D0442A" w:rsidP="00D0442A">
            <w:pPr>
              <w:spacing w:after="0"/>
              <w:ind w:firstLine="0"/>
              <w:contextualSpacing/>
              <w:jc w:val="right"/>
              <w:rPr>
                <w:b/>
                <w:bCs/>
                <w:sz w:val="18"/>
                <w:szCs w:val="18"/>
              </w:rPr>
            </w:pPr>
            <w:r w:rsidRPr="00856300">
              <w:rPr>
                <w:b/>
                <w:bCs/>
                <w:sz w:val="18"/>
                <w:szCs w:val="18"/>
              </w:rPr>
              <w:t>-19,3</w:t>
            </w:r>
          </w:p>
        </w:tc>
        <w:tc>
          <w:tcPr>
            <w:tcW w:w="850" w:type="dxa"/>
            <w:shd w:val="clear" w:color="auto" w:fill="auto"/>
            <w:noWrap/>
            <w:vAlign w:val="center"/>
          </w:tcPr>
          <w:p w14:paraId="2FF9D513" w14:textId="77777777" w:rsidR="00D0442A" w:rsidRPr="00106DAD" w:rsidRDefault="00D0442A" w:rsidP="00D0442A">
            <w:pPr>
              <w:spacing w:after="0"/>
              <w:ind w:firstLine="0"/>
              <w:contextualSpacing/>
              <w:jc w:val="right"/>
              <w:rPr>
                <w:b/>
                <w:bCs/>
                <w:sz w:val="18"/>
                <w:szCs w:val="18"/>
              </w:rPr>
            </w:pPr>
            <w:r w:rsidRPr="00106DAD">
              <w:rPr>
                <w:b/>
                <w:bCs/>
                <w:sz w:val="18"/>
                <w:szCs w:val="18"/>
              </w:rPr>
              <w:t>28,2</w:t>
            </w:r>
          </w:p>
        </w:tc>
        <w:tc>
          <w:tcPr>
            <w:tcW w:w="864" w:type="dxa"/>
            <w:shd w:val="clear" w:color="auto" w:fill="auto"/>
            <w:noWrap/>
            <w:vAlign w:val="center"/>
          </w:tcPr>
          <w:p w14:paraId="1E701624" w14:textId="77777777" w:rsidR="00D0442A" w:rsidRPr="00106DAD" w:rsidRDefault="00D0442A" w:rsidP="00D0442A">
            <w:pPr>
              <w:spacing w:after="0"/>
              <w:ind w:firstLine="0"/>
              <w:contextualSpacing/>
              <w:jc w:val="right"/>
              <w:rPr>
                <w:b/>
                <w:bCs/>
                <w:sz w:val="18"/>
                <w:szCs w:val="18"/>
              </w:rPr>
            </w:pPr>
            <w:r w:rsidRPr="00106DAD">
              <w:rPr>
                <w:b/>
                <w:bCs/>
                <w:sz w:val="18"/>
                <w:szCs w:val="18"/>
              </w:rPr>
              <w:t>82,6</w:t>
            </w:r>
          </w:p>
        </w:tc>
        <w:tc>
          <w:tcPr>
            <w:tcW w:w="863" w:type="dxa"/>
            <w:shd w:val="clear" w:color="auto" w:fill="auto"/>
            <w:noWrap/>
            <w:vAlign w:val="center"/>
          </w:tcPr>
          <w:p w14:paraId="4D0E2D8E" w14:textId="77777777" w:rsidR="00D0442A" w:rsidRPr="00106DAD" w:rsidRDefault="00D0442A" w:rsidP="00D0442A">
            <w:pPr>
              <w:spacing w:after="0"/>
              <w:ind w:firstLine="0"/>
              <w:contextualSpacing/>
              <w:jc w:val="right"/>
              <w:rPr>
                <w:b/>
                <w:bCs/>
                <w:sz w:val="18"/>
                <w:szCs w:val="18"/>
              </w:rPr>
            </w:pPr>
            <w:r w:rsidRPr="00106DAD">
              <w:rPr>
                <w:b/>
                <w:bCs/>
                <w:sz w:val="18"/>
                <w:szCs w:val="18"/>
              </w:rPr>
              <w:t>25,2</w:t>
            </w:r>
          </w:p>
        </w:tc>
      </w:tr>
      <w:tr w:rsidR="00D0442A" w:rsidRPr="006A6D52" w14:paraId="6D390446" w14:textId="77777777" w:rsidTr="00D0442A">
        <w:trPr>
          <w:trHeight w:val="20"/>
          <w:jc w:val="center"/>
        </w:trPr>
        <w:tc>
          <w:tcPr>
            <w:tcW w:w="2263" w:type="dxa"/>
            <w:shd w:val="clear" w:color="auto" w:fill="auto"/>
            <w:noWrap/>
            <w:vAlign w:val="center"/>
            <w:hideMark/>
          </w:tcPr>
          <w:p w14:paraId="14EE14CD" w14:textId="77777777" w:rsidR="00D0442A" w:rsidRPr="006A6D52" w:rsidRDefault="00D0442A" w:rsidP="00D0442A">
            <w:pPr>
              <w:spacing w:after="0"/>
              <w:ind w:firstLine="0"/>
              <w:contextualSpacing/>
              <w:jc w:val="left"/>
              <w:rPr>
                <w:color w:val="000000"/>
                <w:sz w:val="18"/>
                <w:szCs w:val="18"/>
              </w:rPr>
            </w:pPr>
            <w:r w:rsidRPr="006A6D52">
              <w:rPr>
                <w:color w:val="000000"/>
                <w:sz w:val="18"/>
                <w:szCs w:val="18"/>
              </w:rPr>
              <w:t>EKS korekcijas</w:t>
            </w:r>
          </w:p>
        </w:tc>
        <w:tc>
          <w:tcPr>
            <w:tcW w:w="851" w:type="dxa"/>
            <w:shd w:val="clear" w:color="auto" w:fill="auto"/>
            <w:noWrap/>
            <w:vAlign w:val="center"/>
            <w:hideMark/>
          </w:tcPr>
          <w:p w14:paraId="0CA0CAA0" w14:textId="77777777" w:rsidR="00D0442A" w:rsidRPr="00DB1316" w:rsidRDefault="00D0442A" w:rsidP="00D0442A">
            <w:pPr>
              <w:spacing w:after="0"/>
              <w:ind w:firstLine="0"/>
              <w:contextualSpacing/>
              <w:jc w:val="right"/>
              <w:rPr>
                <w:color w:val="FF0000"/>
                <w:sz w:val="18"/>
                <w:szCs w:val="18"/>
                <w:highlight w:val="yellow"/>
              </w:rPr>
            </w:pPr>
            <w:r w:rsidRPr="007524D4">
              <w:rPr>
                <w:sz w:val="18"/>
                <w:szCs w:val="44"/>
              </w:rPr>
              <w:t>-177,6</w:t>
            </w:r>
          </w:p>
        </w:tc>
        <w:tc>
          <w:tcPr>
            <w:tcW w:w="850" w:type="dxa"/>
            <w:shd w:val="clear" w:color="auto" w:fill="auto"/>
            <w:noWrap/>
            <w:vAlign w:val="center"/>
            <w:hideMark/>
          </w:tcPr>
          <w:p w14:paraId="0F8A20EA" w14:textId="77777777" w:rsidR="00D0442A" w:rsidRPr="00856300" w:rsidRDefault="00D0442A" w:rsidP="00D0442A">
            <w:pPr>
              <w:spacing w:after="0"/>
              <w:ind w:firstLine="0"/>
              <w:jc w:val="right"/>
              <w:rPr>
                <w:sz w:val="18"/>
                <w:szCs w:val="44"/>
              </w:rPr>
            </w:pPr>
            <w:r w:rsidRPr="00856300">
              <w:rPr>
                <w:sz w:val="18"/>
                <w:szCs w:val="44"/>
              </w:rPr>
              <w:t>-47,1</w:t>
            </w:r>
          </w:p>
        </w:tc>
        <w:tc>
          <w:tcPr>
            <w:tcW w:w="851" w:type="dxa"/>
            <w:shd w:val="clear" w:color="auto" w:fill="auto"/>
            <w:noWrap/>
            <w:vAlign w:val="center"/>
            <w:hideMark/>
          </w:tcPr>
          <w:p w14:paraId="411D5ABE" w14:textId="77777777" w:rsidR="00D0442A" w:rsidRPr="00856300" w:rsidRDefault="00D0442A" w:rsidP="00D0442A">
            <w:pPr>
              <w:spacing w:after="0"/>
              <w:ind w:firstLine="0"/>
              <w:jc w:val="right"/>
              <w:rPr>
                <w:sz w:val="18"/>
                <w:szCs w:val="44"/>
              </w:rPr>
            </w:pPr>
            <w:r w:rsidRPr="00856300">
              <w:rPr>
                <w:sz w:val="18"/>
                <w:szCs w:val="44"/>
              </w:rPr>
              <w:t>377,7</w:t>
            </w:r>
          </w:p>
        </w:tc>
        <w:tc>
          <w:tcPr>
            <w:tcW w:w="850" w:type="dxa"/>
            <w:shd w:val="clear" w:color="auto" w:fill="auto"/>
            <w:noWrap/>
            <w:vAlign w:val="center"/>
            <w:hideMark/>
          </w:tcPr>
          <w:p w14:paraId="1E2F0B89" w14:textId="77777777" w:rsidR="00D0442A" w:rsidRPr="00856300" w:rsidRDefault="00D0442A" w:rsidP="00D0442A">
            <w:pPr>
              <w:spacing w:after="0"/>
              <w:ind w:firstLine="0"/>
              <w:jc w:val="right"/>
              <w:rPr>
                <w:sz w:val="18"/>
                <w:szCs w:val="44"/>
              </w:rPr>
            </w:pPr>
            <w:r w:rsidRPr="00856300">
              <w:rPr>
                <w:sz w:val="18"/>
                <w:szCs w:val="44"/>
              </w:rPr>
              <w:t>-240,0</w:t>
            </w:r>
          </w:p>
        </w:tc>
        <w:tc>
          <w:tcPr>
            <w:tcW w:w="851" w:type="dxa"/>
            <w:shd w:val="clear" w:color="auto" w:fill="auto"/>
            <w:vAlign w:val="center"/>
          </w:tcPr>
          <w:p w14:paraId="0DDA3873" w14:textId="77777777" w:rsidR="00D0442A" w:rsidRPr="00856300" w:rsidRDefault="00D0442A" w:rsidP="00D0442A">
            <w:pPr>
              <w:spacing w:after="0"/>
              <w:ind w:firstLine="0"/>
              <w:jc w:val="right"/>
              <w:rPr>
                <w:sz w:val="18"/>
                <w:szCs w:val="44"/>
              </w:rPr>
            </w:pPr>
            <w:r w:rsidRPr="00856300">
              <w:rPr>
                <w:sz w:val="18"/>
                <w:szCs w:val="44"/>
              </w:rPr>
              <w:t>10,2</w:t>
            </w:r>
          </w:p>
        </w:tc>
        <w:tc>
          <w:tcPr>
            <w:tcW w:w="850" w:type="dxa"/>
            <w:shd w:val="clear" w:color="auto" w:fill="auto"/>
            <w:noWrap/>
            <w:vAlign w:val="center"/>
            <w:hideMark/>
          </w:tcPr>
          <w:p w14:paraId="07B457AB" w14:textId="77777777" w:rsidR="00D0442A" w:rsidRPr="00106DAD" w:rsidRDefault="00D0442A" w:rsidP="00D0442A">
            <w:pPr>
              <w:spacing w:after="0"/>
              <w:ind w:firstLine="0"/>
              <w:contextualSpacing/>
              <w:jc w:val="right"/>
              <w:rPr>
                <w:color w:val="FF0000"/>
                <w:sz w:val="18"/>
                <w:szCs w:val="18"/>
              </w:rPr>
            </w:pPr>
            <w:r w:rsidRPr="00106DAD">
              <w:rPr>
                <w:sz w:val="18"/>
                <w:szCs w:val="44"/>
              </w:rPr>
              <w:t>3</w:t>
            </w:r>
            <w:r>
              <w:rPr>
                <w:sz w:val="18"/>
                <w:szCs w:val="44"/>
              </w:rPr>
              <w:t>4</w:t>
            </w:r>
            <w:r w:rsidRPr="00106DAD">
              <w:rPr>
                <w:sz w:val="18"/>
                <w:szCs w:val="44"/>
              </w:rPr>
              <w:t>4,9</w:t>
            </w:r>
          </w:p>
        </w:tc>
        <w:tc>
          <w:tcPr>
            <w:tcW w:w="864" w:type="dxa"/>
            <w:shd w:val="clear" w:color="auto" w:fill="auto"/>
            <w:noWrap/>
            <w:vAlign w:val="center"/>
            <w:hideMark/>
          </w:tcPr>
          <w:p w14:paraId="2C93DDF7" w14:textId="77777777" w:rsidR="00D0442A" w:rsidRPr="00106DAD" w:rsidRDefault="00D0442A" w:rsidP="00D0442A">
            <w:pPr>
              <w:spacing w:after="0"/>
              <w:ind w:firstLine="0"/>
              <w:jc w:val="right"/>
              <w:rPr>
                <w:sz w:val="18"/>
                <w:szCs w:val="44"/>
              </w:rPr>
            </w:pPr>
            <w:r w:rsidRPr="00106DAD">
              <w:rPr>
                <w:sz w:val="18"/>
                <w:szCs w:val="44"/>
              </w:rPr>
              <w:t>-240,4</w:t>
            </w:r>
          </w:p>
        </w:tc>
        <w:tc>
          <w:tcPr>
            <w:tcW w:w="863" w:type="dxa"/>
            <w:shd w:val="clear" w:color="auto" w:fill="auto"/>
            <w:noWrap/>
            <w:vAlign w:val="center"/>
            <w:hideMark/>
          </w:tcPr>
          <w:p w14:paraId="3FB711F7" w14:textId="77777777" w:rsidR="00D0442A" w:rsidRPr="00106DAD" w:rsidRDefault="00D0442A" w:rsidP="00D0442A">
            <w:pPr>
              <w:spacing w:after="0"/>
              <w:ind w:firstLine="0"/>
              <w:jc w:val="right"/>
              <w:rPr>
                <w:sz w:val="18"/>
                <w:szCs w:val="44"/>
              </w:rPr>
            </w:pPr>
            <w:r w:rsidRPr="00106DAD">
              <w:rPr>
                <w:sz w:val="18"/>
                <w:szCs w:val="44"/>
              </w:rPr>
              <w:t>9,3</w:t>
            </w:r>
          </w:p>
        </w:tc>
      </w:tr>
      <w:tr w:rsidR="00D0442A" w:rsidRPr="0026061A" w14:paraId="39841415" w14:textId="77777777" w:rsidTr="00D0442A">
        <w:trPr>
          <w:trHeight w:val="20"/>
          <w:jc w:val="center"/>
        </w:trPr>
        <w:tc>
          <w:tcPr>
            <w:tcW w:w="2263" w:type="dxa"/>
            <w:shd w:val="clear" w:color="auto" w:fill="auto"/>
            <w:vAlign w:val="center"/>
            <w:hideMark/>
          </w:tcPr>
          <w:p w14:paraId="3F65DF93" w14:textId="77777777" w:rsidR="00D0442A" w:rsidRPr="006A6D52" w:rsidRDefault="00D0442A" w:rsidP="00D0442A">
            <w:pPr>
              <w:spacing w:after="0"/>
              <w:ind w:firstLine="0"/>
              <w:contextualSpacing/>
              <w:jc w:val="left"/>
              <w:rPr>
                <w:b/>
                <w:bCs/>
                <w:color w:val="000000"/>
                <w:sz w:val="18"/>
                <w:szCs w:val="18"/>
              </w:rPr>
            </w:pPr>
            <w:r w:rsidRPr="006A6D52">
              <w:rPr>
                <w:b/>
                <w:bCs/>
                <w:color w:val="000000"/>
                <w:sz w:val="18"/>
                <w:szCs w:val="18"/>
              </w:rPr>
              <w:t>KOPBUDŽETA BILANCE</w:t>
            </w:r>
          </w:p>
        </w:tc>
        <w:tc>
          <w:tcPr>
            <w:tcW w:w="851" w:type="dxa"/>
            <w:shd w:val="clear" w:color="auto" w:fill="auto"/>
            <w:noWrap/>
            <w:vAlign w:val="center"/>
            <w:hideMark/>
          </w:tcPr>
          <w:p w14:paraId="423EE4D7" w14:textId="77777777" w:rsidR="00D0442A" w:rsidRPr="002D02BA" w:rsidRDefault="00D0442A" w:rsidP="00D0442A">
            <w:pPr>
              <w:spacing w:after="0"/>
              <w:ind w:firstLine="0"/>
              <w:contextualSpacing/>
              <w:jc w:val="right"/>
              <w:rPr>
                <w:b/>
                <w:bCs/>
                <w:color w:val="FF0000"/>
                <w:sz w:val="18"/>
                <w:szCs w:val="18"/>
                <w:highlight w:val="yellow"/>
              </w:rPr>
            </w:pPr>
            <w:r w:rsidRPr="002D02BA">
              <w:rPr>
                <w:b/>
                <w:bCs/>
                <w:sz w:val="18"/>
                <w:szCs w:val="18"/>
              </w:rPr>
              <w:t>-1 148,9</w:t>
            </w:r>
          </w:p>
        </w:tc>
        <w:tc>
          <w:tcPr>
            <w:tcW w:w="850" w:type="dxa"/>
            <w:shd w:val="clear" w:color="auto" w:fill="auto"/>
            <w:noWrap/>
            <w:vAlign w:val="center"/>
            <w:hideMark/>
          </w:tcPr>
          <w:p w14:paraId="01DDEF2A" w14:textId="77777777" w:rsidR="00D0442A" w:rsidRPr="00FE1B4C" w:rsidRDefault="00D0442A" w:rsidP="00D0442A">
            <w:pPr>
              <w:spacing w:after="0"/>
              <w:ind w:firstLine="0"/>
              <w:contextualSpacing/>
              <w:jc w:val="right"/>
              <w:rPr>
                <w:b/>
                <w:bCs/>
                <w:color w:val="FF0000"/>
                <w:sz w:val="18"/>
                <w:szCs w:val="18"/>
                <w:highlight w:val="yellow"/>
              </w:rPr>
            </w:pPr>
            <w:r w:rsidRPr="00FE1B4C">
              <w:rPr>
                <w:b/>
                <w:bCs/>
                <w:sz w:val="18"/>
                <w:szCs w:val="18"/>
              </w:rPr>
              <w:t>-2 884,8</w:t>
            </w:r>
          </w:p>
        </w:tc>
        <w:tc>
          <w:tcPr>
            <w:tcW w:w="851" w:type="dxa"/>
            <w:shd w:val="clear" w:color="auto" w:fill="auto"/>
            <w:noWrap/>
            <w:vAlign w:val="center"/>
            <w:hideMark/>
          </w:tcPr>
          <w:p w14:paraId="3A2CD6AE" w14:textId="77777777" w:rsidR="00D0442A" w:rsidRPr="002D02BA" w:rsidRDefault="00D0442A" w:rsidP="00D0442A">
            <w:pPr>
              <w:spacing w:after="0"/>
              <w:ind w:firstLine="0"/>
              <w:contextualSpacing/>
              <w:jc w:val="right"/>
              <w:rPr>
                <w:b/>
                <w:bCs/>
                <w:color w:val="FF0000"/>
                <w:sz w:val="18"/>
                <w:szCs w:val="18"/>
                <w:highlight w:val="yellow"/>
              </w:rPr>
            </w:pPr>
            <w:r w:rsidRPr="002D02BA">
              <w:rPr>
                <w:b/>
                <w:bCs/>
                <w:sz w:val="18"/>
                <w:szCs w:val="18"/>
              </w:rPr>
              <w:t>-1 377,9</w:t>
            </w:r>
          </w:p>
        </w:tc>
        <w:tc>
          <w:tcPr>
            <w:tcW w:w="850" w:type="dxa"/>
            <w:shd w:val="clear" w:color="auto" w:fill="auto"/>
            <w:noWrap/>
            <w:vAlign w:val="center"/>
            <w:hideMark/>
          </w:tcPr>
          <w:p w14:paraId="6534A26F" w14:textId="77777777" w:rsidR="00D0442A" w:rsidRPr="002D02BA" w:rsidRDefault="00D0442A" w:rsidP="00D0442A">
            <w:pPr>
              <w:spacing w:after="0"/>
              <w:ind w:firstLine="0"/>
              <w:contextualSpacing/>
              <w:jc w:val="right"/>
              <w:rPr>
                <w:b/>
                <w:bCs/>
                <w:color w:val="FF0000"/>
                <w:sz w:val="18"/>
                <w:szCs w:val="18"/>
                <w:highlight w:val="yellow"/>
              </w:rPr>
            </w:pPr>
            <w:r w:rsidRPr="002D02BA">
              <w:rPr>
                <w:b/>
                <w:bCs/>
                <w:sz w:val="18"/>
                <w:szCs w:val="18"/>
              </w:rPr>
              <w:t>-203,8</w:t>
            </w:r>
          </w:p>
        </w:tc>
        <w:tc>
          <w:tcPr>
            <w:tcW w:w="851" w:type="dxa"/>
            <w:shd w:val="clear" w:color="auto" w:fill="auto"/>
            <w:vAlign w:val="center"/>
          </w:tcPr>
          <w:p w14:paraId="2F486945" w14:textId="77777777" w:rsidR="00D0442A" w:rsidRPr="002D02BA" w:rsidRDefault="00D0442A" w:rsidP="00D0442A">
            <w:pPr>
              <w:spacing w:after="0"/>
              <w:ind w:firstLine="0"/>
              <w:contextualSpacing/>
              <w:jc w:val="right"/>
              <w:rPr>
                <w:b/>
                <w:bCs/>
                <w:color w:val="FF0000"/>
                <w:sz w:val="18"/>
                <w:szCs w:val="18"/>
                <w:highlight w:val="yellow"/>
              </w:rPr>
            </w:pPr>
            <w:r w:rsidRPr="002D02BA">
              <w:rPr>
                <w:b/>
                <w:bCs/>
                <w:sz w:val="18"/>
                <w:szCs w:val="18"/>
              </w:rPr>
              <w:t>-140,8</w:t>
            </w:r>
          </w:p>
        </w:tc>
        <w:tc>
          <w:tcPr>
            <w:tcW w:w="850" w:type="dxa"/>
            <w:shd w:val="clear" w:color="auto" w:fill="auto"/>
            <w:noWrap/>
            <w:vAlign w:val="center"/>
            <w:hideMark/>
          </w:tcPr>
          <w:p w14:paraId="07FB59F5" w14:textId="77777777" w:rsidR="00D0442A" w:rsidRPr="00106DAD" w:rsidRDefault="00D0442A" w:rsidP="00D0442A">
            <w:pPr>
              <w:spacing w:after="0"/>
              <w:ind w:firstLine="0"/>
              <w:contextualSpacing/>
              <w:jc w:val="right"/>
              <w:rPr>
                <w:b/>
                <w:bCs/>
                <w:color w:val="FF0000"/>
                <w:sz w:val="18"/>
                <w:szCs w:val="18"/>
                <w:highlight w:val="yellow"/>
              </w:rPr>
            </w:pPr>
            <w:r w:rsidRPr="00106DAD">
              <w:rPr>
                <w:b/>
                <w:bCs/>
                <w:sz w:val="18"/>
                <w:szCs w:val="18"/>
              </w:rPr>
              <w:t>-1 965,8</w:t>
            </w:r>
          </w:p>
        </w:tc>
        <w:tc>
          <w:tcPr>
            <w:tcW w:w="864" w:type="dxa"/>
            <w:shd w:val="clear" w:color="auto" w:fill="auto"/>
            <w:noWrap/>
            <w:vAlign w:val="center"/>
            <w:hideMark/>
          </w:tcPr>
          <w:p w14:paraId="50B6AFF8" w14:textId="77777777" w:rsidR="00D0442A" w:rsidRPr="00CD0802" w:rsidRDefault="00D0442A" w:rsidP="00D0442A">
            <w:pPr>
              <w:spacing w:after="0"/>
              <w:ind w:firstLine="0"/>
              <w:contextualSpacing/>
              <w:jc w:val="right"/>
              <w:rPr>
                <w:b/>
                <w:bCs/>
                <w:color w:val="FF0000"/>
                <w:sz w:val="18"/>
                <w:szCs w:val="18"/>
                <w:highlight w:val="yellow"/>
              </w:rPr>
            </w:pPr>
            <w:r w:rsidRPr="00CD0802">
              <w:rPr>
                <w:b/>
                <w:bCs/>
                <w:sz w:val="18"/>
                <w:szCs w:val="18"/>
              </w:rPr>
              <w:t>-508,0</w:t>
            </w:r>
          </w:p>
        </w:tc>
        <w:tc>
          <w:tcPr>
            <w:tcW w:w="863" w:type="dxa"/>
            <w:shd w:val="clear" w:color="auto" w:fill="auto"/>
            <w:noWrap/>
            <w:vAlign w:val="center"/>
            <w:hideMark/>
          </w:tcPr>
          <w:p w14:paraId="0B899E21" w14:textId="77777777" w:rsidR="00D0442A" w:rsidRPr="00CD0802" w:rsidRDefault="00D0442A" w:rsidP="00D0442A">
            <w:pPr>
              <w:spacing w:after="0"/>
              <w:ind w:firstLine="0"/>
              <w:jc w:val="right"/>
              <w:rPr>
                <w:b/>
                <w:bCs/>
                <w:sz w:val="18"/>
                <w:szCs w:val="18"/>
              </w:rPr>
            </w:pPr>
            <w:r w:rsidRPr="00CD0802">
              <w:rPr>
                <w:b/>
                <w:bCs/>
                <w:sz w:val="18"/>
                <w:szCs w:val="18"/>
              </w:rPr>
              <w:t>-487,5</w:t>
            </w:r>
          </w:p>
        </w:tc>
      </w:tr>
      <w:tr w:rsidR="00D0442A" w:rsidRPr="0026061A" w14:paraId="3AEB1D9A" w14:textId="77777777" w:rsidTr="00D0442A">
        <w:trPr>
          <w:trHeight w:val="20"/>
          <w:jc w:val="center"/>
        </w:trPr>
        <w:tc>
          <w:tcPr>
            <w:tcW w:w="2263" w:type="dxa"/>
            <w:shd w:val="clear" w:color="auto" w:fill="auto"/>
            <w:noWrap/>
            <w:vAlign w:val="center"/>
            <w:hideMark/>
          </w:tcPr>
          <w:p w14:paraId="1B033708" w14:textId="77777777" w:rsidR="00D0442A" w:rsidRPr="007333CF" w:rsidRDefault="00D0442A" w:rsidP="00D0442A">
            <w:pPr>
              <w:spacing w:after="0"/>
              <w:ind w:firstLineChars="100" w:firstLine="180"/>
              <w:contextualSpacing/>
              <w:jc w:val="left"/>
              <w:rPr>
                <w:color w:val="000000"/>
                <w:sz w:val="18"/>
                <w:szCs w:val="18"/>
              </w:rPr>
            </w:pPr>
            <w:r w:rsidRPr="007333CF">
              <w:rPr>
                <w:color w:val="000000"/>
                <w:sz w:val="18"/>
                <w:szCs w:val="18"/>
              </w:rPr>
              <w:t>Ieņēmumi</w:t>
            </w:r>
          </w:p>
        </w:tc>
        <w:tc>
          <w:tcPr>
            <w:tcW w:w="851" w:type="dxa"/>
            <w:shd w:val="clear" w:color="auto" w:fill="auto"/>
            <w:noWrap/>
            <w:vAlign w:val="center"/>
            <w:hideMark/>
          </w:tcPr>
          <w:p w14:paraId="6562F9BB"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11 320,5</w:t>
            </w:r>
          </w:p>
        </w:tc>
        <w:tc>
          <w:tcPr>
            <w:tcW w:w="850" w:type="dxa"/>
            <w:shd w:val="clear" w:color="auto" w:fill="auto"/>
            <w:noWrap/>
            <w:vAlign w:val="center"/>
            <w:hideMark/>
          </w:tcPr>
          <w:p w14:paraId="2113743F" w14:textId="77777777" w:rsidR="00D0442A" w:rsidRPr="00FE1B4C" w:rsidRDefault="00D0442A" w:rsidP="00D0442A">
            <w:pPr>
              <w:spacing w:after="0"/>
              <w:ind w:firstLine="0"/>
              <w:contextualSpacing/>
              <w:jc w:val="right"/>
              <w:rPr>
                <w:color w:val="FF0000"/>
                <w:sz w:val="18"/>
                <w:szCs w:val="18"/>
                <w:highlight w:val="yellow"/>
              </w:rPr>
            </w:pPr>
            <w:r w:rsidRPr="00FE1B4C">
              <w:rPr>
                <w:sz w:val="18"/>
                <w:szCs w:val="18"/>
              </w:rPr>
              <w:t>11 709,3</w:t>
            </w:r>
          </w:p>
        </w:tc>
        <w:tc>
          <w:tcPr>
            <w:tcW w:w="851" w:type="dxa"/>
            <w:shd w:val="clear" w:color="auto" w:fill="auto"/>
            <w:noWrap/>
            <w:vAlign w:val="center"/>
            <w:hideMark/>
          </w:tcPr>
          <w:p w14:paraId="025F4B4A" w14:textId="77777777" w:rsidR="00D0442A" w:rsidRPr="002D02BA" w:rsidRDefault="00D0442A" w:rsidP="00D0442A">
            <w:pPr>
              <w:spacing w:after="0"/>
              <w:ind w:firstLine="0"/>
              <w:contextualSpacing/>
              <w:rPr>
                <w:color w:val="FF0000"/>
                <w:sz w:val="18"/>
                <w:szCs w:val="18"/>
                <w:highlight w:val="yellow"/>
              </w:rPr>
            </w:pPr>
            <w:r w:rsidRPr="002D02BA">
              <w:rPr>
                <w:sz w:val="18"/>
                <w:szCs w:val="18"/>
              </w:rPr>
              <w:t>12 668,9</w:t>
            </w:r>
          </w:p>
        </w:tc>
        <w:tc>
          <w:tcPr>
            <w:tcW w:w="850" w:type="dxa"/>
            <w:shd w:val="clear" w:color="auto" w:fill="auto"/>
            <w:noWrap/>
            <w:vAlign w:val="center"/>
            <w:hideMark/>
          </w:tcPr>
          <w:p w14:paraId="1CD8046A"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13 904,6</w:t>
            </w:r>
          </w:p>
        </w:tc>
        <w:tc>
          <w:tcPr>
            <w:tcW w:w="851" w:type="dxa"/>
            <w:vAlign w:val="center"/>
          </w:tcPr>
          <w:p w14:paraId="262E28A2"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14 241,6</w:t>
            </w:r>
          </w:p>
        </w:tc>
        <w:tc>
          <w:tcPr>
            <w:tcW w:w="850" w:type="dxa"/>
            <w:shd w:val="clear" w:color="auto" w:fill="auto"/>
            <w:noWrap/>
            <w:vAlign w:val="center"/>
            <w:hideMark/>
          </w:tcPr>
          <w:p w14:paraId="53D99C54"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12 651,8</w:t>
            </w:r>
          </w:p>
        </w:tc>
        <w:tc>
          <w:tcPr>
            <w:tcW w:w="864" w:type="dxa"/>
            <w:shd w:val="clear" w:color="auto" w:fill="auto"/>
            <w:noWrap/>
            <w:vAlign w:val="center"/>
            <w:hideMark/>
          </w:tcPr>
          <w:p w14:paraId="5E4F154F" w14:textId="77777777" w:rsidR="00D0442A" w:rsidRPr="00CD0802" w:rsidRDefault="00D0442A" w:rsidP="00D0442A">
            <w:pPr>
              <w:spacing w:after="0"/>
              <w:ind w:firstLine="0"/>
              <w:contextualSpacing/>
              <w:jc w:val="right"/>
              <w:rPr>
                <w:color w:val="FF0000"/>
                <w:sz w:val="18"/>
                <w:szCs w:val="18"/>
                <w:highlight w:val="yellow"/>
              </w:rPr>
            </w:pPr>
            <w:r w:rsidRPr="00CD0802">
              <w:rPr>
                <w:sz w:val="18"/>
                <w:szCs w:val="18"/>
              </w:rPr>
              <w:t>13 808,0</w:t>
            </w:r>
          </w:p>
        </w:tc>
        <w:tc>
          <w:tcPr>
            <w:tcW w:w="863" w:type="dxa"/>
            <w:shd w:val="clear" w:color="auto" w:fill="auto"/>
            <w:noWrap/>
            <w:vAlign w:val="center"/>
            <w:hideMark/>
          </w:tcPr>
          <w:p w14:paraId="1AF16CE4" w14:textId="77777777" w:rsidR="00D0442A" w:rsidRPr="00CD0802" w:rsidRDefault="00D0442A" w:rsidP="00D0442A">
            <w:pPr>
              <w:spacing w:after="0"/>
              <w:ind w:firstLine="0"/>
              <w:jc w:val="right"/>
              <w:rPr>
                <w:sz w:val="18"/>
                <w:szCs w:val="18"/>
              </w:rPr>
            </w:pPr>
            <w:r w:rsidRPr="00CD0802">
              <w:rPr>
                <w:sz w:val="18"/>
                <w:szCs w:val="18"/>
              </w:rPr>
              <w:t>14 143,9</w:t>
            </w:r>
          </w:p>
        </w:tc>
      </w:tr>
      <w:tr w:rsidR="00D0442A" w:rsidRPr="0026061A" w14:paraId="4E2C6B19" w14:textId="77777777" w:rsidTr="00D0442A">
        <w:trPr>
          <w:trHeight w:val="20"/>
          <w:jc w:val="center"/>
        </w:trPr>
        <w:tc>
          <w:tcPr>
            <w:tcW w:w="2263" w:type="dxa"/>
            <w:shd w:val="clear" w:color="auto" w:fill="auto"/>
            <w:vAlign w:val="center"/>
            <w:hideMark/>
          </w:tcPr>
          <w:p w14:paraId="68DB6E51" w14:textId="77777777" w:rsidR="00D0442A" w:rsidRPr="007333CF" w:rsidRDefault="00D0442A" w:rsidP="00D0442A">
            <w:pPr>
              <w:spacing w:after="0"/>
              <w:ind w:firstLineChars="200" w:firstLine="360"/>
              <w:contextualSpacing/>
              <w:jc w:val="left"/>
              <w:rPr>
                <w:color w:val="000000"/>
                <w:sz w:val="18"/>
                <w:szCs w:val="18"/>
              </w:rPr>
            </w:pPr>
            <w:r w:rsidRPr="007333CF">
              <w:rPr>
                <w:color w:val="000000"/>
                <w:sz w:val="18"/>
                <w:szCs w:val="18"/>
              </w:rPr>
              <w:t>Nodokļu ieņēmumi</w:t>
            </w:r>
          </w:p>
        </w:tc>
        <w:tc>
          <w:tcPr>
            <w:tcW w:w="851" w:type="dxa"/>
            <w:shd w:val="clear" w:color="auto" w:fill="auto"/>
            <w:noWrap/>
            <w:vAlign w:val="center"/>
            <w:hideMark/>
          </w:tcPr>
          <w:p w14:paraId="4523FD4E"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9 006,5</w:t>
            </w:r>
          </w:p>
        </w:tc>
        <w:tc>
          <w:tcPr>
            <w:tcW w:w="850" w:type="dxa"/>
            <w:shd w:val="clear" w:color="auto" w:fill="auto"/>
            <w:noWrap/>
            <w:vAlign w:val="center"/>
            <w:hideMark/>
          </w:tcPr>
          <w:p w14:paraId="10B9780C" w14:textId="77777777" w:rsidR="00D0442A" w:rsidRPr="00607A35" w:rsidRDefault="00D0442A" w:rsidP="00D0442A">
            <w:pPr>
              <w:spacing w:after="0"/>
              <w:ind w:firstLine="0"/>
              <w:jc w:val="right"/>
              <w:rPr>
                <w:sz w:val="18"/>
                <w:szCs w:val="18"/>
              </w:rPr>
            </w:pPr>
            <w:r w:rsidRPr="00607A35">
              <w:rPr>
                <w:sz w:val="18"/>
                <w:szCs w:val="18"/>
              </w:rPr>
              <w:t>9 327,8</w:t>
            </w:r>
          </w:p>
        </w:tc>
        <w:tc>
          <w:tcPr>
            <w:tcW w:w="851" w:type="dxa"/>
            <w:shd w:val="clear" w:color="auto" w:fill="auto"/>
            <w:noWrap/>
            <w:vAlign w:val="center"/>
            <w:hideMark/>
          </w:tcPr>
          <w:p w14:paraId="363F2E9D"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10 225,5</w:t>
            </w:r>
          </w:p>
        </w:tc>
        <w:tc>
          <w:tcPr>
            <w:tcW w:w="850" w:type="dxa"/>
            <w:shd w:val="clear" w:color="auto" w:fill="auto"/>
            <w:noWrap/>
            <w:vAlign w:val="center"/>
            <w:hideMark/>
          </w:tcPr>
          <w:p w14:paraId="30EC171A"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10 863,9</w:t>
            </w:r>
          </w:p>
        </w:tc>
        <w:tc>
          <w:tcPr>
            <w:tcW w:w="851" w:type="dxa"/>
            <w:vAlign w:val="center"/>
          </w:tcPr>
          <w:p w14:paraId="6C3F00A8"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11 404,1</w:t>
            </w:r>
          </w:p>
        </w:tc>
        <w:tc>
          <w:tcPr>
            <w:tcW w:w="850" w:type="dxa"/>
            <w:shd w:val="clear" w:color="auto" w:fill="auto"/>
            <w:noWrap/>
            <w:vAlign w:val="center"/>
            <w:hideMark/>
          </w:tcPr>
          <w:p w14:paraId="4809206C"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10 181,2</w:t>
            </w:r>
          </w:p>
        </w:tc>
        <w:tc>
          <w:tcPr>
            <w:tcW w:w="864" w:type="dxa"/>
            <w:shd w:val="clear" w:color="auto" w:fill="auto"/>
            <w:noWrap/>
            <w:vAlign w:val="center"/>
            <w:hideMark/>
          </w:tcPr>
          <w:p w14:paraId="212D9E96" w14:textId="77777777" w:rsidR="00D0442A" w:rsidRPr="00CD0802" w:rsidRDefault="00D0442A" w:rsidP="00D0442A">
            <w:pPr>
              <w:spacing w:after="0"/>
              <w:ind w:firstLine="0"/>
              <w:contextualSpacing/>
              <w:jc w:val="right"/>
              <w:rPr>
                <w:color w:val="FF0000"/>
                <w:sz w:val="18"/>
                <w:szCs w:val="18"/>
                <w:highlight w:val="yellow"/>
              </w:rPr>
            </w:pPr>
            <w:r w:rsidRPr="00CD0802">
              <w:rPr>
                <w:sz w:val="18"/>
                <w:szCs w:val="18"/>
              </w:rPr>
              <w:t>10 766,9</w:t>
            </w:r>
          </w:p>
        </w:tc>
        <w:tc>
          <w:tcPr>
            <w:tcW w:w="863" w:type="dxa"/>
            <w:shd w:val="clear" w:color="auto" w:fill="auto"/>
            <w:noWrap/>
            <w:vAlign w:val="center"/>
            <w:hideMark/>
          </w:tcPr>
          <w:p w14:paraId="6E29A1AD" w14:textId="77777777" w:rsidR="00D0442A" w:rsidRPr="00CD0802" w:rsidRDefault="00D0442A" w:rsidP="00D0442A">
            <w:pPr>
              <w:spacing w:after="0"/>
              <w:ind w:firstLine="0"/>
              <w:jc w:val="right"/>
              <w:rPr>
                <w:sz w:val="18"/>
                <w:szCs w:val="18"/>
              </w:rPr>
            </w:pPr>
            <w:r w:rsidRPr="00CD0802">
              <w:rPr>
                <w:sz w:val="18"/>
                <w:szCs w:val="18"/>
              </w:rPr>
              <w:t>11 305,9</w:t>
            </w:r>
          </w:p>
        </w:tc>
      </w:tr>
      <w:tr w:rsidR="00D0442A" w:rsidRPr="0026061A" w14:paraId="20E7CBBB" w14:textId="77777777" w:rsidTr="00D0442A">
        <w:trPr>
          <w:trHeight w:val="20"/>
          <w:jc w:val="center"/>
        </w:trPr>
        <w:tc>
          <w:tcPr>
            <w:tcW w:w="2263" w:type="dxa"/>
            <w:shd w:val="clear" w:color="auto" w:fill="auto"/>
            <w:noWrap/>
            <w:vAlign w:val="center"/>
            <w:hideMark/>
          </w:tcPr>
          <w:p w14:paraId="191584A9" w14:textId="77777777" w:rsidR="00D0442A" w:rsidRPr="007333CF" w:rsidRDefault="00D0442A" w:rsidP="00D0442A">
            <w:pPr>
              <w:spacing w:after="0"/>
              <w:ind w:firstLineChars="200" w:firstLine="360"/>
              <w:contextualSpacing/>
              <w:jc w:val="left"/>
              <w:rPr>
                <w:color w:val="000000"/>
                <w:sz w:val="18"/>
                <w:szCs w:val="18"/>
              </w:rPr>
            </w:pPr>
            <w:r w:rsidRPr="007333CF">
              <w:rPr>
                <w:color w:val="000000"/>
                <w:sz w:val="18"/>
                <w:szCs w:val="18"/>
              </w:rPr>
              <w:t>Ne-nodokļu ieņēmumi</w:t>
            </w:r>
          </w:p>
        </w:tc>
        <w:tc>
          <w:tcPr>
            <w:tcW w:w="851" w:type="dxa"/>
            <w:shd w:val="clear" w:color="auto" w:fill="auto"/>
            <w:noWrap/>
            <w:vAlign w:val="center"/>
            <w:hideMark/>
          </w:tcPr>
          <w:p w14:paraId="698F146B"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671,4</w:t>
            </w:r>
          </w:p>
        </w:tc>
        <w:tc>
          <w:tcPr>
            <w:tcW w:w="850" w:type="dxa"/>
            <w:shd w:val="clear" w:color="auto" w:fill="auto"/>
            <w:noWrap/>
            <w:vAlign w:val="center"/>
            <w:hideMark/>
          </w:tcPr>
          <w:p w14:paraId="310F4296" w14:textId="77777777" w:rsidR="00D0442A" w:rsidRPr="00607A35" w:rsidRDefault="00D0442A" w:rsidP="00D0442A">
            <w:pPr>
              <w:spacing w:after="0"/>
              <w:ind w:firstLine="0"/>
              <w:contextualSpacing/>
              <w:jc w:val="right"/>
              <w:rPr>
                <w:color w:val="FF0000"/>
                <w:sz w:val="18"/>
                <w:szCs w:val="18"/>
                <w:highlight w:val="yellow"/>
              </w:rPr>
            </w:pPr>
            <w:r w:rsidRPr="00607A35">
              <w:rPr>
                <w:sz w:val="18"/>
                <w:szCs w:val="18"/>
              </w:rPr>
              <w:t>663,4</w:t>
            </w:r>
          </w:p>
        </w:tc>
        <w:tc>
          <w:tcPr>
            <w:tcW w:w="851" w:type="dxa"/>
            <w:shd w:val="clear" w:color="auto" w:fill="auto"/>
            <w:noWrap/>
            <w:vAlign w:val="center"/>
            <w:hideMark/>
          </w:tcPr>
          <w:p w14:paraId="317A35AE"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567,2</w:t>
            </w:r>
          </w:p>
        </w:tc>
        <w:tc>
          <w:tcPr>
            <w:tcW w:w="850" w:type="dxa"/>
            <w:shd w:val="clear" w:color="auto" w:fill="auto"/>
            <w:noWrap/>
            <w:vAlign w:val="center"/>
            <w:hideMark/>
          </w:tcPr>
          <w:p w14:paraId="386A2F1A"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559,7</w:t>
            </w:r>
          </w:p>
        </w:tc>
        <w:tc>
          <w:tcPr>
            <w:tcW w:w="851" w:type="dxa"/>
            <w:vAlign w:val="center"/>
          </w:tcPr>
          <w:p w14:paraId="5C9DB895"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522,2</w:t>
            </w:r>
          </w:p>
        </w:tc>
        <w:tc>
          <w:tcPr>
            <w:tcW w:w="850" w:type="dxa"/>
            <w:shd w:val="clear" w:color="auto" w:fill="auto"/>
            <w:noWrap/>
            <w:vAlign w:val="center"/>
            <w:hideMark/>
          </w:tcPr>
          <w:p w14:paraId="29BF188D"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595,3</w:t>
            </w:r>
          </w:p>
        </w:tc>
        <w:tc>
          <w:tcPr>
            <w:tcW w:w="864" w:type="dxa"/>
            <w:shd w:val="clear" w:color="auto" w:fill="auto"/>
            <w:noWrap/>
            <w:vAlign w:val="center"/>
            <w:hideMark/>
          </w:tcPr>
          <w:p w14:paraId="231DACB2" w14:textId="77777777" w:rsidR="00D0442A" w:rsidRPr="00CD0802" w:rsidRDefault="00D0442A" w:rsidP="00D0442A">
            <w:pPr>
              <w:spacing w:after="0"/>
              <w:ind w:firstLine="0"/>
              <w:contextualSpacing/>
              <w:jc w:val="right"/>
              <w:rPr>
                <w:color w:val="FF0000"/>
                <w:sz w:val="18"/>
                <w:szCs w:val="18"/>
                <w:highlight w:val="yellow"/>
              </w:rPr>
            </w:pPr>
            <w:r w:rsidRPr="00CD0802">
              <w:rPr>
                <w:sz w:val="18"/>
                <w:szCs w:val="18"/>
              </w:rPr>
              <w:t>561,3</w:t>
            </w:r>
          </w:p>
        </w:tc>
        <w:tc>
          <w:tcPr>
            <w:tcW w:w="863" w:type="dxa"/>
            <w:shd w:val="clear" w:color="auto" w:fill="auto"/>
            <w:noWrap/>
            <w:vAlign w:val="center"/>
            <w:hideMark/>
          </w:tcPr>
          <w:p w14:paraId="4476E97A" w14:textId="77777777" w:rsidR="00D0442A" w:rsidRPr="00CD0802" w:rsidRDefault="00D0442A" w:rsidP="00D0442A">
            <w:pPr>
              <w:spacing w:after="0"/>
              <w:ind w:firstLine="0"/>
              <w:contextualSpacing/>
              <w:jc w:val="right"/>
              <w:rPr>
                <w:color w:val="FF0000"/>
                <w:sz w:val="18"/>
                <w:szCs w:val="18"/>
                <w:highlight w:val="yellow"/>
              </w:rPr>
            </w:pPr>
            <w:r w:rsidRPr="00CD0802">
              <w:rPr>
                <w:sz w:val="18"/>
                <w:szCs w:val="18"/>
              </w:rPr>
              <w:t>523,8</w:t>
            </w:r>
          </w:p>
        </w:tc>
      </w:tr>
      <w:tr w:rsidR="00D0442A" w:rsidRPr="0026061A" w14:paraId="58D4853B" w14:textId="77777777" w:rsidTr="00D0442A">
        <w:trPr>
          <w:trHeight w:val="20"/>
          <w:jc w:val="center"/>
        </w:trPr>
        <w:tc>
          <w:tcPr>
            <w:tcW w:w="2263" w:type="dxa"/>
            <w:shd w:val="clear" w:color="auto" w:fill="auto"/>
            <w:noWrap/>
            <w:vAlign w:val="center"/>
            <w:hideMark/>
          </w:tcPr>
          <w:p w14:paraId="777F99AD" w14:textId="77777777" w:rsidR="00D0442A" w:rsidRPr="007333CF" w:rsidRDefault="00D0442A" w:rsidP="00D0442A">
            <w:pPr>
              <w:spacing w:after="0"/>
              <w:ind w:firstLineChars="200" w:firstLine="360"/>
              <w:contextualSpacing/>
              <w:jc w:val="left"/>
              <w:rPr>
                <w:color w:val="000000"/>
                <w:sz w:val="18"/>
                <w:szCs w:val="18"/>
              </w:rPr>
            </w:pPr>
            <w:r w:rsidRPr="007333CF">
              <w:rPr>
                <w:color w:val="000000"/>
                <w:sz w:val="18"/>
                <w:szCs w:val="18"/>
              </w:rPr>
              <w:t>Pašu ieņēmumi</w:t>
            </w:r>
          </w:p>
        </w:tc>
        <w:tc>
          <w:tcPr>
            <w:tcW w:w="851" w:type="dxa"/>
            <w:shd w:val="clear" w:color="auto" w:fill="auto"/>
            <w:noWrap/>
            <w:vAlign w:val="center"/>
            <w:hideMark/>
          </w:tcPr>
          <w:p w14:paraId="75376C65"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353,0</w:t>
            </w:r>
          </w:p>
        </w:tc>
        <w:tc>
          <w:tcPr>
            <w:tcW w:w="850" w:type="dxa"/>
            <w:shd w:val="clear" w:color="auto" w:fill="auto"/>
            <w:noWrap/>
            <w:vAlign w:val="center"/>
            <w:hideMark/>
          </w:tcPr>
          <w:p w14:paraId="6A4643EB" w14:textId="77777777" w:rsidR="00D0442A" w:rsidRPr="00607A35" w:rsidRDefault="00D0442A" w:rsidP="00D0442A">
            <w:pPr>
              <w:spacing w:after="0"/>
              <w:ind w:firstLine="0"/>
              <w:contextualSpacing/>
              <w:jc w:val="right"/>
              <w:rPr>
                <w:color w:val="FF0000"/>
                <w:sz w:val="18"/>
                <w:szCs w:val="18"/>
                <w:highlight w:val="yellow"/>
              </w:rPr>
            </w:pPr>
            <w:r w:rsidRPr="00607A35">
              <w:rPr>
                <w:sz w:val="18"/>
                <w:szCs w:val="18"/>
              </w:rPr>
              <w:t>352,1</w:t>
            </w:r>
          </w:p>
        </w:tc>
        <w:tc>
          <w:tcPr>
            <w:tcW w:w="851" w:type="dxa"/>
            <w:shd w:val="clear" w:color="auto" w:fill="auto"/>
            <w:noWrap/>
            <w:vAlign w:val="center"/>
            <w:hideMark/>
          </w:tcPr>
          <w:p w14:paraId="24A8777F"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364,6</w:t>
            </w:r>
          </w:p>
        </w:tc>
        <w:tc>
          <w:tcPr>
            <w:tcW w:w="850" w:type="dxa"/>
            <w:shd w:val="clear" w:color="auto" w:fill="auto"/>
            <w:noWrap/>
            <w:vAlign w:val="center"/>
            <w:hideMark/>
          </w:tcPr>
          <w:p w14:paraId="6DFD16E7"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360,4</w:t>
            </w:r>
          </w:p>
        </w:tc>
        <w:tc>
          <w:tcPr>
            <w:tcW w:w="851" w:type="dxa"/>
            <w:vAlign w:val="center"/>
          </w:tcPr>
          <w:p w14:paraId="21649EF8"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364,2</w:t>
            </w:r>
          </w:p>
        </w:tc>
        <w:tc>
          <w:tcPr>
            <w:tcW w:w="850" w:type="dxa"/>
            <w:shd w:val="clear" w:color="auto" w:fill="auto"/>
            <w:noWrap/>
            <w:vAlign w:val="center"/>
            <w:hideMark/>
          </w:tcPr>
          <w:p w14:paraId="2C335E18"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363,5</w:t>
            </w:r>
          </w:p>
        </w:tc>
        <w:tc>
          <w:tcPr>
            <w:tcW w:w="864" w:type="dxa"/>
            <w:shd w:val="clear" w:color="auto" w:fill="auto"/>
            <w:noWrap/>
            <w:vAlign w:val="center"/>
            <w:hideMark/>
          </w:tcPr>
          <w:p w14:paraId="49AD9BEE" w14:textId="77777777" w:rsidR="00D0442A" w:rsidRPr="00CD0802" w:rsidRDefault="00D0442A" w:rsidP="00D0442A">
            <w:pPr>
              <w:spacing w:after="0"/>
              <w:ind w:firstLine="0"/>
              <w:contextualSpacing/>
              <w:jc w:val="right"/>
              <w:rPr>
                <w:color w:val="FF0000"/>
                <w:sz w:val="18"/>
                <w:szCs w:val="18"/>
                <w:highlight w:val="yellow"/>
              </w:rPr>
            </w:pPr>
            <w:r w:rsidRPr="00CD0802">
              <w:rPr>
                <w:sz w:val="18"/>
                <w:szCs w:val="18"/>
              </w:rPr>
              <w:t>359,4</w:t>
            </w:r>
          </w:p>
        </w:tc>
        <w:tc>
          <w:tcPr>
            <w:tcW w:w="863" w:type="dxa"/>
            <w:shd w:val="clear" w:color="auto" w:fill="auto"/>
            <w:noWrap/>
            <w:vAlign w:val="center"/>
            <w:hideMark/>
          </w:tcPr>
          <w:p w14:paraId="2443D1CE" w14:textId="77777777" w:rsidR="00D0442A" w:rsidRPr="00CD0802" w:rsidRDefault="00D0442A" w:rsidP="00D0442A">
            <w:pPr>
              <w:spacing w:after="0"/>
              <w:ind w:firstLine="0"/>
              <w:contextualSpacing/>
              <w:jc w:val="right"/>
              <w:rPr>
                <w:color w:val="FF0000"/>
                <w:sz w:val="18"/>
                <w:szCs w:val="18"/>
                <w:highlight w:val="yellow"/>
              </w:rPr>
            </w:pPr>
            <w:r w:rsidRPr="00CD0802">
              <w:rPr>
                <w:sz w:val="18"/>
                <w:szCs w:val="18"/>
              </w:rPr>
              <w:t>363,1</w:t>
            </w:r>
          </w:p>
        </w:tc>
      </w:tr>
      <w:tr w:rsidR="00D0442A" w:rsidRPr="0026061A" w14:paraId="60FCEA22" w14:textId="77777777" w:rsidTr="00D0442A">
        <w:trPr>
          <w:trHeight w:val="20"/>
          <w:jc w:val="center"/>
        </w:trPr>
        <w:tc>
          <w:tcPr>
            <w:tcW w:w="2263" w:type="dxa"/>
            <w:shd w:val="clear" w:color="auto" w:fill="auto"/>
            <w:vAlign w:val="center"/>
            <w:hideMark/>
          </w:tcPr>
          <w:p w14:paraId="6C080784" w14:textId="77777777" w:rsidR="00D0442A" w:rsidRPr="007333CF" w:rsidRDefault="00D0442A" w:rsidP="00D0442A">
            <w:pPr>
              <w:spacing w:after="0"/>
              <w:ind w:firstLine="0"/>
              <w:contextualSpacing/>
              <w:jc w:val="left"/>
              <w:rPr>
                <w:color w:val="000000"/>
                <w:sz w:val="18"/>
                <w:szCs w:val="18"/>
              </w:rPr>
            </w:pPr>
            <w:r>
              <w:rPr>
                <w:color w:val="000000"/>
                <w:sz w:val="18"/>
                <w:szCs w:val="18"/>
              </w:rPr>
              <w:t xml:space="preserve">        </w:t>
            </w:r>
            <w:r w:rsidRPr="007333CF">
              <w:rPr>
                <w:color w:val="000000"/>
                <w:sz w:val="18"/>
                <w:szCs w:val="18"/>
              </w:rPr>
              <w:t>Ārvalstu finanšu</w:t>
            </w:r>
            <w:r>
              <w:rPr>
                <w:color w:val="000000"/>
                <w:sz w:val="18"/>
                <w:szCs w:val="18"/>
              </w:rPr>
              <w:t xml:space="preserve"> </w:t>
            </w:r>
            <w:r w:rsidRPr="007333CF">
              <w:rPr>
                <w:color w:val="000000"/>
                <w:sz w:val="18"/>
                <w:szCs w:val="18"/>
              </w:rPr>
              <w:t>palīdzība</w:t>
            </w:r>
          </w:p>
        </w:tc>
        <w:tc>
          <w:tcPr>
            <w:tcW w:w="851" w:type="dxa"/>
            <w:shd w:val="clear" w:color="auto" w:fill="auto"/>
            <w:noWrap/>
            <w:vAlign w:val="center"/>
            <w:hideMark/>
          </w:tcPr>
          <w:p w14:paraId="0B15400D"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1 283,7</w:t>
            </w:r>
          </w:p>
        </w:tc>
        <w:tc>
          <w:tcPr>
            <w:tcW w:w="850" w:type="dxa"/>
            <w:shd w:val="clear" w:color="auto" w:fill="auto"/>
            <w:noWrap/>
            <w:vAlign w:val="center"/>
            <w:hideMark/>
          </w:tcPr>
          <w:p w14:paraId="4946F82E" w14:textId="77777777" w:rsidR="00D0442A" w:rsidRPr="00607A35" w:rsidRDefault="00D0442A" w:rsidP="00D0442A">
            <w:pPr>
              <w:spacing w:after="0"/>
              <w:ind w:firstLine="0"/>
              <w:contextualSpacing/>
              <w:jc w:val="right"/>
              <w:rPr>
                <w:color w:val="FF0000"/>
                <w:sz w:val="18"/>
                <w:szCs w:val="18"/>
                <w:highlight w:val="yellow"/>
              </w:rPr>
            </w:pPr>
            <w:r w:rsidRPr="00607A35">
              <w:rPr>
                <w:sz w:val="18"/>
                <w:szCs w:val="18"/>
              </w:rPr>
              <w:t>1 365,4</w:t>
            </w:r>
          </w:p>
        </w:tc>
        <w:tc>
          <w:tcPr>
            <w:tcW w:w="851" w:type="dxa"/>
            <w:shd w:val="clear" w:color="auto" w:fill="auto"/>
            <w:noWrap/>
            <w:vAlign w:val="center"/>
            <w:hideMark/>
          </w:tcPr>
          <w:p w14:paraId="42ABE529"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1 511,1</w:t>
            </w:r>
          </w:p>
        </w:tc>
        <w:tc>
          <w:tcPr>
            <w:tcW w:w="850" w:type="dxa"/>
            <w:shd w:val="clear" w:color="auto" w:fill="auto"/>
            <w:noWrap/>
            <w:vAlign w:val="center"/>
            <w:hideMark/>
          </w:tcPr>
          <w:p w14:paraId="578337AD"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2 119,9</w:t>
            </w:r>
          </w:p>
        </w:tc>
        <w:tc>
          <w:tcPr>
            <w:tcW w:w="851" w:type="dxa"/>
            <w:vAlign w:val="center"/>
          </w:tcPr>
          <w:p w14:paraId="5FFBC342"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1 950,5</w:t>
            </w:r>
          </w:p>
        </w:tc>
        <w:tc>
          <w:tcPr>
            <w:tcW w:w="850" w:type="dxa"/>
            <w:shd w:val="clear" w:color="auto" w:fill="auto"/>
            <w:noWrap/>
            <w:vAlign w:val="center"/>
            <w:hideMark/>
          </w:tcPr>
          <w:p w14:paraId="587EABE4"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1 511,2</w:t>
            </w:r>
          </w:p>
        </w:tc>
        <w:tc>
          <w:tcPr>
            <w:tcW w:w="864" w:type="dxa"/>
            <w:shd w:val="clear" w:color="auto" w:fill="auto"/>
            <w:noWrap/>
            <w:vAlign w:val="center"/>
            <w:hideMark/>
          </w:tcPr>
          <w:p w14:paraId="0E953FC5" w14:textId="77777777" w:rsidR="00D0442A" w:rsidRPr="00CD0802" w:rsidRDefault="00D0442A" w:rsidP="00D0442A">
            <w:pPr>
              <w:spacing w:after="0"/>
              <w:ind w:firstLine="0"/>
              <w:contextualSpacing/>
              <w:jc w:val="right"/>
              <w:rPr>
                <w:color w:val="FF0000"/>
                <w:sz w:val="18"/>
                <w:szCs w:val="18"/>
                <w:highlight w:val="yellow"/>
              </w:rPr>
            </w:pPr>
            <w:r w:rsidRPr="00CD0802">
              <w:rPr>
                <w:sz w:val="18"/>
                <w:szCs w:val="18"/>
              </w:rPr>
              <w:t>2 119,9</w:t>
            </w:r>
          </w:p>
        </w:tc>
        <w:tc>
          <w:tcPr>
            <w:tcW w:w="863" w:type="dxa"/>
            <w:shd w:val="clear" w:color="auto" w:fill="auto"/>
            <w:noWrap/>
            <w:vAlign w:val="center"/>
            <w:hideMark/>
          </w:tcPr>
          <w:p w14:paraId="0EBC184D" w14:textId="77777777" w:rsidR="00D0442A" w:rsidRPr="00CD0802" w:rsidRDefault="00D0442A" w:rsidP="00D0442A">
            <w:pPr>
              <w:spacing w:after="0"/>
              <w:ind w:firstLine="0"/>
              <w:contextualSpacing/>
              <w:jc w:val="right"/>
              <w:rPr>
                <w:color w:val="FF0000"/>
                <w:sz w:val="18"/>
                <w:szCs w:val="18"/>
                <w:highlight w:val="yellow"/>
              </w:rPr>
            </w:pPr>
            <w:r w:rsidRPr="00CD0802">
              <w:rPr>
                <w:sz w:val="18"/>
                <w:szCs w:val="18"/>
              </w:rPr>
              <w:t>1 950,4</w:t>
            </w:r>
          </w:p>
        </w:tc>
      </w:tr>
      <w:tr w:rsidR="00D0442A" w:rsidRPr="0026061A" w14:paraId="135EA015" w14:textId="77777777" w:rsidTr="00D0442A">
        <w:trPr>
          <w:trHeight w:val="20"/>
          <w:jc w:val="center"/>
        </w:trPr>
        <w:tc>
          <w:tcPr>
            <w:tcW w:w="2263" w:type="dxa"/>
            <w:shd w:val="clear" w:color="auto" w:fill="auto"/>
            <w:noWrap/>
            <w:vAlign w:val="center"/>
            <w:hideMark/>
          </w:tcPr>
          <w:p w14:paraId="61AF01FA" w14:textId="77777777" w:rsidR="00D0442A" w:rsidRPr="007333CF" w:rsidRDefault="00D0442A" w:rsidP="00D0442A">
            <w:pPr>
              <w:spacing w:after="0"/>
              <w:ind w:firstLineChars="200" w:firstLine="360"/>
              <w:contextualSpacing/>
              <w:jc w:val="left"/>
              <w:rPr>
                <w:color w:val="000000"/>
                <w:sz w:val="18"/>
                <w:szCs w:val="18"/>
              </w:rPr>
            </w:pPr>
            <w:r w:rsidRPr="007333CF">
              <w:rPr>
                <w:color w:val="000000"/>
                <w:sz w:val="18"/>
                <w:szCs w:val="18"/>
              </w:rPr>
              <w:t>Pārējie ieņēmumi</w:t>
            </w:r>
          </w:p>
        </w:tc>
        <w:tc>
          <w:tcPr>
            <w:tcW w:w="851" w:type="dxa"/>
            <w:shd w:val="clear" w:color="auto" w:fill="auto"/>
            <w:noWrap/>
            <w:vAlign w:val="center"/>
            <w:hideMark/>
          </w:tcPr>
          <w:p w14:paraId="11EBB5AE"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5,9</w:t>
            </w:r>
          </w:p>
        </w:tc>
        <w:tc>
          <w:tcPr>
            <w:tcW w:w="850" w:type="dxa"/>
            <w:shd w:val="clear" w:color="auto" w:fill="auto"/>
            <w:noWrap/>
            <w:vAlign w:val="center"/>
            <w:hideMark/>
          </w:tcPr>
          <w:p w14:paraId="1AA5903B" w14:textId="77777777" w:rsidR="00D0442A" w:rsidRPr="00607A35" w:rsidRDefault="00D0442A" w:rsidP="00D0442A">
            <w:pPr>
              <w:spacing w:after="0"/>
              <w:ind w:firstLine="0"/>
              <w:contextualSpacing/>
              <w:jc w:val="right"/>
              <w:rPr>
                <w:color w:val="FF0000"/>
                <w:sz w:val="18"/>
                <w:szCs w:val="18"/>
                <w:highlight w:val="yellow"/>
              </w:rPr>
            </w:pPr>
            <w:r w:rsidRPr="00607A35">
              <w:rPr>
                <w:sz w:val="18"/>
                <w:szCs w:val="18"/>
              </w:rPr>
              <w:t>0,7</w:t>
            </w:r>
          </w:p>
        </w:tc>
        <w:tc>
          <w:tcPr>
            <w:tcW w:w="851" w:type="dxa"/>
            <w:shd w:val="clear" w:color="auto" w:fill="auto"/>
            <w:noWrap/>
            <w:vAlign w:val="center"/>
            <w:hideMark/>
          </w:tcPr>
          <w:p w14:paraId="5C9AEDDD"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0,6</w:t>
            </w:r>
          </w:p>
        </w:tc>
        <w:tc>
          <w:tcPr>
            <w:tcW w:w="850" w:type="dxa"/>
            <w:shd w:val="clear" w:color="auto" w:fill="auto"/>
            <w:noWrap/>
            <w:vAlign w:val="center"/>
            <w:hideMark/>
          </w:tcPr>
          <w:p w14:paraId="3EA42D99"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0,6</w:t>
            </w:r>
          </w:p>
        </w:tc>
        <w:tc>
          <w:tcPr>
            <w:tcW w:w="851" w:type="dxa"/>
            <w:vAlign w:val="center"/>
          </w:tcPr>
          <w:p w14:paraId="3B761927"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0,6</w:t>
            </w:r>
          </w:p>
        </w:tc>
        <w:tc>
          <w:tcPr>
            <w:tcW w:w="850" w:type="dxa"/>
            <w:shd w:val="clear" w:color="auto" w:fill="auto"/>
            <w:noWrap/>
            <w:vAlign w:val="center"/>
            <w:hideMark/>
          </w:tcPr>
          <w:p w14:paraId="3CAFCD74"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0,6</w:t>
            </w:r>
          </w:p>
        </w:tc>
        <w:tc>
          <w:tcPr>
            <w:tcW w:w="864" w:type="dxa"/>
            <w:shd w:val="clear" w:color="auto" w:fill="auto"/>
            <w:noWrap/>
            <w:vAlign w:val="center"/>
            <w:hideMark/>
          </w:tcPr>
          <w:p w14:paraId="3F699E47" w14:textId="77777777" w:rsidR="00D0442A" w:rsidRPr="00CD0802" w:rsidRDefault="00D0442A" w:rsidP="00D0442A">
            <w:pPr>
              <w:spacing w:after="0"/>
              <w:ind w:firstLine="0"/>
              <w:contextualSpacing/>
              <w:jc w:val="right"/>
              <w:rPr>
                <w:color w:val="FF0000"/>
                <w:sz w:val="18"/>
                <w:szCs w:val="18"/>
                <w:highlight w:val="yellow"/>
              </w:rPr>
            </w:pPr>
            <w:r w:rsidRPr="00CD0802">
              <w:rPr>
                <w:sz w:val="18"/>
                <w:szCs w:val="18"/>
              </w:rPr>
              <w:t>0,6</w:t>
            </w:r>
          </w:p>
        </w:tc>
        <w:tc>
          <w:tcPr>
            <w:tcW w:w="863" w:type="dxa"/>
            <w:shd w:val="clear" w:color="auto" w:fill="auto"/>
            <w:noWrap/>
            <w:vAlign w:val="center"/>
            <w:hideMark/>
          </w:tcPr>
          <w:p w14:paraId="51E9DA0A" w14:textId="77777777" w:rsidR="00D0442A" w:rsidRPr="00CD0802" w:rsidRDefault="00D0442A" w:rsidP="00D0442A">
            <w:pPr>
              <w:spacing w:after="0"/>
              <w:ind w:firstLine="0"/>
              <w:contextualSpacing/>
              <w:jc w:val="right"/>
              <w:rPr>
                <w:color w:val="FF0000"/>
                <w:sz w:val="18"/>
                <w:szCs w:val="18"/>
                <w:highlight w:val="yellow"/>
              </w:rPr>
            </w:pPr>
            <w:r w:rsidRPr="00CD0802">
              <w:rPr>
                <w:sz w:val="18"/>
                <w:szCs w:val="18"/>
              </w:rPr>
              <w:t>0,6</w:t>
            </w:r>
          </w:p>
        </w:tc>
      </w:tr>
      <w:tr w:rsidR="00D0442A" w:rsidRPr="0026061A" w14:paraId="6615610B" w14:textId="77777777" w:rsidTr="00D0442A">
        <w:trPr>
          <w:trHeight w:val="20"/>
          <w:jc w:val="center"/>
        </w:trPr>
        <w:tc>
          <w:tcPr>
            <w:tcW w:w="2263" w:type="dxa"/>
            <w:shd w:val="clear" w:color="auto" w:fill="auto"/>
            <w:noWrap/>
            <w:vAlign w:val="center"/>
            <w:hideMark/>
          </w:tcPr>
          <w:p w14:paraId="302FEF11" w14:textId="77777777" w:rsidR="00D0442A" w:rsidRPr="007333CF" w:rsidRDefault="00D0442A" w:rsidP="00D0442A">
            <w:pPr>
              <w:spacing w:after="0"/>
              <w:ind w:firstLineChars="100" w:firstLine="180"/>
              <w:contextualSpacing/>
              <w:jc w:val="left"/>
              <w:rPr>
                <w:color w:val="000000"/>
                <w:sz w:val="18"/>
                <w:szCs w:val="18"/>
              </w:rPr>
            </w:pPr>
            <w:r w:rsidRPr="007333CF">
              <w:rPr>
                <w:color w:val="000000"/>
                <w:sz w:val="18"/>
                <w:szCs w:val="18"/>
              </w:rPr>
              <w:t>Izdevumi</w:t>
            </w:r>
          </w:p>
        </w:tc>
        <w:tc>
          <w:tcPr>
            <w:tcW w:w="851" w:type="dxa"/>
            <w:shd w:val="clear" w:color="auto" w:fill="auto"/>
            <w:noWrap/>
            <w:vAlign w:val="center"/>
            <w:hideMark/>
          </w:tcPr>
          <w:p w14:paraId="39F323D0"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12 469,4</w:t>
            </w:r>
          </w:p>
        </w:tc>
        <w:tc>
          <w:tcPr>
            <w:tcW w:w="850" w:type="dxa"/>
            <w:shd w:val="clear" w:color="auto" w:fill="auto"/>
            <w:noWrap/>
            <w:vAlign w:val="bottom"/>
            <w:hideMark/>
          </w:tcPr>
          <w:p w14:paraId="3FB1A4B9" w14:textId="77777777" w:rsidR="00D0442A" w:rsidRPr="00607A35" w:rsidRDefault="00D0442A" w:rsidP="00D0442A">
            <w:pPr>
              <w:spacing w:after="0"/>
              <w:ind w:firstLine="0"/>
              <w:contextualSpacing/>
              <w:jc w:val="right"/>
              <w:rPr>
                <w:color w:val="FF0000"/>
                <w:sz w:val="18"/>
                <w:szCs w:val="18"/>
                <w:highlight w:val="yellow"/>
              </w:rPr>
            </w:pPr>
            <w:r w:rsidRPr="00607A35">
              <w:rPr>
                <w:sz w:val="18"/>
                <w:szCs w:val="18"/>
              </w:rPr>
              <w:t>14 594,1</w:t>
            </w:r>
          </w:p>
        </w:tc>
        <w:tc>
          <w:tcPr>
            <w:tcW w:w="851" w:type="dxa"/>
            <w:shd w:val="clear" w:color="auto" w:fill="auto"/>
            <w:noWrap/>
            <w:vAlign w:val="center"/>
            <w:hideMark/>
          </w:tcPr>
          <w:p w14:paraId="1D0935F6" w14:textId="77777777" w:rsidR="00D0442A" w:rsidRPr="002D02BA" w:rsidRDefault="00D0442A" w:rsidP="00D0442A">
            <w:pPr>
              <w:spacing w:after="0"/>
              <w:ind w:firstLine="0"/>
              <w:contextualSpacing/>
              <w:rPr>
                <w:color w:val="FF0000"/>
                <w:sz w:val="18"/>
                <w:szCs w:val="18"/>
                <w:highlight w:val="yellow"/>
              </w:rPr>
            </w:pPr>
            <w:r w:rsidRPr="002D02BA">
              <w:rPr>
                <w:sz w:val="18"/>
                <w:szCs w:val="18"/>
              </w:rPr>
              <w:t>14 046,8</w:t>
            </w:r>
          </w:p>
        </w:tc>
        <w:tc>
          <w:tcPr>
            <w:tcW w:w="850" w:type="dxa"/>
            <w:shd w:val="clear" w:color="auto" w:fill="auto"/>
            <w:noWrap/>
            <w:vAlign w:val="center"/>
            <w:hideMark/>
          </w:tcPr>
          <w:p w14:paraId="0567CF4D"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14 108,3</w:t>
            </w:r>
          </w:p>
        </w:tc>
        <w:tc>
          <w:tcPr>
            <w:tcW w:w="851" w:type="dxa"/>
            <w:vAlign w:val="center"/>
          </w:tcPr>
          <w:p w14:paraId="7A886189"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14 382,4</w:t>
            </w:r>
          </w:p>
        </w:tc>
        <w:tc>
          <w:tcPr>
            <w:tcW w:w="850" w:type="dxa"/>
            <w:shd w:val="clear" w:color="auto" w:fill="auto"/>
            <w:noWrap/>
            <w:vAlign w:val="bottom"/>
            <w:hideMark/>
          </w:tcPr>
          <w:p w14:paraId="5D12B72F"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14 617,7</w:t>
            </w:r>
          </w:p>
        </w:tc>
        <w:tc>
          <w:tcPr>
            <w:tcW w:w="864" w:type="dxa"/>
            <w:shd w:val="clear" w:color="auto" w:fill="auto"/>
            <w:noWrap/>
            <w:vAlign w:val="bottom"/>
            <w:hideMark/>
          </w:tcPr>
          <w:p w14:paraId="320A6E00"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14 316,0</w:t>
            </w:r>
          </w:p>
        </w:tc>
        <w:tc>
          <w:tcPr>
            <w:tcW w:w="863" w:type="dxa"/>
            <w:shd w:val="clear" w:color="auto" w:fill="auto"/>
            <w:noWrap/>
            <w:vAlign w:val="bottom"/>
            <w:hideMark/>
          </w:tcPr>
          <w:p w14:paraId="552ACD5E"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14 631,3</w:t>
            </w:r>
          </w:p>
        </w:tc>
      </w:tr>
      <w:tr w:rsidR="00D0442A" w:rsidRPr="0026061A" w14:paraId="0408A6F6" w14:textId="77777777" w:rsidTr="00D0442A">
        <w:trPr>
          <w:trHeight w:val="20"/>
          <w:jc w:val="center"/>
        </w:trPr>
        <w:tc>
          <w:tcPr>
            <w:tcW w:w="2263" w:type="dxa"/>
            <w:shd w:val="clear" w:color="auto" w:fill="auto"/>
            <w:noWrap/>
            <w:vAlign w:val="center"/>
            <w:hideMark/>
          </w:tcPr>
          <w:p w14:paraId="5D38D14A" w14:textId="77777777" w:rsidR="00D0442A" w:rsidRPr="007333CF" w:rsidRDefault="00D0442A" w:rsidP="00D0442A">
            <w:pPr>
              <w:spacing w:after="0"/>
              <w:ind w:firstLineChars="200" w:firstLine="360"/>
              <w:contextualSpacing/>
              <w:jc w:val="left"/>
              <w:rPr>
                <w:color w:val="000000"/>
                <w:sz w:val="18"/>
                <w:szCs w:val="18"/>
              </w:rPr>
            </w:pPr>
            <w:r w:rsidRPr="007333CF">
              <w:rPr>
                <w:color w:val="000000"/>
                <w:sz w:val="18"/>
                <w:szCs w:val="18"/>
              </w:rPr>
              <w:t>Atlīdzība</w:t>
            </w:r>
          </w:p>
        </w:tc>
        <w:tc>
          <w:tcPr>
            <w:tcW w:w="851" w:type="dxa"/>
            <w:shd w:val="clear" w:color="auto" w:fill="auto"/>
            <w:noWrap/>
            <w:vAlign w:val="center"/>
            <w:hideMark/>
          </w:tcPr>
          <w:p w14:paraId="67C1EC1B"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2 712,1</w:t>
            </w:r>
          </w:p>
        </w:tc>
        <w:tc>
          <w:tcPr>
            <w:tcW w:w="850" w:type="dxa"/>
            <w:shd w:val="clear" w:color="auto" w:fill="auto"/>
            <w:noWrap/>
            <w:vAlign w:val="bottom"/>
            <w:hideMark/>
          </w:tcPr>
          <w:p w14:paraId="158BBB0D" w14:textId="77777777" w:rsidR="00D0442A" w:rsidRPr="00607A35" w:rsidRDefault="00D0442A" w:rsidP="00D0442A">
            <w:pPr>
              <w:spacing w:after="0"/>
              <w:ind w:firstLine="0"/>
              <w:contextualSpacing/>
              <w:jc w:val="right"/>
              <w:rPr>
                <w:color w:val="FF0000"/>
                <w:sz w:val="18"/>
                <w:szCs w:val="18"/>
                <w:highlight w:val="yellow"/>
              </w:rPr>
            </w:pPr>
            <w:r w:rsidRPr="00607A35">
              <w:rPr>
                <w:sz w:val="18"/>
                <w:szCs w:val="18"/>
              </w:rPr>
              <w:t>2 883,9</w:t>
            </w:r>
          </w:p>
        </w:tc>
        <w:tc>
          <w:tcPr>
            <w:tcW w:w="851" w:type="dxa"/>
            <w:shd w:val="clear" w:color="auto" w:fill="auto"/>
            <w:noWrap/>
            <w:vAlign w:val="center"/>
            <w:hideMark/>
          </w:tcPr>
          <w:p w14:paraId="2C93A323"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2 912,6</w:t>
            </w:r>
          </w:p>
        </w:tc>
        <w:tc>
          <w:tcPr>
            <w:tcW w:w="850" w:type="dxa"/>
            <w:shd w:val="clear" w:color="auto" w:fill="auto"/>
            <w:noWrap/>
            <w:vAlign w:val="center"/>
            <w:hideMark/>
          </w:tcPr>
          <w:p w14:paraId="36E63F25"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2 942,4</w:t>
            </w:r>
          </w:p>
        </w:tc>
        <w:tc>
          <w:tcPr>
            <w:tcW w:w="851" w:type="dxa"/>
            <w:vAlign w:val="center"/>
          </w:tcPr>
          <w:p w14:paraId="3A114895"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2 999,1</w:t>
            </w:r>
          </w:p>
        </w:tc>
        <w:tc>
          <w:tcPr>
            <w:tcW w:w="850" w:type="dxa"/>
            <w:shd w:val="clear" w:color="auto" w:fill="auto"/>
            <w:noWrap/>
            <w:vAlign w:val="bottom"/>
            <w:hideMark/>
          </w:tcPr>
          <w:p w14:paraId="441A4350"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3 026,3</w:t>
            </w:r>
          </w:p>
        </w:tc>
        <w:tc>
          <w:tcPr>
            <w:tcW w:w="864" w:type="dxa"/>
            <w:shd w:val="clear" w:color="auto" w:fill="auto"/>
            <w:noWrap/>
            <w:vAlign w:val="bottom"/>
            <w:hideMark/>
          </w:tcPr>
          <w:p w14:paraId="3E951CF8"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3 061,9</w:t>
            </w:r>
          </w:p>
        </w:tc>
        <w:tc>
          <w:tcPr>
            <w:tcW w:w="863" w:type="dxa"/>
            <w:shd w:val="clear" w:color="auto" w:fill="auto"/>
            <w:noWrap/>
            <w:vAlign w:val="bottom"/>
            <w:hideMark/>
          </w:tcPr>
          <w:p w14:paraId="798525D0"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3 092,0</w:t>
            </w:r>
          </w:p>
        </w:tc>
      </w:tr>
      <w:tr w:rsidR="00D0442A" w:rsidRPr="0026061A" w14:paraId="587CB889" w14:textId="77777777" w:rsidTr="00D0442A">
        <w:trPr>
          <w:trHeight w:val="20"/>
          <w:jc w:val="center"/>
        </w:trPr>
        <w:tc>
          <w:tcPr>
            <w:tcW w:w="2263" w:type="dxa"/>
            <w:shd w:val="clear" w:color="auto" w:fill="auto"/>
            <w:vAlign w:val="center"/>
            <w:hideMark/>
          </w:tcPr>
          <w:p w14:paraId="5AF9CB5C" w14:textId="77777777" w:rsidR="00D0442A" w:rsidRPr="007333CF" w:rsidRDefault="00D0442A" w:rsidP="00D0442A">
            <w:pPr>
              <w:spacing w:after="0"/>
              <w:ind w:firstLineChars="200" w:firstLine="360"/>
              <w:contextualSpacing/>
              <w:jc w:val="left"/>
              <w:rPr>
                <w:color w:val="000000"/>
                <w:sz w:val="18"/>
                <w:szCs w:val="18"/>
              </w:rPr>
            </w:pPr>
            <w:r w:rsidRPr="007333CF">
              <w:rPr>
                <w:color w:val="000000"/>
                <w:sz w:val="18"/>
                <w:szCs w:val="18"/>
              </w:rPr>
              <w:t>Preces un pakalpojumi</w:t>
            </w:r>
          </w:p>
        </w:tc>
        <w:tc>
          <w:tcPr>
            <w:tcW w:w="851" w:type="dxa"/>
            <w:shd w:val="clear" w:color="auto" w:fill="auto"/>
            <w:noWrap/>
            <w:vAlign w:val="center"/>
            <w:hideMark/>
          </w:tcPr>
          <w:p w14:paraId="3BFB77C4"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1 476,2</w:t>
            </w:r>
          </w:p>
        </w:tc>
        <w:tc>
          <w:tcPr>
            <w:tcW w:w="850" w:type="dxa"/>
            <w:shd w:val="clear" w:color="auto" w:fill="auto"/>
            <w:noWrap/>
            <w:vAlign w:val="bottom"/>
            <w:hideMark/>
          </w:tcPr>
          <w:p w14:paraId="392E70E5" w14:textId="77777777" w:rsidR="00D0442A" w:rsidRPr="00607A35" w:rsidRDefault="00D0442A" w:rsidP="00D0442A">
            <w:pPr>
              <w:spacing w:after="0"/>
              <w:ind w:firstLine="0"/>
              <w:contextualSpacing/>
              <w:jc w:val="right"/>
              <w:rPr>
                <w:color w:val="FF0000"/>
                <w:sz w:val="18"/>
                <w:szCs w:val="18"/>
                <w:highlight w:val="yellow"/>
              </w:rPr>
            </w:pPr>
            <w:r w:rsidRPr="00607A35">
              <w:rPr>
                <w:sz w:val="18"/>
                <w:szCs w:val="18"/>
              </w:rPr>
              <w:t>1 647,2</w:t>
            </w:r>
          </w:p>
        </w:tc>
        <w:tc>
          <w:tcPr>
            <w:tcW w:w="851" w:type="dxa"/>
            <w:shd w:val="clear" w:color="auto" w:fill="auto"/>
            <w:noWrap/>
            <w:vAlign w:val="center"/>
            <w:hideMark/>
          </w:tcPr>
          <w:p w14:paraId="45ADE119"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1 540,0</w:t>
            </w:r>
          </w:p>
        </w:tc>
        <w:tc>
          <w:tcPr>
            <w:tcW w:w="850" w:type="dxa"/>
            <w:shd w:val="clear" w:color="auto" w:fill="auto"/>
            <w:noWrap/>
            <w:vAlign w:val="center"/>
            <w:hideMark/>
          </w:tcPr>
          <w:p w14:paraId="3AA1691A"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1 539,7</w:t>
            </w:r>
          </w:p>
        </w:tc>
        <w:tc>
          <w:tcPr>
            <w:tcW w:w="851" w:type="dxa"/>
            <w:vAlign w:val="center"/>
          </w:tcPr>
          <w:p w14:paraId="5D49EF4C"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1 563,3</w:t>
            </w:r>
          </w:p>
        </w:tc>
        <w:tc>
          <w:tcPr>
            <w:tcW w:w="850" w:type="dxa"/>
            <w:shd w:val="clear" w:color="auto" w:fill="auto"/>
            <w:noWrap/>
            <w:vAlign w:val="bottom"/>
            <w:hideMark/>
          </w:tcPr>
          <w:p w14:paraId="786E232D"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1 601,4</w:t>
            </w:r>
          </w:p>
        </w:tc>
        <w:tc>
          <w:tcPr>
            <w:tcW w:w="864" w:type="dxa"/>
            <w:shd w:val="clear" w:color="auto" w:fill="auto"/>
            <w:noWrap/>
            <w:vAlign w:val="bottom"/>
            <w:hideMark/>
          </w:tcPr>
          <w:p w14:paraId="34487D1E"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1 544,5</w:t>
            </w:r>
          </w:p>
        </w:tc>
        <w:tc>
          <w:tcPr>
            <w:tcW w:w="863" w:type="dxa"/>
            <w:shd w:val="clear" w:color="auto" w:fill="auto"/>
            <w:noWrap/>
            <w:vAlign w:val="bottom"/>
            <w:hideMark/>
          </w:tcPr>
          <w:p w14:paraId="5BF4C6D5"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1 466,3</w:t>
            </w:r>
          </w:p>
        </w:tc>
      </w:tr>
      <w:tr w:rsidR="00D0442A" w:rsidRPr="0026061A" w14:paraId="581F5053" w14:textId="77777777" w:rsidTr="00D0442A">
        <w:trPr>
          <w:trHeight w:val="20"/>
          <w:jc w:val="center"/>
        </w:trPr>
        <w:tc>
          <w:tcPr>
            <w:tcW w:w="2263" w:type="dxa"/>
            <w:shd w:val="clear" w:color="auto" w:fill="auto"/>
            <w:noWrap/>
            <w:vAlign w:val="center"/>
            <w:hideMark/>
          </w:tcPr>
          <w:p w14:paraId="43C053D5" w14:textId="77777777" w:rsidR="00D0442A" w:rsidRPr="007333CF" w:rsidRDefault="00D0442A" w:rsidP="00D0442A">
            <w:pPr>
              <w:spacing w:after="0"/>
              <w:ind w:firstLineChars="200" w:firstLine="360"/>
              <w:contextualSpacing/>
              <w:jc w:val="left"/>
              <w:rPr>
                <w:color w:val="000000"/>
                <w:sz w:val="18"/>
                <w:szCs w:val="18"/>
              </w:rPr>
            </w:pPr>
            <w:r w:rsidRPr="007333CF">
              <w:rPr>
                <w:color w:val="000000"/>
                <w:sz w:val="18"/>
                <w:szCs w:val="18"/>
              </w:rPr>
              <w:t>Procentu izdevumi</w:t>
            </w:r>
          </w:p>
        </w:tc>
        <w:tc>
          <w:tcPr>
            <w:tcW w:w="851" w:type="dxa"/>
            <w:shd w:val="clear" w:color="auto" w:fill="auto"/>
            <w:noWrap/>
            <w:vAlign w:val="center"/>
            <w:hideMark/>
          </w:tcPr>
          <w:p w14:paraId="445CFA14"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262,9</w:t>
            </w:r>
          </w:p>
        </w:tc>
        <w:tc>
          <w:tcPr>
            <w:tcW w:w="850" w:type="dxa"/>
            <w:shd w:val="clear" w:color="auto" w:fill="auto"/>
            <w:noWrap/>
            <w:vAlign w:val="bottom"/>
            <w:hideMark/>
          </w:tcPr>
          <w:p w14:paraId="3DF2BA17" w14:textId="77777777" w:rsidR="00D0442A" w:rsidRPr="00607A35" w:rsidRDefault="00D0442A" w:rsidP="00D0442A">
            <w:pPr>
              <w:spacing w:after="0"/>
              <w:ind w:firstLine="0"/>
              <w:contextualSpacing/>
              <w:jc w:val="right"/>
              <w:rPr>
                <w:color w:val="FF0000"/>
                <w:sz w:val="18"/>
                <w:szCs w:val="18"/>
                <w:highlight w:val="yellow"/>
              </w:rPr>
            </w:pPr>
            <w:r w:rsidRPr="00607A35">
              <w:rPr>
                <w:sz w:val="18"/>
                <w:szCs w:val="18"/>
              </w:rPr>
              <w:t>262,2</w:t>
            </w:r>
          </w:p>
        </w:tc>
        <w:tc>
          <w:tcPr>
            <w:tcW w:w="851" w:type="dxa"/>
            <w:shd w:val="clear" w:color="auto" w:fill="auto"/>
            <w:noWrap/>
            <w:vAlign w:val="center"/>
            <w:hideMark/>
          </w:tcPr>
          <w:p w14:paraId="23D9E29E"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242,2</w:t>
            </w:r>
          </w:p>
        </w:tc>
        <w:tc>
          <w:tcPr>
            <w:tcW w:w="850" w:type="dxa"/>
            <w:shd w:val="clear" w:color="auto" w:fill="auto"/>
            <w:noWrap/>
            <w:vAlign w:val="center"/>
            <w:hideMark/>
          </w:tcPr>
          <w:p w14:paraId="78D78E34"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240,0</w:t>
            </w:r>
          </w:p>
        </w:tc>
        <w:tc>
          <w:tcPr>
            <w:tcW w:w="851" w:type="dxa"/>
            <w:vAlign w:val="center"/>
          </w:tcPr>
          <w:p w14:paraId="007753AF"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239,3</w:t>
            </w:r>
          </w:p>
        </w:tc>
        <w:tc>
          <w:tcPr>
            <w:tcW w:w="850" w:type="dxa"/>
            <w:shd w:val="clear" w:color="auto" w:fill="auto"/>
            <w:noWrap/>
            <w:vAlign w:val="bottom"/>
            <w:hideMark/>
          </w:tcPr>
          <w:p w14:paraId="7CD21E89"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200,2</w:t>
            </w:r>
          </w:p>
        </w:tc>
        <w:tc>
          <w:tcPr>
            <w:tcW w:w="864" w:type="dxa"/>
            <w:shd w:val="clear" w:color="auto" w:fill="auto"/>
            <w:noWrap/>
            <w:vAlign w:val="bottom"/>
            <w:hideMark/>
          </w:tcPr>
          <w:p w14:paraId="23EA764B"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235,4</w:t>
            </w:r>
          </w:p>
        </w:tc>
        <w:tc>
          <w:tcPr>
            <w:tcW w:w="863" w:type="dxa"/>
            <w:shd w:val="clear" w:color="auto" w:fill="auto"/>
            <w:noWrap/>
            <w:vAlign w:val="bottom"/>
            <w:hideMark/>
          </w:tcPr>
          <w:p w14:paraId="74C8D84F"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236,0</w:t>
            </w:r>
          </w:p>
        </w:tc>
      </w:tr>
      <w:tr w:rsidR="00D0442A" w:rsidRPr="0026061A" w14:paraId="52558A8A" w14:textId="77777777" w:rsidTr="00D0442A">
        <w:trPr>
          <w:trHeight w:val="20"/>
          <w:jc w:val="center"/>
        </w:trPr>
        <w:tc>
          <w:tcPr>
            <w:tcW w:w="2263" w:type="dxa"/>
            <w:shd w:val="clear" w:color="auto" w:fill="auto"/>
            <w:vAlign w:val="center"/>
            <w:hideMark/>
          </w:tcPr>
          <w:p w14:paraId="44596348" w14:textId="77777777" w:rsidR="00D0442A" w:rsidRPr="007333CF" w:rsidRDefault="00D0442A" w:rsidP="00D0442A">
            <w:pPr>
              <w:spacing w:after="0"/>
              <w:ind w:firstLineChars="200" w:firstLine="360"/>
              <w:contextualSpacing/>
              <w:jc w:val="left"/>
              <w:rPr>
                <w:color w:val="000000"/>
                <w:sz w:val="18"/>
                <w:szCs w:val="18"/>
              </w:rPr>
            </w:pPr>
            <w:r w:rsidRPr="007333CF">
              <w:rPr>
                <w:color w:val="000000"/>
                <w:sz w:val="18"/>
                <w:szCs w:val="18"/>
              </w:rPr>
              <w:t>Subsīdijas un dotācijas</w:t>
            </w:r>
          </w:p>
        </w:tc>
        <w:tc>
          <w:tcPr>
            <w:tcW w:w="851" w:type="dxa"/>
            <w:shd w:val="clear" w:color="auto" w:fill="auto"/>
            <w:noWrap/>
            <w:vAlign w:val="center"/>
            <w:hideMark/>
          </w:tcPr>
          <w:p w14:paraId="3442A6E9"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2 773,8</w:t>
            </w:r>
          </w:p>
        </w:tc>
        <w:tc>
          <w:tcPr>
            <w:tcW w:w="850" w:type="dxa"/>
            <w:shd w:val="clear" w:color="auto" w:fill="auto"/>
            <w:noWrap/>
            <w:vAlign w:val="bottom"/>
            <w:hideMark/>
          </w:tcPr>
          <w:p w14:paraId="7C0A05BE" w14:textId="77777777" w:rsidR="00D0442A" w:rsidRPr="00607A35" w:rsidRDefault="00D0442A" w:rsidP="00D0442A">
            <w:pPr>
              <w:spacing w:after="0"/>
              <w:ind w:firstLine="0"/>
              <w:contextualSpacing/>
              <w:jc w:val="right"/>
              <w:rPr>
                <w:color w:val="FF0000"/>
                <w:sz w:val="18"/>
                <w:szCs w:val="18"/>
                <w:highlight w:val="yellow"/>
              </w:rPr>
            </w:pPr>
            <w:r w:rsidRPr="00607A35">
              <w:rPr>
                <w:sz w:val="18"/>
                <w:szCs w:val="18"/>
              </w:rPr>
              <w:t>3 348,1</w:t>
            </w:r>
          </w:p>
        </w:tc>
        <w:tc>
          <w:tcPr>
            <w:tcW w:w="851" w:type="dxa"/>
            <w:shd w:val="clear" w:color="auto" w:fill="auto"/>
            <w:noWrap/>
            <w:vAlign w:val="center"/>
            <w:hideMark/>
          </w:tcPr>
          <w:p w14:paraId="278B46B5"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3 519,0</w:t>
            </w:r>
          </w:p>
        </w:tc>
        <w:tc>
          <w:tcPr>
            <w:tcW w:w="850" w:type="dxa"/>
            <w:shd w:val="clear" w:color="auto" w:fill="auto"/>
            <w:noWrap/>
            <w:vAlign w:val="center"/>
            <w:hideMark/>
          </w:tcPr>
          <w:p w14:paraId="25244AD3"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3 585,3</w:t>
            </w:r>
          </w:p>
        </w:tc>
        <w:tc>
          <w:tcPr>
            <w:tcW w:w="851" w:type="dxa"/>
            <w:vAlign w:val="center"/>
          </w:tcPr>
          <w:p w14:paraId="7C57358C"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3 476,7</w:t>
            </w:r>
          </w:p>
        </w:tc>
        <w:tc>
          <w:tcPr>
            <w:tcW w:w="850" w:type="dxa"/>
            <w:shd w:val="clear" w:color="auto" w:fill="auto"/>
            <w:noWrap/>
            <w:vAlign w:val="bottom"/>
            <w:hideMark/>
          </w:tcPr>
          <w:p w14:paraId="38AE4534"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3 711,4</w:t>
            </w:r>
          </w:p>
        </w:tc>
        <w:tc>
          <w:tcPr>
            <w:tcW w:w="864" w:type="dxa"/>
            <w:shd w:val="clear" w:color="auto" w:fill="auto"/>
            <w:noWrap/>
            <w:vAlign w:val="bottom"/>
            <w:hideMark/>
          </w:tcPr>
          <w:p w14:paraId="10A1B3C9"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3 673,5</w:t>
            </w:r>
          </w:p>
        </w:tc>
        <w:tc>
          <w:tcPr>
            <w:tcW w:w="863" w:type="dxa"/>
            <w:shd w:val="clear" w:color="auto" w:fill="auto"/>
            <w:noWrap/>
            <w:vAlign w:val="bottom"/>
            <w:hideMark/>
          </w:tcPr>
          <w:p w14:paraId="267ADBF8"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3 654,6</w:t>
            </w:r>
          </w:p>
        </w:tc>
      </w:tr>
      <w:tr w:rsidR="00D0442A" w:rsidRPr="0026061A" w14:paraId="4CA95B0C" w14:textId="77777777" w:rsidTr="00D0442A">
        <w:trPr>
          <w:trHeight w:val="20"/>
          <w:jc w:val="center"/>
        </w:trPr>
        <w:tc>
          <w:tcPr>
            <w:tcW w:w="2263" w:type="dxa"/>
            <w:shd w:val="clear" w:color="auto" w:fill="auto"/>
            <w:noWrap/>
            <w:vAlign w:val="center"/>
            <w:hideMark/>
          </w:tcPr>
          <w:p w14:paraId="36B0BAFB" w14:textId="77777777" w:rsidR="00D0442A" w:rsidRPr="007333CF" w:rsidRDefault="00D0442A" w:rsidP="00D0442A">
            <w:pPr>
              <w:spacing w:after="0"/>
              <w:ind w:firstLineChars="200" w:firstLine="360"/>
              <w:contextualSpacing/>
              <w:jc w:val="left"/>
              <w:rPr>
                <w:color w:val="000000"/>
                <w:sz w:val="18"/>
                <w:szCs w:val="18"/>
              </w:rPr>
            </w:pPr>
            <w:r w:rsidRPr="007333CF">
              <w:rPr>
                <w:color w:val="000000"/>
                <w:sz w:val="18"/>
                <w:szCs w:val="18"/>
              </w:rPr>
              <w:t>Sociālie pabalsti</w:t>
            </w:r>
          </w:p>
        </w:tc>
        <w:tc>
          <w:tcPr>
            <w:tcW w:w="851" w:type="dxa"/>
            <w:shd w:val="clear" w:color="auto" w:fill="auto"/>
            <w:noWrap/>
            <w:vAlign w:val="center"/>
            <w:hideMark/>
          </w:tcPr>
          <w:p w14:paraId="350209C6"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3 621,9</w:t>
            </w:r>
          </w:p>
        </w:tc>
        <w:tc>
          <w:tcPr>
            <w:tcW w:w="850" w:type="dxa"/>
            <w:shd w:val="clear" w:color="auto" w:fill="auto"/>
            <w:noWrap/>
            <w:vAlign w:val="bottom"/>
            <w:hideMark/>
          </w:tcPr>
          <w:p w14:paraId="2A3DBB8F" w14:textId="77777777" w:rsidR="00D0442A" w:rsidRPr="00607A35" w:rsidRDefault="00D0442A" w:rsidP="00D0442A">
            <w:pPr>
              <w:spacing w:after="0"/>
              <w:ind w:firstLine="0"/>
              <w:contextualSpacing/>
              <w:jc w:val="right"/>
              <w:rPr>
                <w:color w:val="FF0000"/>
                <w:sz w:val="18"/>
                <w:szCs w:val="18"/>
                <w:highlight w:val="yellow"/>
              </w:rPr>
            </w:pPr>
            <w:r w:rsidRPr="00607A35">
              <w:rPr>
                <w:sz w:val="18"/>
                <w:szCs w:val="18"/>
              </w:rPr>
              <w:t>4 770,5</w:t>
            </w:r>
          </w:p>
        </w:tc>
        <w:tc>
          <w:tcPr>
            <w:tcW w:w="851" w:type="dxa"/>
            <w:shd w:val="clear" w:color="auto" w:fill="auto"/>
            <w:noWrap/>
            <w:vAlign w:val="center"/>
            <w:hideMark/>
          </w:tcPr>
          <w:p w14:paraId="1D51337E"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4 080,3</w:t>
            </w:r>
          </w:p>
        </w:tc>
        <w:tc>
          <w:tcPr>
            <w:tcW w:w="850" w:type="dxa"/>
            <w:shd w:val="clear" w:color="auto" w:fill="auto"/>
            <w:noWrap/>
            <w:vAlign w:val="center"/>
            <w:hideMark/>
          </w:tcPr>
          <w:p w14:paraId="4F313ABF"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4 247,0</w:t>
            </w:r>
          </w:p>
        </w:tc>
        <w:tc>
          <w:tcPr>
            <w:tcW w:w="851" w:type="dxa"/>
            <w:vAlign w:val="center"/>
          </w:tcPr>
          <w:p w14:paraId="2EA7804A"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4 494,8</w:t>
            </w:r>
          </w:p>
        </w:tc>
        <w:tc>
          <w:tcPr>
            <w:tcW w:w="850" w:type="dxa"/>
            <w:shd w:val="clear" w:color="auto" w:fill="auto"/>
            <w:noWrap/>
            <w:vAlign w:val="bottom"/>
            <w:hideMark/>
          </w:tcPr>
          <w:p w14:paraId="6AF1549F"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4 088,6</w:t>
            </w:r>
          </w:p>
        </w:tc>
        <w:tc>
          <w:tcPr>
            <w:tcW w:w="864" w:type="dxa"/>
            <w:shd w:val="clear" w:color="auto" w:fill="auto"/>
            <w:noWrap/>
            <w:vAlign w:val="bottom"/>
            <w:hideMark/>
          </w:tcPr>
          <w:p w14:paraId="47484B60"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4 250,9</w:t>
            </w:r>
          </w:p>
        </w:tc>
        <w:tc>
          <w:tcPr>
            <w:tcW w:w="863" w:type="dxa"/>
            <w:shd w:val="clear" w:color="auto" w:fill="auto"/>
            <w:noWrap/>
            <w:vAlign w:val="bottom"/>
            <w:hideMark/>
          </w:tcPr>
          <w:p w14:paraId="3B808634"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4 495,2</w:t>
            </w:r>
          </w:p>
        </w:tc>
      </w:tr>
      <w:tr w:rsidR="00D0442A" w:rsidRPr="0026061A" w14:paraId="522BB06F" w14:textId="77777777" w:rsidTr="00D0442A">
        <w:trPr>
          <w:trHeight w:val="20"/>
          <w:jc w:val="center"/>
        </w:trPr>
        <w:tc>
          <w:tcPr>
            <w:tcW w:w="2263" w:type="dxa"/>
            <w:shd w:val="clear" w:color="auto" w:fill="auto"/>
            <w:noWrap/>
            <w:vAlign w:val="center"/>
          </w:tcPr>
          <w:p w14:paraId="1816B341" w14:textId="4DE0F3F1" w:rsidR="00D0442A" w:rsidRPr="007333CF" w:rsidRDefault="00D0442A" w:rsidP="00D0442A">
            <w:pPr>
              <w:spacing w:after="0"/>
              <w:ind w:firstLineChars="200" w:firstLine="360"/>
              <w:contextualSpacing/>
              <w:jc w:val="left"/>
              <w:rPr>
                <w:color w:val="000000"/>
                <w:sz w:val="18"/>
                <w:szCs w:val="18"/>
              </w:rPr>
            </w:pPr>
            <w:r>
              <w:rPr>
                <w:color w:val="000000"/>
                <w:sz w:val="18"/>
                <w:szCs w:val="18"/>
              </w:rPr>
              <w:t>Iemaksas E</w:t>
            </w:r>
            <w:r w:rsidR="00EB7D26">
              <w:rPr>
                <w:color w:val="000000"/>
                <w:sz w:val="18"/>
                <w:szCs w:val="18"/>
              </w:rPr>
              <w:t xml:space="preserve">iropas </w:t>
            </w:r>
            <w:r>
              <w:rPr>
                <w:color w:val="000000"/>
                <w:sz w:val="18"/>
                <w:szCs w:val="18"/>
              </w:rPr>
              <w:t>S</w:t>
            </w:r>
            <w:r w:rsidR="00EB7D26">
              <w:rPr>
                <w:color w:val="000000"/>
                <w:sz w:val="18"/>
                <w:szCs w:val="18"/>
              </w:rPr>
              <w:t>avienības</w:t>
            </w:r>
            <w:r>
              <w:rPr>
                <w:color w:val="000000"/>
                <w:sz w:val="18"/>
                <w:szCs w:val="18"/>
              </w:rPr>
              <w:t xml:space="preserve"> budžetā</w:t>
            </w:r>
          </w:p>
        </w:tc>
        <w:tc>
          <w:tcPr>
            <w:tcW w:w="851" w:type="dxa"/>
            <w:shd w:val="clear" w:color="auto" w:fill="auto"/>
            <w:noWrap/>
            <w:vAlign w:val="bottom"/>
          </w:tcPr>
          <w:p w14:paraId="39E77A90" w14:textId="77777777" w:rsidR="00D0442A" w:rsidRPr="00106DAD" w:rsidRDefault="00D0442A" w:rsidP="00D0442A">
            <w:pPr>
              <w:spacing w:after="0"/>
              <w:ind w:firstLine="0"/>
              <w:contextualSpacing/>
              <w:jc w:val="right"/>
              <w:rPr>
                <w:sz w:val="18"/>
                <w:szCs w:val="18"/>
              </w:rPr>
            </w:pPr>
            <w:r w:rsidRPr="00106DAD">
              <w:rPr>
                <w:sz w:val="18"/>
                <w:szCs w:val="18"/>
              </w:rPr>
              <w:t>321,6</w:t>
            </w:r>
          </w:p>
        </w:tc>
        <w:tc>
          <w:tcPr>
            <w:tcW w:w="850" w:type="dxa"/>
            <w:shd w:val="clear" w:color="auto" w:fill="auto"/>
            <w:noWrap/>
            <w:vAlign w:val="bottom"/>
          </w:tcPr>
          <w:p w14:paraId="0055B7C4" w14:textId="77777777" w:rsidR="00D0442A" w:rsidRPr="00607A35" w:rsidRDefault="00D0442A" w:rsidP="00D0442A">
            <w:pPr>
              <w:spacing w:after="0"/>
              <w:ind w:firstLine="0"/>
              <w:contextualSpacing/>
              <w:jc w:val="right"/>
              <w:rPr>
                <w:sz w:val="18"/>
                <w:szCs w:val="18"/>
              </w:rPr>
            </w:pPr>
            <w:r w:rsidRPr="00607A35">
              <w:rPr>
                <w:sz w:val="18"/>
                <w:szCs w:val="18"/>
              </w:rPr>
              <w:t>379,0</w:t>
            </w:r>
          </w:p>
        </w:tc>
        <w:tc>
          <w:tcPr>
            <w:tcW w:w="851" w:type="dxa"/>
            <w:shd w:val="clear" w:color="auto" w:fill="auto"/>
            <w:noWrap/>
            <w:vAlign w:val="bottom"/>
          </w:tcPr>
          <w:p w14:paraId="73777852" w14:textId="77777777" w:rsidR="00D0442A" w:rsidRPr="00106DAD" w:rsidRDefault="00D0442A" w:rsidP="00D0442A">
            <w:pPr>
              <w:spacing w:after="0"/>
              <w:ind w:firstLine="0"/>
              <w:contextualSpacing/>
              <w:jc w:val="right"/>
              <w:rPr>
                <w:sz w:val="18"/>
                <w:szCs w:val="18"/>
              </w:rPr>
            </w:pPr>
            <w:r>
              <w:rPr>
                <w:sz w:val="18"/>
                <w:szCs w:val="18"/>
              </w:rPr>
              <w:t>372,1</w:t>
            </w:r>
          </w:p>
        </w:tc>
        <w:tc>
          <w:tcPr>
            <w:tcW w:w="850" w:type="dxa"/>
            <w:shd w:val="clear" w:color="auto" w:fill="auto"/>
            <w:noWrap/>
            <w:vAlign w:val="bottom"/>
          </w:tcPr>
          <w:p w14:paraId="494FE2BE" w14:textId="77777777" w:rsidR="00D0442A" w:rsidRPr="00106DAD" w:rsidRDefault="00D0442A" w:rsidP="00D0442A">
            <w:pPr>
              <w:spacing w:after="0"/>
              <w:ind w:firstLine="0"/>
              <w:contextualSpacing/>
              <w:jc w:val="right"/>
              <w:rPr>
                <w:sz w:val="18"/>
                <w:szCs w:val="18"/>
              </w:rPr>
            </w:pPr>
            <w:r>
              <w:rPr>
                <w:sz w:val="18"/>
                <w:szCs w:val="18"/>
              </w:rPr>
              <w:t>363,1</w:t>
            </w:r>
          </w:p>
        </w:tc>
        <w:tc>
          <w:tcPr>
            <w:tcW w:w="851" w:type="dxa"/>
            <w:vAlign w:val="bottom"/>
          </w:tcPr>
          <w:p w14:paraId="18BA6C1E" w14:textId="77777777" w:rsidR="00D0442A" w:rsidRPr="00106DAD" w:rsidRDefault="00D0442A" w:rsidP="00D0442A">
            <w:pPr>
              <w:spacing w:after="0"/>
              <w:ind w:firstLine="0"/>
              <w:contextualSpacing/>
              <w:jc w:val="right"/>
              <w:rPr>
                <w:sz w:val="18"/>
                <w:szCs w:val="18"/>
              </w:rPr>
            </w:pPr>
            <w:r w:rsidRPr="00106DAD">
              <w:rPr>
                <w:sz w:val="18"/>
                <w:szCs w:val="18"/>
              </w:rPr>
              <w:t>3</w:t>
            </w:r>
            <w:r>
              <w:rPr>
                <w:sz w:val="18"/>
                <w:szCs w:val="18"/>
              </w:rPr>
              <w:t>68,9</w:t>
            </w:r>
          </w:p>
        </w:tc>
        <w:tc>
          <w:tcPr>
            <w:tcW w:w="850" w:type="dxa"/>
            <w:shd w:val="clear" w:color="auto" w:fill="auto"/>
            <w:noWrap/>
            <w:vAlign w:val="bottom"/>
          </w:tcPr>
          <w:p w14:paraId="42D26D40" w14:textId="77777777" w:rsidR="00D0442A" w:rsidRPr="00106DAD" w:rsidRDefault="00D0442A" w:rsidP="00D0442A">
            <w:pPr>
              <w:spacing w:after="0"/>
              <w:ind w:firstLine="0"/>
              <w:contextualSpacing/>
              <w:jc w:val="right"/>
              <w:rPr>
                <w:sz w:val="18"/>
                <w:szCs w:val="18"/>
              </w:rPr>
            </w:pPr>
            <w:r w:rsidRPr="00106DAD">
              <w:rPr>
                <w:sz w:val="18"/>
                <w:szCs w:val="18"/>
              </w:rPr>
              <w:t>372,1</w:t>
            </w:r>
          </w:p>
        </w:tc>
        <w:tc>
          <w:tcPr>
            <w:tcW w:w="864" w:type="dxa"/>
            <w:shd w:val="clear" w:color="auto" w:fill="auto"/>
            <w:noWrap/>
            <w:vAlign w:val="bottom"/>
          </w:tcPr>
          <w:p w14:paraId="1DB60C7D" w14:textId="77777777" w:rsidR="00D0442A" w:rsidRPr="00106DAD" w:rsidRDefault="00D0442A" w:rsidP="00D0442A">
            <w:pPr>
              <w:spacing w:after="0"/>
              <w:ind w:firstLine="0"/>
              <w:contextualSpacing/>
              <w:jc w:val="right"/>
              <w:rPr>
                <w:sz w:val="18"/>
                <w:szCs w:val="18"/>
              </w:rPr>
            </w:pPr>
            <w:r>
              <w:rPr>
                <w:sz w:val="18"/>
                <w:szCs w:val="18"/>
              </w:rPr>
              <w:t>363,1</w:t>
            </w:r>
          </w:p>
        </w:tc>
        <w:tc>
          <w:tcPr>
            <w:tcW w:w="863" w:type="dxa"/>
            <w:shd w:val="clear" w:color="auto" w:fill="auto"/>
            <w:noWrap/>
            <w:vAlign w:val="bottom"/>
          </w:tcPr>
          <w:p w14:paraId="6C09E1E3" w14:textId="77777777" w:rsidR="00D0442A" w:rsidRPr="00106DAD" w:rsidRDefault="00D0442A" w:rsidP="00D0442A">
            <w:pPr>
              <w:spacing w:after="0"/>
              <w:ind w:firstLine="0"/>
              <w:contextualSpacing/>
              <w:jc w:val="right"/>
              <w:rPr>
                <w:sz w:val="18"/>
                <w:szCs w:val="18"/>
              </w:rPr>
            </w:pPr>
            <w:r w:rsidRPr="00106DAD">
              <w:rPr>
                <w:sz w:val="18"/>
                <w:szCs w:val="18"/>
              </w:rPr>
              <w:t>3</w:t>
            </w:r>
            <w:r>
              <w:rPr>
                <w:sz w:val="18"/>
                <w:szCs w:val="18"/>
              </w:rPr>
              <w:t>68,9</w:t>
            </w:r>
          </w:p>
        </w:tc>
      </w:tr>
      <w:tr w:rsidR="00D0442A" w:rsidRPr="0026061A" w14:paraId="464DB768" w14:textId="77777777" w:rsidTr="00D0442A">
        <w:trPr>
          <w:trHeight w:val="20"/>
          <w:jc w:val="center"/>
        </w:trPr>
        <w:tc>
          <w:tcPr>
            <w:tcW w:w="2263" w:type="dxa"/>
            <w:shd w:val="clear" w:color="auto" w:fill="auto"/>
            <w:noWrap/>
            <w:vAlign w:val="center"/>
            <w:hideMark/>
          </w:tcPr>
          <w:p w14:paraId="711C6C9C" w14:textId="77777777" w:rsidR="00D0442A" w:rsidRPr="007333CF" w:rsidRDefault="00D0442A" w:rsidP="00D0442A">
            <w:pPr>
              <w:spacing w:after="0"/>
              <w:ind w:firstLineChars="200" w:firstLine="360"/>
              <w:contextualSpacing/>
              <w:jc w:val="left"/>
              <w:rPr>
                <w:color w:val="000000"/>
                <w:sz w:val="18"/>
                <w:szCs w:val="18"/>
              </w:rPr>
            </w:pPr>
            <w:r w:rsidRPr="007333CF">
              <w:rPr>
                <w:color w:val="000000"/>
                <w:sz w:val="18"/>
                <w:szCs w:val="18"/>
              </w:rPr>
              <w:t>Kapitālie izdevumi</w:t>
            </w:r>
          </w:p>
        </w:tc>
        <w:tc>
          <w:tcPr>
            <w:tcW w:w="851" w:type="dxa"/>
            <w:shd w:val="clear" w:color="auto" w:fill="auto"/>
            <w:noWrap/>
            <w:vAlign w:val="center"/>
            <w:hideMark/>
          </w:tcPr>
          <w:p w14:paraId="6A7F9827"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1 251,9</w:t>
            </w:r>
          </w:p>
        </w:tc>
        <w:tc>
          <w:tcPr>
            <w:tcW w:w="850" w:type="dxa"/>
            <w:shd w:val="clear" w:color="auto" w:fill="auto"/>
            <w:noWrap/>
            <w:vAlign w:val="bottom"/>
            <w:hideMark/>
          </w:tcPr>
          <w:p w14:paraId="3BFCF732" w14:textId="77777777" w:rsidR="00D0442A" w:rsidRPr="00607A35" w:rsidRDefault="00D0442A" w:rsidP="00D0442A">
            <w:pPr>
              <w:spacing w:after="0"/>
              <w:ind w:firstLine="0"/>
              <w:contextualSpacing/>
              <w:jc w:val="right"/>
              <w:rPr>
                <w:color w:val="FF0000"/>
                <w:sz w:val="18"/>
                <w:szCs w:val="18"/>
                <w:highlight w:val="yellow"/>
              </w:rPr>
            </w:pPr>
            <w:r w:rsidRPr="00607A35">
              <w:rPr>
                <w:sz w:val="18"/>
                <w:szCs w:val="18"/>
              </w:rPr>
              <w:t>1 243,2</w:t>
            </w:r>
          </w:p>
        </w:tc>
        <w:tc>
          <w:tcPr>
            <w:tcW w:w="851" w:type="dxa"/>
            <w:shd w:val="clear" w:color="auto" w:fill="auto"/>
            <w:noWrap/>
            <w:vAlign w:val="center"/>
            <w:hideMark/>
          </w:tcPr>
          <w:p w14:paraId="72A409A2"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1 337,7</w:t>
            </w:r>
          </w:p>
        </w:tc>
        <w:tc>
          <w:tcPr>
            <w:tcW w:w="850" w:type="dxa"/>
            <w:shd w:val="clear" w:color="auto" w:fill="auto"/>
            <w:noWrap/>
            <w:vAlign w:val="center"/>
            <w:hideMark/>
          </w:tcPr>
          <w:p w14:paraId="1A128F34"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1 137,4</w:t>
            </w:r>
          </w:p>
        </w:tc>
        <w:tc>
          <w:tcPr>
            <w:tcW w:w="851" w:type="dxa"/>
            <w:vAlign w:val="center"/>
          </w:tcPr>
          <w:p w14:paraId="550C8166" w14:textId="77777777" w:rsidR="00D0442A" w:rsidRPr="002D02BA" w:rsidRDefault="00D0442A" w:rsidP="00D0442A">
            <w:pPr>
              <w:spacing w:after="0"/>
              <w:ind w:firstLine="0"/>
              <w:contextualSpacing/>
              <w:jc w:val="right"/>
              <w:rPr>
                <w:color w:val="FF0000"/>
                <w:sz w:val="18"/>
                <w:szCs w:val="18"/>
                <w:highlight w:val="yellow"/>
              </w:rPr>
            </w:pPr>
            <w:r w:rsidRPr="002D02BA">
              <w:rPr>
                <w:sz w:val="18"/>
                <w:szCs w:val="18"/>
              </w:rPr>
              <w:t>1 205,2</w:t>
            </w:r>
          </w:p>
        </w:tc>
        <w:tc>
          <w:tcPr>
            <w:tcW w:w="850" w:type="dxa"/>
            <w:shd w:val="clear" w:color="auto" w:fill="auto"/>
            <w:noWrap/>
            <w:vAlign w:val="bottom"/>
            <w:hideMark/>
          </w:tcPr>
          <w:p w14:paraId="5BCD1925"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1 571,6</w:t>
            </w:r>
          </w:p>
        </w:tc>
        <w:tc>
          <w:tcPr>
            <w:tcW w:w="864" w:type="dxa"/>
            <w:shd w:val="clear" w:color="auto" w:fill="auto"/>
            <w:noWrap/>
            <w:vAlign w:val="bottom"/>
            <w:hideMark/>
          </w:tcPr>
          <w:p w14:paraId="664A7A47"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1 131,6</w:t>
            </w:r>
          </w:p>
        </w:tc>
        <w:tc>
          <w:tcPr>
            <w:tcW w:w="863" w:type="dxa"/>
            <w:shd w:val="clear" w:color="auto" w:fill="auto"/>
            <w:noWrap/>
            <w:vAlign w:val="bottom"/>
            <w:hideMark/>
          </w:tcPr>
          <w:p w14:paraId="5241EDD4" w14:textId="77777777" w:rsidR="00D0442A" w:rsidRPr="00106DAD" w:rsidRDefault="00D0442A" w:rsidP="00D0442A">
            <w:pPr>
              <w:spacing w:after="0"/>
              <w:ind w:firstLine="0"/>
              <w:contextualSpacing/>
              <w:jc w:val="right"/>
              <w:rPr>
                <w:color w:val="FF0000"/>
                <w:sz w:val="18"/>
                <w:szCs w:val="18"/>
                <w:highlight w:val="yellow"/>
              </w:rPr>
            </w:pPr>
            <w:r w:rsidRPr="00106DAD">
              <w:rPr>
                <w:sz w:val="18"/>
                <w:szCs w:val="18"/>
              </w:rPr>
              <w:t>1 281,2</w:t>
            </w:r>
          </w:p>
        </w:tc>
      </w:tr>
      <w:tr w:rsidR="00D0442A" w:rsidRPr="0026061A" w14:paraId="43DC7EA0" w14:textId="77777777" w:rsidTr="00D0442A">
        <w:trPr>
          <w:trHeight w:val="20"/>
          <w:jc w:val="center"/>
        </w:trPr>
        <w:tc>
          <w:tcPr>
            <w:tcW w:w="2263" w:type="dxa"/>
            <w:shd w:val="clear" w:color="auto" w:fill="auto"/>
            <w:noWrap/>
            <w:vAlign w:val="center"/>
            <w:hideMark/>
          </w:tcPr>
          <w:p w14:paraId="2E81DF02" w14:textId="77777777" w:rsidR="00D0442A" w:rsidRPr="007333CF" w:rsidRDefault="00D0442A" w:rsidP="00D0442A">
            <w:pPr>
              <w:spacing w:after="0"/>
              <w:ind w:firstLineChars="200" w:firstLine="360"/>
              <w:contextualSpacing/>
              <w:jc w:val="left"/>
              <w:rPr>
                <w:color w:val="000000"/>
                <w:sz w:val="18"/>
                <w:szCs w:val="18"/>
              </w:rPr>
            </w:pPr>
            <w:r w:rsidRPr="007333CF">
              <w:rPr>
                <w:color w:val="000000"/>
                <w:sz w:val="18"/>
                <w:szCs w:val="18"/>
              </w:rPr>
              <w:t>Pārējie izdevumi</w:t>
            </w:r>
          </w:p>
        </w:tc>
        <w:tc>
          <w:tcPr>
            <w:tcW w:w="851" w:type="dxa"/>
            <w:shd w:val="clear" w:color="auto" w:fill="auto"/>
            <w:noWrap/>
            <w:vAlign w:val="center"/>
            <w:hideMark/>
          </w:tcPr>
          <w:p w14:paraId="47551B7B" w14:textId="77777777" w:rsidR="00D0442A" w:rsidRPr="002D02BA" w:rsidRDefault="00D0442A" w:rsidP="00D0442A">
            <w:pPr>
              <w:spacing w:after="0"/>
              <w:ind w:firstLine="0"/>
              <w:contextualSpacing/>
              <w:jc w:val="right"/>
              <w:rPr>
                <w:color w:val="FF0000"/>
                <w:sz w:val="18"/>
                <w:szCs w:val="18"/>
                <w:highlight w:val="yellow"/>
              </w:rPr>
            </w:pPr>
            <w:r>
              <w:rPr>
                <w:sz w:val="18"/>
                <w:szCs w:val="18"/>
              </w:rPr>
              <w:t>49,1</w:t>
            </w:r>
          </w:p>
        </w:tc>
        <w:tc>
          <w:tcPr>
            <w:tcW w:w="850" w:type="dxa"/>
            <w:shd w:val="clear" w:color="auto" w:fill="auto"/>
            <w:noWrap/>
            <w:vAlign w:val="bottom"/>
            <w:hideMark/>
          </w:tcPr>
          <w:p w14:paraId="270C09AA" w14:textId="77777777" w:rsidR="00D0442A" w:rsidRPr="00607A35" w:rsidRDefault="00D0442A" w:rsidP="00D0442A">
            <w:pPr>
              <w:spacing w:after="0"/>
              <w:ind w:firstLine="0"/>
              <w:contextualSpacing/>
              <w:jc w:val="right"/>
              <w:rPr>
                <w:color w:val="FF0000"/>
                <w:sz w:val="18"/>
                <w:szCs w:val="18"/>
                <w:highlight w:val="yellow"/>
              </w:rPr>
            </w:pPr>
            <w:r w:rsidRPr="00607A35">
              <w:rPr>
                <w:sz w:val="18"/>
                <w:szCs w:val="18"/>
              </w:rPr>
              <w:t>60,0</w:t>
            </w:r>
          </w:p>
        </w:tc>
        <w:tc>
          <w:tcPr>
            <w:tcW w:w="851" w:type="dxa"/>
            <w:shd w:val="clear" w:color="auto" w:fill="auto"/>
            <w:noWrap/>
            <w:vAlign w:val="center"/>
            <w:hideMark/>
          </w:tcPr>
          <w:p w14:paraId="13DB7948" w14:textId="77777777" w:rsidR="00D0442A" w:rsidRPr="002D02BA" w:rsidRDefault="00D0442A" w:rsidP="00D0442A">
            <w:pPr>
              <w:spacing w:after="0"/>
              <w:ind w:firstLine="0"/>
              <w:contextualSpacing/>
              <w:jc w:val="right"/>
              <w:rPr>
                <w:color w:val="FF0000"/>
                <w:sz w:val="18"/>
                <w:szCs w:val="18"/>
                <w:highlight w:val="yellow"/>
              </w:rPr>
            </w:pPr>
            <w:r>
              <w:rPr>
                <w:sz w:val="18"/>
                <w:szCs w:val="18"/>
              </w:rPr>
              <w:t>43,0</w:t>
            </w:r>
          </w:p>
        </w:tc>
        <w:tc>
          <w:tcPr>
            <w:tcW w:w="850" w:type="dxa"/>
            <w:shd w:val="clear" w:color="auto" w:fill="auto"/>
            <w:noWrap/>
            <w:vAlign w:val="center"/>
            <w:hideMark/>
          </w:tcPr>
          <w:p w14:paraId="65C86D4F" w14:textId="77777777" w:rsidR="00D0442A" w:rsidRPr="002D02BA" w:rsidRDefault="00D0442A" w:rsidP="00D0442A">
            <w:pPr>
              <w:spacing w:after="0"/>
              <w:ind w:firstLine="0"/>
              <w:contextualSpacing/>
              <w:jc w:val="right"/>
              <w:rPr>
                <w:color w:val="FF0000"/>
                <w:sz w:val="18"/>
                <w:szCs w:val="18"/>
                <w:highlight w:val="yellow"/>
              </w:rPr>
            </w:pPr>
            <w:r>
              <w:rPr>
                <w:sz w:val="18"/>
                <w:szCs w:val="18"/>
              </w:rPr>
              <w:t>53,5</w:t>
            </w:r>
          </w:p>
        </w:tc>
        <w:tc>
          <w:tcPr>
            <w:tcW w:w="851" w:type="dxa"/>
            <w:vAlign w:val="center"/>
          </w:tcPr>
          <w:p w14:paraId="55166BB4" w14:textId="77777777" w:rsidR="00D0442A" w:rsidRPr="002D02BA" w:rsidRDefault="00D0442A" w:rsidP="00D0442A">
            <w:pPr>
              <w:spacing w:after="0"/>
              <w:ind w:firstLine="0"/>
              <w:contextualSpacing/>
              <w:jc w:val="right"/>
              <w:rPr>
                <w:color w:val="FF0000"/>
                <w:sz w:val="18"/>
                <w:szCs w:val="18"/>
                <w:highlight w:val="yellow"/>
              </w:rPr>
            </w:pPr>
            <w:r>
              <w:rPr>
                <w:sz w:val="18"/>
                <w:szCs w:val="18"/>
              </w:rPr>
              <w:t>35,2</w:t>
            </w:r>
          </w:p>
        </w:tc>
        <w:tc>
          <w:tcPr>
            <w:tcW w:w="850" w:type="dxa"/>
            <w:shd w:val="clear" w:color="auto" w:fill="auto"/>
            <w:noWrap/>
            <w:vAlign w:val="bottom"/>
            <w:hideMark/>
          </w:tcPr>
          <w:p w14:paraId="582EC9D5" w14:textId="77777777" w:rsidR="00D0442A" w:rsidRPr="00106DAD" w:rsidRDefault="00D0442A" w:rsidP="00D0442A">
            <w:pPr>
              <w:spacing w:after="0"/>
              <w:ind w:firstLine="0"/>
              <w:contextualSpacing/>
              <w:jc w:val="right"/>
              <w:rPr>
                <w:color w:val="FF0000"/>
                <w:sz w:val="18"/>
                <w:szCs w:val="18"/>
                <w:highlight w:val="yellow"/>
              </w:rPr>
            </w:pPr>
            <w:r>
              <w:rPr>
                <w:sz w:val="18"/>
                <w:szCs w:val="18"/>
              </w:rPr>
              <w:t>46,0</w:t>
            </w:r>
          </w:p>
        </w:tc>
        <w:tc>
          <w:tcPr>
            <w:tcW w:w="864" w:type="dxa"/>
            <w:shd w:val="clear" w:color="auto" w:fill="auto"/>
            <w:noWrap/>
            <w:vAlign w:val="bottom"/>
            <w:hideMark/>
          </w:tcPr>
          <w:p w14:paraId="1601CA5F" w14:textId="77777777" w:rsidR="00D0442A" w:rsidRPr="00106DAD" w:rsidRDefault="00D0442A" w:rsidP="00D0442A">
            <w:pPr>
              <w:spacing w:after="0"/>
              <w:ind w:firstLine="0"/>
              <w:contextualSpacing/>
              <w:jc w:val="right"/>
              <w:rPr>
                <w:color w:val="FF0000"/>
                <w:sz w:val="18"/>
                <w:szCs w:val="18"/>
                <w:highlight w:val="yellow"/>
              </w:rPr>
            </w:pPr>
            <w:r>
              <w:rPr>
                <w:sz w:val="18"/>
                <w:szCs w:val="18"/>
              </w:rPr>
              <w:t>55,1</w:t>
            </w:r>
          </w:p>
        </w:tc>
        <w:tc>
          <w:tcPr>
            <w:tcW w:w="863" w:type="dxa"/>
            <w:shd w:val="clear" w:color="auto" w:fill="auto"/>
            <w:noWrap/>
            <w:vAlign w:val="bottom"/>
            <w:hideMark/>
          </w:tcPr>
          <w:p w14:paraId="5DBD57C1" w14:textId="77777777" w:rsidR="00D0442A" w:rsidRPr="00106DAD" w:rsidRDefault="00D0442A" w:rsidP="00D0442A">
            <w:pPr>
              <w:spacing w:after="0"/>
              <w:ind w:firstLine="0"/>
              <w:contextualSpacing/>
              <w:jc w:val="right"/>
              <w:rPr>
                <w:color w:val="FF0000"/>
                <w:sz w:val="18"/>
                <w:szCs w:val="18"/>
                <w:highlight w:val="yellow"/>
              </w:rPr>
            </w:pPr>
            <w:r>
              <w:rPr>
                <w:sz w:val="18"/>
                <w:szCs w:val="18"/>
              </w:rPr>
              <w:t>37,2</w:t>
            </w:r>
          </w:p>
        </w:tc>
      </w:tr>
    </w:tbl>
    <w:p w14:paraId="7CF28F19" w14:textId="545AAD14" w:rsidR="00D0442A" w:rsidRDefault="00D0442A" w:rsidP="00D0442A">
      <w:pPr>
        <w:spacing w:before="120" w:after="60"/>
        <w:rPr>
          <w:noProof/>
        </w:rPr>
      </w:pPr>
      <w:r w:rsidRPr="001B688B">
        <w:rPr>
          <w:noProof/>
        </w:rPr>
        <w:t xml:space="preserve">Vispārējās valdības budžeta deficīts </w:t>
      </w:r>
      <w:r w:rsidRPr="001B688B">
        <w:rPr>
          <w:b/>
          <w:bCs/>
          <w:noProof/>
        </w:rPr>
        <w:t>2022. gadam</w:t>
      </w:r>
      <w:r w:rsidRPr="001B688B">
        <w:rPr>
          <w:noProof/>
        </w:rPr>
        <w:t xml:space="preserve"> tiek </w:t>
      </w:r>
      <w:r w:rsidR="002B2F86">
        <w:rPr>
          <w:noProof/>
        </w:rPr>
        <w:t>prognozēts 1,6 mljrd.</w:t>
      </w:r>
      <w:r w:rsidRPr="000F0DA5">
        <w:rPr>
          <w:noProof/>
        </w:rPr>
        <w:t xml:space="preserve"> </w:t>
      </w:r>
      <w:r w:rsidRPr="00E428E0">
        <w:rPr>
          <w:i/>
          <w:iCs/>
          <w:noProof/>
        </w:rPr>
        <w:t>euro</w:t>
      </w:r>
      <w:r w:rsidRPr="000F0DA5">
        <w:rPr>
          <w:noProof/>
        </w:rPr>
        <w:t xml:space="preserve"> jeb 4,</w:t>
      </w:r>
      <w:r>
        <w:rPr>
          <w:noProof/>
        </w:rPr>
        <w:t>8</w:t>
      </w:r>
      <w:r w:rsidRPr="000F0DA5">
        <w:rPr>
          <w:noProof/>
        </w:rPr>
        <w:t>%</w:t>
      </w:r>
      <w:r w:rsidRPr="001B688B">
        <w:rPr>
          <w:noProof/>
        </w:rPr>
        <w:t xml:space="preserve"> no </w:t>
      </w:r>
      <w:r w:rsidR="00EB7D26">
        <w:rPr>
          <w:noProof/>
        </w:rPr>
        <w:t>iekšzemes kopprodukta</w:t>
      </w:r>
      <w:r w:rsidRPr="001B688B">
        <w:rPr>
          <w:noProof/>
        </w:rPr>
        <w:t xml:space="preserve"> apmērā. Arī nākošgad saglabājas ar Covid-19 saistītais atbalsts, valsts un pašvaldību līmenī turpinot realizēt augstas gatavības projektus, kā arī </w:t>
      </w:r>
      <w:r w:rsidRPr="001B688B">
        <w:rPr>
          <w:noProof/>
        </w:rPr>
        <w:lastRenderedPageBreak/>
        <w:t xml:space="preserve">nodrošinot finansējumu vakcīnu iegādei. Atbalsta ietekme uz vispārējās valdības budžeta deficītu nākošgad tiek novērtēta 263 milj. </w:t>
      </w:r>
      <w:r w:rsidRPr="00E428E0">
        <w:rPr>
          <w:i/>
          <w:iCs/>
          <w:noProof/>
        </w:rPr>
        <w:t>euro</w:t>
      </w:r>
      <w:r w:rsidRPr="001B688B">
        <w:rPr>
          <w:noProof/>
        </w:rPr>
        <w:t xml:space="preserve"> jeb 0,8% no </w:t>
      </w:r>
      <w:r w:rsidR="00EB7D26">
        <w:rPr>
          <w:noProof/>
        </w:rPr>
        <w:t>iekšzemes kopprodukta</w:t>
      </w:r>
      <w:r w:rsidRPr="001B688B">
        <w:rPr>
          <w:noProof/>
        </w:rPr>
        <w:t xml:space="preserve"> apmērā. </w:t>
      </w:r>
      <w:r>
        <w:rPr>
          <w:noProof/>
        </w:rPr>
        <w:t>2022. gada</w:t>
      </w:r>
      <w:r w:rsidRPr="001B688B">
        <w:rPr>
          <w:noProof/>
        </w:rPr>
        <w:t xml:space="preserve"> </w:t>
      </w:r>
      <w:r>
        <w:rPr>
          <w:noProof/>
        </w:rPr>
        <w:t xml:space="preserve">un vidēja termiņa </w:t>
      </w:r>
      <w:r w:rsidRPr="001B688B">
        <w:rPr>
          <w:noProof/>
        </w:rPr>
        <w:t>budžetā iekļ</w:t>
      </w:r>
      <w:r>
        <w:rPr>
          <w:noProof/>
        </w:rPr>
        <w:t>autie pasākumi ar lielāko fiskālo ietekmi ir šādi:</w:t>
      </w:r>
    </w:p>
    <w:p w14:paraId="00689D29" w14:textId="5C8EC5E1" w:rsidR="00D0442A" w:rsidRPr="00351FCB" w:rsidRDefault="00D0442A" w:rsidP="00325724">
      <w:pPr>
        <w:pStyle w:val="ListParagraph"/>
        <w:numPr>
          <w:ilvl w:val="0"/>
          <w:numId w:val="19"/>
        </w:numPr>
        <w:contextualSpacing w:val="0"/>
        <w:rPr>
          <w:szCs w:val="28"/>
        </w:rPr>
      </w:pPr>
      <w:r w:rsidRPr="00351FCB">
        <w:rPr>
          <w:szCs w:val="28"/>
        </w:rPr>
        <w:t>Darbaspēka nodokļu sloga samazin</w:t>
      </w:r>
      <w:r w:rsidR="00EB7D26">
        <w:rPr>
          <w:szCs w:val="28"/>
        </w:rPr>
        <w:t>āšana – tiek paaugstināts ar iedzīvotāju ienākuma nodokli</w:t>
      </w:r>
      <w:r w:rsidRPr="00351FCB">
        <w:rPr>
          <w:szCs w:val="28"/>
        </w:rPr>
        <w:t xml:space="preserve"> neapliekamais minimums strādājošajiem un pensionāriem, paredzot, ka tas no 2022. gada 1. janvāra būs 350 </w:t>
      </w:r>
      <w:r w:rsidRPr="00EB7D26">
        <w:rPr>
          <w:i/>
          <w:szCs w:val="28"/>
        </w:rPr>
        <w:t>euro</w:t>
      </w:r>
      <w:r w:rsidRPr="00351FCB">
        <w:rPr>
          <w:szCs w:val="28"/>
        </w:rPr>
        <w:t>, no 1.</w:t>
      </w:r>
      <w:r w:rsidR="002B2F86">
        <w:rPr>
          <w:szCs w:val="28"/>
        </w:rPr>
        <w:t xml:space="preserve"> </w:t>
      </w:r>
      <w:r w:rsidRPr="00351FCB">
        <w:rPr>
          <w:szCs w:val="28"/>
        </w:rPr>
        <w:t>jūlija – 500 </w:t>
      </w:r>
      <w:r w:rsidRPr="00EB7D26">
        <w:rPr>
          <w:i/>
          <w:szCs w:val="28"/>
        </w:rPr>
        <w:t>euro</w:t>
      </w:r>
      <w:r w:rsidRPr="00351FCB">
        <w:rPr>
          <w:szCs w:val="28"/>
        </w:rPr>
        <w:t xml:space="preserve"> mēnesī;</w:t>
      </w:r>
    </w:p>
    <w:p w14:paraId="4861D0BC" w14:textId="77777777" w:rsidR="00D0442A" w:rsidRPr="00351FCB" w:rsidRDefault="00D0442A" w:rsidP="00325724">
      <w:pPr>
        <w:pStyle w:val="ListParagraph"/>
        <w:numPr>
          <w:ilvl w:val="0"/>
          <w:numId w:val="19"/>
        </w:numPr>
        <w:contextualSpacing w:val="0"/>
        <w:rPr>
          <w:szCs w:val="28"/>
        </w:rPr>
      </w:pPr>
      <w:r w:rsidRPr="00351FCB">
        <w:rPr>
          <w:szCs w:val="28"/>
        </w:rPr>
        <w:t xml:space="preserve">ģimenes valsts pabalsta palielināšana no 2022. gada 1. janvāra par apgādībā esošu vienu bērnu no gada līdz 20 gadu vecumam ģimenes valsts pabalsts būs 25 </w:t>
      </w:r>
      <w:r w:rsidRPr="00EB7D26">
        <w:rPr>
          <w:i/>
          <w:szCs w:val="28"/>
        </w:rPr>
        <w:t xml:space="preserve">euro </w:t>
      </w:r>
      <w:r w:rsidRPr="00351FCB">
        <w:rPr>
          <w:szCs w:val="28"/>
        </w:rPr>
        <w:t xml:space="preserve">mēnesī, par diviem bērniem – 100 </w:t>
      </w:r>
      <w:r w:rsidRPr="00EB7D26">
        <w:rPr>
          <w:i/>
          <w:szCs w:val="28"/>
        </w:rPr>
        <w:t>euro</w:t>
      </w:r>
      <w:r w:rsidRPr="00351FCB">
        <w:rPr>
          <w:szCs w:val="28"/>
        </w:rPr>
        <w:t xml:space="preserve"> (50 </w:t>
      </w:r>
      <w:r w:rsidRPr="00EB7D26">
        <w:rPr>
          <w:i/>
          <w:szCs w:val="28"/>
        </w:rPr>
        <w:t>euro</w:t>
      </w:r>
      <w:r w:rsidRPr="00351FCB">
        <w:rPr>
          <w:szCs w:val="28"/>
        </w:rPr>
        <w:t xml:space="preserve"> par katru bērnu), par trijiem bērniem – 225 </w:t>
      </w:r>
      <w:r w:rsidRPr="00EB7D26">
        <w:rPr>
          <w:i/>
          <w:szCs w:val="28"/>
        </w:rPr>
        <w:t>euro</w:t>
      </w:r>
      <w:r w:rsidRPr="00351FCB">
        <w:rPr>
          <w:szCs w:val="28"/>
        </w:rPr>
        <w:t xml:space="preserve"> (75 </w:t>
      </w:r>
      <w:r w:rsidRPr="00EB7D26">
        <w:rPr>
          <w:i/>
          <w:szCs w:val="28"/>
        </w:rPr>
        <w:t>euro</w:t>
      </w:r>
      <w:r w:rsidRPr="00351FCB">
        <w:rPr>
          <w:szCs w:val="28"/>
        </w:rPr>
        <w:t xml:space="preserve"> par katru bērnu). Par četriem un vairāk bērniem līdz 20 gadu vecumam pabalsts būs 100 </w:t>
      </w:r>
      <w:r w:rsidRPr="00EB7D26">
        <w:rPr>
          <w:i/>
          <w:szCs w:val="28"/>
        </w:rPr>
        <w:t>euro</w:t>
      </w:r>
      <w:r w:rsidRPr="00351FCB">
        <w:rPr>
          <w:szCs w:val="28"/>
        </w:rPr>
        <w:t xml:space="preserve"> mēnesī par katru bērnu;</w:t>
      </w:r>
    </w:p>
    <w:p w14:paraId="6B91A7E5" w14:textId="4E40C5F5" w:rsidR="00D0442A" w:rsidRPr="00351FCB" w:rsidRDefault="00D0442A" w:rsidP="00325724">
      <w:pPr>
        <w:pStyle w:val="ListParagraph"/>
        <w:numPr>
          <w:ilvl w:val="0"/>
          <w:numId w:val="19"/>
        </w:numPr>
        <w:contextualSpacing w:val="0"/>
        <w:rPr>
          <w:szCs w:val="28"/>
        </w:rPr>
      </w:pPr>
      <w:r w:rsidRPr="00351FCB">
        <w:rPr>
          <w:szCs w:val="28"/>
        </w:rPr>
        <w:t xml:space="preserve">darba samaksas pieaugums veselības nozarē (medicīnas personālam, rezidentiem), aprūpētājiem sociālās aprūpes institūcijās, izglītības nozarē (pedagogiem, pirmsskolu pedagogiem), iekšlietu nozarē un kultūras jomā </w:t>
      </w:r>
      <w:r w:rsidR="00EB7D26" w:rsidRPr="00351FCB">
        <w:rPr>
          <w:szCs w:val="28"/>
        </w:rPr>
        <w:t>strādājošajiem</w:t>
      </w:r>
      <w:r w:rsidRPr="00351FCB">
        <w:rPr>
          <w:szCs w:val="28"/>
        </w:rPr>
        <w:t>;</w:t>
      </w:r>
    </w:p>
    <w:p w14:paraId="4DE2DE1F" w14:textId="6ECE2FB9" w:rsidR="00D0442A" w:rsidRPr="00351FCB" w:rsidRDefault="0090051F" w:rsidP="00325724">
      <w:pPr>
        <w:pStyle w:val="ListParagraph"/>
        <w:numPr>
          <w:ilvl w:val="0"/>
          <w:numId w:val="19"/>
        </w:numPr>
        <w:contextualSpacing w:val="0"/>
        <w:rPr>
          <w:szCs w:val="28"/>
        </w:rPr>
      </w:pPr>
      <w:r>
        <w:rPr>
          <w:szCs w:val="28"/>
        </w:rPr>
        <w:t>l</w:t>
      </w:r>
      <w:r w:rsidR="00D0442A" w:rsidRPr="00351FCB">
        <w:rPr>
          <w:szCs w:val="28"/>
        </w:rPr>
        <w:t>ielāki izdevumi onkoloģijai, tai skaitā kompensējamiem medikamentiem, paliatīvajai aprūpei un zinātnes bāzes finansēšanai;</w:t>
      </w:r>
    </w:p>
    <w:p w14:paraId="137034B0" w14:textId="77777777" w:rsidR="00D0442A" w:rsidRPr="00351FCB" w:rsidRDefault="00D0442A" w:rsidP="00325724">
      <w:pPr>
        <w:pStyle w:val="ListParagraph"/>
        <w:numPr>
          <w:ilvl w:val="0"/>
          <w:numId w:val="19"/>
        </w:numPr>
        <w:contextualSpacing w:val="0"/>
        <w:rPr>
          <w:szCs w:val="28"/>
        </w:rPr>
      </w:pPr>
      <w:r w:rsidRPr="00351FCB">
        <w:rPr>
          <w:szCs w:val="28"/>
        </w:rPr>
        <w:t>PVN samazinātās likmes 5% piemērošana grāmatu un periodisko izdevumu piegādēm.</w:t>
      </w:r>
    </w:p>
    <w:p w14:paraId="52A20D37" w14:textId="4A1D5E73" w:rsidR="00D0442A" w:rsidRPr="00F35686" w:rsidRDefault="00D0442A" w:rsidP="00D0442A">
      <w:pPr>
        <w:spacing w:after="60"/>
        <w:rPr>
          <w:noProof/>
          <w:szCs w:val="24"/>
        </w:rPr>
      </w:pPr>
      <w:r>
        <w:rPr>
          <w:color w:val="000000" w:themeColor="text1"/>
          <w:szCs w:val="24"/>
        </w:rPr>
        <w:t xml:space="preserve">Nākamā gadā budžetā ir ieplānotas papildus </w:t>
      </w:r>
      <w:r>
        <w:rPr>
          <w:noProof/>
          <w:color w:val="000000" w:themeColor="text1"/>
          <w:szCs w:val="24"/>
        </w:rPr>
        <w:t xml:space="preserve">investīcijas 270 milj. </w:t>
      </w:r>
      <w:r w:rsidRPr="00E428E0">
        <w:rPr>
          <w:i/>
          <w:iCs/>
          <w:noProof/>
          <w:color w:val="000000" w:themeColor="text1"/>
          <w:szCs w:val="24"/>
        </w:rPr>
        <w:t>euro</w:t>
      </w:r>
      <w:r>
        <w:rPr>
          <w:noProof/>
          <w:color w:val="000000" w:themeColor="text1"/>
          <w:szCs w:val="24"/>
        </w:rPr>
        <w:t xml:space="preserve"> apmērā – pašvaldību aizņēmumu limita palielinājumam (70 milj. </w:t>
      </w:r>
      <w:r w:rsidRPr="00E428E0">
        <w:rPr>
          <w:i/>
          <w:iCs/>
          <w:noProof/>
          <w:color w:val="000000" w:themeColor="text1"/>
          <w:szCs w:val="24"/>
        </w:rPr>
        <w:t>euro</w:t>
      </w:r>
      <w:r>
        <w:rPr>
          <w:noProof/>
          <w:color w:val="000000" w:themeColor="text1"/>
          <w:szCs w:val="24"/>
        </w:rPr>
        <w:t xml:space="preserve">), pašvaldību investīciju programmai (30 milj. </w:t>
      </w:r>
      <w:r w:rsidRPr="00E428E0">
        <w:rPr>
          <w:i/>
          <w:iCs/>
          <w:noProof/>
          <w:color w:val="000000" w:themeColor="text1"/>
          <w:szCs w:val="24"/>
        </w:rPr>
        <w:t>euro</w:t>
      </w:r>
      <w:r>
        <w:rPr>
          <w:noProof/>
          <w:color w:val="000000" w:themeColor="text1"/>
          <w:szCs w:val="24"/>
        </w:rPr>
        <w:t xml:space="preserve">), valsts reģionālajiem autoceļiem (57,7 milj. </w:t>
      </w:r>
      <w:r w:rsidRPr="00E428E0">
        <w:rPr>
          <w:i/>
          <w:iCs/>
          <w:noProof/>
          <w:color w:val="000000" w:themeColor="text1"/>
          <w:szCs w:val="24"/>
        </w:rPr>
        <w:t>euro</w:t>
      </w:r>
      <w:r>
        <w:rPr>
          <w:noProof/>
          <w:color w:val="000000" w:themeColor="text1"/>
          <w:szCs w:val="24"/>
        </w:rPr>
        <w:t xml:space="preserve">), zemkopības infrastruktūrai (50 milj. </w:t>
      </w:r>
      <w:r w:rsidRPr="00E428E0">
        <w:rPr>
          <w:i/>
          <w:iCs/>
          <w:noProof/>
          <w:color w:val="000000" w:themeColor="text1"/>
          <w:szCs w:val="24"/>
        </w:rPr>
        <w:t>euro</w:t>
      </w:r>
      <w:r>
        <w:rPr>
          <w:noProof/>
          <w:color w:val="000000" w:themeColor="text1"/>
          <w:szCs w:val="24"/>
        </w:rPr>
        <w:t xml:space="preserve">) u.c. Tāpat budžetā ir paredzēti </w:t>
      </w:r>
      <w:r w:rsidRPr="00D862D4">
        <w:rPr>
          <w:noProof/>
          <w:color w:val="000000" w:themeColor="text1"/>
          <w:szCs w:val="24"/>
        </w:rPr>
        <w:t>lielāki salīdzinājumā ar iepriekšējiem gadiem izdevumi ārvalstu finanšu palīdzības līdzfinansēto projektu īstenošanai</w:t>
      </w:r>
      <w:r w:rsidR="0090051F">
        <w:rPr>
          <w:noProof/>
          <w:color w:val="000000" w:themeColor="text1"/>
          <w:szCs w:val="24"/>
        </w:rPr>
        <w:t xml:space="preserve"> gan Eiropas Savienības</w:t>
      </w:r>
      <w:r>
        <w:rPr>
          <w:noProof/>
          <w:color w:val="000000" w:themeColor="text1"/>
          <w:szCs w:val="24"/>
        </w:rPr>
        <w:t xml:space="preserve"> fondu </w:t>
      </w:r>
      <w:r w:rsidRPr="00D862D4">
        <w:rPr>
          <w:noProof/>
          <w:color w:val="000000" w:themeColor="text1"/>
          <w:szCs w:val="24"/>
        </w:rPr>
        <w:t xml:space="preserve">2021.-2027. gada </w:t>
      </w:r>
      <w:r>
        <w:rPr>
          <w:noProof/>
          <w:color w:val="000000" w:themeColor="text1"/>
          <w:szCs w:val="24"/>
        </w:rPr>
        <w:t xml:space="preserve">plānošanas perioda ietvaros, gan </w:t>
      </w:r>
      <w:r w:rsidRPr="00D862D4">
        <w:rPr>
          <w:noProof/>
          <w:color w:val="000000" w:themeColor="text1"/>
          <w:szCs w:val="24"/>
        </w:rPr>
        <w:t>jaunā</w:t>
      </w:r>
      <w:r w:rsidRPr="00D862D4">
        <w:rPr>
          <w:color w:val="000000" w:themeColor="text1"/>
          <w:szCs w:val="24"/>
        </w:rPr>
        <w:t xml:space="preserve"> Atveseļošanas un noturības mehānism</w:t>
      </w:r>
      <w:r w:rsidRPr="00D862D4">
        <w:rPr>
          <w:noProof/>
          <w:color w:val="000000" w:themeColor="text1"/>
          <w:szCs w:val="24"/>
        </w:rPr>
        <w:t>a projektiem</w:t>
      </w:r>
      <w:r>
        <w:rPr>
          <w:noProof/>
          <w:color w:val="000000" w:themeColor="text1"/>
          <w:szCs w:val="24"/>
        </w:rPr>
        <w:t>.</w:t>
      </w:r>
    </w:p>
    <w:p w14:paraId="2DE1E98C" w14:textId="03CB93FD" w:rsidR="00D0442A" w:rsidRPr="0078424C" w:rsidRDefault="00D0442A" w:rsidP="00D0442A">
      <w:pPr>
        <w:rPr>
          <w:color w:val="000000" w:themeColor="text1"/>
          <w:szCs w:val="28"/>
        </w:rPr>
      </w:pPr>
      <w:r>
        <w:rPr>
          <w:b/>
          <w:color w:val="000000" w:themeColor="text1"/>
          <w:szCs w:val="28"/>
        </w:rPr>
        <w:t xml:space="preserve">2023. un 2024. gada </w:t>
      </w:r>
      <w:r w:rsidRPr="000C1059">
        <w:rPr>
          <w:color w:val="000000" w:themeColor="text1"/>
          <w:szCs w:val="28"/>
        </w:rPr>
        <w:t>vispārējās valdības budžeta</w:t>
      </w:r>
      <w:r>
        <w:rPr>
          <w:color w:val="000000" w:themeColor="text1"/>
          <w:szCs w:val="28"/>
        </w:rPr>
        <w:t xml:space="preserve"> deficīts tiek prognozēts attiecīgi 2,1% no </w:t>
      </w:r>
      <w:r w:rsidR="0090051F">
        <w:rPr>
          <w:noProof/>
        </w:rPr>
        <w:t>iekšzemes kopprodukta</w:t>
      </w:r>
      <w:r>
        <w:rPr>
          <w:color w:val="000000" w:themeColor="text1"/>
          <w:szCs w:val="28"/>
        </w:rPr>
        <w:t xml:space="preserve"> un 1,3% no </w:t>
      </w:r>
      <w:r w:rsidR="0090051F">
        <w:rPr>
          <w:noProof/>
        </w:rPr>
        <w:t>iekšzemes kopprodukta</w:t>
      </w:r>
      <w:r>
        <w:rPr>
          <w:color w:val="000000" w:themeColor="text1"/>
          <w:szCs w:val="28"/>
        </w:rPr>
        <w:t>. P</w:t>
      </w:r>
      <w:r w:rsidRPr="000C1059">
        <w:rPr>
          <w:color w:val="000000" w:themeColor="text1"/>
          <w:szCs w:val="28"/>
        </w:rPr>
        <w:t xml:space="preserve">rognožu pamatā ir aktualizētie </w:t>
      </w:r>
      <w:r>
        <w:rPr>
          <w:color w:val="000000" w:themeColor="text1"/>
          <w:szCs w:val="28"/>
        </w:rPr>
        <w:t>budžeta</w:t>
      </w:r>
      <w:r w:rsidRPr="000C1059">
        <w:rPr>
          <w:color w:val="000000" w:themeColor="text1"/>
          <w:szCs w:val="28"/>
        </w:rPr>
        <w:t xml:space="preserve"> ieņēmumi un izdevumi</w:t>
      </w:r>
      <w:r>
        <w:rPr>
          <w:color w:val="000000" w:themeColor="text1"/>
          <w:szCs w:val="28"/>
        </w:rPr>
        <w:t>, balstoties uz</w:t>
      </w:r>
      <w:r w:rsidRPr="000C1059">
        <w:rPr>
          <w:color w:val="000000" w:themeColor="text1"/>
          <w:szCs w:val="28"/>
        </w:rPr>
        <w:t xml:space="preserve"> 2021. gada jūnijā sagatavot</w:t>
      </w:r>
      <w:r>
        <w:rPr>
          <w:color w:val="000000" w:themeColor="text1"/>
          <w:szCs w:val="28"/>
        </w:rPr>
        <w:t>o</w:t>
      </w:r>
      <w:r w:rsidRPr="000C1059">
        <w:rPr>
          <w:color w:val="000000" w:themeColor="text1"/>
          <w:szCs w:val="28"/>
        </w:rPr>
        <w:t xml:space="preserve"> </w:t>
      </w:r>
      <w:r>
        <w:rPr>
          <w:color w:val="000000" w:themeColor="text1"/>
          <w:szCs w:val="28"/>
        </w:rPr>
        <w:t xml:space="preserve">vidēja termiņa </w:t>
      </w:r>
      <w:r w:rsidRPr="000C1059">
        <w:rPr>
          <w:color w:val="000000" w:themeColor="text1"/>
          <w:szCs w:val="28"/>
        </w:rPr>
        <w:t>makroekonomiskās attīstības scenārij</w:t>
      </w:r>
      <w:r>
        <w:rPr>
          <w:color w:val="000000" w:themeColor="text1"/>
          <w:szCs w:val="28"/>
        </w:rPr>
        <w:t>u</w:t>
      </w:r>
      <w:r w:rsidRPr="000C1059">
        <w:rPr>
          <w:color w:val="000000" w:themeColor="text1"/>
          <w:szCs w:val="28"/>
        </w:rPr>
        <w:t xml:space="preserve">, </w:t>
      </w:r>
      <w:r>
        <w:rPr>
          <w:color w:val="000000" w:themeColor="text1"/>
          <w:szCs w:val="28"/>
        </w:rPr>
        <w:t>izdevumu pārskatīšanas rezultātiem un</w:t>
      </w:r>
      <w:r w:rsidRPr="000C1059">
        <w:rPr>
          <w:color w:val="000000" w:themeColor="text1"/>
          <w:szCs w:val="28"/>
        </w:rPr>
        <w:t xml:space="preserve"> valdības pieņemt</w:t>
      </w:r>
      <w:r>
        <w:rPr>
          <w:color w:val="000000" w:themeColor="text1"/>
          <w:szCs w:val="28"/>
        </w:rPr>
        <w:t xml:space="preserve">ajiem </w:t>
      </w:r>
      <w:r w:rsidRPr="000C1059">
        <w:rPr>
          <w:color w:val="000000" w:themeColor="text1"/>
          <w:szCs w:val="28"/>
        </w:rPr>
        <w:t>lēmum</w:t>
      </w:r>
      <w:r>
        <w:rPr>
          <w:color w:val="000000" w:themeColor="text1"/>
          <w:szCs w:val="28"/>
        </w:rPr>
        <w:t>iem par jauniem pasākumiem</w:t>
      </w:r>
      <w:r w:rsidRPr="000C1059">
        <w:rPr>
          <w:color w:val="000000" w:themeColor="text1"/>
          <w:szCs w:val="28"/>
        </w:rPr>
        <w:t xml:space="preserve">, </w:t>
      </w:r>
      <w:r>
        <w:rPr>
          <w:color w:val="000000" w:themeColor="text1"/>
          <w:szCs w:val="28"/>
        </w:rPr>
        <w:t xml:space="preserve">kā arī ņemot vērā </w:t>
      </w:r>
      <w:r w:rsidRPr="000C1059">
        <w:rPr>
          <w:color w:val="000000" w:themeColor="text1"/>
          <w:szCs w:val="28"/>
        </w:rPr>
        <w:t xml:space="preserve">pašvaldību un </w:t>
      </w:r>
      <w:r w:rsidRPr="0078424C">
        <w:rPr>
          <w:color w:val="000000" w:themeColor="text1"/>
          <w:szCs w:val="28"/>
        </w:rPr>
        <w:t>citu atvasināto publisko personu budžetu iespējam</w:t>
      </w:r>
      <w:r>
        <w:rPr>
          <w:color w:val="000000" w:themeColor="text1"/>
          <w:szCs w:val="28"/>
        </w:rPr>
        <w:t>o</w:t>
      </w:r>
      <w:r w:rsidRPr="0078424C">
        <w:rPr>
          <w:color w:val="000000" w:themeColor="text1"/>
          <w:szCs w:val="28"/>
        </w:rPr>
        <w:t xml:space="preserve"> attīstīb</w:t>
      </w:r>
      <w:r>
        <w:rPr>
          <w:color w:val="000000" w:themeColor="text1"/>
          <w:szCs w:val="28"/>
        </w:rPr>
        <w:t>u</w:t>
      </w:r>
      <w:r w:rsidRPr="0078424C">
        <w:rPr>
          <w:color w:val="000000" w:themeColor="text1"/>
          <w:szCs w:val="28"/>
        </w:rPr>
        <w:t xml:space="preserve"> turpmākajos gados.</w:t>
      </w:r>
      <w:r>
        <w:rPr>
          <w:color w:val="000000" w:themeColor="text1"/>
          <w:szCs w:val="28"/>
        </w:rPr>
        <w:t xml:space="preserve"> </w:t>
      </w:r>
    </w:p>
    <w:p w14:paraId="4EC96F48" w14:textId="77777777" w:rsidR="00D0442A" w:rsidRPr="009271B3" w:rsidRDefault="00D0442A" w:rsidP="00DB2540">
      <w:pPr>
        <w:spacing w:before="240" w:after="240"/>
        <w:jc w:val="center"/>
        <w:rPr>
          <w:szCs w:val="28"/>
        </w:rPr>
      </w:pPr>
      <w:bookmarkStart w:id="51" w:name="_Hlk83887487"/>
      <w:bookmarkEnd w:id="49"/>
      <w:r w:rsidRPr="009271B3">
        <w:rPr>
          <w:b/>
          <w:szCs w:val="28"/>
        </w:rPr>
        <w:t>Valsts budžets</w:t>
      </w:r>
    </w:p>
    <w:p w14:paraId="20BF0BAD" w14:textId="1FA67CDA" w:rsidR="00D0442A" w:rsidRDefault="00D0442A" w:rsidP="00D0442A">
      <w:r w:rsidRPr="0036229F">
        <w:rPr>
          <w:b/>
          <w:szCs w:val="28"/>
        </w:rPr>
        <w:t>Valsts pamatbudžetā</w:t>
      </w:r>
      <w:r w:rsidRPr="0036229F">
        <w:rPr>
          <w:szCs w:val="28"/>
        </w:rPr>
        <w:t xml:space="preserve"> 2021.</w:t>
      </w:r>
      <w:r>
        <w:rPr>
          <w:szCs w:val="28"/>
        </w:rPr>
        <w:t> </w:t>
      </w:r>
      <w:r w:rsidRPr="0036229F">
        <w:rPr>
          <w:szCs w:val="28"/>
        </w:rPr>
        <w:t xml:space="preserve">gadā </w:t>
      </w:r>
      <w:r>
        <w:rPr>
          <w:szCs w:val="28"/>
        </w:rPr>
        <w:t>tiek sagaidīts nozīmīgs</w:t>
      </w:r>
      <w:r w:rsidRPr="0036229F">
        <w:rPr>
          <w:szCs w:val="28"/>
        </w:rPr>
        <w:t xml:space="preserve"> izdevumu </w:t>
      </w:r>
      <w:r>
        <w:rPr>
          <w:szCs w:val="28"/>
        </w:rPr>
        <w:t>palielinājums</w:t>
      </w:r>
      <w:r w:rsidRPr="0036229F">
        <w:rPr>
          <w:szCs w:val="28"/>
        </w:rPr>
        <w:t>, kas lielākoties saistīts ar valdības apstiprinātā atbalsta Covid-19 seku mazināšanai tautsaimniecībai izdevumiem.</w:t>
      </w:r>
      <w:r>
        <w:rPr>
          <w:szCs w:val="28"/>
        </w:rPr>
        <w:t xml:space="preserve"> Izdevumu palielinājumu sekmēs arī </w:t>
      </w:r>
      <w:r>
        <w:t>papildus piešķirtais finansējums veselības nozarei, pamatā atlīdzības celšanai mediķiem un citām ārstniecības personām. Saņemto ieņēmumu apmērs jau deviņos mēnešos pārsniedza plānoto, jo virspl</w:t>
      </w:r>
      <w:r w:rsidR="0090051F">
        <w:t>āna ieņēmumi tika saņemti no pievienotās vērtības nodokļa</w:t>
      </w:r>
      <w:r>
        <w:t xml:space="preserve">, ekonomikai straujāk atgūstoties no Covid-19 krīzes, kā </w:t>
      </w:r>
      <w:r>
        <w:rPr>
          <w:noProof/>
        </w:rPr>
        <w:t>arī nenodokļu ieņēmumiem</w:t>
      </w:r>
      <w:r>
        <w:t xml:space="preserve">. Valsts pamatbudžetā 2021. gadā septembrī jau tika saņemti avansa maksājumi no Atveseļošanas un noturības mehānisma, līdz ar ko ārvalstu finanšu </w:t>
      </w:r>
      <w:r w:rsidRPr="00960C8A">
        <w:t>palīdzības ieņēmumi kopumā pārsnie</w:t>
      </w:r>
      <w:r>
        <w:t>gs</w:t>
      </w:r>
      <w:r w:rsidRPr="00960C8A">
        <w:t xml:space="preserve"> plānoto apmēru.</w:t>
      </w:r>
      <w:r w:rsidRPr="00CF2CFE">
        <w:t xml:space="preserve"> </w:t>
      </w:r>
      <w:r>
        <w:t>2021. gadā valsts pamatbudžetā sagaidāms būtiski augstāks deficīts kā iepriekšējos gados.</w:t>
      </w:r>
    </w:p>
    <w:p w14:paraId="5C2FC29D" w14:textId="2208DB87" w:rsidR="00D0442A" w:rsidRPr="00677C79" w:rsidRDefault="00D0442A" w:rsidP="00D0442A">
      <w:r w:rsidRPr="00960C8A">
        <w:rPr>
          <w:szCs w:val="28"/>
        </w:rPr>
        <w:lastRenderedPageBreak/>
        <w:t>2022.</w:t>
      </w:r>
      <w:r>
        <w:rPr>
          <w:szCs w:val="28"/>
        </w:rPr>
        <w:t> </w:t>
      </w:r>
      <w:r w:rsidRPr="00960C8A">
        <w:rPr>
          <w:szCs w:val="28"/>
        </w:rPr>
        <w:t xml:space="preserve">gadā līdzīgi kā </w:t>
      </w:r>
      <w:r>
        <w:rPr>
          <w:szCs w:val="28"/>
        </w:rPr>
        <w:t xml:space="preserve">iepriekšējos – </w:t>
      </w:r>
      <w:r w:rsidRPr="00960C8A">
        <w:rPr>
          <w:szCs w:val="28"/>
        </w:rPr>
        <w:t xml:space="preserve">pandēmijas </w:t>
      </w:r>
      <w:r>
        <w:rPr>
          <w:szCs w:val="28"/>
        </w:rPr>
        <w:t>gados ir</w:t>
      </w:r>
      <w:r w:rsidRPr="00960C8A">
        <w:rPr>
          <w:szCs w:val="28"/>
        </w:rPr>
        <w:t xml:space="preserve"> sagaidām</w:t>
      </w:r>
      <w:r>
        <w:rPr>
          <w:szCs w:val="28"/>
        </w:rPr>
        <w:t>s</w:t>
      </w:r>
      <w:r w:rsidRPr="00960C8A">
        <w:rPr>
          <w:szCs w:val="28"/>
        </w:rPr>
        <w:t xml:space="preserve"> augst</w:t>
      </w:r>
      <w:r>
        <w:rPr>
          <w:szCs w:val="28"/>
        </w:rPr>
        <w:t>s</w:t>
      </w:r>
      <w:r w:rsidRPr="00960C8A">
        <w:rPr>
          <w:szCs w:val="28"/>
        </w:rPr>
        <w:t xml:space="preserve"> defi</w:t>
      </w:r>
      <w:r>
        <w:rPr>
          <w:szCs w:val="28"/>
        </w:rPr>
        <w:t>cīts</w:t>
      </w:r>
      <w:r w:rsidRPr="00960C8A">
        <w:rPr>
          <w:szCs w:val="28"/>
        </w:rPr>
        <w:t xml:space="preserve">, bet </w:t>
      </w:r>
      <w:r>
        <w:rPr>
          <w:szCs w:val="28"/>
        </w:rPr>
        <w:t>vidējā termiņā jau tiek</w:t>
      </w:r>
      <w:r w:rsidRPr="00960C8A">
        <w:rPr>
          <w:szCs w:val="28"/>
        </w:rPr>
        <w:t xml:space="preserve"> prognozēta pakāpeniska bilances uzlabošanās</w:t>
      </w:r>
      <w:r w:rsidRPr="00960C8A">
        <w:rPr>
          <w:noProof/>
          <w:szCs w:val="28"/>
        </w:rPr>
        <w:t xml:space="preserve">. </w:t>
      </w:r>
      <w:r>
        <w:rPr>
          <w:noProof/>
          <w:szCs w:val="28"/>
        </w:rPr>
        <w:t>Nodokļu ieņēmumos vidējā termiņā sagaidāms mērens pieaugums, kas atbilst ekonomikas pieauguma tempiem. Sagaidāms, ka ārvalstu finanšu palīdzības ieņēmumi turpinās pieaugt 2022. gadā, bet tālāk vidējā termiņā sasniegs vēl vēsturiski nepieredzētus līmeņus, jo paralēli norisināsies gan 2014.-2020. gada plānošanas perioda projektu noslēgšana, gan aktīvā fāzē būs 2021.-2027. gada plānošanas perioda projektu īstenošana, gan arī Atveseļošanas un noturības mehānisma, kā arī Rail</w:t>
      </w:r>
      <w:r w:rsidR="0090051F">
        <w:rPr>
          <w:noProof/>
          <w:szCs w:val="28"/>
        </w:rPr>
        <w:t xml:space="preserve"> Baltica projektu īstenošana. Eiropas Savienības</w:t>
      </w:r>
      <w:r>
        <w:rPr>
          <w:noProof/>
          <w:szCs w:val="28"/>
        </w:rPr>
        <w:t xml:space="preserve"> instrumentu ieviešana noteiks kā augstu ieņēmumu, tā arī augstu izdevumu līmeni </w:t>
      </w:r>
      <w:r w:rsidRPr="007E35C6">
        <w:rPr>
          <w:noProof/>
          <w:szCs w:val="28"/>
        </w:rPr>
        <w:t>valsts pamatbudžetā. Kā jau pēdējos gados ierasts</w:t>
      </w:r>
      <w:r>
        <w:rPr>
          <w:noProof/>
          <w:szCs w:val="28"/>
        </w:rPr>
        <w:t>,</w:t>
      </w:r>
      <w:r w:rsidRPr="007E35C6">
        <w:rPr>
          <w:noProof/>
          <w:szCs w:val="28"/>
        </w:rPr>
        <w:t xml:space="preserve"> valsts pamatbudžetā ne mazāk kā 2% no </w:t>
      </w:r>
      <w:r w:rsidR="0090051F">
        <w:rPr>
          <w:noProof/>
        </w:rPr>
        <w:t>iekšzemes kopprodukta</w:t>
      </w:r>
      <w:r w:rsidRPr="007E35C6">
        <w:rPr>
          <w:noProof/>
          <w:szCs w:val="28"/>
        </w:rPr>
        <w:t xml:space="preserve"> katru gadu tiek nodrošināti izdevumi aizsardzībai, tāpat turpina pieaugt finansējums veselības nozare</w:t>
      </w:r>
      <w:r>
        <w:rPr>
          <w:noProof/>
          <w:szCs w:val="28"/>
        </w:rPr>
        <w:t>i, ģimenes valsts pabalstiem</w:t>
      </w:r>
      <w:r w:rsidRPr="007E35C6">
        <w:rPr>
          <w:noProof/>
          <w:szCs w:val="28"/>
        </w:rPr>
        <w:t xml:space="preserve"> un citām valdības atbalstītajām prioritātēm. </w:t>
      </w:r>
    </w:p>
    <w:p w14:paraId="2F49E7EA" w14:textId="03848C4C" w:rsidR="00D0442A" w:rsidRPr="005B52C6" w:rsidRDefault="00D0442A" w:rsidP="00D0442A">
      <w:pPr>
        <w:rPr>
          <w:color w:val="000000" w:themeColor="text1"/>
          <w:szCs w:val="28"/>
          <w:highlight w:val="yellow"/>
        </w:rPr>
      </w:pPr>
      <w:r w:rsidRPr="008C06C1">
        <w:rPr>
          <w:b/>
          <w:color w:val="000000" w:themeColor="text1"/>
          <w:szCs w:val="28"/>
        </w:rPr>
        <w:t>Valsts speciālajā budžetā</w:t>
      </w:r>
      <w:r w:rsidRPr="008C06C1">
        <w:rPr>
          <w:color w:val="000000" w:themeColor="text1"/>
          <w:szCs w:val="28"/>
        </w:rPr>
        <w:t xml:space="preserve"> 2021.</w:t>
      </w:r>
      <w:r>
        <w:rPr>
          <w:color w:val="000000" w:themeColor="text1"/>
          <w:szCs w:val="28"/>
        </w:rPr>
        <w:t> </w:t>
      </w:r>
      <w:r w:rsidRPr="008C06C1">
        <w:rPr>
          <w:color w:val="000000" w:themeColor="text1"/>
          <w:szCs w:val="28"/>
        </w:rPr>
        <w:t>gadā sagaidāms mērens ieņēmumu pieaugums, kamēr izdevumi pieaugs lielākā apmērā. Covid-19 pandēmijas ietekmē 2021.</w:t>
      </w:r>
      <w:r>
        <w:rPr>
          <w:color w:val="000000" w:themeColor="text1"/>
          <w:szCs w:val="28"/>
        </w:rPr>
        <w:t> </w:t>
      </w:r>
      <w:r w:rsidRPr="008C06C1">
        <w:rPr>
          <w:color w:val="000000" w:themeColor="text1"/>
          <w:szCs w:val="28"/>
        </w:rPr>
        <w:t xml:space="preserve">gadā valsts speciālajā </w:t>
      </w:r>
      <w:r w:rsidRPr="00F46406">
        <w:rPr>
          <w:color w:val="000000" w:themeColor="text1"/>
          <w:szCs w:val="28"/>
        </w:rPr>
        <w:t>budžetā tiek prognozēts deficīts. Ieņēmumu apmēru ietekmē</w:t>
      </w:r>
      <w:r>
        <w:rPr>
          <w:color w:val="000000" w:themeColor="text1"/>
          <w:szCs w:val="28"/>
        </w:rPr>
        <w:t>ja</w:t>
      </w:r>
      <w:r w:rsidRPr="00F46406">
        <w:rPr>
          <w:color w:val="000000" w:themeColor="text1"/>
          <w:szCs w:val="28"/>
        </w:rPr>
        <w:t xml:space="preserve"> valdības lēmums no 2021.</w:t>
      </w:r>
      <w:r>
        <w:rPr>
          <w:color w:val="000000" w:themeColor="text1"/>
          <w:szCs w:val="28"/>
        </w:rPr>
        <w:t> </w:t>
      </w:r>
      <w:r w:rsidR="002B2F86">
        <w:rPr>
          <w:color w:val="000000" w:themeColor="text1"/>
          <w:szCs w:val="28"/>
        </w:rPr>
        <w:t>gada samazināt Valsts sociālās apdrošināšanas obligāto iemaksu</w:t>
      </w:r>
      <w:r w:rsidRPr="00F46406">
        <w:rPr>
          <w:color w:val="000000" w:themeColor="text1"/>
          <w:szCs w:val="28"/>
        </w:rPr>
        <w:t xml:space="preserve"> likmi par 1 procentpunktu  (0,5% darba devējam un 0,5% darba ņēmējam). No otras puses</w:t>
      </w:r>
      <w:r>
        <w:rPr>
          <w:color w:val="000000" w:themeColor="text1"/>
          <w:szCs w:val="28"/>
        </w:rPr>
        <w:t>,</w:t>
      </w:r>
      <w:r w:rsidRPr="00F46406">
        <w:rPr>
          <w:color w:val="000000" w:themeColor="text1"/>
          <w:szCs w:val="28"/>
        </w:rPr>
        <w:t xml:space="preserve"> ieņēmumu palielināšanos sekmē ar 2021.</w:t>
      </w:r>
      <w:r>
        <w:rPr>
          <w:color w:val="000000" w:themeColor="text1"/>
          <w:szCs w:val="28"/>
        </w:rPr>
        <w:t> </w:t>
      </w:r>
      <w:r w:rsidRPr="00F46406">
        <w:rPr>
          <w:color w:val="000000" w:themeColor="text1"/>
          <w:szCs w:val="28"/>
        </w:rPr>
        <w:t>gada 1.</w:t>
      </w:r>
      <w:r>
        <w:rPr>
          <w:color w:val="000000" w:themeColor="text1"/>
          <w:szCs w:val="28"/>
        </w:rPr>
        <w:t> </w:t>
      </w:r>
      <w:r w:rsidRPr="00F46406">
        <w:rPr>
          <w:color w:val="000000" w:themeColor="text1"/>
          <w:szCs w:val="28"/>
        </w:rPr>
        <w:t xml:space="preserve">jūliju ieviestais minimālais </w:t>
      </w:r>
      <w:r w:rsidR="002B2F86">
        <w:rPr>
          <w:color w:val="000000" w:themeColor="text1"/>
          <w:szCs w:val="28"/>
        </w:rPr>
        <w:t>Valsts sociālās apdrošināšanas obligāto iemaksu</w:t>
      </w:r>
      <w:r w:rsidRPr="00F46406">
        <w:rPr>
          <w:color w:val="000000" w:themeColor="text1"/>
          <w:szCs w:val="28"/>
        </w:rPr>
        <w:t xml:space="preserve"> apmērs. </w:t>
      </w:r>
      <w:r>
        <w:rPr>
          <w:color w:val="000000" w:themeColor="text1"/>
          <w:szCs w:val="28"/>
        </w:rPr>
        <w:t xml:space="preserve">Straujāku izdevumu palielināšanos sekmē augstāki izdevumi slimības pabalstiem, kas tiešā veidā saistīti ar Covid-19 infekcijas izplatību, kā arī valdības apstiprināto atbalstu, kad valsts darba nespējas lapas saistībā ar Covid-19 apmaksā jau no pirmās slimības dienas. </w:t>
      </w:r>
      <w:r w:rsidRPr="00F46406">
        <w:rPr>
          <w:color w:val="000000" w:themeColor="text1"/>
          <w:szCs w:val="28"/>
        </w:rPr>
        <w:t>Vidējā termiņā valsts speciālajā budžetā tiek plānots pārpalikums, jo līdz ar epidemioloģiskās situācijas uzlabošanos un ekonomisko izaugsmi palielināsies nodokļu ieņēmumi. Tāpat</w:t>
      </w:r>
      <w:r>
        <w:rPr>
          <w:color w:val="000000" w:themeColor="text1"/>
          <w:szCs w:val="28"/>
        </w:rPr>
        <w:t>,</w:t>
      </w:r>
      <w:r w:rsidRPr="00F46406">
        <w:rPr>
          <w:color w:val="000000" w:themeColor="text1"/>
          <w:szCs w:val="28"/>
        </w:rPr>
        <w:t xml:space="preserve"> samazinoties bezdarba līmenim</w:t>
      </w:r>
      <w:r>
        <w:rPr>
          <w:color w:val="000000" w:themeColor="text1"/>
          <w:szCs w:val="28"/>
        </w:rPr>
        <w:t>,</w:t>
      </w:r>
      <w:r w:rsidRPr="00F46406">
        <w:rPr>
          <w:color w:val="000000" w:themeColor="text1"/>
          <w:szCs w:val="28"/>
        </w:rPr>
        <w:t xml:space="preserve"> valst</w:t>
      </w:r>
      <w:r>
        <w:rPr>
          <w:color w:val="000000" w:themeColor="text1"/>
          <w:szCs w:val="28"/>
        </w:rPr>
        <w:t>s speciālajā budžetā</w:t>
      </w:r>
      <w:r w:rsidRPr="00F46406">
        <w:rPr>
          <w:color w:val="000000" w:themeColor="text1"/>
          <w:szCs w:val="28"/>
        </w:rPr>
        <w:t xml:space="preserve"> pakāpeniski samazināsies izdevum</w:t>
      </w:r>
      <w:r>
        <w:rPr>
          <w:color w:val="000000" w:themeColor="text1"/>
          <w:szCs w:val="28"/>
        </w:rPr>
        <w:t xml:space="preserve">i </w:t>
      </w:r>
      <w:r w:rsidRPr="00F46406">
        <w:rPr>
          <w:color w:val="000000" w:themeColor="text1"/>
          <w:szCs w:val="28"/>
        </w:rPr>
        <w:t>bezdarbnieku pabalstiem.</w:t>
      </w:r>
    </w:p>
    <w:p w14:paraId="4152BE8B" w14:textId="77777777" w:rsidR="00D0442A" w:rsidRPr="007E22FE" w:rsidRDefault="00D0442A" w:rsidP="00D0442A">
      <w:pPr>
        <w:rPr>
          <w:noProof/>
          <w:color w:val="000000" w:themeColor="text1"/>
          <w:szCs w:val="28"/>
        </w:rPr>
      </w:pPr>
      <w:r w:rsidRPr="007E22FE">
        <w:rPr>
          <w:noProof/>
          <w:color w:val="000000" w:themeColor="text1"/>
          <w:szCs w:val="28"/>
        </w:rPr>
        <w:t>Prognozējot izdevumus pensijām un sociālajiem pabalstiem vidējā termiņā, ir ņemtas vērā izmaiņas, kas ir iekļautas likumprojekta “Par valsts budžetu 2022. gadam” pavadošo likumprojektu paketē</w:t>
      </w:r>
      <w:r>
        <w:rPr>
          <w:noProof/>
          <w:color w:val="000000" w:themeColor="text1"/>
          <w:szCs w:val="28"/>
        </w:rPr>
        <w:t>, kā arī līdz šim apstiprinātās</w:t>
      </w:r>
      <w:r w:rsidRPr="007E22FE">
        <w:rPr>
          <w:noProof/>
          <w:color w:val="000000" w:themeColor="text1"/>
          <w:szCs w:val="28"/>
        </w:rPr>
        <w:t xml:space="preserve"> izmaiņas likumdošanā</w:t>
      </w:r>
      <w:r>
        <w:rPr>
          <w:noProof/>
          <w:color w:val="000000" w:themeColor="text1"/>
          <w:szCs w:val="28"/>
        </w:rPr>
        <w:t>:</w:t>
      </w:r>
    </w:p>
    <w:p w14:paraId="1E64BFBA" w14:textId="7499CA5C" w:rsidR="00D0442A" w:rsidRPr="006305D6" w:rsidRDefault="00D0442A" w:rsidP="00325724">
      <w:pPr>
        <w:pStyle w:val="ListParagraph"/>
        <w:numPr>
          <w:ilvl w:val="0"/>
          <w:numId w:val="19"/>
        </w:numPr>
        <w:contextualSpacing w:val="0"/>
        <w:rPr>
          <w:color w:val="000000"/>
          <w:szCs w:val="28"/>
        </w:rPr>
      </w:pPr>
      <w:r w:rsidRPr="007E22FE">
        <w:rPr>
          <w:szCs w:val="28"/>
        </w:rPr>
        <w:t>No 2014. gada pakāpeniski palielinās pensionēšanās vecums – ik gadu par trim mēnešiem, līdz 2025.</w:t>
      </w:r>
      <w:r>
        <w:rPr>
          <w:szCs w:val="28"/>
        </w:rPr>
        <w:t> </w:t>
      </w:r>
      <w:r w:rsidRPr="007E22FE">
        <w:rPr>
          <w:szCs w:val="28"/>
        </w:rPr>
        <w:t xml:space="preserve">gadā tiks sasniegts 65 gadu vecums. Tiesības uz valsts vecuma pensiju </w:t>
      </w:r>
      <w:r w:rsidRPr="0047564D">
        <w:rPr>
          <w:szCs w:val="28"/>
        </w:rPr>
        <w:t>2022. gadā būs</w:t>
      </w:r>
      <w:r w:rsidRPr="007E22FE">
        <w:rPr>
          <w:szCs w:val="28"/>
        </w:rPr>
        <w:t xml:space="preserve"> personām, kuras sasniegs 64 gadu</w:t>
      </w:r>
      <w:r w:rsidR="002B2F86">
        <w:rPr>
          <w:szCs w:val="28"/>
        </w:rPr>
        <w:t xml:space="preserve"> un trīs</w:t>
      </w:r>
      <w:r>
        <w:rPr>
          <w:szCs w:val="28"/>
        </w:rPr>
        <w:t xml:space="preserve"> mēnešu</w:t>
      </w:r>
      <w:r w:rsidRPr="007E22FE">
        <w:rPr>
          <w:szCs w:val="28"/>
        </w:rPr>
        <w:t xml:space="preserve"> vecumu. Personām, kuru apdrošināšanas stāžs nav mazāks par 30 gadiem, ir tiesības pensionēties priekšlaicīgi – divus gadus pirms vispārējā pensionēšanās vecuma sasniegšanas, tātad </w:t>
      </w:r>
      <w:r w:rsidRPr="0047564D">
        <w:rPr>
          <w:szCs w:val="28"/>
        </w:rPr>
        <w:t>2022. gadā</w:t>
      </w:r>
      <w:r w:rsidRPr="007E22FE">
        <w:rPr>
          <w:szCs w:val="28"/>
        </w:rPr>
        <w:t xml:space="preserve"> </w:t>
      </w:r>
      <w:r w:rsidRPr="007E22FE">
        <w:rPr>
          <w:color w:val="000000"/>
          <w:szCs w:val="28"/>
        </w:rPr>
        <w:t>pensionēties priekšlaicīgi var personas, kuras sasniegušas 62 gadu</w:t>
      </w:r>
      <w:r w:rsidR="002B2F86">
        <w:rPr>
          <w:color w:val="000000"/>
          <w:szCs w:val="28"/>
        </w:rPr>
        <w:t xml:space="preserve"> un trīs</w:t>
      </w:r>
      <w:r>
        <w:rPr>
          <w:color w:val="000000"/>
          <w:szCs w:val="28"/>
        </w:rPr>
        <w:t xml:space="preserve"> mēnešu</w:t>
      </w:r>
      <w:r w:rsidRPr="007E22FE">
        <w:rPr>
          <w:color w:val="000000"/>
          <w:szCs w:val="28"/>
        </w:rPr>
        <w:t xml:space="preserve"> vecumu</w:t>
      </w:r>
      <w:r w:rsidRPr="007E22FE">
        <w:rPr>
          <w:szCs w:val="28"/>
        </w:rPr>
        <w:t>;</w:t>
      </w:r>
    </w:p>
    <w:p w14:paraId="1A1C0542" w14:textId="77777777" w:rsidR="00D0442A" w:rsidRDefault="00D0442A" w:rsidP="00325724">
      <w:pPr>
        <w:pStyle w:val="ListParagraph"/>
        <w:numPr>
          <w:ilvl w:val="0"/>
          <w:numId w:val="19"/>
        </w:numPr>
        <w:contextualSpacing w:val="0"/>
        <w:rPr>
          <w:szCs w:val="28"/>
        </w:rPr>
      </w:pPr>
      <w:r w:rsidRPr="008D1F8E">
        <w:rPr>
          <w:szCs w:val="28"/>
        </w:rPr>
        <w:t>Ar 2021.</w:t>
      </w:r>
      <w:r>
        <w:rPr>
          <w:szCs w:val="28"/>
        </w:rPr>
        <w:t> </w:t>
      </w:r>
      <w:r w:rsidRPr="008D1F8E">
        <w:rPr>
          <w:szCs w:val="28"/>
        </w:rPr>
        <w:t>gada 1.</w:t>
      </w:r>
      <w:r>
        <w:rPr>
          <w:szCs w:val="28"/>
        </w:rPr>
        <w:t> </w:t>
      </w:r>
      <w:r w:rsidRPr="008D1F8E">
        <w:rPr>
          <w:szCs w:val="28"/>
        </w:rPr>
        <w:t>janvāri ir noteikts jauns minimālais vecuma pensijas apmērs, kas turpmāk būs atkarīgs no katra personas apdrošināšanas stāža gada. Minimālo vecuma pensiju aprēķin</w:t>
      </w:r>
      <w:r>
        <w:rPr>
          <w:szCs w:val="28"/>
        </w:rPr>
        <w:t>a</w:t>
      </w:r>
      <w:r w:rsidRPr="008D1F8E">
        <w:rPr>
          <w:szCs w:val="28"/>
        </w:rPr>
        <w:t>, minimālās vecum</w:t>
      </w:r>
      <w:r>
        <w:rPr>
          <w:szCs w:val="28"/>
        </w:rPr>
        <w:t xml:space="preserve">a pensijas aprēķina </w:t>
      </w:r>
      <w:r>
        <w:rPr>
          <w:noProof/>
          <w:szCs w:val="28"/>
        </w:rPr>
        <w:t xml:space="preserve">bāzei 136 </w:t>
      </w:r>
      <w:r w:rsidRPr="008D1F8E">
        <w:rPr>
          <w:i/>
          <w:noProof/>
          <w:szCs w:val="28"/>
        </w:rPr>
        <w:t>euro</w:t>
      </w:r>
      <w:r w:rsidRPr="008D1F8E">
        <w:rPr>
          <w:noProof/>
          <w:szCs w:val="28"/>
        </w:rPr>
        <w:t xml:space="preserve"> (personām ar invaliditāti no bērnības – 163</w:t>
      </w:r>
      <w:r>
        <w:rPr>
          <w:noProof/>
          <w:szCs w:val="28"/>
        </w:rPr>
        <w:t xml:space="preserve"> </w:t>
      </w:r>
      <w:r w:rsidRPr="008D1F8E">
        <w:rPr>
          <w:i/>
          <w:noProof/>
          <w:szCs w:val="28"/>
        </w:rPr>
        <w:t>euro</w:t>
      </w:r>
      <w:r w:rsidRPr="008D1F8E">
        <w:rPr>
          <w:noProof/>
          <w:szCs w:val="28"/>
        </w:rPr>
        <w:t xml:space="preserve">) </w:t>
      </w:r>
      <w:r w:rsidRPr="008D1F8E">
        <w:rPr>
          <w:szCs w:val="28"/>
        </w:rPr>
        <w:t>piemērojot koeficientu 1,1. Par katru nākamo gadu, kas pārsniedz 15 gadus, kuri nepieciešami vecuma pensijas piešķiršanai, apmērs tiks palielināts par diviem procentiem no minimālās</w:t>
      </w:r>
      <w:r>
        <w:rPr>
          <w:szCs w:val="28"/>
        </w:rPr>
        <w:t xml:space="preserve"> vecuma pensijas aprēķina bāzes;</w:t>
      </w:r>
    </w:p>
    <w:p w14:paraId="400281C7" w14:textId="77777777" w:rsidR="00D0442A" w:rsidRDefault="00D0442A" w:rsidP="00325724">
      <w:pPr>
        <w:pStyle w:val="ListParagraph"/>
        <w:numPr>
          <w:ilvl w:val="0"/>
          <w:numId w:val="19"/>
        </w:numPr>
        <w:contextualSpacing w:val="0"/>
        <w:rPr>
          <w:noProof/>
          <w:szCs w:val="28"/>
        </w:rPr>
      </w:pPr>
      <w:r w:rsidRPr="008D1F8E">
        <w:rPr>
          <w:szCs w:val="28"/>
        </w:rPr>
        <w:t>Ar 2021.</w:t>
      </w:r>
      <w:r>
        <w:rPr>
          <w:szCs w:val="28"/>
        </w:rPr>
        <w:t> </w:t>
      </w:r>
      <w:r w:rsidRPr="008D1F8E">
        <w:rPr>
          <w:szCs w:val="28"/>
        </w:rPr>
        <w:t>gada 1.</w:t>
      </w:r>
      <w:r>
        <w:rPr>
          <w:szCs w:val="28"/>
        </w:rPr>
        <w:t> </w:t>
      </w:r>
      <w:r w:rsidRPr="008D1F8E">
        <w:rPr>
          <w:szCs w:val="28"/>
        </w:rPr>
        <w:t xml:space="preserve">janvāri </w:t>
      </w:r>
      <w:r>
        <w:rPr>
          <w:szCs w:val="28"/>
        </w:rPr>
        <w:t>n</w:t>
      </w:r>
      <w:r w:rsidRPr="00F14BC8">
        <w:rPr>
          <w:szCs w:val="28"/>
        </w:rPr>
        <w:t>oteikts jauns minimālais invaliditātes pensijas apmērs, kas turpmāk būs atkarīgs no invaliditāte</w:t>
      </w:r>
      <w:r>
        <w:rPr>
          <w:szCs w:val="28"/>
        </w:rPr>
        <w:t xml:space="preserve">s pensijas </w:t>
      </w:r>
      <w:r>
        <w:rPr>
          <w:noProof/>
          <w:szCs w:val="28"/>
        </w:rPr>
        <w:t xml:space="preserve">aprēķina bāzes 136 </w:t>
      </w:r>
      <w:r w:rsidRPr="00F14BC8">
        <w:rPr>
          <w:i/>
          <w:noProof/>
          <w:szCs w:val="28"/>
        </w:rPr>
        <w:t>euro</w:t>
      </w:r>
      <w:r w:rsidRPr="00F14BC8">
        <w:rPr>
          <w:noProof/>
          <w:szCs w:val="28"/>
        </w:rPr>
        <w:t xml:space="preserve"> (personām ar i</w:t>
      </w:r>
      <w:r>
        <w:rPr>
          <w:noProof/>
          <w:szCs w:val="28"/>
        </w:rPr>
        <w:t xml:space="preserve">nvaliditāti no bērnības – 163 </w:t>
      </w:r>
      <w:r w:rsidRPr="00F14BC8">
        <w:rPr>
          <w:i/>
          <w:noProof/>
          <w:szCs w:val="28"/>
        </w:rPr>
        <w:t>euro</w:t>
      </w:r>
      <w:r w:rsidRPr="00F14BC8">
        <w:rPr>
          <w:noProof/>
          <w:szCs w:val="28"/>
        </w:rPr>
        <w:t>)</w:t>
      </w:r>
      <w:r>
        <w:rPr>
          <w:noProof/>
          <w:szCs w:val="28"/>
        </w:rPr>
        <w:t>;</w:t>
      </w:r>
    </w:p>
    <w:p w14:paraId="3B39901A" w14:textId="77777777" w:rsidR="00D0442A" w:rsidRPr="00E62D77" w:rsidRDefault="00D0442A" w:rsidP="00325724">
      <w:pPr>
        <w:pStyle w:val="ListParagraph"/>
        <w:numPr>
          <w:ilvl w:val="0"/>
          <w:numId w:val="19"/>
        </w:numPr>
        <w:contextualSpacing w:val="0"/>
        <w:rPr>
          <w:noProof/>
          <w:szCs w:val="28"/>
        </w:rPr>
      </w:pPr>
      <w:r w:rsidRPr="00F14BC8">
        <w:rPr>
          <w:noProof/>
          <w:szCs w:val="28"/>
        </w:rPr>
        <w:lastRenderedPageBreak/>
        <w:t xml:space="preserve">Ar </w:t>
      </w:r>
      <w:r>
        <w:rPr>
          <w:noProof/>
          <w:szCs w:val="28"/>
        </w:rPr>
        <w:t xml:space="preserve">2021. gada </w:t>
      </w:r>
      <w:r w:rsidRPr="00F14BC8">
        <w:rPr>
          <w:noProof/>
          <w:szCs w:val="28"/>
        </w:rPr>
        <w:t>1.</w:t>
      </w:r>
      <w:r>
        <w:rPr>
          <w:noProof/>
          <w:szCs w:val="28"/>
        </w:rPr>
        <w:t> </w:t>
      </w:r>
      <w:r w:rsidRPr="00F14BC8">
        <w:rPr>
          <w:noProof/>
          <w:szCs w:val="28"/>
        </w:rPr>
        <w:t xml:space="preserve">janvāri ir paaugstināts atbalsts apgādnieku zaudējušajiem bērniem (apgādnieka zaudējuma minimālā pensija, atlīdzības par apgādnieka zaudējumu minimālais apmērs), nosakot to bērniem </w:t>
      </w:r>
      <w:r>
        <w:rPr>
          <w:noProof/>
          <w:szCs w:val="28"/>
        </w:rPr>
        <w:t xml:space="preserve">līdz septiņu gadu vecumam 136 </w:t>
      </w:r>
      <w:r w:rsidRPr="00F14BC8">
        <w:rPr>
          <w:i/>
          <w:noProof/>
          <w:szCs w:val="28"/>
        </w:rPr>
        <w:t>euro</w:t>
      </w:r>
      <w:r w:rsidRPr="00F14BC8">
        <w:rPr>
          <w:noProof/>
          <w:szCs w:val="28"/>
        </w:rPr>
        <w:t>, bet bērniem no</w:t>
      </w:r>
      <w:r>
        <w:rPr>
          <w:noProof/>
          <w:szCs w:val="28"/>
        </w:rPr>
        <w:t xml:space="preserve"> septiņu gadu vecuma – 163 </w:t>
      </w:r>
      <w:r w:rsidRPr="00F14BC8">
        <w:rPr>
          <w:i/>
          <w:noProof/>
          <w:szCs w:val="28"/>
        </w:rPr>
        <w:t>euro</w:t>
      </w:r>
      <w:r>
        <w:rPr>
          <w:noProof/>
          <w:szCs w:val="28"/>
        </w:rPr>
        <w:t>;</w:t>
      </w:r>
    </w:p>
    <w:p w14:paraId="2A5A02FF" w14:textId="77777777" w:rsidR="00D0442A" w:rsidRPr="00E62D77" w:rsidRDefault="00D0442A" w:rsidP="00325724">
      <w:pPr>
        <w:pStyle w:val="ListParagraph"/>
        <w:numPr>
          <w:ilvl w:val="0"/>
          <w:numId w:val="19"/>
        </w:numPr>
        <w:contextualSpacing w:val="0"/>
        <w:rPr>
          <w:noProof/>
          <w:color w:val="000000"/>
          <w:szCs w:val="28"/>
        </w:rPr>
      </w:pPr>
      <w:r w:rsidRPr="00E62D77">
        <w:rPr>
          <w:szCs w:val="28"/>
        </w:rPr>
        <w:t>2021. ga</w:t>
      </w:r>
      <w:r w:rsidRPr="00E62D77">
        <w:rPr>
          <w:noProof/>
          <w:szCs w:val="28"/>
        </w:rPr>
        <w:t>da 1. oktobrī tika pārskatītas (indeksētas) vecuma, invaliditātes, izdienas, apgādnieka zaudējuma pensijas un apdrošināšanas atlīdzības, kuras piešķirtas (pārrēķinātas) līdz 2021.</w:t>
      </w:r>
      <w:r>
        <w:rPr>
          <w:noProof/>
          <w:szCs w:val="28"/>
        </w:rPr>
        <w:t> </w:t>
      </w:r>
      <w:r w:rsidRPr="00E62D77">
        <w:rPr>
          <w:noProof/>
          <w:szCs w:val="28"/>
        </w:rPr>
        <w:t>gada 30.</w:t>
      </w:r>
      <w:r>
        <w:rPr>
          <w:noProof/>
          <w:szCs w:val="28"/>
        </w:rPr>
        <w:t> </w:t>
      </w:r>
      <w:r w:rsidRPr="00E62D77">
        <w:rPr>
          <w:noProof/>
          <w:szCs w:val="28"/>
        </w:rPr>
        <w:t>septembrim un kuru apmērs nepārsniedz 470 </w:t>
      </w:r>
      <w:r w:rsidRPr="00E62D77">
        <w:rPr>
          <w:i/>
          <w:noProof/>
          <w:szCs w:val="28"/>
        </w:rPr>
        <w:t>euro</w:t>
      </w:r>
      <w:r w:rsidRPr="00E62D77">
        <w:rPr>
          <w:noProof/>
          <w:szCs w:val="28"/>
        </w:rPr>
        <w:t>, bet pensijas un apdrošināšanas atlīdzības, kuru apmērs pārsniedz 470 </w:t>
      </w:r>
      <w:r w:rsidRPr="00E62D77">
        <w:rPr>
          <w:i/>
          <w:noProof/>
          <w:szCs w:val="28"/>
        </w:rPr>
        <w:t>euro</w:t>
      </w:r>
      <w:r w:rsidRPr="00E62D77">
        <w:rPr>
          <w:noProof/>
          <w:szCs w:val="28"/>
        </w:rPr>
        <w:t>, pārskata tikai tās daļas apmēru – 470 </w:t>
      </w:r>
      <w:r w:rsidRPr="00E62D77">
        <w:rPr>
          <w:i/>
          <w:noProof/>
          <w:szCs w:val="28"/>
        </w:rPr>
        <w:t>euro</w:t>
      </w:r>
      <w:r w:rsidRPr="00E62D77">
        <w:rPr>
          <w:noProof/>
          <w:szCs w:val="28"/>
        </w:rPr>
        <w:t>;</w:t>
      </w:r>
    </w:p>
    <w:p w14:paraId="5A31CA66" w14:textId="77777777" w:rsidR="00D0442A" w:rsidRPr="002D7736" w:rsidRDefault="00D0442A" w:rsidP="00325724">
      <w:pPr>
        <w:pStyle w:val="ListParagraph"/>
        <w:numPr>
          <w:ilvl w:val="0"/>
          <w:numId w:val="19"/>
        </w:numPr>
        <w:contextualSpacing w:val="0"/>
        <w:rPr>
          <w:noProof/>
          <w:color w:val="000000"/>
          <w:szCs w:val="28"/>
        </w:rPr>
      </w:pPr>
      <w:r w:rsidRPr="00666E6D">
        <w:rPr>
          <w:noProof/>
          <w:color w:val="000000"/>
          <w:szCs w:val="28"/>
        </w:rPr>
        <w:t>No 2022.</w:t>
      </w:r>
      <w:r>
        <w:rPr>
          <w:noProof/>
          <w:color w:val="000000"/>
          <w:szCs w:val="28"/>
        </w:rPr>
        <w:t> </w:t>
      </w:r>
      <w:r w:rsidRPr="00666E6D">
        <w:rPr>
          <w:noProof/>
          <w:color w:val="000000"/>
          <w:szCs w:val="28"/>
        </w:rPr>
        <w:t>gada 1.</w:t>
      </w:r>
      <w:r>
        <w:rPr>
          <w:noProof/>
          <w:color w:val="000000"/>
          <w:szCs w:val="28"/>
        </w:rPr>
        <w:t> </w:t>
      </w:r>
      <w:r w:rsidRPr="00666E6D">
        <w:rPr>
          <w:noProof/>
          <w:color w:val="000000"/>
          <w:szCs w:val="28"/>
        </w:rPr>
        <w:t>janvāra par vienu dienu ti</w:t>
      </w:r>
      <w:r>
        <w:rPr>
          <w:noProof/>
          <w:color w:val="000000"/>
          <w:szCs w:val="28"/>
        </w:rPr>
        <w:t>ks</w:t>
      </w:r>
      <w:r w:rsidRPr="00666E6D">
        <w:rPr>
          <w:noProof/>
          <w:color w:val="000000"/>
          <w:szCs w:val="28"/>
        </w:rPr>
        <w:t xml:space="preserve"> saīsināts periods, par kuru darba devējs apmaksās slimības </w:t>
      </w:r>
      <w:r>
        <w:rPr>
          <w:noProof/>
          <w:color w:val="000000"/>
          <w:szCs w:val="28"/>
        </w:rPr>
        <w:t>lapu</w:t>
      </w:r>
      <w:r w:rsidRPr="00666E6D">
        <w:rPr>
          <w:noProof/>
          <w:color w:val="000000"/>
          <w:szCs w:val="28"/>
        </w:rPr>
        <w:t xml:space="preserve"> no saviem līdzekļiem. </w:t>
      </w:r>
      <w:r>
        <w:rPr>
          <w:noProof/>
          <w:color w:val="000000"/>
          <w:szCs w:val="28"/>
        </w:rPr>
        <w:t>I</w:t>
      </w:r>
      <w:r w:rsidRPr="00666E6D">
        <w:rPr>
          <w:noProof/>
          <w:color w:val="000000"/>
          <w:szCs w:val="28"/>
        </w:rPr>
        <w:t>zmaiņas paredz, ka sākot no darba nespējas 10.</w:t>
      </w:r>
      <w:r>
        <w:rPr>
          <w:noProof/>
          <w:color w:val="000000"/>
          <w:szCs w:val="28"/>
        </w:rPr>
        <w:t> </w:t>
      </w:r>
      <w:r w:rsidRPr="00666E6D">
        <w:rPr>
          <w:noProof/>
          <w:color w:val="000000"/>
          <w:szCs w:val="28"/>
        </w:rPr>
        <w:t>dienas (līdz 2021.</w:t>
      </w:r>
      <w:r>
        <w:rPr>
          <w:noProof/>
          <w:color w:val="000000"/>
          <w:szCs w:val="28"/>
        </w:rPr>
        <w:t> </w:t>
      </w:r>
      <w:r w:rsidRPr="00666E6D">
        <w:rPr>
          <w:noProof/>
          <w:color w:val="000000"/>
          <w:szCs w:val="28"/>
        </w:rPr>
        <w:t>gada beigām 11.</w:t>
      </w:r>
      <w:r>
        <w:rPr>
          <w:noProof/>
          <w:color w:val="000000"/>
          <w:szCs w:val="28"/>
        </w:rPr>
        <w:t> </w:t>
      </w:r>
      <w:r w:rsidRPr="00666E6D">
        <w:rPr>
          <w:noProof/>
          <w:color w:val="000000"/>
          <w:szCs w:val="28"/>
        </w:rPr>
        <w:t xml:space="preserve">dienas) līdz darbspēju atgūšanas dienai personai ir tiesības uz slimības pabalstu, ko piešķir un izmaksā Valsts sociālās apdrošināšanas aģentūra. </w:t>
      </w:r>
    </w:p>
    <w:p w14:paraId="432E9C1F" w14:textId="02F63D60" w:rsidR="00D0442A" w:rsidRPr="00D0442A" w:rsidRDefault="00D0442A" w:rsidP="00DB2540">
      <w:pPr>
        <w:ind w:firstLine="2127"/>
        <w:jc w:val="right"/>
        <w:rPr>
          <w:b/>
          <w:i/>
          <w:szCs w:val="24"/>
        </w:rPr>
      </w:pPr>
      <w:bookmarkStart w:id="52" w:name="_Hlk83887502"/>
      <w:bookmarkEnd w:id="51"/>
      <w:r w:rsidRPr="00D0442A">
        <w:rPr>
          <w:b/>
          <w:i/>
          <w:szCs w:val="24"/>
        </w:rPr>
        <w:t xml:space="preserve">2.8. tabula. Valsts konsolidētā budžeta bilance 2020. – 2024. gadā, milj. </w:t>
      </w:r>
      <w:r w:rsidRPr="00D0442A">
        <w:rPr>
          <w:b/>
          <w:i/>
          <w:noProof/>
          <w:szCs w:val="24"/>
        </w:rPr>
        <w:t>euro</w:t>
      </w:r>
    </w:p>
    <w:tbl>
      <w:tblPr>
        <w:tblW w:w="9067" w:type="dxa"/>
        <w:jc w:val="center"/>
        <w:tblLook w:val="04A0" w:firstRow="1" w:lastRow="0" w:firstColumn="1" w:lastColumn="0" w:noHBand="0" w:noVBand="1"/>
      </w:tblPr>
      <w:tblGrid>
        <w:gridCol w:w="2263"/>
        <w:gridCol w:w="851"/>
        <w:gridCol w:w="850"/>
        <w:gridCol w:w="851"/>
        <w:gridCol w:w="850"/>
        <w:gridCol w:w="851"/>
        <w:gridCol w:w="850"/>
        <w:gridCol w:w="851"/>
        <w:gridCol w:w="850"/>
      </w:tblGrid>
      <w:tr w:rsidR="00D0442A" w:rsidRPr="0026061A" w14:paraId="7112A096" w14:textId="77777777" w:rsidTr="00D0442A">
        <w:trPr>
          <w:trHeight w:val="75"/>
          <w:tblHeader/>
          <w:jc w:val="center"/>
        </w:trPr>
        <w:tc>
          <w:tcPr>
            <w:tcW w:w="226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bookmarkEnd w:id="52"/>
          <w:p w14:paraId="6E282EC5" w14:textId="77777777" w:rsidR="00D0442A" w:rsidRPr="00F07E39" w:rsidRDefault="00D0442A" w:rsidP="00D0442A">
            <w:pPr>
              <w:spacing w:after="0"/>
              <w:ind w:firstLine="0"/>
              <w:jc w:val="left"/>
              <w:rPr>
                <w:color w:val="000000"/>
                <w:sz w:val="18"/>
                <w:szCs w:val="18"/>
              </w:rPr>
            </w:pPr>
            <w:r w:rsidRPr="00F07E39">
              <w:rPr>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16972FC8" w14:textId="77777777" w:rsidR="00D0442A" w:rsidRPr="00F07E39" w:rsidRDefault="00D0442A" w:rsidP="00D0442A">
            <w:pPr>
              <w:spacing w:after="0"/>
              <w:ind w:firstLine="0"/>
              <w:jc w:val="center"/>
              <w:rPr>
                <w:b/>
                <w:bCs/>
                <w:sz w:val="18"/>
                <w:szCs w:val="18"/>
              </w:rPr>
            </w:pPr>
            <w:r w:rsidRPr="007333CF">
              <w:rPr>
                <w:b/>
                <w:bCs/>
                <w:color w:val="000000"/>
                <w:sz w:val="18"/>
                <w:szCs w:val="18"/>
              </w:rPr>
              <w:t>20</w:t>
            </w:r>
            <w:r>
              <w:rPr>
                <w:b/>
                <w:bCs/>
                <w:color w:val="000000"/>
                <w:sz w:val="18"/>
                <w:szCs w:val="18"/>
              </w:rPr>
              <w:t>20</w:t>
            </w:r>
          </w:p>
        </w:tc>
        <w:tc>
          <w:tcPr>
            <w:tcW w:w="85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110DB01" w14:textId="77777777" w:rsidR="00D0442A" w:rsidRPr="00F07E39" w:rsidRDefault="00D0442A" w:rsidP="00D0442A">
            <w:pPr>
              <w:spacing w:after="0"/>
              <w:ind w:firstLine="0"/>
              <w:jc w:val="center"/>
              <w:rPr>
                <w:b/>
                <w:bCs/>
                <w:sz w:val="18"/>
                <w:szCs w:val="18"/>
              </w:rPr>
            </w:pPr>
            <w:r w:rsidRPr="007333CF">
              <w:rPr>
                <w:b/>
                <w:bCs/>
                <w:color w:val="000000"/>
                <w:sz w:val="18"/>
                <w:szCs w:val="18"/>
              </w:rPr>
              <w:t>20</w:t>
            </w:r>
            <w:r>
              <w:rPr>
                <w:b/>
                <w:bCs/>
                <w:color w:val="000000"/>
                <w:sz w:val="18"/>
                <w:szCs w:val="18"/>
              </w:rPr>
              <w:t>21</w:t>
            </w:r>
          </w:p>
        </w:tc>
        <w:tc>
          <w:tcPr>
            <w:tcW w:w="85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EAE9CEA" w14:textId="77777777" w:rsidR="00D0442A" w:rsidRPr="00F07E39" w:rsidRDefault="00D0442A" w:rsidP="00D0442A">
            <w:pPr>
              <w:spacing w:after="0"/>
              <w:ind w:firstLine="0"/>
              <w:jc w:val="center"/>
              <w:rPr>
                <w:b/>
                <w:bCs/>
                <w:sz w:val="18"/>
                <w:szCs w:val="18"/>
              </w:rPr>
            </w:pPr>
            <w:r w:rsidRPr="007333CF">
              <w:rPr>
                <w:b/>
                <w:bCs/>
                <w:color w:val="000000"/>
                <w:sz w:val="18"/>
                <w:szCs w:val="18"/>
              </w:rPr>
              <w:t>202</w:t>
            </w:r>
            <w:r>
              <w:rPr>
                <w:b/>
                <w:bCs/>
                <w:color w:val="000000"/>
                <w:sz w:val="18"/>
                <w:szCs w:val="18"/>
              </w:rPr>
              <w:t>2</w:t>
            </w:r>
          </w:p>
        </w:tc>
        <w:tc>
          <w:tcPr>
            <w:tcW w:w="85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BC697E5" w14:textId="77777777" w:rsidR="00D0442A" w:rsidRPr="00F07E39" w:rsidRDefault="00D0442A" w:rsidP="00D0442A">
            <w:pPr>
              <w:spacing w:after="0"/>
              <w:ind w:firstLine="0"/>
              <w:jc w:val="center"/>
              <w:rPr>
                <w:b/>
                <w:bCs/>
                <w:sz w:val="18"/>
                <w:szCs w:val="18"/>
              </w:rPr>
            </w:pPr>
            <w:r w:rsidRPr="007333CF">
              <w:rPr>
                <w:b/>
                <w:bCs/>
                <w:color w:val="000000"/>
                <w:sz w:val="18"/>
                <w:szCs w:val="18"/>
              </w:rPr>
              <w:t>202</w:t>
            </w:r>
            <w:r>
              <w:rPr>
                <w:b/>
                <w:bCs/>
                <w:color w:val="000000"/>
                <w:sz w:val="18"/>
                <w:szCs w:val="18"/>
              </w:rPr>
              <w:t>3</w:t>
            </w:r>
          </w:p>
        </w:tc>
        <w:tc>
          <w:tcPr>
            <w:tcW w:w="851" w:type="dxa"/>
            <w:tcBorders>
              <w:top w:val="single" w:sz="4" w:space="0" w:color="auto"/>
              <w:left w:val="nil"/>
              <w:bottom w:val="single" w:sz="4" w:space="0" w:color="auto"/>
              <w:right w:val="single" w:sz="4" w:space="0" w:color="auto"/>
            </w:tcBorders>
            <w:shd w:val="clear" w:color="auto" w:fill="9CC2E5" w:themeFill="accent1" w:themeFillTint="99"/>
          </w:tcPr>
          <w:p w14:paraId="1CBE12B2" w14:textId="77777777" w:rsidR="00D0442A" w:rsidRPr="00F07E39" w:rsidRDefault="00D0442A" w:rsidP="00D0442A">
            <w:pPr>
              <w:spacing w:after="0"/>
              <w:ind w:firstLine="0"/>
              <w:jc w:val="center"/>
              <w:rPr>
                <w:b/>
                <w:bCs/>
                <w:color w:val="000000"/>
                <w:sz w:val="18"/>
                <w:szCs w:val="18"/>
              </w:rPr>
            </w:pPr>
            <w:r w:rsidRPr="007333CF">
              <w:rPr>
                <w:b/>
                <w:bCs/>
                <w:color w:val="000000"/>
                <w:sz w:val="18"/>
                <w:szCs w:val="18"/>
              </w:rPr>
              <w:t>202</w:t>
            </w:r>
            <w:r>
              <w:rPr>
                <w:b/>
                <w:bCs/>
                <w:color w:val="000000"/>
                <w:sz w:val="18"/>
                <w:szCs w:val="18"/>
              </w:rPr>
              <w:t>4</w:t>
            </w:r>
          </w:p>
        </w:tc>
        <w:tc>
          <w:tcPr>
            <w:tcW w:w="85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42DFFCB9" w14:textId="77777777" w:rsidR="00D0442A" w:rsidRPr="00F07E39" w:rsidRDefault="00D0442A" w:rsidP="00D0442A">
            <w:pPr>
              <w:spacing w:after="0"/>
              <w:ind w:firstLine="0"/>
              <w:jc w:val="center"/>
              <w:rPr>
                <w:b/>
                <w:bCs/>
                <w:sz w:val="18"/>
                <w:szCs w:val="18"/>
              </w:rPr>
            </w:pPr>
            <w:r w:rsidRPr="007333CF">
              <w:rPr>
                <w:b/>
                <w:bCs/>
                <w:color w:val="000000"/>
                <w:sz w:val="18"/>
                <w:szCs w:val="18"/>
              </w:rPr>
              <w:t>202</w:t>
            </w:r>
            <w:r>
              <w:rPr>
                <w:b/>
                <w:bCs/>
                <w:color w:val="000000"/>
                <w:sz w:val="18"/>
                <w:szCs w:val="18"/>
              </w:rPr>
              <w:t>2</w:t>
            </w:r>
          </w:p>
        </w:tc>
        <w:tc>
          <w:tcPr>
            <w:tcW w:w="85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25EF18AE" w14:textId="77777777" w:rsidR="00D0442A" w:rsidRPr="00F07E39" w:rsidRDefault="00D0442A" w:rsidP="00D0442A">
            <w:pPr>
              <w:spacing w:after="0"/>
              <w:ind w:firstLine="0"/>
              <w:jc w:val="center"/>
              <w:rPr>
                <w:b/>
                <w:bCs/>
                <w:sz w:val="18"/>
                <w:szCs w:val="18"/>
              </w:rPr>
            </w:pPr>
            <w:r w:rsidRPr="007333CF">
              <w:rPr>
                <w:b/>
                <w:bCs/>
                <w:color w:val="000000"/>
                <w:sz w:val="18"/>
                <w:szCs w:val="18"/>
              </w:rPr>
              <w:t>202</w:t>
            </w:r>
            <w:r>
              <w:rPr>
                <w:b/>
                <w:bCs/>
                <w:color w:val="000000"/>
                <w:sz w:val="18"/>
                <w:szCs w:val="18"/>
              </w:rPr>
              <w:t>3</w:t>
            </w:r>
          </w:p>
        </w:tc>
        <w:tc>
          <w:tcPr>
            <w:tcW w:w="850" w:type="dxa"/>
            <w:tcBorders>
              <w:top w:val="single" w:sz="4" w:space="0" w:color="auto"/>
              <w:left w:val="nil"/>
              <w:bottom w:val="single" w:sz="4" w:space="0" w:color="auto"/>
              <w:right w:val="single" w:sz="4" w:space="0" w:color="auto"/>
            </w:tcBorders>
            <w:shd w:val="clear" w:color="auto" w:fill="9CC2E5" w:themeFill="accent1" w:themeFillTint="99"/>
            <w:noWrap/>
            <w:hideMark/>
          </w:tcPr>
          <w:p w14:paraId="60928C06" w14:textId="77777777" w:rsidR="00D0442A" w:rsidRPr="00F07E39" w:rsidRDefault="00D0442A" w:rsidP="00D0442A">
            <w:pPr>
              <w:spacing w:after="0"/>
              <w:ind w:firstLine="0"/>
              <w:jc w:val="center"/>
              <w:rPr>
                <w:b/>
                <w:bCs/>
                <w:sz w:val="18"/>
                <w:szCs w:val="18"/>
              </w:rPr>
            </w:pPr>
            <w:r w:rsidRPr="007333CF">
              <w:rPr>
                <w:b/>
                <w:bCs/>
                <w:color w:val="000000"/>
                <w:sz w:val="18"/>
                <w:szCs w:val="18"/>
              </w:rPr>
              <w:t>202</w:t>
            </w:r>
            <w:r>
              <w:rPr>
                <w:b/>
                <w:bCs/>
                <w:color w:val="000000"/>
                <w:sz w:val="18"/>
                <w:szCs w:val="18"/>
              </w:rPr>
              <w:t>4</w:t>
            </w:r>
          </w:p>
        </w:tc>
      </w:tr>
      <w:tr w:rsidR="00D0442A" w:rsidRPr="0026061A" w14:paraId="3DE045CE" w14:textId="77777777" w:rsidTr="00D0442A">
        <w:trPr>
          <w:trHeight w:val="75"/>
          <w:tblHeader/>
          <w:jc w:val="center"/>
        </w:trPr>
        <w:tc>
          <w:tcPr>
            <w:tcW w:w="2263"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14:paraId="72A79599" w14:textId="77777777" w:rsidR="00D0442A" w:rsidRPr="00F07E39" w:rsidRDefault="00D0442A" w:rsidP="00D0442A">
            <w:pPr>
              <w:spacing w:after="0"/>
              <w:ind w:firstLine="0"/>
              <w:jc w:val="left"/>
              <w:rPr>
                <w:b/>
                <w:bCs/>
                <w:color w:val="000000"/>
                <w:sz w:val="18"/>
                <w:szCs w:val="18"/>
              </w:rPr>
            </w:pPr>
            <w:r w:rsidRPr="00F07E39">
              <w:rPr>
                <w:b/>
                <w:bCs/>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2222F935" w14:textId="77777777" w:rsidR="00D0442A" w:rsidRPr="006A6D52" w:rsidRDefault="00D0442A" w:rsidP="00D0442A">
            <w:pPr>
              <w:spacing w:after="0"/>
              <w:ind w:firstLine="0"/>
              <w:jc w:val="center"/>
              <w:rPr>
                <w:b/>
                <w:sz w:val="18"/>
                <w:szCs w:val="18"/>
              </w:rPr>
            </w:pPr>
            <w:r w:rsidRPr="006A6D52">
              <w:rPr>
                <w:b/>
                <w:color w:val="000000"/>
                <w:sz w:val="18"/>
                <w:szCs w:val="18"/>
              </w:rPr>
              <w:t>Fakts</w:t>
            </w:r>
          </w:p>
        </w:tc>
        <w:tc>
          <w:tcPr>
            <w:tcW w:w="850" w:type="dxa"/>
            <w:tcBorders>
              <w:top w:val="single" w:sz="4" w:space="0" w:color="auto"/>
              <w:left w:val="nil"/>
              <w:bottom w:val="single" w:sz="4" w:space="0" w:color="auto"/>
              <w:right w:val="single" w:sz="4" w:space="0" w:color="auto"/>
            </w:tcBorders>
            <w:shd w:val="clear" w:color="auto" w:fill="9CC2E5" w:themeFill="accent1" w:themeFillTint="99"/>
            <w:vAlign w:val="center"/>
          </w:tcPr>
          <w:p w14:paraId="32BF2C03" w14:textId="77777777" w:rsidR="00D0442A" w:rsidRPr="006A6D52" w:rsidRDefault="00D0442A" w:rsidP="00D0442A">
            <w:pPr>
              <w:spacing w:after="0"/>
              <w:ind w:firstLine="0"/>
              <w:jc w:val="center"/>
              <w:rPr>
                <w:b/>
                <w:sz w:val="18"/>
                <w:szCs w:val="18"/>
              </w:rPr>
            </w:pPr>
            <w:r w:rsidRPr="006A6D52">
              <w:rPr>
                <w:b/>
                <w:color w:val="000000"/>
                <w:sz w:val="18"/>
                <w:szCs w:val="18"/>
              </w:rPr>
              <w:t>Novērt.</w:t>
            </w:r>
          </w:p>
        </w:tc>
        <w:tc>
          <w:tcPr>
            <w:tcW w:w="2552" w:type="dxa"/>
            <w:gridSpan w:val="3"/>
            <w:tcBorders>
              <w:top w:val="single" w:sz="4" w:space="0" w:color="auto"/>
              <w:left w:val="nil"/>
              <w:bottom w:val="single" w:sz="4" w:space="0" w:color="auto"/>
              <w:right w:val="single" w:sz="4" w:space="0" w:color="auto"/>
            </w:tcBorders>
            <w:shd w:val="clear" w:color="auto" w:fill="9CC2E5" w:themeFill="accent1" w:themeFillTint="99"/>
            <w:vAlign w:val="center"/>
          </w:tcPr>
          <w:p w14:paraId="6B084D0C" w14:textId="77777777" w:rsidR="00D0442A" w:rsidRPr="006A6D52" w:rsidRDefault="00D0442A" w:rsidP="00D0442A">
            <w:pPr>
              <w:spacing w:after="0"/>
              <w:ind w:firstLine="0"/>
              <w:jc w:val="center"/>
              <w:rPr>
                <w:b/>
                <w:color w:val="000000"/>
                <w:sz w:val="18"/>
                <w:szCs w:val="18"/>
              </w:rPr>
            </w:pPr>
            <w:r w:rsidRPr="006A6D52">
              <w:rPr>
                <w:b/>
                <w:color w:val="000000"/>
                <w:sz w:val="18"/>
                <w:szCs w:val="18"/>
              </w:rPr>
              <w:t>Prognoze</w:t>
            </w:r>
            <w:r>
              <w:rPr>
                <w:b/>
                <w:color w:val="000000"/>
                <w:sz w:val="18"/>
                <w:szCs w:val="18"/>
              </w:rPr>
              <w:br/>
            </w:r>
            <w:r w:rsidRPr="006A6D52">
              <w:rPr>
                <w:b/>
                <w:color w:val="000000"/>
                <w:sz w:val="18"/>
                <w:szCs w:val="18"/>
              </w:rPr>
              <w:t>(</w:t>
            </w:r>
            <w:r>
              <w:rPr>
                <w:b/>
                <w:color w:val="000000"/>
                <w:sz w:val="18"/>
                <w:szCs w:val="18"/>
              </w:rPr>
              <w:t xml:space="preserve">pie </w:t>
            </w:r>
            <w:r w:rsidRPr="006A6D52">
              <w:rPr>
                <w:b/>
                <w:color w:val="000000"/>
                <w:sz w:val="18"/>
                <w:szCs w:val="18"/>
              </w:rPr>
              <w:t>nemainīga</w:t>
            </w:r>
            <w:r>
              <w:rPr>
                <w:b/>
                <w:color w:val="000000"/>
                <w:sz w:val="18"/>
                <w:szCs w:val="18"/>
              </w:rPr>
              <w:t>s</w:t>
            </w:r>
            <w:r w:rsidRPr="006A6D52">
              <w:rPr>
                <w:b/>
                <w:color w:val="000000"/>
                <w:sz w:val="18"/>
                <w:szCs w:val="18"/>
              </w:rPr>
              <w:t xml:space="preserve"> politika</w:t>
            </w:r>
            <w:r>
              <w:rPr>
                <w:b/>
                <w:color w:val="000000"/>
                <w:sz w:val="18"/>
                <w:szCs w:val="18"/>
              </w:rPr>
              <w:t>s</w:t>
            </w:r>
            <w:r w:rsidRPr="006A6D52">
              <w:rPr>
                <w:b/>
                <w:color w:val="000000"/>
                <w:sz w:val="18"/>
                <w:szCs w:val="18"/>
              </w:rPr>
              <w:t>)</w:t>
            </w:r>
            <w:r>
              <w:rPr>
                <w:rStyle w:val="FootnoteReference"/>
                <w:b/>
                <w:color w:val="000000"/>
                <w:sz w:val="18"/>
                <w:szCs w:val="18"/>
              </w:rPr>
              <w:footnoteReference w:id="14"/>
            </w:r>
          </w:p>
        </w:tc>
        <w:tc>
          <w:tcPr>
            <w:tcW w:w="2551" w:type="dxa"/>
            <w:gridSpan w:val="3"/>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880BD05" w14:textId="77777777" w:rsidR="00D0442A" w:rsidRPr="006A6D52" w:rsidRDefault="00D0442A" w:rsidP="00D0442A">
            <w:pPr>
              <w:spacing w:after="0"/>
              <w:ind w:firstLine="0"/>
              <w:jc w:val="center"/>
              <w:rPr>
                <w:b/>
                <w:sz w:val="18"/>
                <w:szCs w:val="18"/>
              </w:rPr>
            </w:pPr>
            <w:r w:rsidRPr="006A6D52">
              <w:rPr>
                <w:b/>
                <w:color w:val="000000"/>
                <w:sz w:val="18"/>
                <w:szCs w:val="18"/>
              </w:rPr>
              <w:t xml:space="preserve">Prognoze </w:t>
            </w:r>
          </w:p>
        </w:tc>
      </w:tr>
      <w:tr w:rsidR="00D0442A" w:rsidRPr="0026061A" w14:paraId="3710B400" w14:textId="77777777" w:rsidTr="00D0442A">
        <w:trPr>
          <w:trHeight w:val="75"/>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2B345" w14:textId="77777777" w:rsidR="00D0442A" w:rsidRPr="00F07E39" w:rsidRDefault="00D0442A" w:rsidP="00D0442A">
            <w:pPr>
              <w:spacing w:after="0"/>
              <w:ind w:firstLine="0"/>
              <w:jc w:val="left"/>
              <w:rPr>
                <w:b/>
                <w:bCs/>
                <w:sz w:val="19"/>
                <w:szCs w:val="19"/>
              </w:rPr>
            </w:pPr>
            <w:r w:rsidRPr="00F07E39">
              <w:rPr>
                <w:b/>
                <w:bCs/>
                <w:sz w:val="19"/>
                <w:szCs w:val="19"/>
              </w:rPr>
              <w:t>VALSTS BUDŽETA BILANCE</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7044A31" w14:textId="77777777" w:rsidR="00D0442A" w:rsidRPr="00491396" w:rsidRDefault="00D0442A" w:rsidP="00D0442A">
            <w:pPr>
              <w:spacing w:after="0"/>
              <w:ind w:firstLine="0"/>
              <w:jc w:val="right"/>
              <w:rPr>
                <w:b/>
                <w:sz w:val="18"/>
                <w:szCs w:val="18"/>
              </w:rPr>
            </w:pPr>
            <w:r w:rsidRPr="00491396">
              <w:rPr>
                <w:b/>
                <w:bCs/>
                <w:color w:val="000000"/>
                <w:sz w:val="18"/>
                <w:szCs w:val="18"/>
              </w:rPr>
              <w:t>-1 109,5</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A9EF166" w14:textId="77777777" w:rsidR="00D0442A" w:rsidRPr="00491396" w:rsidRDefault="00D0442A" w:rsidP="00D0442A">
            <w:pPr>
              <w:spacing w:after="0"/>
              <w:ind w:firstLine="0"/>
              <w:jc w:val="right"/>
              <w:rPr>
                <w:b/>
                <w:sz w:val="18"/>
                <w:szCs w:val="18"/>
              </w:rPr>
            </w:pPr>
            <w:r w:rsidRPr="00491396">
              <w:rPr>
                <w:b/>
                <w:bCs/>
                <w:color w:val="000000"/>
                <w:sz w:val="18"/>
                <w:szCs w:val="18"/>
              </w:rPr>
              <w:t>-2 769,0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E9FA75A" w14:textId="77777777" w:rsidR="00D0442A" w:rsidRPr="00491396" w:rsidRDefault="00D0442A" w:rsidP="00D0442A">
            <w:pPr>
              <w:spacing w:after="0"/>
              <w:ind w:firstLine="0"/>
              <w:jc w:val="right"/>
              <w:rPr>
                <w:b/>
                <w:sz w:val="18"/>
                <w:szCs w:val="18"/>
              </w:rPr>
            </w:pPr>
            <w:r w:rsidRPr="00491396">
              <w:rPr>
                <w:b/>
                <w:bCs/>
                <w:color w:val="000000"/>
                <w:sz w:val="18"/>
                <w:szCs w:val="18"/>
              </w:rPr>
              <w:t>-1 311,6</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DE4049C" w14:textId="77777777" w:rsidR="00D0442A" w:rsidRPr="00491396" w:rsidRDefault="00D0442A" w:rsidP="00D0442A">
            <w:pPr>
              <w:spacing w:after="0"/>
              <w:ind w:firstLine="0"/>
              <w:jc w:val="right"/>
              <w:rPr>
                <w:b/>
                <w:sz w:val="18"/>
                <w:szCs w:val="18"/>
              </w:rPr>
            </w:pPr>
            <w:r w:rsidRPr="00491396">
              <w:rPr>
                <w:b/>
                <w:bCs/>
                <w:color w:val="000000"/>
                <w:sz w:val="18"/>
                <w:szCs w:val="18"/>
              </w:rPr>
              <w:t>-162,8</w:t>
            </w:r>
          </w:p>
        </w:tc>
        <w:tc>
          <w:tcPr>
            <w:tcW w:w="851" w:type="dxa"/>
            <w:tcBorders>
              <w:top w:val="single" w:sz="4" w:space="0" w:color="auto"/>
              <w:left w:val="nil"/>
              <w:bottom w:val="single" w:sz="4" w:space="0" w:color="auto"/>
              <w:right w:val="single" w:sz="4" w:space="0" w:color="auto"/>
            </w:tcBorders>
            <w:shd w:val="clear" w:color="auto" w:fill="auto"/>
            <w:vAlign w:val="center"/>
          </w:tcPr>
          <w:p w14:paraId="1F919124" w14:textId="77777777" w:rsidR="00D0442A" w:rsidRPr="00491396" w:rsidRDefault="00D0442A" w:rsidP="00D0442A">
            <w:pPr>
              <w:spacing w:after="0"/>
              <w:ind w:firstLine="0"/>
              <w:jc w:val="right"/>
              <w:rPr>
                <w:b/>
                <w:sz w:val="18"/>
                <w:szCs w:val="18"/>
              </w:rPr>
            </w:pPr>
            <w:r w:rsidRPr="00491396">
              <w:rPr>
                <w:b/>
                <w:bCs/>
                <w:color w:val="000000"/>
                <w:sz w:val="18"/>
                <w:szCs w:val="18"/>
              </w:rPr>
              <w:t>-114,3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79DBF5" w14:textId="77777777" w:rsidR="00D0442A" w:rsidRPr="00491396" w:rsidRDefault="00D0442A" w:rsidP="00D0442A">
            <w:pPr>
              <w:spacing w:after="0"/>
              <w:ind w:firstLine="0"/>
              <w:jc w:val="right"/>
              <w:rPr>
                <w:b/>
                <w:sz w:val="18"/>
                <w:szCs w:val="18"/>
              </w:rPr>
            </w:pPr>
            <w:r w:rsidRPr="00491396">
              <w:rPr>
                <w:b/>
                <w:bCs/>
                <w:color w:val="000000"/>
                <w:sz w:val="18"/>
                <w:szCs w:val="18"/>
              </w:rPr>
              <w:t>-1 769,8</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3F82398" w14:textId="77777777" w:rsidR="00D0442A" w:rsidRPr="00491396" w:rsidRDefault="00D0442A" w:rsidP="00D0442A">
            <w:pPr>
              <w:spacing w:after="0"/>
              <w:ind w:firstLine="0"/>
              <w:jc w:val="right"/>
              <w:rPr>
                <w:b/>
                <w:sz w:val="18"/>
                <w:szCs w:val="18"/>
              </w:rPr>
            </w:pPr>
            <w:r w:rsidRPr="00491396">
              <w:rPr>
                <w:b/>
                <w:bCs/>
                <w:color w:val="000000"/>
                <w:sz w:val="18"/>
                <w:szCs w:val="18"/>
              </w:rPr>
              <w:t>-347,2</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17A2CAD" w14:textId="77777777" w:rsidR="00D0442A" w:rsidRPr="00491396" w:rsidRDefault="00D0442A" w:rsidP="00D0442A">
            <w:pPr>
              <w:spacing w:after="0"/>
              <w:ind w:firstLine="0"/>
              <w:jc w:val="right"/>
              <w:rPr>
                <w:b/>
                <w:sz w:val="18"/>
                <w:szCs w:val="18"/>
              </w:rPr>
            </w:pPr>
            <w:r w:rsidRPr="00491396">
              <w:rPr>
                <w:b/>
                <w:bCs/>
                <w:color w:val="000000"/>
                <w:sz w:val="18"/>
                <w:szCs w:val="18"/>
              </w:rPr>
              <w:t>-340,3</w:t>
            </w:r>
          </w:p>
        </w:tc>
      </w:tr>
      <w:tr w:rsidR="00D0442A" w:rsidRPr="0026061A" w14:paraId="4DC1BE8F"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16D644F6" w14:textId="77777777" w:rsidR="00D0442A" w:rsidRPr="00F07E39" w:rsidRDefault="00D0442A" w:rsidP="00D0442A">
            <w:pPr>
              <w:spacing w:after="0"/>
              <w:ind w:left="-183" w:firstLineChars="100" w:firstLine="190"/>
              <w:jc w:val="left"/>
              <w:rPr>
                <w:sz w:val="19"/>
                <w:szCs w:val="19"/>
              </w:rPr>
            </w:pPr>
            <w:r w:rsidRPr="00F07E39">
              <w:rPr>
                <w:sz w:val="19"/>
                <w:szCs w:val="19"/>
              </w:rPr>
              <w:t>Ieņēmumi</w:t>
            </w:r>
          </w:p>
        </w:tc>
        <w:tc>
          <w:tcPr>
            <w:tcW w:w="851" w:type="dxa"/>
            <w:tcBorders>
              <w:top w:val="nil"/>
              <w:left w:val="nil"/>
              <w:bottom w:val="single" w:sz="4" w:space="0" w:color="auto"/>
              <w:right w:val="single" w:sz="4" w:space="0" w:color="auto"/>
            </w:tcBorders>
            <w:shd w:val="clear" w:color="auto" w:fill="auto"/>
            <w:noWrap/>
            <w:vAlign w:val="center"/>
          </w:tcPr>
          <w:p w14:paraId="3520467E" w14:textId="77777777" w:rsidR="00D0442A" w:rsidRPr="00491396" w:rsidRDefault="00D0442A" w:rsidP="00D0442A">
            <w:pPr>
              <w:spacing w:after="0"/>
              <w:ind w:firstLine="0"/>
              <w:jc w:val="right"/>
              <w:rPr>
                <w:sz w:val="18"/>
                <w:szCs w:val="18"/>
              </w:rPr>
            </w:pPr>
            <w:r w:rsidRPr="00491396">
              <w:rPr>
                <w:color w:val="000000"/>
                <w:sz w:val="18"/>
                <w:szCs w:val="18"/>
              </w:rPr>
              <w:t>9 464,8</w:t>
            </w:r>
          </w:p>
        </w:tc>
        <w:tc>
          <w:tcPr>
            <w:tcW w:w="850" w:type="dxa"/>
            <w:tcBorders>
              <w:top w:val="nil"/>
              <w:left w:val="nil"/>
              <w:bottom w:val="single" w:sz="4" w:space="0" w:color="auto"/>
              <w:right w:val="single" w:sz="4" w:space="0" w:color="auto"/>
            </w:tcBorders>
            <w:shd w:val="clear" w:color="auto" w:fill="auto"/>
            <w:noWrap/>
            <w:vAlign w:val="center"/>
          </w:tcPr>
          <w:p w14:paraId="323D214C" w14:textId="77777777" w:rsidR="00D0442A" w:rsidRPr="00491396" w:rsidRDefault="00D0442A" w:rsidP="00D0442A">
            <w:pPr>
              <w:spacing w:after="0"/>
              <w:ind w:firstLine="0"/>
              <w:jc w:val="right"/>
              <w:rPr>
                <w:sz w:val="18"/>
                <w:szCs w:val="18"/>
              </w:rPr>
            </w:pPr>
            <w:r w:rsidRPr="00491396">
              <w:rPr>
                <w:color w:val="000000"/>
                <w:sz w:val="18"/>
                <w:szCs w:val="18"/>
              </w:rPr>
              <w:t>9 982,3</w:t>
            </w:r>
          </w:p>
        </w:tc>
        <w:tc>
          <w:tcPr>
            <w:tcW w:w="851" w:type="dxa"/>
            <w:tcBorders>
              <w:top w:val="nil"/>
              <w:left w:val="nil"/>
              <w:bottom w:val="single" w:sz="4" w:space="0" w:color="auto"/>
              <w:right w:val="single" w:sz="4" w:space="0" w:color="auto"/>
            </w:tcBorders>
            <w:shd w:val="clear" w:color="auto" w:fill="auto"/>
            <w:noWrap/>
            <w:vAlign w:val="center"/>
          </w:tcPr>
          <w:p w14:paraId="6E332C0F" w14:textId="77777777" w:rsidR="00D0442A" w:rsidRPr="00491396" w:rsidRDefault="00D0442A" w:rsidP="00D0442A">
            <w:pPr>
              <w:spacing w:after="0"/>
              <w:ind w:firstLine="0"/>
              <w:jc w:val="right"/>
              <w:rPr>
                <w:sz w:val="18"/>
                <w:szCs w:val="18"/>
              </w:rPr>
            </w:pPr>
            <w:r w:rsidRPr="00491396">
              <w:rPr>
                <w:color w:val="000000"/>
                <w:sz w:val="18"/>
                <w:szCs w:val="18"/>
              </w:rPr>
              <w:t>10 770,4</w:t>
            </w:r>
          </w:p>
        </w:tc>
        <w:tc>
          <w:tcPr>
            <w:tcW w:w="850" w:type="dxa"/>
            <w:tcBorders>
              <w:top w:val="nil"/>
              <w:left w:val="nil"/>
              <w:bottom w:val="single" w:sz="4" w:space="0" w:color="auto"/>
              <w:right w:val="single" w:sz="4" w:space="0" w:color="auto"/>
            </w:tcBorders>
            <w:shd w:val="clear" w:color="auto" w:fill="auto"/>
            <w:noWrap/>
            <w:vAlign w:val="center"/>
          </w:tcPr>
          <w:p w14:paraId="3C2E3848" w14:textId="77777777" w:rsidR="00D0442A" w:rsidRPr="00491396" w:rsidRDefault="00D0442A" w:rsidP="00D0442A">
            <w:pPr>
              <w:spacing w:after="0"/>
              <w:ind w:firstLine="0"/>
              <w:jc w:val="right"/>
              <w:rPr>
                <w:sz w:val="18"/>
                <w:szCs w:val="18"/>
              </w:rPr>
            </w:pPr>
            <w:r w:rsidRPr="00491396">
              <w:rPr>
                <w:color w:val="000000"/>
                <w:sz w:val="18"/>
                <w:szCs w:val="18"/>
              </w:rPr>
              <w:t>11 909,8</w:t>
            </w:r>
          </w:p>
        </w:tc>
        <w:tc>
          <w:tcPr>
            <w:tcW w:w="851" w:type="dxa"/>
            <w:tcBorders>
              <w:top w:val="single" w:sz="4" w:space="0" w:color="auto"/>
              <w:left w:val="nil"/>
              <w:bottom w:val="single" w:sz="4" w:space="0" w:color="auto"/>
              <w:right w:val="single" w:sz="4" w:space="0" w:color="auto"/>
            </w:tcBorders>
            <w:vAlign w:val="center"/>
          </w:tcPr>
          <w:p w14:paraId="5431ED4F" w14:textId="77777777" w:rsidR="00D0442A" w:rsidRPr="00491396" w:rsidRDefault="00D0442A" w:rsidP="00D0442A">
            <w:pPr>
              <w:spacing w:after="0"/>
              <w:ind w:firstLine="0"/>
              <w:jc w:val="right"/>
              <w:rPr>
                <w:sz w:val="18"/>
                <w:szCs w:val="18"/>
              </w:rPr>
            </w:pPr>
            <w:r w:rsidRPr="00491396">
              <w:rPr>
                <w:color w:val="000000"/>
                <w:sz w:val="18"/>
                <w:szCs w:val="18"/>
              </w:rPr>
              <w:t>12 159,1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A69D0A9" w14:textId="77777777" w:rsidR="00D0442A" w:rsidRPr="00491396" w:rsidRDefault="00D0442A" w:rsidP="00D0442A">
            <w:pPr>
              <w:spacing w:after="0"/>
              <w:ind w:firstLine="0"/>
              <w:jc w:val="right"/>
              <w:rPr>
                <w:sz w:val="18"/>
                <w:szCs w:val="18"/>
              </w:rPr>
            </w:pPr>
            <w:r w:rsidRPr="00491396">
              <w:rPr>
                <w:color w:val="000000"/>
                <w:sz w:val="18"/>
                <w:szCs w:val="18"/>
              </w:rPr>
              <w:t>10 823,1</w:t>
            </w:r>
          </w:p>
        </w:tc>
        <w:tc>
          <w:tcPr>
            <w:tcW w:w="851" w:type="dxa"/>
            <w:tcBorders>
              <w:top w:val="nil"/>
              <w:left w:val="nil"/>
              <w:bottom w:val="single" w:sz="4" w:space="0" w:color="auto"/>
              <w:right w:val="single" w:sz="4" w:space="0" w:color="auto"/>
            </w:tcBorders>
            <w:shd w:val="clear" w:color="auto" w:fill="auto"/>
            <w:noWrap/>
            <w:vAlign w:val="center"/>
          </w:tcPr>
          <w:p w14:paraId="68769884" w14:textId="77777777" w:rsidR="00D0442A" w:rsidRPr="00491396" w:rsidRDefault="00D0442A" w:rsidP="00D0442A">
            <w:pPr>
              <w:spacing w:after="0"/>
              <w:ind w:firstLine="0"/>
              <w:jc w:val="right"/>
              <w:rPr>
                <w:sz w:val="18"/>
                <w:szCs w:val="18"/>
              </w:rPr>
            </w:pPr>
            <w:r w:rsidRPr="00491396">
              <w:rPr>
                <w:color w:val="000000"/>
                <w:sz w:val="18"/>
                <w:szCs w:val="18"/>
              </w:rPr>
              <w:t>11 933,1</w:t>
            </w:r>
          </w:p>
        </w:tc>
        <w:tc>
          <w:tcPr>
            <w:tcW w:w="850" w:type="dxa"/>
            <w:tcBorders>
              <w:top w:val="nil"/>
              <w:left w:val="nil"/>
              <w:bottom w:val="single" w:sz="4" w:space="0" w:color="auto"/>
              <w:right w:val="single" w:sz="4" w:space="0" w:color="auto"/>
            </w:tcBorders>
            <w:shd w:val="clear" w:color="auto" w:fill="auto"/>
            <w:noWrap/>
            <w:vAlign w:val="center"/>
          </w:tcPr>
          <w:p w14:paraId="28C5F7D7" w14:textId="77777777" w:rsidR="00D0442A" w:rsidRPr="00491396" w:rsidRDefault="00D0442A" w:rsidP="00D0442A">
            <w:pPr>
              <w:spacing w:after="0"/>
              <w:ind w:firstLine="0"/>
              <w:jc w:val="right"/>
              <w:rPr>
                <w:sz w:val="18"/>
                <w:szCs w:val="18"/>
              </w:rPr>
            </w:pPr>
            <w:r w:rsidRPr="00491396">
              <w:rPr>
                <w:color w:val="000000"/>
                <w:sz w:val="18"/>
                <w:szCs w:val="18"/>
              </w:rPr>
              <w:t>12 182,0</w:t>
            </w:r>
          </w:p>
        </w:tc>
      </w:tr>
      <w:tr w:rsidR="00D0442A" w:rsidRPr="0026061A" w14:paraId="7DDA2EC8"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1CB84A6B" w14:textId="77777777" w:rsidR="00D0442A" w:rsidRPr="00F07E39" w:rsidRDefault="00D0442A" w:rsidP="00D0442A">
            <w:pPr>
              <w:spacing w:after="0"/>
              <w:ind w:left="-239" w:firstLineChars="200" w:firstLine="380"/>
              <w:jc w:val="left"/>
              <w:rPr>
                <w:sz w:val="19"/>
                <w:szCs w:val="19"/>
              </w:rPr>
            </w:pPr>
            <w:r w:rsidRPr="00F07E39">
              <w:rPr>
                <w:sz w:val="19"/>
                <w:szCs w:val="19"/>
              </w:rPr>
              <w:t>Nodokļu ieņēmumi</w:t>
            </w:r>
          </w:p>
        </w:tc>
        <w:tc>
          <w:tcPr>
            <w:tcW w:w="851" w:type="dxa"/>
            <w:tcBorders>
              <w:top w:val="nil"/>
              <w:left w:val="nil"/>
              <w:bottom w:val="single" w:sz="4" w:space="0" w:color="auto"/>
              <w:right w:val="single" w:sz="4" w:space="0" w:color="auto"/>
            </w:tcBorders>
            <w:shd w:val="clear" w:color="auto" w:fill="auto"/>
            <w:noWrap/>
            <w:vAlign w:val="center"/>
          </w:tcPr>
          <w:p w14:paraId="650BB5DF" w14:textId="77777777" w:rsidR="00D0442A" w:rsidRPr="00491396" w:rsidRDefault="00D0442A" w:rsidP="00D0442A">
            <w:pPr>
              <w:spacing w:after="0"/>
              <w:ind w:firstLine="0"/>
              <w:jc w:val="right"/>
              <w:rPr>
                <w:sz w:val="18"/>
                <w:szCs w:val="18"/>
              </w:rPr>
            </w:pPr>
            <w:r w:rsidRPr="00491396">
              <w:rPr>
                <w:color w:val="000000"/>
                <w:sz w:val="18"/>
                <w:szCs w:val="18"/>
              </w:rPr>
              <w:t>7 318,1</w:t>
            </w:r>
          </w:p>
        </w:tc>
        <w:tc>
          <w:tcPr>
            <w:tcW w:w="850" w:type="dxa"/>
            <w:tcBorders>
              <w:top w:val="nil"/>
              <w:left w:val="nil"/>
              <w:bottom w:val="single" w:sz="4" w:space="0" w:color="auto"/>
              <w:right w:val="single" w:sz="4" w:space="0" w:color="auto"/>
            </w:tcBorders>
            <w:shd w:val="clear" w:color="auto" w:fill="auto"/>
            <w:noWrap/>
            <w:vAlign w:val="center"/>
          </w:tcPr>
          <w:p w14:paraId="0D4D2566" w14:textId="77777777" w:rsidR="00D0442A" w:rsidRPr="00491396" w:rsidRDefault="00D0442A" w:rsidP="00D0442A">
            <w:pPr>
              <w:spacing w:after="0"/>
              <w:ind w:firstLine="0"/>
              <w:jc w:val="right"/>
              <w:rPr>
                <w:sz w:val="18"/>
                <w:szCs w:val="18"/>
              </w:rPr>
            </w:pPr>
            <w:r w:rsidRPr="00491396">
              <w:rPr>
                <w:color w:val="000000"/>
                <w:sz w:val="18"/>
                <w:szCs w:val="18"/>
              </w:rPr>
              <w:t>7 779,3</w:t>
            </w:r>
          </w:p>
        </w:tc>
        <w:tc>
          <w:tcPr>
            <w:tcW w:w="851" w:type="dxa"/>
            <w:tcBorders>
              <w:top w:val="nil"/>
              <w:left w:val="nil"/>
              <w:bottom w:val="single" w:sz="4" w:space="0" w:color="auto"/>
              <w:right w:val="single" w:sz="4" w:space="0" w:color="auto"/>
            </w:tcBorders>
            <w:shd w:val="clear" w:color="auto" w:fill="auto"/>
            <w:noWrap/>
            <w:vAlign w:val="center"/>
          </w:tcPr>
          <w:p w14:paraId="63A0776B" w14:textId="77777777" w:rsidR="00D0442A" w:rsidRPr="00491396" w:rsidRDefault="00D0442A" w:rsidP="00D0442A">
            <w:pPr>
              <w:spacing w:after="0"/>
              <w:ind w:firstLine="0"/>
              <w:jc w:val="right"/>
              <w:rPr>
                <w:sz w:val="18"/>
                <w:szCs w:val="18"/>
              </w:rPr>
            </w:pPr>
            <w:r w:rsidRPr="00491396">
              <w:rPr>
                <w:color w:val="000000"/>
                <w:sz w:val="18"/>
                <w:szCs w:val="18"/>
              </w:rPr>
              <w:t>8 513,6</w:t>
            </w:r>
          </w:p>
        </w:tc>
        <w:tc>
          <w:tcPr>
            <w:tcW w:w="850" w:type="dxa"/>
            <w:tcBorders>
              <w:top w:val="nil"/>
              <w:left w:val="nil"/>
              <w:bottom w:val="single" w:sz="4" w:space="0" w:color="auto"/>
              <w:right w:val="single" w:sz="4" w:space="0" w:color="auto"/>
            </w:tcBorders>
            <w:shd w:val="clear" w:color="auto" w:fill="auto"/>
            <w:noWrap/>
            <w:vAlign w:val="center"/>
          </w:tcPr>
          <w:p w14:paraId="1E123B02" w14:textId="77777777" w:rsidR="00D0442A" w:rsidRPr="00491396" w:rsidRDefault="00D0442A" w:rsidP="00D0442A">
            <w:pPr>
              <w:spacing w:after="0"/>
              <w:ind w:firstLine="0"/>
              <w:jc w:val="right"/>
              <w:rPr>
                <w:sz w:val="18"/>
                <w:szCs w:val="18"/>
              </w:rPr>
            </w:pPr>
            <w:r w:rsidRPr="00491396">
              <w:rPr>
                <w:color w:val="000000"/>
                <w:sz w:val="18"/>
                <w:szCs w:val="18"/>
              </w:rPr>
              <w:t>9 056,4</w:t>
            </w:r>
          </w:p>
        </w:tc>
        <w:tc>
          <w:tcPr>
            <w:tcW w:w="851" w:type="dxa"/>
            <w:tcBorders>
              <w:top w:val="single" w:sz="4" w:space="0" w:color="auto"/>
              <w:left w:val="nil"/>
              <w:bottom w:val="single" w:sz="4" w:space="0" w:color="auto"/>
              <w:right w:val="single" w:sz="4" w:space="0" w:color="auto"/>
            </w:tcBorders>
            <w:vAlign w:val="center"/>
          </w:tcPr>
          <w:p w14:paraId="3C6E8E39" w14:textId="77777777" w:rsidR="00D0442A" w:rsidRPr="00491396" w:rsidRDefault="00D0442A" w:rsidP="00D0442A">
            <w:pPr>
              <w:spacing w:after="0"/>
              <w:ind w:firstLine="0"/>
              <w:jc w:val="right"/>
              <w:rPr>
                <w:sz w:val="18"/>
                <w:szCs w:val="18"/>
              </w:rPr>
            </w:pPr>
            <w:r w:rsidRPr="00491396">
              <w:rPr>
                <w:color w:val="000000"/>
                <w:sz w:val="18"/>
                <w:szCs w:val="18"/>
              </w:rPr>
              <w:t>9 509,2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852FA05" w14:textId="77777777" w:rsidR="00D0442A" w:rsidRPr="00491396" w:rsidRDefault="00D0442A" w:rsidP="00D0442A">
            <w:pPr>
              <w:spacing w:after="0"/>
              <w:ind w:firstLine="0"/>
              <w:jc w:val="right"/>
              <w:rPr>
                <w:sz w:val="18"/>
                <w:szCs w:val="18"/>
              </w:rPr>
            </w:pPr>
            <w:r w:rsidRPr="00491396">
              <w:rPr>
                <w:color w:val="000000"/>
                <w:sz w:val="18"/>
                <w:szCs w:val="18"/>
              </w:rPr>
              <w:t>8 539,1</w:t>
            </w:r>
          </w:p>
        </w:tc>
        <w:tc>
          <w:tcPr>
            <w:tcW w:w="851" w:type="dxa"/>
            <w:tcBorders>
              <w:top w:val="nil"/>
              <w:left w:val="nil"/>
              <w:bottom w:val="single" w:sz="4" w:space="0" w:color="auto"/>
              <w:right w:val="single" w:sz="4" w:space="0" w:color="auto"/>
            </w:tcBorders>
            <w:shd w:val="clear" w:color="auto" w:fill="auto"/>
            <w:noWrap/>
            <w:vAlign w:val="center"/>
          </w:tcPr>
          <w:p w14:paraId="224E7F70" w14:textId="77777777" w:rsidR="00D0442A" w:rsidRPr="00491396" w:rsidRDefault="00D0442A" w:rsidP="00D0442A">
            <w:pPr>
              <w:spacing w:after="0"/>
              <w:ind w:firstLine="0"/>
              <w:jc w:val="right"/>
              <w:rPr>
                <w:sz w:val="18"/>
                <w:szCs w:val="18"/>
              </w:rPr>
            </w:pPr>
            <w:r w:rsidRPr="00491396">
              <w:rPr>
                <w:color w:val="000000"/>
                <w:sz w:val="18"/>
                <w:szCs w:val="18"/>
              </w:rPr>
              <w:t>9 079,2</w:t>
            </w:r>
          </w:p>
        </w:tc>
        <w:tc>
          <w:tcPr>
            <w:tcW w:w="850" w:type="dxa"/>
            <w:tcBorders>
              <w:top w:val="nil"/>
              <w:left w:val="nil"/>
              <w:bottom w:val="single" w:sz="4" w:space="0" w:color="auto"/>
              <w:right w:val="single" w:sz="4" w:space="0" w:color="auto"/>
            </w:tcBorders>
            <w:shd w:val="clear" w:color="auto" w:fill="auto"/>
            <w:noWrap/>
            <w:vAlign w:val="center"/>
          </w:tcPr>
          <w:p w14:paraId="387BBBA3" w14:textId="77777777" w:rsidR="00D0442A" w:rsidRPr="00491396" w:rsidRDefault="00D0442A" w:rsidP="00D0442A">
            <w:pPr>
              <w:spacing w:after="0"/>
              <w:ind w:firstLine="0"/>
              <w:jc w:val="right"/>
              <w:rPr>
                <w:sz w:val="18"/>
                <w:szCs w:val="18"/>
              </w:rPr>
            </w:pPr>
            <w:r w:rsidRPr="00491396">
              <w:rPr>
                <w:color w:val="000000"/>
                <w:sz w:val="18"/>
                <w:szCs w:val="18"/>
              </w:rPr>
              <w:t>9 531,6</w:t>
            </w:r>
          </w:p>
        </w:tc>
      </w:tr>
      <w:tr w:rsidR="00D0442A" w:rsidRPr="0026061A" w14:paraId="297A57F1"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641B54E" w14:textId="77777777" w:rsidR="00D0442A" w:rsidRPr="00F07E39" w:rsidRDefault="00D0442A" w:rsidP="00D0442A">
            <w:pPr>
              <w:spacing w:after="0"/>
              <w:ind w:left="-239" w:firstLineChars="200" w:firstLine="380"/>
              <w:jc w:val="left"/>
              <w:rPr>
                <w:sz w:val="19"/>
                <w:szCs w:val="19"/>
              </w:rPr>
            </w:pPr>
            <w:r w:rsidRPr="00F07E39">
              <w:rPr>
                <w:sz w:val="19"/>
                <w:szCs w:val="19"/>
              </w:rPr>
              <w:t>Ne-nodokļu ieņēmumi</w:t>
            </w:r>
          </w:p>
        </w:tc>
        <w:tc>
          <w:tcPr>
            <w:tcW w:w="851" w:type="dxa"/>
            <w:tcBorders>
              <w:top w:val="nil"/>
              <w:left w:val="nil"/>
              <w:bottom w:val="single" w:sz="4" w:space="0" w:color="auto"/>
              <w:right w:val="single" w:sz="4" w:space="0" w:color="auto"/>
            </w:tcBorders>
            <w:shd w:val="clear" w:color="auto" w:fill="auto"/>
            <w:noWrap/>
            <w:vAlign w:val="center"/>
          </w:tcPr>
          <w:p w14:paraId="11D5348D" w14:textId="77777777" w:rsidR="00D0442A" w:rsidRPr="00491396" w:rsidRDefault="00D0442A" w:rsidP="00D0442A">
            <w:pPr>
              <w:spacing w:after="0"/>
              <w:ind w:firstLine="0"/>
              <w:jc w:val="right"/>
              <w:rPr>
                <w:sz w:val="18"/>
                <w:szCs w:val="18"/>
              </w:rPr>
            </w:pPr>
            <w:r w:rsidRPr="00491396">
              <w:rPr>
                <w:color w:val="000000"/>
                <w:sz w:val="18"/>
                <w:szCs w:val="18"/>
              </w:rPr>
              <w:t>617,1</w:t>
            </w:r>
          </w:p>
        </w:tc>
        <w:tc>
          <w:tcPr>
            <w:tcW w:w="850" w:type="dxa"/>
            <w:tcBorders>
              <w:top w:val="nil"/>
              <w:left w:val="nil"/>
              <w:bottom w:val="single" w:sz="4" w:space="0" w:color="auto"/>
              <w:right w:val="single" w:sz="4" w:space="0" w:color="auto"/>
            </w:tcBorders>
            <w:shd w:val="clear" w:color="auto" w:fill="auto"/>
            <w:noWrap/>
            <w:vAlign w:val="center"/>
          </w:tcPr>
          <w:p w14:paraId="3B4DB614" w14:textId="77777777" w:rsidR="00D0442A" w:rsidRPr="00491396" w:rsidRDefault="00D0442A" w:rsidP="00D0442A">
            <w:pPr>
              <w:spacing w:after="0"/>
              <w:ind w:firstLine="0"/>
              <w:jc w:val="right"/>
              <w:rPr>
                <w:sz w:val="18"/>
                <w:szCs w:val="18"/>
              </w:rPr>
            </w:pPr>
            <w:r w:rsidRPr="00491396">
              <w:rPr>
                <w:color w:val="000000"/>
                <w:sz w:val="18"/>
                <w:szCs w:val="18"/>
              </w:rPr>
              <w:t>590,5</w:t>
            </w:r>
          </w:p>
        </w:tc>
        <w:tc>
          <w:tcPr>
            <w:tcW w:w="851" w:type="dxa"/>
            <w:tcBorders>
              <w:top w:val="nil"/>
              <w:left w:val="nil"/>
              <w:bottom w:val="single" w:sz="4" w:space="0" w:color="auto"/>
              <w:right w:val="single" w:sz="4" w:space="0" w:color="auto"/>
            </w:tcBorders>
            <w:shd w:val="clear" w:color="auto" w:fill="auto"/>
            <w:noWrap/>
            <w:vAlign w:val="center"/>
          </w:tcPr>
          <w:p w14:paraId="2F4EE13A" w14:textId="77777777" w:rsidR="00D0442A" w:rsidRPr="00491396" w:rsidRDefault="00D0442A" w:rsidP="00D0442A">
            <w:pPr>
              <w:spacing w:after="0"/>
              <w:ind w:firstLine="0"/>
              <w:jc w:val="right"/>
              <w:rPr>
                <w:sz w:val="18"/>
                <w:szCs w:val="18"/>
              </w:rPr>
            </w:pPr>
            <w:r w:rsidRPr="00491396">
              <w:rPr>
                <w:color w:val="000000"/>
                <w:sz w:val="18"/>
                <w:szCs w:val="18"/>
              </w:rPr>
              <w:t>500,0</w:t>
            </w:r>
          </w:p>
        </w:tc>
        <w:tc>
          <w:tcPr>
            <w:tcW w:w="850" w:type="dxa"/>
            <w:tcBorders>
              <w:top w:val="nil"/>
              <w:left w:val="nil"/>
              <w:bottom w:val="single" w:sz="4" w:space="0" w:color="auto"/>
              <w:right w:val="single" w:sz="4" w:space="0" w:color="auto"/>
            </w:tcBorders>
            <w:shd w:val="clear" w:color="auto" w:fill="auto"/>
            <w:noWrap/>
            <w:vAlign w:val="center"/>
          </w:tcPr>
          <w:p w14:paraId="00233E3F" w14:textId="77777777" w:rsidR="00D0442A" w:rsidRPr="00491396" w:rsidRDefault="00D0442A" w:rsidP="00D0442A">
            <w:pPr>
              <w:spacing w:after="0"/>
              <w:ind w:firstLine="0"/>
              <w:jc w:val="right"/>
              <w:rPr>
                <w:sz w:val="18"/>
                <w:szCs w:val="18"/>
              </w:rPr>
            </w:pPr>
            <w:r w:rsidRPr="00491396">
              <w:rPr>
                <w:color w:val="000000"/>
                <w:sz w:val="18"/>
                <w:szCs w:val="18"/>
              </w:rPr>
              <w:t>492,1</w:t>
            </w:r>
          </w:p>
        </w:tc>
        <w:tc>
          <w:tcPr>
            <w:tcW w:w="851" w:type="dxa"/>
            <w:tcBorders>
              <w:top w:val="single" w:sz="4" w:space="0" w:color="auto"/>
              <w:left w:val="nil"/>
              <w:bottom w:val="single" w:sz="4" w:space="0" w:color="auto"/>
              <w:right w:val="single" w:sz="4" w:space="0" w:color="auto"/>
            </w:tcBorders>
            <w:vAlign w:val="center"/>
          </w:tcPr>
          <w:p w14:paraId="6317B7FF" w14:textId="77777777" w:rsidR="00D0442A" w:rsidRPr="00491396" w:rsidRDefault="00D0442A" w:rsidP="00D0442A">
            <w:pPr>
              <w:spacing w:after="0"/>
              <w:ind w:firstLine="0"/>
              <w:jc w:val="right"/>
              <w:rPr>
                <w:sz w:val="18"/>
                <w:szCs w:val="18"/>
              </w:rPr>
            </w:pPr>
            <w:r w:rsidRPr="00491396">
              <w:rPr>
                <w:color w:val="000000"/>
                <w:sz w:val="18"/>
                <w:szCs w:val="18"/>
              </w:rPr>
              <w:t>454,3</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FFAABEC" w14:textId="77777777" w:rsidR="00D0442A" w:rsidRPr="00491396" w:rsidRDefault="00D0442A" w:rsidP="00D0442A">
            <w:pPr>
              <w:spacing w:after="0"/>
              <w:ind w:firstLine="0"/>
              <w:jc w:val="right"/>
              <w:rPr>
                <w:sz w:val="18"/>
                <w:szCs w:val="18"/>
              </w:rPr>
            </w:pPr>
            <w:r w:rsidRPr="00491396">
              <w:rPr>
                <w:color w:val="000000"/>
                <w:sz w:val="18"/>
                <w:szCs w:val="18"/>
              </w:rPr>
              <w:t>528,0</w:t>
            </w:r>
          </w:p>
        </w:tc>
        <w:tc>
          <w:tcPr>
            <w:tcW w:w="851" w:type="dxa"/>
            <w:tcBorders>
              <w:top w:val="nil"/>
              <w:left w:val="nil"/>
              <w:bottom w:val="single" w:sz="4" w:space="0" w:color="auto"/>
              <w:right w:val="single" w:sz="4" w:space="0" w:color="auto"/>
            </w:tcBorders>
            <w:shd w:val="clear" w:color="auto" w:fill="auto"/>
            <w:noWrap/>
            <w:vAlign w:val="center"/>
          </w:tcPr>
          <w:p w14:paraId="6EA24F61" w14:textId="77777777" w:rsidR="00D0442A" w:rsidRPr="00491396" w:rsidRDefault="00D0442A" w:rsidP="00D0442A">
            <w:pPr>
              <w:spacing w:after="0"/>
              <w:ind w:firstLine="0"/>
              <w:jc w:val="right"/>
              <w:rPr>
                <w:sz w:val="18"/>
                <w:szCs w:val="18"/>
              </w:rPr>
            </w:pPr>
            <w:r w:rsidRPr="00491396">
              <w:rPr>
                <w:color w:val="000000"/>
                <w:sz w:val="18"/>
                <w:szCs w:val="18"/>
              </w:rPr>
              <w:t>493,7</w:t>
            </w:r>
          </w:p>
        </w:tc>
        <w:tc>
          <w:tcPr>
            <w:tcW w:w="850" w:type="dxa"/>
            <w:tcBorders>
              <w:top w:val="nil"/>
              <w:left w:val="nil"/>
              <w:bottom w:val="single" w:sz="4" w:space="0" w:color="auto"/>
              <w:right w:val="single" w:sz="4" w:space="0" w:color="auto"/>
            </w:tcBorders>
            <w:shd w:val="clear" w:color="auto" w:fill="auto"/>
            <w:noWrap/>
            <w:vAlign w:val="center"/>
          </w:tcPr>
          <w:p w14:paraId="63CC237D" w14:textId="77777777" w:rsidR="00D0442A" w:rsidRPr="00491396" w:rsidRDefault="00D0442A" w:rsidP="00D0442A">
            <w:pPr>
              <w:spacing w:after="0"/>
              <w:ind w:firstLine="0"/>
              <w:jc w:val="right"/>
              <w:rPr>
                <w:sz w:val="18"/>
                <w:szCs w:val="18"/>
              </w:rPr>
            </w:pPr>
            <w:r w:rsidRPr="00491396">
              <w:rPr>
                <w:color w:val="000000"/>
                <w:sz w:val="18"/>
                <w:szCs w:val="18"/>
              </w:rPr>
              <w:t>455,8</w:t>
            </w:r>
          </w:p>
        </w:tc>
      </w:tr>
      <w:tr w:rsidR="00D0442A" w:rsidRPr="0026061A" w14:paraId="5F778E0B"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58C70BF" w14:textId="77777777" w:rsidR="00D0442A" w:rsidRPr="00F07E39" w:rsidRDefault="00D0442A" w:rsidP="00D0442A">
            <w:pPr>
              <w:spacing w:after="0"/>
              <w:ind w:firstLineChars="74" w:firstLine="141"/>
              <w:jc w:val="left"/>
              <w:rPr>
                <w:sz w:val="19"/>
                <w:szCs w:val="19"/>
              </w:rPr>
            </w:pPr>
            <w:r w:rsidRPr="00F07E39">
              <w:rPr>
                <w:sz w:val="19"/>
                <w:szCs w:val="19"/>
              </w:rPr>
              <w:t>Ārvalstu finanšu palīdzība</w:t>
            </w:r>
          </w:p>
        </w:tc>
        <w:tc>
          <w:tcPr>
            <w:tcW w:w="851" w:type="dxa"/>
            <w:tcBorders>
              <w:top w:val="nil"/>
              <w:left w:val="nil"/>
              <w:bottom w:val="single" w:sz="4" w:space="0" w:color="auto"/>
              <w:right w:val="single" w:sz="4" w:space="0" w:color="auto"/>
            </w:tcBorders>
            <w:shd w:val="clear" w:color="auto" w:fill="auto"/>
            <w:noWrap/>
            <w:vAlign w:val="center"/>
          </w:tcPr>
          <w:p w14:paraId="07CE3212" w14:textId="77777777" w:rsidR="00D0442A" w:rsidRPr="00491396" w:rsidRDefault="00D0442A" w:rsidP="00D0442A">
            <w:pPr>
              <w:spacing w:after="0"/>
              <w:ind w:firstLine="0"/>
              <w:jc w:val="right"/>
              <w:rPr>
                <w:sz w:val="18"/>
                <w:szCs w:val="18"/>
              </w:rPr>
            </w:pPr>
            <w:r w:rsidRPr="00491396">
              <w:rPr>
                <w:color w:val="000000"/>
                <w:sz w:val="18"/>
                <w:szCs w:val="18"/>
              </w:rPr>
              <w:t>1 279,6</w:t>
            </w:r>
          </w:p>
        </w:tc>
        <w:tc>
          <w:tcPr>
            <w:tcW w:w="850" w:type="dxa"/>
            <w:tcBorders>
              <w:top w:val="nil"/>
              <w:left w:val="nil"/>
              <w:bottom w:val="single" w:sz="4" w:space="0" w:color="auto"/>
              <w:right w:val="single" w:sz="4" w:space="0" w:color="auto"/>
            </w:tcBorders>
            <w:shd w:val="clear" w:color="auto" w:fill="auto"/>
            <w:noWrap/>
            <w:vAlign w:val="center"/>
          </w:tcPr>
          <w:p w14:paraId="0C63987C" w14:textId="77777777" w:rsidR="00D0442A" w:rsidRPr="00491396" w:rsidRDefault="00D0442A" w:rsidP="00D0442A">
            <w:pPr>
              <w:spacing w:after="0"/>
              <w:ind w:firstLine="0"/>
              <w:jc w:val="right"/>
              <w:rPr>
                <w:sz w:val="18"/>
                <w:szCs w:val="18"/>
              </w:rPr>
            </w:pPr>
            <w:r w:rsidRPr="00491396">
              <w:rPr>
                <w:color w:val="000000"/>
                <w:sz w:val="18"/>
                <w:szCs w:val="18"/>
              </w:rPr>
              <w:t>1 359,4</w:t>
            </w:r>
          </w:p>
        </w:tc>
        <w:tc>
          <w:tcPr>
            <w:tcW w:w="851" w:type="dxa"/>
            <w:tcBorders>
              <w:top w:val="nil"/>
              <w:left w:val="nil"/>
              <w:bottom w:val="single" w:sz="4" w:space="0" w:color="auto"/>
              <w:right w:val="single" w:sz="4" w:space="0" w:color="auto"/>
            </w:tcBorders>
            <w:shd w:val="clear" w:color="auto" w:fill="auto"/>
            <w:noWrap/>
            <w:vAlign w:val="center"/>
          </w:tcPr>
          <w:p w14:paraId="63DD8C82" w14:textId="77777777" w:rsidR="00D0442A" w:rsidRPr="00491396" w:rsidRDefault="00D0442A" w:rsidP="00D0442A">
            <w:pPr>
              <w:spacing w:after="0"/>
              <w:ind w:firstLine="0"/>
              <w:jc w:val="right"/>
              <w:rPr>
                <w:sz w:val="18"/>
                <w:szCs w:val="18"/>
              </w:rPr>
            </w:pPr>
            <w:r w:rsidRPr="00491396">
              <w:rPr>
                <w:color w:val="000000"/>
                <w:sz w:val="18"/>
                <w:szCs w:val="18"/>
              </w:rPr>
              <w:t>1 505,5</w:t>
            </w:r>
          </w:p>
        </w:tc>
        <w:tc>
          <w:tcPr>
            <w:tcW w:w="850" w:type="dxa"/>
            <w:tcBorders>
              <w:top w:val="nil"/>
              <w:left w:val="nil"/>
              <w:bottom w:val="single" w:sz="4" w:space="0" w:color="auto"/>
              <w:right w:val="single" w:sz="4" w:space="0" w:color="auto"/>
            </w:tcBorders>
            <w:shd w:val="clear" w:color="auto" w:fill="auto"/>
            <w:noWrap/>
            <w:vAlign w:val="center"/>
          </w:tcPr>
          <w:p w14:paraId="456451A9" w14:textId="77777777" w:rsidR="00D0442A" w:rsidRPr="00491396" w:rsidRDefault="00D0442A" w:rsidP="00D0442A">
            <w:pPr>
              <w:spacing w:after="0"/>
              <w:ind w:firstLine="0"/>
              <w:jc w:val="right"/>
              <w:rPr>
                <w:sz w:val="18"/>
                <w:szCs w:val="18"/>
              </w:rPr>
            </w:pPr>
            <w:r w:rsidRPr="00491396">
              <w:rPr>
                <w:color w:val="000000"/>
                <w:sz w:val="18"/>
                <w:szCs w:val="18"/>
              </w:rPr>
              <w:t>2 114,3</w:t>
            </w:r>
          </w:p>
        </w:tc>
        <w:tc>
          <w:tcPr>
            <w:tcW w:w="851" w:type="dxa"/>
            <w:tcBorders>
              <w:top w:val="single" w:sz="4" w:space="0" w:color="auto"/>
              <w:left w:val="nil"/>
              <w:bottom w:val="single" w:sz="4" w:space="0" w:color="auto"/>
              <w:right w:val="single" w:sz="4" w:space="0" w:color="auto"/>
            </w:tcBorders>
            <w:vAlign w:val="center"/>
          </w:tcPr>
          <w:p w14:paraId="349D9298" w14:textId="77777777" w:rsidR="00D0442A" w:rsidRPr="00491396" w:rsidRDefault="00D0442A" w:rsidP="00D0442A">
            <w:pPr>
              <w:spacing w:after="0"/>
              <w:ind w:firstLine="0"/>
              <w:jc w:val="right"/>
              <w:rPr>
                <w:sz w:val="18"/>
                <w:szCs w:val="18"/>
              </w:rPr>
            </w:pPr>
            <w:r w:rsidRPr="00491396">
              <w:rPr>
                <w:color w:val="000000"/>
                <w:sz w:val="18"/>
                <w:szCs w:val="18"/>
              </w:rPr>
              <w:t>1 944,9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C0D8EAA" w14:textId="77777777" w:rsidR="00D0442A" w:rsidRPr="00491396" w:rsidRDefault="00D0442A" w:rsidP="00D0442A">
            <w:pPr>
              <w:spacing w:after="0"/>
              <w:ind w:firstLine="0"/>
              <w:jc w:val="right"/>
              <w:rPr>
                <w:sz w:val="18"/>
                <w:szCs w:val="18"/>
              </w:rPr>
            </w:pPr>
            <w:r w:rsidRPr="00491396">
              <w:rPr>
                <w:color w:val="000000"/>
                <w:sz w:val="18"/>
                <w:szCs w:val="18"/>
              </w:rPr>
              <w:t>1 505,6</w:t>
            </w:r>
          </w:p>
        </w:tc>
        <w:tc>
          <w:tcPr>
            <w:tcW w:w="851" w:type="dxa"/>
            <w:tcBorders>
              <w:top w:val="nil"/>
              <w:left w:val="nil"/>
              <w:bottom w:val="single" w:sz="4" w:space="0" w:color="auto"/>
              <w:right w:val="single" w:sz="4" w:space="0" w:color="auto"/>
            </w:tcBorders>
            <w:shd w:val="clear" w:color="auto" w:fill="auto"/>
            <w:noWrap/>
            <w:vAlign w:val="center"/>
          </w:tcPr>
          <w:p w14:paraId="4F26C123" w14:textId="77777777" w:rsidR="00D0442A" w:rsidRPr="00491396" w:rsidRDefault="00D0442A" w:rsidP="00D0442A">
            <w:pPr>
              <w:spacing w:after="0"/>
              <w:ind w:firstLine="0"/>
              <w:jc w:val="right"/>
              <w:rPr>
                <w:sz w:val="18"/>
                <w:szCs w:val="18"/>
              </w:rPr>
            </w:pPr>
            <w:r w:rsidRPr="00491396">
              <w:rPr>
                <w:color w:val="000000"/>
                <w:sz w:val="18"/>
                <w:szCs w:val="18"/>
              </w:rPr>
              <w:t>2 114,3</w:t>
            </w:r>
          </w:p>
        </w:tc>
        <w:tc>
          <w:tcPr>
            <w:tcW w:w="850" w:type="dxa"/>
            <w:tcBorders>
              <w:top w:val="nil"/>
              <w:left w:val="nil"/>
              <w:bottom w:val="single" w:sz="4" w:space="0" w:color="auto"/>
              <w:right w:val="single" w:sz="4" w:space="0" w:color="auto"/>
            </w:tcBorders>
            <w:shd w:val="clear" w:color="auto" w:fill="auto"/>
            <w:noWrap/>
            <w:vAlign w:val="center"/>
          </w:tcPr>
          <w:p w14:paraId="1CCC2A18" w14:textId="77777777" w:rsidR="00D0442A" w:rsidRPr="00491396" w:rsidRDefault="00D0442A" w:rsidP="00D0442A">
            <w:pPr>
              <w:spacing w:after="0"/>
              <w:ind w:firstLine="0"/>
              <w:jc w:val="right"/>
              <w:rPr>
                <w:sz w:val="18"/>
                <w:szCs w:val="18"/>
              </w:rPr>
            </w:pPr>
            <w:r w:rsidRPr="00491396">
              <w:rPr>
                <w:color w:val="000000"/>
                <w:sz w:val="18"/>
                <w:szCs w:val="18"/>
              </w:rPr>
              <w:t>1 944,8</w:t>
            </w:r>
          </w:p>
        </w:tc>
      </w:tr>
      <w:tr w:rsidR="00D0442A" w:rsidRPr="0026061A" w14:paraId="5DEF6155"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8912619" w14:textId="77777777" w:rsidR="00D0442A" w:rsidRPr="00F07E39" w:rsidRDefault="00D0442A" w:rsidP="00D0442A">
            <w:pPr>
              <w:spacing w:after="0"/>
              <w:ind w:left="-239" w:firstLineChars="200" w:firstLine="380"/>
              <w:jc w:val="left"/>
              <w:rPr>
                <w:sz w:val="19"/>
                <w:szCs w:val="19"/>
              </w:rPr>
            </w:pPr>
            <w:r w:rsidRPr="00F07E39">
              <w:rPr>
                <w:sz w:val="19"/>
                <w:szCs w:val="19"/>
              </w:rPr>
              <w:t>Pārējie ieņēmumi</w:t>
            </w:r>
          </w:p>
        </w:tc>
        <w:tc>
          <w:tcPr>
            <w:tcW w:w="851" w:type="dxa"/>
            <w:tcBorders>
              <w:top w:val="nil"/>
              <w:left w:val="nil"/>
              <w:bottom w:val="single" w:sz="4" w:space="0" w:color="auto"/>
              <w:right w:val="single" w:sz="4" w:space="0" w:color="auto"/>
            </w:tcBorders>
            <w:shd w:val="clear" w:color="auto" w:fill="auto"/>
            <w:noWrap/>
            <w:vAlign w:val="center"/>
          </w:tcPr>
          <w:p w14:paraId="436F485A" w14:textId="77777777" w:rsidR="00D0442A" w:rsidRPr="00491396" w:rsidRDefault="00D0442A" w:rsidP="00D0442A">
            <w:pPr>
              <w:spacing w:after="0"/>
              <w:ind w:firstLine="0"/>
              <w:jc w:val="right"/>
              <w:rPr>
                <w:sz w:val="18"/>
                <w:szCs w:val="18"/>
              </w:rPr>
            </w:pPr>
            <w:r w:rsidRPr="00491396">
              <w:rPr>
                <w:color w:val="000000"/>
                <w:sz w:val="18"/>
                <w:szCs w:val="18"/>
              </w:rPr>
              <w:t>250,0</w:t>
            </w:r>
          </w:p>
        </w:tc>
        <w:tc>
          <w:tcPr>
            <w:tcW w:w="850" w:type="dxa"/>
            <w:tcBorders>
              <w:top w:val="nil"/>
              <w:left w:val="nil"/>
              <w:bottom w:val="single" w:sz="4" w:space="0" w:color="auto"/>
              <w:right w:val="single" w:sz="4" w:space="0" w:color="auto"/>
            </w:tcBorders>
            <w:shd w:val="clear" w:color="auto" w:fill="auto"/>
            <w:noWrap/>
            <w:vAlign w:val="center"/>
          </w:tcPr>
          <w:p w14:paraId="1F37722C" w14:textId="77777777" w:rsidR="00D0442A" w:rsidRPr="00491396" w:rsidRDefault="00D0442A" w:rsidP="00D0442A">
            <w:pPr>
              <w:spacing w:after="0"/>
              <w:ind w:firstLine="0"/>
              <w:jc w:val="right"/>
              <w:rPr>
                <w:sz w:val="18"/>
                <w:szCs w:val="18"/>
              </w:rPr>
            </w:pPr>
            <w:r w:rsidRPr="00491396">
              <w:rPr>
                <w:color w:val="000000"/>
                <w:sz w:val="18"/>
                <w:szCs w:val="18"/>
              </w:rPr>
              <w:t>253,1</w:t>
            </w:r>
          </w:p>
        </w:tc>
        <w:tc>
          <w:tcPr>
            <w:tcW w:w="851" w:type="dxa"/>
            <w:tcBorders>
              <w:top w:val="nil"/>
              <w:left w:val="nil"/>
              <w:bottom w:val="single" w:sz="4" w:space="0" w:color="auto"/>
              <w:right w:val="single" w:sz="4" w:space="0" w:color="auto"/>
            </w:tcBorders>
            <w:shd w:val="clear" w:color="auto" w:fill="auto"/>
            <w:noWrap/>
            <w:vAlign w:val="center"/>
          </w:tcPr>
          <w:p w14:paraId="2D23D4C8" w14:textId="77777777" w:rsidR="00D0442A" w:rsidRPr="00491396" w:rsidRDefault="00D0442A" w:rsidP="00D0442A">
            <w:pPr>
              <w:spacing w:after="0"/>
              <w:ind w:firstLine="0"/>
              <w:jc w:val="right"/>
              <w:rPr>
                <w:sz w:val="18"/>
                <w:szCs w:val="18"/>
              </w:rPr>
            </w:pPr>
            <w:r w:rsidRPr="00491396">
              <w:rPr>
                <w:color w:val="000000"/>
                <w:sz w:val="18"/>
                <w:szCs w:val="18"/>
              </w:rPr>
              <w:t>251,4</w:t>
            </w:r>
          </w:p>
        </w:tc>
        <w:tc>
          <w:tcPr>
            <w:tcW w:w="850" w:type="dxa"/>
            <w:tcBorders>
              <w:top w:val="nil"/>
              <w:left w:val="nil"/>
              <w:bottom w:val="single" w:sz="4" w:space="0" w:color="auto"/>
              <w:right w:val="single" w:sz="4" w:space="0" w:color="auto"/>
            </w:tcBorders>
            <w:shd w:val="clear" w:color="auto" w:fill="auto"/>
            <w:noWrap/>
            <w:vAlign w:val="center"/>
          </w:tcPr>
          <w:p w14:paraId="52A6CB7B" w14:textId="77777777" w:rsidR="00D0442A" w:rsidRPr="00491396" w:rsidRDefault="00D0442A" w:rsidP="00D0442A">
            <w:pPr>
              <w:spacing w:after="0"/>
              <w:ind w:firstLine="0"/>
              <w:jc w:val="right"/>
              <w:rPr>
                <w:sz w:val="18"/>
                <w:szCs w:val="18"/>
              </w:rPr>
            </w:pPr>
            <w:r w:rsidRPr="00491396">
              <w:rPr>
                <w:color w:val="000000"/>
                <w:sz w:val="18"/>
                <w:szCs w:val="18"/>
              </w:rPr>
              <w:t>247,1</w:t>
            </w:r>
          </w:p>
        </w:tc>
        <w:tc>
          <w:tcPr>
            <w:tcW w:w="851" w:type="dxa"/>
            <w:tcBorders>
              <w:top w:val="single" w:sz="4" w:space="0" w:color="auto"/>
              <w:left w:val="nil"/>
              <w:bottom w:val="single" w:sz="4" w:space="0" w:color="auto"/>
              <w:right w:val="single" w:sz="4" w:space="0" w:color="auto"/>
            </w:tcBorders>
            <w:vAlign w:val="center"/>
          </w:tcPr>
          <w:p w14:paraId="63D90AD1" w14:textId="77777777" w:rsidR="00D0442A" w:rsidRPr="00491396" w:rsidRDefault="00D0442A" w:rsidP="00D0442A">
            <w:pPr>
              <w:spacing w:after="0"/>
              <w:ind w:firstLine="0"/>
              <w:jc w:val="right"/>
              <w:rPr>
                <w:sz w:val="18"/>
                <w:szCs w:val="18"/>
              </w:rPr>
            </w:pPr>
            <w:r w:rsidRPr="00491396">
              <w:rPr>
                <w:color w:val="000000"/>
                <w:sz w:val="18"/>
                <w:szCs w:val="18"/>
              </w:rPr>
              <w:t>250,8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880EBAA" w14:textId="77777777" w:rsidR="00D0442A" w:rsidRPr="00491396" w:rsidRDefault="00D0442A" w:rsidP="00D0442A">
            <w:pPr>
              <w:spacing w:after="0"/>
              <w:ind w:firstLine="0"/>
              <w:jc w:val="right"/>
              <w:rPr>
                <w:sz w:val="18"/>
                <w:szCs w:val="18"/>
              </w:rPr>
            </w:pPr>
            <w:r w:rsidRPr="00491396">
              <w:rPr>
                <w:color w:val="000000"/>
                <w:sz w:val="18"/>
                <w:szCs w:val="32"/>
              </w:rPr>
              <w:t>250,3</w:t>
            </w:r>
          </w:p>
        </w:tc>
        <w:tc>
          <w:tcPr>
            <w:tcW w:w="851" w:type="dxa"/>
            <w:tcBorders>
              <w:top w:val="nil"/>
              <w:left w:val="nil"/>
              <w:bottom w:val="single" w:sz="4" w:space="0" w:color="auto"/>
              <w:right w:val="single" w:sz="4" w:space="0" w:color="auto"/>
            </w:tcBorders>
            <w:shd w:val="clear" w:color="auto" w:fill="auto"/>
            <w:noWrap/>
            <w:vAlign w:val="center"/>
          </w:tcPr>
          <w:p w14:paraId="24DD9647" w14:textId="77777777" w:rsidR="00D0442A" w:rsidRPr="00491396" w:rsidRDefault="00D0442A" w:rsidP="00D0442A">
            <w:pPr>
              <w:spacing w:after="0"/>
              <w:ind w:firstLine="0"/>
              <w:jc w:val="right"/>
              <w:rPr>
                <w:sz w:val="18"/>
                <w:szCs w:val="18"/>
              </w:rPr>
            </w:pPr>
            <w:r w:rsidRPr="00491396">
              <w:rPr>
                <w:color w:val="000000"/>
                <w:sz w:val="18"/>
                <w:szCs w:val="32"/>
              </w:rPr>
              <w:t>246,0</w:t>
            </w:r>
          </w:p>
        </w:tc>
        <w:tc>
          <w:tcPr>
            <w:tcW w:w="850" w:type="dxa"/>
            <w:tcBorders>
              <w:top w:val="nil"/>
              <w:left w:val="nil"/>
              <w:bottom w:val="single" w:sz="4" w:space="0" w:color="auto"/>
              <w:right w:val="single" w:sz="4" w:space="0" w:color="auto"/>
            </w:tcBorders>
            <w:shd w:val="clear" w:color="auto" w:fill="auto"/>
            <w:noWrap/>
            <w:vAlign w:val="center"/>
          </w:tcPr>
          <w:p w14:paraId="63DADA23" w14:textId="77777777" w:rsidR="00D0442A" w:rsidRPr="00491396" w:rsidRDefault="00D0442A" w:rsidP="00D0442A">
            <w:pPr>
              <w:spacing w:after="0"/>
              <w:ind w:firstLine="0"/>
              <w:jc w:val="right"/>
              <w:rPr>
                <w:sz w:val="18"/>
                <w:szCs w:val="18"/>
              </w:rPr>
            </w:pPr>
            <w:r w:rsidRPr="00491396">
              <w:rPr>
                <w:color w:val="000000"/>
                <w:sz w:val="18"/>
                <w:szCs w:val="32"/>
              </w:rPr>
              <w:t>249,7</w:t>
            </w:r>
          </w:p>
        </w:tc>
      </w:tr>
      <w:tr w:rsidR="00D0442A" w:rsidRPr="0026061A" w14:paraId="5AD75B18"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4375D3F1" w14:textId="77777777" w:rsidR="00D0442A" w:rsidRPr="00F07E39" w:rsidRDefault="00D0442A" w:rsidP="00D0442A">
            <w:pPr>
              <w:spacing w:after="0"/>
              <w:ind w:left="-183" w:firstLineChars="100" w:firstLine="190"/>
              <w:jc w:val="left"/>
              <w:rPr>
                <w:sz w:val="19"/>
                <w:szCs w:val="19"/>
              </w:rPr>
            </w:pPr>
            <w:r w:rsidRPr="00F07E39">
              <w:rPr>
                <w:sz w:val="19"/>
                <w:szCs w:val="19"/>
              </w:rPr>
              <w:t>Izdevumi</w:t>
            </w:r>
          </w:p>
        </w:tc>
        <w:tc>
          <w:tcPr>
            <w:tcW w:w="851" w:type="dxa"/>
            <w:tcBorders>
              <w:top w:val="nil"/>
              <w:left w:val="nil"/>
              <w:bottom w:val="single" w:sz="4" w:space="0" w:color="auto"/>
              <w:right w:val="single" w:sz="4" w:space="0" w:color="auto"/>
            </w:tcBorders>
            <w:shd w:val="clear" w:color="auto" w:fill="auto"/>
            <w:noWrap/>
            <w:vAlign w:val="center"/>
          </w:tcPr>
          <w:p w14:paraId="1A50AB21" w14:textId="77777777" w:rsidR="00D0442A" w:rsidRPr="00491396" w:rsidRDefault="00D0442A" w:rsidP="00D0442A">
            <w:pPr>
              <w:spacing w:after="0"/>
              <w:ind w:firstLine="0"/>
              <w:jc w:val="right"/>
              <w:rPr>
                <w:sz w:val="18"/>
                <w:szCs w:val="18"/>
              </w:rPr>
            </w:pPr>
            <w:r w:rsidRPr="00491396">
              <w:rPr>
                <w:color w:val="000000"/>
                <w:sz w:val="18"/>
                <w:szCs w:val="18"/>
              </w:rPr>
              <w:t>10 574,3</w:t>
            </w:r>
          </w:p>
        </w:tc>
        <w:tc>
          <w:tcPr>
            <w:tcW w:w="850" w:type="dxa"/>
            <w:tcBorders>
              <w:top w:val="nil"/>
              <w:left w:val="nil"/>
              <w:bottom w:val="single" w:sz="4" w:space="0" w:color="auto"/>
              <w:right w:val="single" w:sz="4" w:space="0" w:color="auto"/>
            </w:tcBorders>
            <w:shd w:val="clear" w:color="auto" w:fill="auto"/>
            <w:noWrap/>
            <w:vAlign w:val="center"/>
          </w:tcPr>
          <w:p w14:paraId="23C1DE04" w14:textId="77777777" w:rsidR="00D0442A" w:rsidRPr="00491396" w:rsidRDefault="00D0442A" w:rsidP="00D0442A">
            <w:pPr>
              <w:spacing w:after="0"/>
              <w:ind w:firstLine="0"/>
              <w:jc w:val="right"/>
              <w:rPr>
                <w:sz w:val="18"/>
                <w:szCs w:val="18"/>
              </w:rPr>
            </w:pPr>
            <w:r w:rsidRPr="00491396">
              <w:rPr>
                <w:color w:val="000000"/>
                <w:sz w:val="18"/>
                <w:szCs w:val="18"/>
              </w:rPr>
              <w:t>12 751,3</w:t>
            </w:r>
          </w:p>
        </w:tc>
        <w:tc>
          <w:tcPr>
            <w:tcW w:w="851" w:type="dxa"/>
            <w:tcBorders>
              <w:top w:val="nil"/>
              <w:left w:val="nil"/>
              <w:bottom w:val="single" w:sz="4" w:space="0" w:color="auto"/>
              <w:right w:val="single" w:sz="4" w:space="0" w:color="auto"/>
            </w:tcBorders>
            <w:shd w:val="clear" w:color="auto" w:fill="auto"/>
            <w:noWrap/>
            <w:vAlign w:val="center"/>
          </w:tcPr>
          <w:p w14:paraId="5F6F0ECD" w14:textId="77777777" w:rsidR="00D0442A" w:rsidRPr="00491396" w:rsidRDefault="00D0442A" w:rsidP="00D0442A">
            <w:pPr>
              <w:spacing w:after="0"/>
              <w:ind w:firstLine="0"/>
              <w:jc w:val="right"/>
              <w:rPr>
                <w:sz w:val="18"/>
                <w:szCs w:val="18"/>
              </w:rPr>
            </w:pPr>
            <w:r w:rsidRPr="00491396">
              <w:rPr>
                <w:color w:val="000000"/>
                <w:sz w:val="18"/>
                <w:szCs w:val="18"/>
              </w:rPr>
              <w:t>12 082,0</w:t>
            </w:r>
          </w:p>
        </w:tc>
        <w:tc>
          <w:tcPr>
            <w:tcW w:w="850" w:type="dxa"/>
            <w:tcBorders>
              <w:top w:val="nil"/>
              <w:left w:val="nil"/>
              <w:bottom w:val="single" w:sz="4" w:space="0" w:color="auto"/>
              <w:right w:val="single" w:sz="4" w:space="0" w:color="auto"/>
            </w:tcBorders>
            <w:shd w:val="clear" w:color="auto" w:fill="auto"/>
            <w:noWrap/>
            <w:vAlign w:val="center"/>
          </w:tcPr>
          <w:p w14:paraId="4297B606" w14:textId="77777777" w:rsidR="00D0442A" w:rsidRPr="00491396" w:rsidRDefault="00D0442A" w:rsidP="00D0442A">
            <w:pPr>
              <w:spacing w:after="0"/>
              <w:ind w:firstLine="0"/>
              <w:jc w:val="right"/>
              <w:rPr>
                <w:sz w:val="18"/>
                <w:szCs w:val="18"/>
              </w:rPr>
            </w:pPr>
            <w:r w:rsidRPr="00491396">
              <w:rPr>
                <w:color w:val="000000"/>
                <w:sz w:val="18"/>
                <w:szCs w:val="18"/>
              </w:rPr>
              <w:t>12 072,6</w:t>
            </w:r>
          </w:p>
        </w:tc>
        <w:tc>
          <w:tcPr>
            <w:tcW w:w="851" w:type="dxa"/>
            <w:tcBorders>
              <w:top w:val="single" w:sz="4" w:space="0" w:color="auto"/>
              <w:left w:val="nil"/>
              <w:bottom w:val="single" w:sz="4" w:space="0" w:color="auto"/>
              <w:right w:val="single" w:sz="4" w:space="0" w:color="auto"/>
            </w:tcBorders>
            <w:vAlign w:val="center"/>
          </w:tcPr>
          <w:p w14:paraId="512EDF11" w14:textId="77777777" w:rsidR="00D0442A" w:rsidRPr="00491396" w:rsidRDefault="00D0442A" w:rsidP="00D0442A">
            <w:pPr>
              <w:spacing w:after="0"/>
              <w:ind w:firstLine="0"/>
              <w:jc w:val="right"/>
              <w:rPr>
                <w:sz w:val="18"/>
                <w:szCs w:val="18"/>
              </w:rPr>
            </w:pPr>
            <w:r w:rsidRPr="00491396">
              <w:rPr>
                <w:color w:val="000000"/>
                <w:sz w:val="18"/>
                <w:szCs w:val="18"/>
              </w:rPr>
              <w:t>12 273,4</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E3075AE" w14:textId="77777777" w:rsidR="00D0442A" w:rsidRPr="00491396" w:rsidRDefault="00D0442A" w:rsidP="00D0442A">
            <w:pPr>
              <w:spacing w:after="0"/>
              <w:ind w:firstLine="0"/>
              <w:jc w:val="right"/>
              <w:rPr>
                <w:sz w:val="18"/>
                <w:szCs w:val="18"/>
              </w:rPr>
            </w:pPr>
            <w:r w:rsidRPr="00491396">
              <w:rPr>
                <w:color w:val="000000"/>
                <w:sz w:val="18"/>
                <w:szCs w:val="18"/>
              </w:rPr>
              <w:t>12 592,9</w:t>
            </w:r>
          </w:p>
        </w:tc>
        <w:tc>
          <w:tcPr>
            <w:tcW w:w="851" w:type="dxa"/>
            <w:tcBorders>
              <w:top w:val="nil"/>
              <w:left w:val="nil"/>
              <w:bottom w:val="single" w:sz="4" w:space="0" w:color="auto"/>
              <w:right w:val="single" w:sz="4" w:space="0" w:color="auto"/>
            </w:tcBorders>
            <w:shd w:val="clear" w:color="auto" w:fill="auto"/>
            <w:noWrap/>
            <w:vAlign w:val="center"/>
          </w:tcPr>
          <w:p w14:paraId="741F5A44" w14:textId="77777777" w:rsidR="00D0442A" w:rsidRPr="00491396" w:rsidRDefault="00D0442A" w:rsidP="00D0442A">
            <w:pPr>
              <w:spacing w:after="0"/>
              <w:ind w:firstLine="0"/>
              <w:jc w:val="right"/>
              <w:rPr>
                <w:sz w:val="18"/>
                <w:szCs w:val="18"/>
              </w:rPr>
            </w:pPr>
            <w:r w:rsidRPr="00491396">
              <w:rPr>
                <w:color w:val="000000"/>
                <w:sz w:val="18"/>
                <w:szCs w:val="18"/>
              </w:rPr>
              <w:t>12 280,3</w:t>
            </w:r>
          </w:p>
        </w:tc>
        <w:tc>
          <w:tcPr>
            <w:tcW w:w="850" w:type="dxa"/>
            <w:tcBorders>
              <w:top w:val="nil"/>
              <w:left w:val="nil"/>
              <w:bottom w:val="single" w:sz="4" w:space="0" w:color="auto"/>
              <w:right w:val="single" w:sz="4" w:space="0" w:color="auto"/>
            </w:tcBorders>
            <w:shd w:val="clear" w:color="auto" w:fill="auto"/>
            <w:noWrap/>
            <w:vAlign w:val="center"/>
          </w:tcPr>
          <w:p w14:paraId="71D6DC89" w14:textId="77777777" w:rsidR="00D0442A" w:rsidRPr="00491396" w:rsidRDefault="00D0442A" w:rsidP="00D0442A">
            <w:pPr>
              <w:spacing w:after="0"/>
              <w:ind w:firstLine="0"/>
              <w:jc w:val="right"/>
              <w:rPr>
                <w:sz w:val="18"/>
                <w:szCs w:val="18"/>
              </w:rPr>
            </w:pPr>
            <w:r w:rsidRPr="00491396">
              <w:rPr>
                <w:color w:val="000000"/>
                <w:sz w:val="18"/>
                <w:szCs w:val="18"/>
              </w:rPr>
              <w:t>12 522,3</w:t>
            </w:r>
          </w:p>
        </w:tc>
      </w:tr>
      <w:tr w:rsidR="00D0442A" w:rsidRPr="0026061A" w14:paraId="3879FF4B" w14:textId="77777777" w:rsidTr="00D0442A">
        <w:trPr>
          <w:trHeight w:val="7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12CE9425" w14:textId="77777777" w:rsidR="00D0442A" w:rsidRPr="00F07E39" w:rsidRDefault="00D0442A" w:rsidP="00D0442A">
            <w:pPr>
              <w:spacing w:after="0"/>
              <w:ind w:left="-239" w:firstLineChars="200" w:firstLine="380"/>
              <w:jc w:val="left"/>
              <w:rPr>
                <w:sz w:val="19"/>
                <w:szCs w:val="19"/>
              </w:rPr>
            </w:pPr>
            <w:r w:rsidRPr="00F07E39">
              <w:rPr>
                <w:sz w:val="19"/>
                <w:szCs w:val="19"/>
              </w:rPr>
              <w:t>Uzturēšanas izdevumi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15FC8D" w14:textId="77777777" w:rsidR="00D0442A" w:rsidRPr="00491396" w:rsidRDefault="00D0442A" w:rsidP="00D0442A">
            <w:pPr>
              <w:spacing w:after="0"/>
              <w:ind w:firstLine="0"/>
              <w:jc w:val="right"/>
              <w:rPr>
                <w:sz w:val="18"/>
                <w:szCs w:val="18"/>
              </w:rPr>
            </w:pPr>
            <w:r w:rsidRPr="00491396">
              <w:rPr>
                <w:color w:val="000000"/>
                <w:sz w:val="18"/>
                <w:szCs w:val="18"/>
              </w:rPr>
              <w:t>9 752,8</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8866E09" w14:textId="77777777" w:rsidR="00D0442A" w:rsidRPr="00491396" w:rsidRDefault="00D0442A" w:rsidP="00D0442A">
            <w:pPr>
              <w:spacing w:after="0"/>
              <w:ind w:firstLine="0"/>
              <w:jc w:val="right"/>
              <w:rPr>
                <w:sz w:val="18"/>
                <w:szCs w:val="18"/>
              </w:rPr>
            </w:pPr>
            <w:r w:rsidRPr="00491396">
              <w:rPr>
                <w:color w:val="000000"/>
                <w:sz w:val="18"/>
                <w:szCs w:val="18"/>
              </w:rPr>
              <w:t>11 918,0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8382DAE" w14:textId="77777777" w:rsidR="00D0442A" w:rsidRPr="00491396" w:rsidRDefault="00D0442A" w:rsidP="00D0442A">
            <w:pPr>
              <w:spacing w:after="0"/>
              <w:ind w:firstLine="0"/>
              <w:jc w:val="right"/>
              <w:rPr>
                <w:sz w:val="18"/>
                <w:szCs w:val="18"/>
              </w:rPr>
            </w:pPr>
            <w:r w:rsidRPr="00491396">
              <w:rPr>
                <w:color w:val="000000"/>
                <w:sz w:val="18"/>
                <w:szCs w:val="18"/>
              </w:rPr>
              <w:t>11 236,3</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E3D40F4" w14:textId="77777777" w:rsidR="00D0442A" w:rsidRPr="00491396" w:rsidRDefault="00D0442A" w:rsidP="00D0442A">
            <w:pPr>
              <w:spacing w:after="0"/>
              <w:ind w:firstLine="0"/>
              <w:jc w:val="right"/>
              <w:rPr>
                <w:sz w:val="18"/>
                <w:szCs w:val="18"/>
              </w:rPr>
            </w:pPr>
            <w:r w:rsidRPr="00491396">
              <w:rPr>
                <w:color w:val="000000"/>
                <w:sz w:val="18"/>
                <w:szCs w:val="18"/>
              </w:rPr>
              <w:t>11 492,6</w:t>
            </w:r>
          </w:p>
        </w:tc>
        <w:tc>
          <w:tcPr>
            <w:tcW w:w="851" w:type="dxa"/>
            <w:tcBorders>
              <w:top w:val="single" w:sz="4" w:space="0" w:color="auto"/>
              <w:left w:val="nil"/>
              <w:bottom w:val="single" w:sz="4" w:space="0" w:color="auto"/>
              <w:right w:val="single" w:sz="4" w:space="0" w:color="auto"/>
            </w:tcBorders>
            <w:vAlign w:val="center"/>
          </w:tcPr>
          <w:p w14:paraId="6EF1BB30" w14:textId="77777777" w:rsidR="00D0442A" w:rsidRPr="00491396" w:rsidRDefault="00D0442A" w:rsidP="00D0442A">
            <w:pPr>
              <w:spacing w:after="0"/>
              <w:ind w:firstLine="0"/>
              <w:jc w:val="right"/>
              <w:rPr>
                <w:sz w:val="18"/>
                <w:szCs w:val="18"/>
              </w:rPr>
            </w:pPr>
            <w:r w:rsidRPr="00491396">
              <w:rPr>
                <w:color w:val="000000"/>
                <w:sz w:val="18"/>
                <w:szCs w:val="18"/>
              </w:rPr>
              <w:t>11 765,4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A70584" w14:textId="77777777" w:rsidR="00D0442A" w:rsidRPr="00491396" w:rsidRDefault="00D0442A" w:rsidP="00D0442A">
            <w:pPr>
              <w:spacing w:after="0"/>
              <w:ind w:firstLine="0"/>
              <w:jc w:val="right"/>
              <w:rPr>
                <w:sz w:val="18"/>
                <w:szCs w:val="18"/>
              </w:rPr>
            </w:pPr>
            <w:r w:rsidRPr="00491396">
              <w:rPr>
                <w:color w:val="000000"/>
                <w:sz w:val="18"/>
                <w:szCs w:val="18"/>
              </w:rPr>
              <w:t>11 573,0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48B7425" w14:textId="77777777" w:rsidR="00D0442A" w:rsidRPr="00491396" w:rsidRDefault="00D0442A" w:rsidP="00D0442A">
            <w:pPr>
              <w:spacing w:after="0"/>
              <w:ind w:firstLine="0"/>
              <w:jc w:val="right"/>
              <w:rPr>
                <w:sz w:val="18"/>
                <w:szCs w:val="18"/>
              </w:rPr>
            </w:pPr>
            <w:r w:rsidRPr="00491396">
              <w:rPr>
                <w:color w:val="000000"/>
                <w:sz w:val="18"/>
                <w:szCs w:val="18"/>
              </w:rPr>
              <w:t>11 706,1</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4F36516" w14:textId="77777777" w:rsidR="00D0442A" w:rsidRPr="00491396" w:rsidRDefault="00D0442A" w:rsidP="00D0442A">
            <w:pPr>
              <w:spacing w:after="0"/>
              <w:ind w:firstLine="0"/>
              <w:jc w:val="right"/>
              <w:rPr>
                <w:sz w:val="18"/>
                <w:szCs w:val="18"/>
              </w:rPr>
            </w:pPr>
            <w:r w:rsidRPr="00491396">
              <w:rPr>
                <w:color w:val="000000"/>
                <w:sz w:val="18"/>
                <w:szCs w:val="18"/>
              </w:rPr>
              <w:t>11 938,3</w:t>
            </w:r>
          </w:p>
        </w:tc>
      </w:tr>
      <w:tr w:rsidR="00D0442A" w:rsidRPr="0026061A" w14:paraId="4B629453"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B43B54A" w14:textId="77777777" w:rsidR="00D0442A" w:rsidRPr="00F07E39" w:rsidRDefault="00D0442A" w:rsidP="00D0442A">
            <w:pPr>
              <w:spacing w:after="0"/>
              <w:ind w:left="-239" w:firstLineChars="200" w:firstLine="380"/>
              <w:jc w:val="left"/>
              <w:rPr>
                <w:sz w:val="19"/>
                <w:szCs w:val="19"/>
              </w:rPr>
            </w:pPr>
            <w:r w:rsidRPr="00F07E39">
              <w:rPr>
                <w:sz w:val="19"/>
                <w:szCs w:val="19"/>
              </w:rPr>
              <w:t>Kapitālie izdevumi</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F8EB7F1" w14:textId="77777777" w:rsidR="00D0442A" w:rsidRPr="00491396" w:rsidRDefault="00D0442A" w:rsidP="00D0442A">
            <w:pPr>
              <w:spacing w:after="0"/>
              <w:ind w:firstLine="0"/>
              <w:jc w:val="right"/>
              <w:rPr>
                <w:sz w:val="18"/>
                <w:szCs w:val="18"/>
              </w:rPr>
            </w:pPr>
            <w:r w:rsidRPr="00491396">
              <w:rPr>
                <w:color w:val="000000"/>
                <w:sz w:val="18"/>
                <w:szCs w:val="18"/>
              </w:rPr>
              <w:t>821,5</w:t>
            </w:r>
          </w:p>
        </w:tc>
        <w:tc>
          <w:tcPr>
            <w:tcW w:w="850" w:type="dxa"/>
            <w:tcBorders>
              <w:top w:val="nil"/>
              <w:left w:val="nil"/>
              <w:bottom w:val="single" w:sz="4" w:space="0" w:color="auto"/>
              <w:right w:val="single" w:sz="4" w:space="0" w:color="auto"/>
            </w:tcBorders>
            <w:shd w:val="clear" w:color="auto" w:fill="auto"/>
            <w:noWrap/>
            <w:vAlign w:val="center"/>
          </w:tcPr>
          <w:p w14:paraId="11336D26" w14:textId="77777777" w:rsidR="00D0442A" w:rsidRPr="00491396" w:rsidRDefault="00D0442A" w:rsidP="00D0442A">
            <w:pPr>
              <w:spacing w:after="0"/>
              <w:ind w:firstLine="0"/>
              <w:jc w:val="right"/>
              <w:rPr>
                <w:sz w:val="18"/>
                <w:szCs w:val="18"/>
              </w:rPr>
            </w:pPr>
            <w:r w:rsidRPr="00491396">
              <w:rPr>
                <w:color w:val="000000"/>
                <w:sz w:val="18"/>
                <w:szCs w:val="18"/>
              </w:rPr>
              <w:t>833,3</w:t>
            </w:r>
          </w:p>
        </w:tc>
        <w:tc>
          <w:tcPr>
            <w:tcW w:w="851" w:type="dxa"/>
            <w:tcBorders>
              <w:top w:val="nil"/>
              <w:left w:val="nil"/>
              <w:bottom w:val="single" w:sz="4" w:space="0" w:color="auto"/>
              <w:right w:val="single" w:sz="4" w:space="0" w:color="auto"/>
            </w:tcBorders>
            <w:shd w:val="clear" w:color="auto" w:fill="auto"/>
            <w:noWrap/>
            <w:vAlign w:val="center"/>
          </w:tcPr>
          <w:p w14:paraId="7CEF010D" w14:textId="77777777" w:rsidR="00D0442A" w:rsidRPr="00491396" w:rsidRDefault="00D0442A" w:rsidP="00D0442A">
            <w:pPr>
              <w:spacing w:after="0"/>
              <w:ind w:firstLine="0"/>
              <w:jc w:val="right"/>
              <w:rPr>
                <w:sz w:val="18"/>
                <w:szCs w:val="18"/>
              </w:rPr>
            </w:pPr>
            <w:r w:rsidRPr="00491396">
              <w:rPr>
                <w:color w:val="000000"/>
                <w:sz w:val="18"/>
                <w:szCs w:val="18"/>
              </w:rPr>
              <w:t>845,8</w:t>
            </w:r>
          </w:p>
        </w:tc>
        <w:tc>
          <w:tcPr>
            <w:tcW w:w="850" w:type="dxa"/>
            <w:tcBorders>
              <w:top w:val="nil"/>
              <w:left w:val="nil"/>
              <w:bottom w:val="single" w:sz="4" w:space="0" w:color="auto"/>
              <w:right w:val="single" w:sz="4" w:space="0" w:color="auto"/>
            </w:tcBorders>
            <w:shd w:val="clear" w:color="auto" w:fill="auto"/>
            <w:noWrap/>
            <w:vAlign w:val="center"/>
          </w:tcPr>
          <w:p w14:paraId="78083D0A" w14:textId="77777777" w:rsidR="00D0442A" w:rsidRPr="00491396" w:rsidRDefault="00D0442A" w:rsidP="00D0442A">
            <w:pPr>
              <w:spacing w:after="0"/>
              <w:ind w:firstLine="0"/>
              <w:jc w:val="right"/>
              <w:rPr>
                <w:sz w:val="18"/>
                <w:szCs w:val="18"/>
              </w:rPr>
            </w:pPr>
            <w:r w:rsidRPr="00491396">
              <w:rPr>
                <w:color w:val="000000"/>
                <w:sz w:val="18"/>
                <w:szCs w:val="18"/>
              </w:rPr>
              <w:t>580,0</w:t>
            </w:r>
          </w:p>
        </w:tc>
        <w:tc>
          <w:tcPr>
            <w:tcW w:w="851" w:type="dxa"/>
            <w:tcBorders>
              <w:top w:val="single" w:sz="4" w:space="0" w:color="auto"/>
              <w:left w:val="nil"/>
              <w:bottom w:val="single" w:sz="4" w:space="0" w:color="auto"/>
              <w:right w:val="single" w:sz="4" w:space="0" w:color="auto"/>
            </w:tcBorders>
            <w:vAlign w:val="center"/>
          </w:tcPr>
          <w:p w14:paraId="6F1AA96F" w14:textId="77777777" w:rsidR="00D0442A" w:rsidRPr="00491396" w:rsidRDefault="00D0442A" w:rsidP="00D0442A">
            <w:pPr>
              <w:spacing w:after="0"/>
              <w:ind w:firstLine="0"/>
              <w:jc w:val="right"/>
              <w:rPr>
                <w:sz w:val="18"/>
                <w:szCs w:val="18"/>
              </w:rPr>
            </w:pPr>
            <w:r w:rsidRPr="00491396">
              <w:rPr>
                <w:color w:val="000000"/>
                <w:sz w:val="18"/>
                <w:szCs w:val="18"/>
              </w:rPr>
              <w:t>508,0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CE2EA74" w14:textId="77777777" w:rsidR="00D0442A" w:rsidRPr="00491396" w:rsidRDefault="00D0442A" w:rsidP="00D0442A">
            <w:pPr>
              <w:spacing w:after="0"/>
              <w:ind w:firstLine="0"/>
              <w:jc w:val="right"/>
              <w:rPr>
                <w:sz w:val="18"/>
                <w:szCs w:val="18"/>
              </w:rPr>
            </w:pPr>
            <w:r w:rsidRPr="00491396">
              <w:rPr>
                <w:color w:val="000000"/>
                <w:sz w:val="18"/>
                <w:szCs w:val="18"/>
              </w:rPr>
              <w:t>1 019,9</w:t>
            </w:r>
          </w:p>
        </w:tc>
        <w:tc>
          <w:tcPr>
            <w:tcW w:w="851" w:type="dxa"/>
            <w:tcBorders>
              <w:top w:val="nil"/>
              <w:left w:val="nil"/>
              <w:bottom w:val="single" w:sz="4" w:space="0" w:color="auto"/>
              <w:right w:val="single" w:sz="4" w:space="0" w:color="auto"/>
            </w:tcBorders>
            <w:shd w:val="clear" w:color="auto" w:fill="auto"/>
            <w:noWrap/>
            <w:vAlign w:val="center"/>
          </w:tcPr>
          <w:p w14:paraId="584949F8" w14:textId="77777777" w:rsidR="00D0442A" w:rsidRPr="00491396" w:rsidRDefault="00D0442A" w:rsidP="00D0442A">
            <w:pPr>
              <w:spacing w:after="0"/>
              <w:ind w:firstLine="0"/>
              <w:jc w:val="right"/>
              <w:rPr>
                <w:sz w:val="18"/>
                <w:szCs w:val="18"/>
              </w:rPr>
            </w:pPr>
            <w:r w:rsidRPr="00491396">
              <w:rPr>
                <w:color w:val="000000"/>
                <w:sz w:val="18"/>
                <w:szCs w:val="18"/>
              </w:rPr>
              <w:t>574,2</w:t>
            </w:r>
          </w:p>
        </w:tc>
        <w:tc>
          <w:tcPr>
            <w:tcW w:w="850" w:type="dxa"/>
            <w:tcBorders>
              <w:top w:val="nil"/>
              <w:left w:val="nil"/>
              <w:bottom w:val="single" w:sz="4" w:space="0" w:color="auto"/>
              <w:right w:val="single" w:sz="4" w:space="0" w:color="auto"/>
            </w:tcBorders>
            <w:shd w:val="clear" w:color="auto" w:fill="auto"/>
            <w:noWrap/>
            <w:vAlign w:val="center"/>
          </w:tcPr>
          <w:p w14:paraId="0EA7833E" w14:textId="77777777" w:rsidR="00D0442A" w:rsidRPr="00491396" w:rsidRDefault="00D0442A" w:rsidP="00D0442A">
            <w:pPr>
              <w:spacing w:after="0"/>
              <w:ind w:firstLine="0"/>
              <w:jc w:val="right"/>
              <w:rPr>
                <w:sz w:val="18"/>
                <w:szCs w:val="18"/>
              </w:rPr>
            </w:pPr>
            <w:r w:rsidRPr="00491396">
              <w:rPr>
                <w:color w:val="000000"/>
                <w:sz w:val="18"/>
                <w:szCs w:val="18"/>
              </w:rPr>
              <w:t>584,0</w:t>
            </w:r>
          </w:p>
        </w:tc>
      </w:tr>
      <w:tr w:rsidR="00D0442A" w:rsidRPr="0026061A" w14:paraId="72B346DA"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FE113D7" w14:textId="77777777" w:rsidR="00D0442A" w:rsidRPr="00F07E39" w:rsidRDefault="00D0442A" w:rsidP="00D0442A">
            <w:pPr>
              <w:spacing w:after="0"/>
              <w:ind w:firstLine="0"/>
              <w:jc w:val="left"/>
              <w:rPr>
                <w:b/>
                <w:bCs/>
                <w:i/>
                <w:iCs/>
                <w:sz w:val="19"/>
                <w:szCs w:val="19"/>
              </w:rPr>
            </w:pPr>
            <w:r w:rsidRPr="00F07E39">
              <w:rPr>
                <w:b/>
                <w:bCs/>
                <w:i/>
                <w:iCs/>
                <w:sz w:val="19"/>
                <w:szCs w:val="19"/>
              </w:rPr>
              <w:t>VALSTS PAMATBUDŽETA BILANCE</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8C2D0DC" w14:textId="77777777" w:rsidR="00D0442A" w:rsidRPr="00996C4B" w:rsidRDefault="00D0442A" w:rsidP="00D0442A">
            <w:pPr>
              <w:spacing w:after="0"/>
              <w:ind w:firstLine="0"/>
              <w:jc w:val="right"/>
              <w:rPr>
                <w:b/>
                <w:sz w:val="18"/>
                <w:szCs w:val="18"/>
              </w:rPr>
            </w:pPr>
            <w:r w:rsidRPr="00996C4B">
              <w:rPr>
                <w:b/>
                <w:bCs/>
                <w:color w:val="000000"/>
                <w:sz w:val="18"/>
                <w:szCs w:val="18"/>
              </w:rPr>
              <w:t>-1 242,0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4D352C7" w14:textId="77777777" w:rsidR="00D0442A" w:rsidRPr="00996C4B" w:rsidRDefault="00D0442A" w:rsidP="00D0442A">
            <w:pPr>
              <w:spacing w:after="0"/>
              <w:ind w:firstLine="0"/>
              <w:jc w:val="right"/>
              <w:rPr>
                <w:b/>
                <w:sz w:val="18"/>
                <w:szCs w:val="18"/>
              </w:rPr>
            </w:pPr>
            <w:r w:rsidRPr="00996C4B">
              <w:rPr>
                <w:b/>
                <w:bCs/>
                <w:color w:val="000000"/>
                <w:sz w:val="18"/>
                <w:szCs w:val="18"/>
              </w:rPr>
              <w:t>-2 667,0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A1B6161" w14:textId="77777777" w:rsidR="00D0442A" w:rsidRPr="00996C4B" w:rsidRDefault="00D0442A" w:rsidP="00D0442A">
            <w:pPr>
              <w:spacing w:after="0"/>
              <w:ind w:firstLine="0"/>
              <w:jc w:val="right"/>
              <w:rPr>
                <w:b/>
                <w:sz w:val="18"/>
                <w:szCs w:val="18"/>
              </w:rPr>
            </w:pPr>
            <w:r w:rsidRPr="00996C4B">
              <w:rPr>
                <w:b/>
                <w:bCs/>
                <w:color w:val="000000"/>
                <w:sz w:val="18"/>
                <w:szCs w:val="18"/>
              </w:rPr>
              <w:t>-1 304,4</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7738BD9" w14:textId="77777777" w:rsidR="00D0442A" w:rsidRPr="00996C4B" w:rsidRDefault="00D0442A" w:rsidP="00D0442A">
            <w:pPr>
              <w:spacing w:after="0"/>
              <w:ind w:firstLine="0"/>
              <w:jc w:val="right"/>
              <w:rPr>
                <w:b/>
                <w:sz w:val="18"/>
                <w:szCs w:val="18"/>
              </w:rPr>
            </w:pPr>
            <w:r w:rsidRPr="00996C4B">
              <w:rPr>
                <w:b/>
                <w:bCs/>
                <w:color w:val="000000"/>
                <w:sz w:val="18"/>
                <w:szCs w:val="18"/>
              </w:rPr>
              <w:t>-211,5</w:t>
            </w:r>
          </w:p>
        </w:tc>
        <w:tc>
          <w:tcPr>
            <w:tcW w:w="851" w:type="dxa"/>
            <w:tcBorders>
              <w:top w:val="single" w:sz="4" w:space="0" w:color="auto"/>
              <w:left w:val="nil"/>
              <w:bottom w:val="single" w:sz="4" w:space="0" w:color="auto"/>
              <w:right w:val="single" w:sz="4" w:space="0" w:color="auto"/>
            </w:tcBorders>
            <w:vAlign w:val="center"/>
          </w:tcPr>
          <w:p w14:paraId="36C8D3DB" w14:textId="77777777" w:rsidR="00D0442A" w:rsidRPr="00996C4B" w:rsidRDefault="00D0442A" w:rsidP="00D0442A">
            <w:pPr>
              <w:spacing w:after="0"/>
              <w:ind w:firstLine="0"/>
              <w:jc w:val="right"/>
              <w:rPr>
                <w:b/>
                <w:sz w:val="18"/>
                <w:szCs w:val="18"/>
              </w:rPr>
            </w:pPr>
            <w:r w:rsidRPr="00996C4B">
              <w:rPr>
                <w:b/>
                <w:bCs/>
                <w:color w:val="000000"/>
                <w:sz w:val="18"/>
                <w:szCs w:val="18"/>
              </w:rPr>
              <w:t>-95,7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45219" w14:textId="77777777" w:rsidR="00D0442A" w:rsidRPr="00996C4B" w:rsidRDefault="00D0442A" w:rsidP="00D0442A">
            <w:pPr>
              <w:spacing w:after="0"/>
              <w:ind w:firstLine="0"/>
              <w:jc w:val="right"/>
              <w:rPr>
                <w:b/>
                <w:i/>
                <w:sz w:val="18"/>
                <w:szCs w:val="18"/>
              </w:rPr>
            </w:pPr>
            <w:r w:rsidRPr="00996C4B">
              <w:rPr>
                <w:b/>
                <w:bCs/>
                <w:color w:val="000000"/>
                <w:sz w:val="18"/>
                <w:szCs w:val="18"/>
              </w:rPr>
              <w:t>-1 793,3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67E653E" w14:textId="77777777" w:rsidR="00D0442A" w:rsidRPr="00996C4B" w:rsidRDefault="00D0442A" w:rsidP="00D0442A">
            <w:pPr>
              <w:spacing w:after="0"/>
              <w:ind w:firstLine="0"/>
              <w:jc w:val="right"/>
              <w:rPr>
                <w:b/>
                <w:i/>
                <w:sz w:val="18"/>
                <w:szCs w:val="18"/>
              </w:rPr>
            </w:pPr>
            <w:r w:rsidRPr="00996C4B">
              <w:rPr>
                <w:b/>
                <w:bCs/>
                <w:color w:val="000000"/>
                <w:sz w:val="18"/>
                <w:szCs w:val="18"/>
              </w:rPr>
              <w:t>-439,2</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9FEE565" w14:textId="77777777" w:rsidR="00D0442A" w:rsidRPr="00996C4B" w:rsidRDefault="00D0442A" w:rsidP="00D0442A">
            <w:pPr>
              <w:spacing w:after="0"/>
              <w:ind w:firstLine="0"/>
              <w:jc w:val="right"/>
              <w:rPr>
                <w:b/>
                <w:i/>
                <w:sz w:val="18"/>
                <w:szCs w:val="18"/>
              </w:rPr>
            </w:pPr>
            <w:r w:rsidRPr="00996C4B">
              <w:rPr>
                <w:b/>
                <w:bCs/>
                <w:color w:val="000000"/>
                <w:sz w:val="18"/>
                <w:szCs w:val="18"/>
              </w:rPr>
              <w:t>-366,1</w:t>
            </w:r>
          </w:p>
        </w:tc>
      </w:tr>
      <w:tr w:rsidR="00D0442A" w:rsidRPr="0026061A" w14:paraId="5B716779"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2B2205D" w14:textId="77777777" w:rsidR="00D0442A" w:rsidRPr="00F07E39" w:rsidRDefault="00D0442A" w:rsidP="00D0442A">
            <w:pPr>
              <w:spacing w:after="0"/>
              <w:ind w:left="-183" w:firstLineChars="100" w:firstLine="190"/>
              <w:jc w:val="left"/>
              <w:rPr>
                <w:sz w:val="19"/>
                <w:szCs w:val="19"/>
              </w:rPr>
            </w:pPr>
            <w:r w:rsidRPr="00F07E39">
              <w:rPr>
                <w:sz w:val="19"/>
                <w:szCs w:val="19"/>
              </w:rPr>
              <w:t>Ieņēmumi</w:t>
            </w:r>
          </w:p>
        </w:tc>
        <w:tc>
          <w:tcPr>
            <w:tcW w:w="851" w:type="dxa"/>
            <w:tcBorders>
              <w:top w:val="nil"/>
              <w:left w:val="nil"/>
              <w:bottom w:val="single" w:sz="4" w:space="0" w:color="auto"/>
              <w:right w:val="single" w:sz="4" w:space="0" w:color="auto"/>
            </w:tcBorders>
            <w:shd w:val="clear" w:color="auto" w:fill="auto"/>
            <w:noWrap/>
            <w:vAlign w:val="center"/>
          </w:tcPr>
          <w:p w14:paraId="669083B2" w14:textId="77777777" w:rsidR="00D0442A" w:rsidRPr="00996C4B" w:rsidRDefault="00D0442A" w:rsidP="00D0442A">
            <w:pPr>
              <w:spacing w:after="0"/>
              <w:ind w:firstLine="0"/>
              <w:jc w:val="right"/>
              <w:rPr>
                <w:sz w:val="18"/>
                <w:szCs w:val="18"/>
              </w:rPr>
            </w:pPr>
            <w:r w:rsidRPr="00996C4B">
              <w:rPr>
                <w:color w:val="000000"/>
                <w:sz w:val="18"/>
                <w:szCs w:val="18"/>
              </w:rPr>
              <w:t>6 425,1</w:t>
            </w:r>
          </w:p>
        </w:tc>
        <w:tc>
          <w:tcPr>
            <w:tcW w:w="850" w:type="dxa"/>
            <w:tcBorders>
              <w:top w:val="nil"/>
              <w:left w:val="nil"/>
              <w:bottom w:val="single" w:sz="4" w:space="0" w:color="auto"/>
              <w:right w:val="single" w:sz="4" w:space="0" w:color="auto"/>
            </w:tcBorders>
            <w:shd w:val="clear" w:color="auto" w:fill="auto"/>
            <w:noWrap/>
            <w:vAlign w:val="center"/>
          </w:tcPr>
          <w:p w14:paraId="511943CA" w14:textId="77777777" w:rsidR="00D0442A" w:rsidRPr="00996C4B" w:rsidRDefault="00D0442A" w:rsidP="00D0442A">
            <w:pPr>
              <w:spacing w:after="0"/>
              <w:ind w:firstLine="0"/>
              <w:jc w:val="right"/>
              <w:rPr>
                <w:sz w:val="18"/>
                <w:szCs w:val="18"/>
              </w:rPr>
            </w:pPr>
            <w:r w:rsidRPr="00996C4B">
              <w:rPr>
                <w:color w:val="000000"/>
                <w:sz w:val="18"/>
                <w:szCs w:val="18"/>
              </w:rPr>
              <w:t>6 973,1</w:t>
            </w:r>
          </w:p>
        </w:tc>
        <w:tc>
          <w:tcPr>
            <w:tcW w:w="851" w:type="dxa"/>
            <w:tcBorders>
              <w:top w:val="nil"/>
              <w:left w:val="nil"/>
              <w:bottom w:val="single" w:sz="4" w:space="0" w:color="auto"/>
              <w:right w:val="single" w:sz="4" w:space="0" w:color="auto"/>
            </w:tcBorders>
            <w:shd w:val="clear" w:color="auto" w:fill="auto"/>
            <w:noWrap/>
            <w:vAlign w:val="center"/>
          </w:tcPr>
          <w:p w14:paraId="514A8D73" w14:textId="77777777" w:rsidR="00D0442A" w:rsidRPr="00996C4B" w:rsidRDefault="00D0442A" w:rsidP="00D0442A">
            <w:pPr>
              <w:spacing w:after="0"/>
              <w:ind w:firstLine="0"/>
              <w:jc w:val="right"/>
              <w:rPr>
                <w:sz w:val="18"/>
                <w:szCs w:val="18"/>
              </w:rPr>
            </w:pPr>
            <w:r w:rsidRPr="00996C4B">
              <w:rPr>
                <w:color w:val="000000"/>
                <w:sz w:val="18"/>
                <w:szCs w:val="18"/>
              </w:rPr>
              <w:t>7 446,2</w:t>
            </w:r>
          </w:p>
        </w:tc>
        <w:tc>
          <w:tcPr>
            <w:tcW w:w="850" w:type="dxa"/>
            <w:tcBorders>
              <w:top w:val="nil"/>
              <w:left w:val="nil"/>
              <w:bottom w:val="single" w:sz="4" w:space="0" w:color="auto"/>
              <w:right w:val="single" w:sz="4" w:space="0" w:color="auto"/>
            </w:tcBorders>
            <w:shd w:val="clear" w:color="auto" w:fill="auto"/>
            <w:noWrap/>
            <w:vAlign w:val="center"/>
          </w:tcPr>
          <w:p w14:paraId="3421524A" w14:textId="77777777" w:rsidR="00D0442A" w:rsidRPr="00996C4B" w:rsidRDefault="00D0442A" w:rsidP="00D0442A">
            <w:pPr>
              <w:spacing w:after="0"/>
              <w:ind w:firstLine="0"/>
              <w:jc w:val="right"/>
              <w:rPr>
                <w:sz w:val="18"/>
                <w:szCs w:val="18"/>
              </w:rPr>
            </w:pPr>
            <w:r w:rsidRPr="00996C4B">
              <w:rPr>
                <w:color w:val="000000"/>
                <w:sz w:val="18"/>
                <w:szCs w:val="18"/>
              </w:rPr>
              <w:t>8 354,8</w:t>
            </w:r>
          </w:p>
        </w:tc>
        <w:tc>
          <w:tcPr>
            <w:tcW w:w="851" w:type="dxa"/>
            <w:tcBorders>
              <w:top w:val="single" w:sz="4" w:space="0" w:color="auto"/>
              <w:left w:val="nil"/>
              <w:bottom w:val="single" w:sz="4" w:space="0" w:color="auto"/>
              <w:right w:val="single" w:sz="4" w:space="0" w:color="auto"/>
            </w:tcBorders>
            <w:vAlign w:val="center"/>
          </w:tcPr>
          <w:p w14:paraId="7D5EAEBB" w14:textId="77777777" w:rsidR="00D0442A" w:rsidRPr="00996C4B" w:rsidRDefault="00D0442A" w:rsidP="00D0442A">
            <w:pPr>
              <w:spacing w:after="0"/>
              <w:ind w:firstLine="0"/>
              <w:jc w:val="right"/>
              <w:rPr>
                <w:sz w:val="18"/>
                <w:szCs w:val="18"/>
              </w:rPr>
            </w:pPr>
            <w:r w:rsidRPr="00996C4B">
              <w:rPr>
                <w:color w:val="000000"/>
                <w:sz w:val="18"/>
                <w:szCs w:val="18"/>
              </w:rPr>
              <w:t>8 434,2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4623192" w14:textId="77777777" w:rsidR="00D0442A" w:rsidRPr="00996C4B" w:rsidRDefault="00D0442A" w:rsidP="00D0442A">
            <w:pPr>
              <w:spacing w:after="0"/>
              <w:ind w:firstLine="0"/>
              <w:jc w:val="right"/>
              <w:rPr>
                <w:sz w:val="18"/>
                <w:szCs w:val="18"/>
              </w:rPr>
            </w:pPr>
            <w:r w:rsidRPr="00996C4B">
              <w:rPr>
                <w:color w:val="000000"/>
                <w:sz w:val="18"/>
                <w:szCs w:val="18"/>
              </w:rPr>
              <w:t>7 469,7</w:t>
            </w:r>
          </w:p>
        </w:tc>
        <w:tc>
          <w:tcPr>
            <w:tcW w:w="851" w:type="dxa"/>
            <w:tcBorders>
              <w:top w:val="nil"/>
              <w:left w:val="nil"/>
              <w:bottom w:val="single" w:sz="4" w:space="0" w:color="auto"/>
              <w:right w:val="single" w:sz="4" w:space="0" w:color="auto"/>
            </w:tcBorders>
            <w:shd w:val="clear" w:color="auto" w:fill="auto"/>
            <w:noWrap/>
            <w:vAlign w:val="center"/>
          </w:tcPr>
          <w:p w14:paraId="36148EC6" w14:textId="77777777" w:rsidR="00D0442A" w:rsidRPr="00996C4B" w:rsidRDefault="00D0442A" w:rsidP="00D0442A">
            <w:pPr>
              <w:spacing w:after="0"/>
              <w:ind w:firstLine="0"/>
              <w:jc w:val="right"/>
              <w:rPr>
                <w:sz w:val="18"/>
                <w:szCs w:val="18"/>
              </w:rPr>
            </w:pPr>
            <w:r w:rsidRPr="00996C4B">
              <w:rPr>
                <w:color w:val="000000"/>
                <w:sz w:val="18"/>
                <w:szCs w:val="18"/>
              </w:rPr>
              <w:t>8 337,7</w:t>
            </w:r>
          </w:p>
        </w:tc>
        <w:tc>
          <w:tcPr>
            <w:tcW w:w="850" w:type="dxa"/>
            <w:tcBorders>
              <w:top w:val="nil"/>
              <w:left w:val="nil"/>
              <w:bottom w:val="single" w:sz="4" w:space="0" w:color="auto"/>
              <w:right w:val="single" w:sz="4" w:space="0" w:color="auto"/>
            </w:tcBorders>
            <w:shd w:val="clear" w:color="auto" w:fill="auto"/>
            <w:noWrap/>
            <w:vAlign w:val="center"/>
          </w:tcPr>
          <w:p w14:paraId="4DB60883" w14:textId="77777777" w:rsidR="00D0442A" w:rsidRPr="00996C4B" w:rsidRDefault="00D0442A" w:rsidP="00D0442A">
            <w:pPr>
              <w:spacing w:after="0"/>
              <w:ind w:firstLine="0"/>
              <w:jc w:val="right"/>
              <w:rPr>
                <w:sz w:val="18"/>
                <w:szCs w:val="18"/>
              </w:rPr>
            </w:pPr>
            <w:r w:rsidRPr="00996C4B">
              <w:rPr>
                <w:color w:val="000000"/>
                <w:sz w:val="18"/>
                <w:szCs w:val="18"/>
              </w:rPr>
              <w:t>8 416,6</w:t>
            </w:r>
          </w:p>
        </w:tc>
      </w:tr>
      <w:tr w:rsidR="00D0442A" w:rsidRPr="0026061A" w14:paraId="58B709F3"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89B7DA7" w14:textId="77777777" w:rsidR="00D0442A" w:rsidRPr="00F07E39" w:rsidRDefault="00D0442A" w:rsidP="00D0442A">
            <w:pPr>
              <w:spacing w:after="0"/>
              <w:ind w:left="-239" w:firstLineChars="200" w:firstLine="380"/>
              <w:jc w:val="left"/>
              <w:rPr>
                <w:sz w:val="19"/>
                <w:szCs w:val="19"/>
              </w:rPr>
            </w:pPr>
            <w:r w:rsidRPr="00F07E39">
              <w:rPr>
                <w:sz w:val="19"/>
                <w:szCs w:val="19"/>
              </w:rPr>
              <w:t>Nodokļu ieņēmumi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02A56" w14:textId="77777777" w:rsidR="00D0442A" w:rsidRPr="00996C4B" w:rsidRDefault="00D0442A" w:rsidP="00D0442A">
            <w:pPr>
              <w:spacing w:after="0"/>
              <w:ind w:firstLine="0"/>
              <w:jc w:val="right"/>
              <w:rPr>
                <w:sz w:val="18"/>
                <w:szCs w:val="18"/>
              </w:rPr>
            </w:pPr>
            <w:r w:rsidRPr="00996C4B">
              <w:rPr>
                <w:color w:val="000000"/>
                <w:sz w:val="18"/>
                <w:szCs w:val="18"/>
              </w:rPr>
              <w:t>4 502,3</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2D507B4" w14:textId="77777777" w:rsidR="00D0442A" w:rsidRPr="00996C4B" w:rsidRDefault="00D0442A" w:rsidP="00D0442A">
            <w:pPr>
              <w:spacing w:after="0"/>
              <w:ind w:firstLine="0"/>
              <w:jc w:val="right"/>
              <w:rPr>
                <w:sz w:val="18"/>
                <w:szCs w:val="18"/>
              </w:rPr>
            </w:pPr>
            <w:r w:rsidRPr="00996C4B">
              <w:rPr>
                <w:color w:val="000000"/>
                <w:sz w:val="18"/>
                <w:szCs w:val="18"/>
              </w:rPr>
              <w:t>4 984,5</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1952B94" w14:textId="77777777" w:rsidR="00D0442A" w:rsidRPr="00996C4B" w:rsidRDefault="00D0442A" w:rsidP="00D0442A">
            <w:pPr>
              <w:spacing w:after="0"/>
              <w:ind w:firstLine="0"/>
              <w:jc w:val="right"/>
              <w:rPr>
                <w:sz w:val="18"/>
                <w:szCs w:val="18"/>
              </w:rPr>
            </w:pPr>
            <w:r w:rsidRPr="00996C4B">
              <w:rPr>
                <w:color w:val="000000"/>
                <w:sz w:val="18"/>
                <w:szCs w:val="18"/>
              </w:rPr>
              <w:t>5 409,5</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2B5A689" w14:textId="77777777" w:rsidR="00D0442A" w:rsidRPr="00996C4B" w:rsidRDefault="00D0442A" w:rsidP="00D0442A">
            <w:pPr>
              <w:spacing w:after="0"/>
              <w:ind w:firstLine="0"/>
              <w:jc w:val="right"/>
              <w:rPr>
                <w:sz w:val="18"/>
                <w:szCs w:val="18"/>
              </w:rPr>
            </w:pPr>
            <w:r w:rsidRPr="00996C4B">
              <w:rPr>
                <w:color w:val="000000"/>
                <w:sz w:val="18"/>
                <w:szCs w:val="18"/>
              </w:rPr>
              <w:t>5 730,9</w:t>
            </w:r>
          </w:p>
        </w:tc>
        <w:tc>
          <w:tcPr>
            <w:tcW w:w="851" w:type="dxa"/>
            <w:tcBorders>
              <w:top w:val="single" w:sz="4" w:space="0" w:color="auto"/>
              <w:left w:val="nil"/>
              <w:bottom w:val="single" w:sz="4" w:space="0" w:color="auto"/>
              <w:right w:val="single" w:sz="4" w:space="0" w:color="auto"/>
            </w:tcBorders>
            <w:vAlign w:val="center"/>
          </w:tcPr>
          <w:p w14:paraId="5DC2911C" w14:textId="77777777" w:rsidR="00D0442A" w:rsidRPr="00996C4B" w:rsidRDefault="00D0442A" w:rsidP="00D0442A">
            <w:pPr>
              <w:spacing w:after="0"/>
              <w:ind w:firstLine="0"/>
              <w:jc w:val="right"/>
              <w:rPr>
                <w:sz w:val="18"/>
                <w:szCs w:val="18"/>
              </w:rPr>
            </w:pPr>
            <w:r w:rsidRPr="00996C4B">
              <w:rPr>
                <w:color w:val="000000"/>
                <w:sz w:val="18"/>
                <w:szCs w:val="18"/>
              </w:rPr>
              <w:t>6 021,0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5D9FC" w14:textId="77777777" w:rsidR="00D0442A" w:rsidRPr="00996C4B" w:rsidRDefault="00D0442A" w:rsidP="00D0442A">
            <w:pPr>
              <w:spacing w:after="0"/>
              <w:ind w:firstLine="0"/>
              <w:jc w:val="right"/>
              <w:rPr>
                <w:sz w:val="18"/>
                <w:szCs w:val="18"/>
              </w:rPr>
            </w:pPr>
            <w:r w:rsidRPr="00996C4B">
              <w:rPr>
                <w:color w:val="000000"/>
                <w:sz w:val="18"/>
                <w:szCs w:val="18"/>
              </w:rPr>
              <w:t>5 405,8</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EC840DB" w14:textId="77777777" w:rsidR="00D0442A" w:rsidRPr="00996C4B" w:rsidRDefault="00D0442A" w:rsidP="00D0442A">
            <w:pPr>
              <w:spacing w:after="0"/>
              <w:ind w:firstLine="0"/>
              <w:jc w:val="right"/>
              <w:rPr>
                <w:sz w:val="18"/>
                <w:szCs w:val="18"/>
              </w:rPr>
            </w:pPr>
            <w:r w:rsidRPr="00996C4B">
              <w:rPr>
                <w:color w:val="000000"/>
                <w:sz w:val="18"/>
                <w:szCs w:val="18"/>
              </w:rPr>
              <w:t>5 713,2</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36D0720" w14:textId="77777777" w:rsidR="00D0442A" w:rsidRPr="00996C4B" w:rsidRDefault="00D0442A" w:rsidP="00D0442A">
            <w:pPr>
              <w:spacing w:after="0"/>
              <w:ind w:firstLine="0"/>
              <w:jc w:val="right"/>
              <w:rPr>
                <w:sz w:val="18"/>
                <w:szCs w:val="18"/>
              </w:rPr>
            </w:pPr>
            <w:r w:rsidRPr="00996C4B">
              <w:rPr>
                <w:color w:val="000000"/>
                <w:sz w:val="18"/>
                <w:szCs w:val="18"/>
              </w:rPr>
              <w:t>6 002,9</w:t>
            </w:r>
          </w:p>
        </w:tc>
      </w:tr>
      <w:tr w:rsidR="00D0442A" w:rsidRPr="0026061A" w14:paraId="4303AD03"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1059961" w14:textId="77777777" w:rsidR="00D0442A" w:rsidRPr="00F07E39" w:rsidRDefault="00D0442A" w:rsidP="00D0442A">
            <w:pPr>
              <w:spacing w:after="0"/>
              <w:ind w:left="-239" w:firstLineChars="200" w:firstLine="380"/>
              <w:jc w:val="left"/>
              <w:rPr>
                <w:sz w:val="19"/>
                <w:szCs w:val="19"/>
              </w:rPr>
            </w:pPr>
            <w:r w:rsidRPr="00F07E39">
              <w:rPr>
                <w:sz w:val="19"/>
                <w:szCs w:val="19"/>
              </w:rPr>
              <w:t>Ne-nodokļu ieņēmumi</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ED9D982" w14:textId="77777777" w:rsidR="00D0442A" w:rsidRPr="00996C4B" w:rsidRDefault="00D0442A" w:rsidP="00D0442A">
            <w:pPr>
              <w:spacing w:after="0"/>
              <w:ind w:firstLine="0"/>
              <w:jc w:val="right"/>
              <w:rPr>
                <w:sz w:val="18"/>
                <w:szCs w:val="18"/>
              </w:rPr>
            </w:pPr>
            <w:r w:rsidRPr="00996C4B">
              <w:rPr>
                <w:color w:val="000000"/>
                <w:sz w:val="18"/>
                <w:szCs w:val="18"/>
              </w:rPr>
              <w:t>554,7</w:t>
            </w:r>
          </w:p>
        </w:tc>
        <w:tc>
          <w:tcPr>
            <w:tcW w:w="850" w:type="dxa"/>
            <w:tcBorders>
              <w:top w:val="nil"/>
              <w:left w:val="nil"/>
              <w:bottom w:val="single" w:sz="4" w:space="0" w:color="auto"/>
              <w:right w:val="single" w:sz="4" w:space="0" w:color="auto"/>
            </w:tcBorders>
            <w:shd w:val="clear" w:color="auto" w:fill="auto"/>
            <w:noWrap/>
            <w:vAlign w:val="center"/>
          </w:tcPr>
          <w:p w14:paraId="167A1DB5" w14:textId="77777777" w:rsidR="00D0442A" w:rsidRPr="00996C4B" w:rsidRDefault="00D0442A" w:rsidP="00D0442A">
            <w:pPr>
              <w:spacing w:after="0"/>
              <w:ind w:firstLine="0"/>
              <w:jc w:val="right"/>
              <w:rPr>
                <w:sz w:val="18"/>
                <w:szCs w:val="18"/>
              </w:rPr>
            </w:pPr>
            <w:r w:rsidRPr="00996C4B">
              <w:rPr>
                <w:color w:val="000000"/>
                <w:sz w:val="18"/>
                <w:szCs w:val="18"/>
              </w:rPr>
              <w:t>536,0</w:t>
            </w:r>
          </w:p>
        </w:tc>
        <w:tc>
          <w:tcPr>
            <w:tcW w:w="851" w:type="dxa"/>
            <w:tcBorders>
              <w:top w:val="nil"/>
              <w:left w:val="nil"/>
              <w:bottom w:val="single" w:sz="4" w:space="0" w:color="auto"/>
              <w:right w:val="single" w:sz="4" w:space="0" w:color="auto"/>
            </w:tcBorders>
            <w:shd w:val="clear" w:color="auto" w:fill="auto"/>
            <w:noWrap/>
            <w:vAlign w:val="center"/>
          </w:tcPr>
          <w:p w14:paraId="65D260A6" w14:textId="77777777" w:rsidR="00D0442A" w:rsidRPr="00996C4B" w:rsidRDefault="00D0442A" w:rsidP="00D0442A">
            <w:pPr>
              <w:spacing w:after="0"/>
              <w:ind w:firstLine="0"/>
              <w:jc w:val="right"/>
              <w:rPr>
                <w:sz w:val="18"/>
                <w:szCs w:val="18"/>
              </w:rPr>
            </w:pPr>
            <w:r w:rsidRPr="00996C4B">
              <w:rPr>
                <w:color w:val="000000"/>
                <w:sz w:val="18"/>
                <w:szCs w:val="18"/>
              </w:rPr>
              <w:t>442,0</w:t>
            </w:r>
          </w:p>
        </w:tc>
        <w:tc>
          <w:tcPr>
            <w:tcW w:w="850" w:type="dxa"/>
            <w:tcBorders>
              <w:top w:val="nil"/>
              <w:left w:val="nil"/>
              <w:bottom w:val="single" w:sz="4" w:space="0" w:color="auto"/>
              <w:right w:val="single" w:sz="4" w:space="0" w:color="auto"/>
            </w:tcBorders>
            <w:shd w:val="clear" w:color="auto" w:fill="auto"/>
            <w:noWrap/>
            <w:vAlign w:val="center"/>
          </w:tcPr>
          <w:p w14:paraId="52D2AD79" w14:textId="77777777" w:rsidR="00D0442A" w:rsidRPr="00996C4B" w:rsidRDefault="00D0442A" w:rsidP="00D0442A">
            <w:pPr>
              <w:spacing w:after="0"/>
              <w:ind w:firstLine="0"/>
              <w:jc w:val="right"/>
              <w:rPr>
                <w:sz w:val="18"/>
                <w:szCs w:val="18"/>
              </w:rPr>
            </w:pPr>
            <w:r w:rsidRPr="00996C4B">
              <w:rPr>
                <w:color w:val="000000"/>
                <w:sz w:val="18"/>
                <w:szCs w:val="18"/>
              </w:rPr>
              <w:t>430,4</w:t>
            </w:r>
          </w:p>
        </w:tc>
        <w:tc>
          <w:tcPr>
            <w:tcW w:w="851" w:type="dxa"/>
            <w:tcBorders>
              <w:top w:val="single" w:sz="4" w:space="0" w:color="auto"/>
              <w:left w:val="nil"/>
              <w:bottom w:val="single" w:sz="4" w:space="0" w:color="auto"/>
              <w:right w:val="single" w:sz="4" w:space="0" w:color="auto"/>
            </w:tcBorders>
            <w:vAlign w:val="center"/>
          </w:tcPr>
          <w:p w14:paraId="7755EDBE" w14:textId="77777777" w:rsidR="00D0442A" w:rsidRPr="00996C4B" w:rsidRDefault="00D0442A" w:rsidP="00D0442A">
            <w:pPr>
              <w:spacing w:after="0"/>
              <w:ind w:firstLine="0"/>
              <w:jc w:val="right"/>
              <w:rPr>
                <w:sz w:val="18"/>
                <w:szCs w:val="18"/>
              </w:rPr>
            </w:pPr>
            <w:r w:rsidRPr="00996C4B">
              <w:rPr>
                <w:color w:val="000000"/>
                <w:sz w:val="18"/>
                <w:szCs w:val="18"/>
              </w:rPr>
              <w:t>389,7</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68E9CB7" w14:textId="77777777" w:rsidR="00D0442A" w:rsidRPr="00996C4B" w:rsidRDefault="00D0442A" w:rsidP="00D0442A">
            <w:pPr>
              <w:spacing w:after="0"/>
              <w:ind w:firstLine="0"/>
              <w:jc w:val="right"/>
              <w:rPr>
                <w:sz w:val="18"/>
                <w:szCs w:val="18"/>
              </w:rPr>
            </w:pPr>
            <w:r w:rsidRPr="00996C4B">
              <w:rPr>
                <w:color w:val="000000"/>
                <w:sz w:val="18"/>
                <w:szCs w:val="18"/>
              </w:rPr>
              <w:t>470,1</w:t>
            </w:r>
          </w:p>
        </w:tc>
        <w:tc>
          <w:tcPr>
            <w:tcW w:w="851" w:type="dxa"/>
            <w:tcBorders>
              <w:top w:val="nil"/>
              <w:left w:val="nil"/>
              <w:bottom w:val="single" w:sz="4" w:space="0" w:color="auto"/>
              <w:right w:val="single" w:sz="4" w:space="0" w:color="auto"/>
            </w:tcBorders>
            <w:shd w:val="clear" w:color="auto" w:fill="auto"/>
            <w:noWrap/>
            <w:vAlign w:val="center"/>
          </w:tcPr>
          <w:p w14:paraId="181EFAB7" w14:textId="77777777" w:rsidR="00D0442A" w:rsidRPr="00996C4B" w:rsidRDefault="00D0442A" w:rsidP="00D0442A">
            <w:pPr>
              <w:spacing w:after="0"/>
              <w:ind w:firstLine="0"/>
              <w:jc w:val="right"/>
              <w:rPr>
                <w:sz w:val="18"/>
                <w:szCs w:val="18"/>
              </w:rPr>
            </w:pPr>
            <w:r w:rsidRPr="00996C4B">
              <w:rPr>
                <w:color w:val="000000"/>
                <w:sz w:val="18"/>
                <w:szCs w:val="18"/>
              </w:rPr>
              <w:t>432,0</w:t>
            </w:r>
          </w:p>
        </w:tc>
        <w:tc>
          <w:tcPr>
            <w:tcW w:w="850" w:type="dxa"/>
            <w:tcBorders>
              <w:top w:val="nil"/>
              <w:left w:val="nil"/>
              <w:bottom w:val="single" w:sz="4" w:space="0" w:color="auto"/>
              <w:right w:val="single" w:sz="4" w:space="0" w:color="auto"/>
            </w:tcBorders>
            <w:shd w:val="clear" w:color="auto" w:fill="auto"/>
            <w:noWrap/>
            <w:vAlign w:val="center"/>
          </w:tcPr>
          <w:p w14:paraId="7784F6F9" w14:textId="77777777" w:rsidR="00D0442A" w:rsidRPr="00996C4B" w:rsidRDefault="00D0442A" w:rsidP="00D0442A">
            <w:pPr>
              <w:spacing w:after="0"/>
              <w:ind w:firstLine="0"/>
              <w:jc w:val="right"/>
              <w:rPr>
                <w:sz w:val="18"/>
                <w:szCs w:val="18"/>
              </w:rPr>
            </w:pPr>
            <w:r w:rsidRPr="00996C4B">
              <w:rPr>
                <w:color w:val="000000"/>
                <w:sz w:val="18"/>
                <w:szCs w:val="18"/>
              </w:rPr>
              <w:t>391,3</w:t>
            </w:r>
          </w:p>
        </w:tc>
      </w:tr>
      <w:tr w:rsidR="00D0442A" w:rsidRPr="0026061A" w14:paraId="20BA7F7F"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F111DFC" w14:textId="77777777" w:rsidR="00D0442A" w:rsidRPr="00F07E39" w:rsidRDefault="00D0442A" w:rsidP="00D0442A">
            <w:pPr>
              <w:spacing w:after="0"/>
              <w:ind w:left="27" w:firstLineChars="60" w:firstLine="114"/>
              <w:jc w:val="left"/>
              <w:rPr>
                <w:sz w:val="19"/>
                <w:szCs w:val="19"/>
              </w:rPr>
            </w:pPr>
            <w:r w:rsidRPr="00F07E39">
              <w:rPr>
                <w:sz w:val="19"/>
                <w:szCs w:val="19"/>
              </w:rPr>
              <w:t>Ārvalstu finanšu palīdzība</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EB83AD7" w14:textId="77777777" w:rsidR="00D0442A" w:rsidRPr="00996C4B" w:rsidRDefault="00D0442A" w:rsidP="00D0442A">
            <w:pPr>
              <w:spacing w:after="0"/>
              <w:ind w:firstLine="0"/>
              <w:jc w:val="right"/>
              <w:rPr>
                <w:sz w:val="18"/>
                <w:szCs w:val="18"/>
              </w:rPr>
            </w:pPr>
            <w:r w:rsidRPr="00996C4B">
              <w:rPr>
                <w:color w:val="000000"/>
                <w:sz w:val="18"/>
                <w:szCs w:val="18"/>
              </w:rPr>
              <w:t>1 254,1</w:t>
            </w:r>
          </w:p>
        </w:tc>
        <w:tc>
          <w:tcPr>
            <w:tcW w:w="850" w:type="dxa"/>
            <w:tcBorders>
              <w:top w:val="nil"/>
              <w:left w:val="nil"/>
              <w:bottom w:val="single" w:sz="4" w:space="0" w:color="auto"/>
              <w:right w:val="single" w:sz="4" w:space="0" w:color="auto"/>
            </w:tcBorders>
            <w:shd w:val="clear" w:color="auto" w:fill="auto"/>
            <w:noWrap/>
            <w:vAlign w:val="center"/>
          </w:tcPr>
          <w:p w14:paraId="0CB63256" w14:textId="77777777" w:rsidR="00D0442A" w:rsidRPr="00996C4B" w:rsidRDefault="00D0442A" w:rsidP="00D0442A">
            <w:pPr>
              <w:spacing w:after="0"/>
              <w:ind w:firstLine="0"/>
              <w:jc w:val="right"/>
              <w:rPr>
                <w:sz w:val="18"/>
                <w:szCs w:val="18"/>
              </w:rPr>
            </w:pPr>
            <w:r w:rsidRPr="00996C4B">
              <w:rPr>
                <w:color w:val="000000"/>
                <w:sz w:val="18"/>
                <w:szCs w:val="18"/>
              </w:rPr>
              <w:t>1 335,4</w:t>
            </w:r>
          </w:p>
        </w:tc>
        <w:tc>
          <w:tcPr>
            <w:tcW w:w="851" w:type="dxa"/>
            <w:tcBorders>
              <w:top w:val="nil"/>
              <w:left w:val="nil"/>
              <w:bottom w:val="single" w:sz="4" w:space="0" w:color="auto"/>
              <w:right w:val="single" w:sz="4" w:space="0" w:color="auto"/>
            </w:tcBorders>
            <w:shd w:val="clear" w:color="auto" w:fill="auto"/>
            <w:noWrap/>
            <w:vAlign w:val="center"/>
          </w:tcPr>
          <w:p w14:paraId="44B5B3C1" w14:textId="77777777" w:rsidR="00D0442A" w:rsidRPr="00996C4B" w:rsidRDefault="00D0442A" w:rsidP="00D0442A">
            <w:pPr>
              <w:spacing w:after="0"/>
              <w:ind w:firstLine="0"/>
              <w:jc w:val="right"/>
              <w:rPr>
                <w:sz w:val="18"/>
                <w:szCs w:val="18"/>
              </w:rPr>
            </w:pPr>
            <w:r w:rsidRPr="00996C4B">
              <w:rPr>
                <w:color w:val="000000"/>
                <w:sz w:val="18"/>
                <w:szCs w:val="18"/>
              </w:rPr>
              <w:t>1 485,5</w:t>
            </w:r>
          </w:p>
        </w:tc>
        <w:tc>
          <w:tcPr>
            <w:tcW w:w="850" w:type="dxa"/>
            <w:tcBorders>
              <w:top w:val="nil"/>
              <w:left w:val="nil"/>
              <w:bottom w:val="single" w:sz="4" w:space="0" w:color="auto"/>
              <w:right w:val="single" w:sz="4" w:space="0" w:color="auto"/>
            </w:tcBorders>
            <w:shd w:val="clear" w:color="auto" w:fill="auto"/>
            <w:noWrap/>
            <w:vAlign w:val="center"/>
          </w:tcPr>
          <w:p w14:paraId="09BDDAE5" w14:textId="77777777" w:rsidR="00D0442A" w:rsidRPr="00996C4B" w:rsidRDefault="00D0442A" w:rsidP="00D0442A">
            <w:pPr>
              <w:spacing w:after="0"/>
              <w:ind w:firstLine="0"/>
              <w:jc w:val="right"/>
              <w:rPr>
                <w:sz w:val="18"/>
                <w:szCs w:val="18"/>
              </w:rPr>
            </w:pPr>
            <w:r w:rsidRPr="00996C4B">
              <w:rPr>
                <w:color w:val="000000"/>
                <w:sz w:val="18"/>
                <w:szCs w:val="18"/>
              </w:rPr>
              <w:t>2 094,3</w:t>
            </w:r>
          </w:p>
        </w:tc>
        <w:tc>
          <w:tcPr>
            <w:tcW w:w="851" w:type="dxa"/>
            <w:tcBorders>
              <w:top w:val="single" w:sz="4" w:space="0" w:color="auto"/>
              <w:left w:val="nil"/>
              <w:bottom w:val="single" w:sz="4" w:space="0" w:color="auto"/>
              <w:right w:val="single" w:sz="4" w:space="0" w:color="auto"/>
            </w:tcBorders>
            <w:vAlign w:val="center"/>
          </w:tcPr>
          <w:p w14:paraId="53832642" w14:textId="77777777" w:rsidR="00D0442A" w:rsidRPr="00996C4B" w:rsidRDefault="00D0442A" w:rsidP="00D0442A">
            <w:pPr>
              <w:spacing w:after="0"/>
              <w:ind w:firstLine="0"/>
              <w:jc w:val="right"/>
              <w:rPr>
                <w:sz w:val="18"/>
                <w:szCs w:val="18"/>
              </w:rPr>
            </w:pPr>
            <w:r w:rsidRPr="00996C4B">
              <w:rPr>
                <w:color w:val="000000"/>
                <w:sz w:val="18"/>
                <w:szCs w:val="18"/>
              </w:rPr>
              <w:t>1 924,9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95F8C1D" w14:textId="77777777" w:rsidR="00D0442A" w:rsidRPr="00996C4B" w:rsidRDefault="00D0442A" w:rsidP="00D0442A">
            <w:pPr>
              <w:spacing w:after="0"/>
              <w:ind w:firstLine="0"/>
              <w:jc w:val="right"/>
              <w:rPr>
                <w:sz w:val="18"/>
                <w:szCs w:val="18"/>
              </w:rPr>
            </w:pPr>
            <w:r w:rsidRPr="00996C4B">
              <w:rPr>
                <w:color w:val="000000"/>
                <w:sz w:val="18"/>
                <w:szCs w:val="18"/>
              </w:rPr>
              <w:t>1 485,6</w:t>
            </w:r>
          </w:p>
        </w:tc>
        <w:tc>
          <w:tcPr>
            <w:tcW w:w="851" w:type="dxa"/>
            <w:tcBorders>
              <w:top w:val="nil"/>
              <w:left w:val="nil"/>
              <w:bottom w:val="single" w:sz="4" w:space="0" w:color="auto"/>
              <w:right w:val="single" w:sz="4" w:space="0" w:color="auto"/>
            </w:tcBorders>
            <w:shd w:val="clear" w:color="auto" w:fill="auto"/>
            <w:noWrap/>
            <w:vAlign w:val="center"/>
          </w:tcPr>
          <w:p w14:paraId="118F2215" w14:textId="77777777" w:rsidR="00D0442A" w:rsidRPr="00996C4B" w:rsidRDefault="00D0442A" w:rsidP="00D0442A">
            <w:pPr>
              <w:spacing w:after="0"/>
              <w:ind w:firstLine="0"/>
              <w:jc w:val="right"/>
              <w:rPr>
                <w:sz w:val="18"/>
                <w:szCs w:val="18"/>
              </w:rPr>
            </w:pPr>
            <w:r w:rsidRPr="00996C4B">
              <w:rPr>
                <w:color w:val="000000"/>
                <w:sz w:val="18"/>
                <w:szCs w:val="18"/>
              </w:rPr>
              <w:t>2 094,3</w:t>
            </w:r>
          </w:p>
        </w:tc>
        <w:tc>
          <w:tcPr>
            <w:tcW w:w="850" w:type="dxa"/>
            <w:tcBorders>
              <w:top w:val="nil"/>
              <w:left w:val="nil"/>
              <w:bottom w:val="single" w:sz="4" w:space="0" w:color="auto"/>
              <w:right w:val="single" w:sz="4" w:space="0" w:color="auto"/>
            </w:tcBorders>
            <w:shd w:val="clear" w:color="auto" w:fill="auto"/>
            <w:noWrap/>
            <w:vAlign w:val="center"/>
          </w:tcPr>
          <w:p w14:paraId="3B1B4889" w14:textId="77777777" w:rsidR="00D0442A" w:rsidRPr="00996C4B" w:rsidRDefault="00D0442A" w:rsidP="00D0442A">
            <w:pPr>
              <w:spacing w:after="0"/>
              <w:ind w:firstLine="0"/>
              <w:jc w:val="right"/>
              <w:rPr>
                <w:sz w:val="18"/>
                <w:szCs w:val="18"/>
              </w:rPr>
            </w:pPr>
            <w:r w:rsidRPr="00996C4B">
              <w:rPr>
                <w:color w:val="000000"/>
                <w:sz w:val="18"/>
                <w:szCs w:val="18"/>
              </w:rPr>
              <w:t>1 924,8</w:t>
            </w:r>
          </w:p>
        </w:tc>
      </w:tr>
      <w:tr w:rsidR="00D0442A" w:rsidRPr="0026061A" w14:paraId="6650DFFD"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DB9E8CE" w14:textId="77777777" w:rsidR="00D0442A" w:rsidRPr="00F07E39" w:rsidRDefault="00D0442A" w:rsidP="00D0442A">
            <w:pPr>
              <w:spacing w:after="0"/>
              <w:ind w:left="-239" w:firstLineChars="200" w:firstLine="380"/>
              <w:jc w:val="left"/>
              <w:rPr>
                <w:sz w:val="19"/>
                <w:szCs w:val="19"/>
              </w:rPr>
            </w:pPr>
            <w:r w:rsidRPr="00F07E39">
              <w:rPr>
                <w:sz w:val="19"/>
                <w:szCs w:val="19"/>
              </w:rPr>
              <w:t>Pārējie ieņēmumi</w:t>
            </w:r>
          </w:p>
        </w:tc>
        <w:tc>
          <w:tcPr>
            <w:tcW w:w="851" w:type="dxa"/>
            <w:tcBorders>
              <w:top w:val="nil"/>
              <w:left w:val="nil"/>
              <w:bottom w:val="single" w:sz="4" w:space="0" w:color="auto"/>
              <w:right w:val="single" w:sz="4" w:space="0" w:color="auto"/>
            </w:tcBorders>
            <w:shd w:val="clear" w:color="auto" w:fill="auto"/>
            <w:noWrap/>
            <w:vAlign w:val="center"/>
          </w:tcPr>
          <w:p w14:paraId="5024ED1E" w14:textId="77777777" w:rsidR="00D0442A" w:rsidRPr="00996C4B" w:rsidRDefault="00D0442A" w:rsidP="00D0442A">
            <w:pPr>
              <w:spacing w:after="0"/>
              <w:ind w:firstLine="0"/>
              <w:jc w:val="right"/>
              <w:rPr>
                <w:sz w:val="18"/>
                <w:szCs w:val="18"/>
              </w:rPr>
            </w:pPr>
            <w:r w:rsidRPr="00996C4B">
              <w:rPr>
                <w:color w:val="000000"/>
                <w:sz w:val="18"/>
                <w:szCs w:val="18"/>
              </w:rPr>
              <w:t>114,0</w:t>
            </w:r>
          </w:p>
        </w:tc>
        <w:tc>
          <w:tcPr>
            <w:tcW w:w="850" w:type="dxa"/>
            <w:tcBorders>
              <w:top w:val="nil"/>
              <w:left w:val="nil"/>
              <w:bottom w:val="single" w:sz="4" w:space="0" w:color="auto"/>
              <w:right w:val="single" w:sz="4" w:space="0" w:color="auto"/>
            </w:tcBorders>
            <w:shd w:val="clear" w:color="auto" w:fill="auto"/>
            <w:noWrap/>
            <w:vAlign w:val="center"/>
          </w:tcPr>
          <w:p w14:paraId="33A98046" w14:textId="77777777" w:rsidR="00D0442A" w:rsidRPr="00996C4B" w:rsidRDefault="00D0442A" w:rsidP="00D0442A">
            <w:pPr>
              <w:spacing w:after="0"/>
              <w:ind w:firstLine="0"/>
              <w:jc w:val="right"/>
              <w:rPr>
                <w:sz w:val="18"/>
                <w:szCs w:val="18"/>
              </w:rPr>
            </w:pPr>
            <w:r w:rsidRPr="00996C4B">
              <w:rPr>
                <w:color w:val="000000"/>
                <w:sz w:val="18"/>
                <w:szCs w:val="18"/>
              </w:rPr>
              <w:t>117,2</w:t>
            </w:r>
          </w:p>
        </w:tc>
        <w:tc>
          <w:tcPr>
            <w:tcW w:w="851" w:type="dxa"/>
            <w:tcBorders>
              <w:top w:val="nil"/>
              <w:left w:val="nil"/>
              <w:bottom w:val="single" w:sz="4" w:space="0" w:color="auto"/>
              <w:right w:val="single" w:sz="4" w:space="0" w:color="auto"/>
            </w:tcBorders>
            <w:shd w:val="clear" w:color="auto" w:fill="auto"/>
            <w:noWrap/>
            <w:vAlign w:val="center"/>
          </w:tcPr>
          <w:p w14:paraId="08AAD83F" w14:textId="77777777" w:rsidR="00D0442A" w:rsidRPr="00996C4B" w:rsidRDefault="00D0442A" w:rsidP="00D0442A">
            <w:pPr>
              <w:spacing w:after="0"/>
              <w:ind w:firstLine="0"/>
              <w:jc w:val="right"/>
              <w:rPr>
                <w:sz w:val="18"/>
                <w:szCs w:val="18"/>
              </w:rPr>
            </w:pPr>
            <w:r w:rsidRPr="00996C4B">
              <w:rPr>
                <w:color w:val="000000"/>
                <w:sz w:val="18"/>
                <w:szCs w:val="18"/>
              </w:rPr>
              <w:t>109,2</w:t>
            </w:r>
          </w:p>
        </w:tc>
        <w:tc>
          <w:tcPr>
            <w:tcW w:w="850" w:type="dxa"/>
            <w:tcBorders>
              <w:top w:val="nil"/>
              <w:left w:val="nil"/>
              <w:bottom w:val="single" w:sz="4" w:space="0" w:color="auto"/>
              <w:right w:val="single" w:sz="4" w:space="0" w:color="auto"/>
            </w:tcBorders>
            <w:shd w:val="clear" w:color="auto" w:fill="auto"/>
            <w:noWrap/>
            <w:vAlign w:val="center"/>
          </w:tcPr>
          <w:p w14:paraId="1D36A20F" w14:textId="77777777" w:rsidR="00D0442A" w:rsidRPr="00996C4B" w:rsidRDefault="00D0442A" w:rsidP="00D0442A">
            <w:pPr>
              <w:spacing w:after="0"/>
              <w:ind w:firstLine="0"/>
              <w:jc w:val="right"/>
              <w:rPr>
                <w:sz w:val="18"/>
                <w:szCs w:val="18"/>
              </w:rPr>
            </w:pPr>
            <w:r w:rsidRPr="00996C4B">
              <w:rPr>
                <w:color w:val="000000"/>
                <w:sz w:val="18"/>
                <w:szCs w:val="18"/>
              </w:rPr>
              <w:t>99,2</w:t>
            </w:r>
          </w:p>
        </w:tc>
        <w:tc>
          <w:tcPr>
            <w:tcW w:w="851" w:type="dxa"/>
            <w:tcBorders>
              <w:top w:val="single" w:sz="4" w:space="0" w:color="auto"/>
              <w:left w:val="nil"/>
              <w:bottom w:val="single" w:sz="4" w:space="0" w:color="auto"/>
              <w:right w:val="single" w:sz="4" w:space="0" w:color="auto"/>
            </w:tcBorders>
            <w:vAlign w:val="center"/>
          </w:tcPr>
          <w:p w14:paraId="53F3E3A1" w14:textId="77777777" w:rsidR="00D0442A" w:rsidRPr="00996C4B" w:rsidRDefault="00D0442A" w:rsidP="00D0442A">
            <w:pPr>
              <w:spacing w:after="0"/>
              <w:ind w:firstLine="0"/>
              <w:jc w:val="right"/>
              <w:rPr>
                <w:sz w:val="18"/>
                <w:szCs w:val="18"/>
              </w:rPr>
            </w:pPr>
            <w:r w:rsidRPr="00996C4B">
              <w:rPr>
                <w:color w:val="000000"/>
                <w:sz w:val="18"/>
                <w:szCs w:val="18"/>
              </w:rPr>
              <w:t>98,7</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E706A95" w14:textId="77777777" w:rsidR="00D0442A" w:rsidRPr="00996C4B" w:rsidRDefault="00D0442A" w:rsidP="00D0442A">
            <w:pPr>
              <w:spacing w:after="0"/>
              <w:ind w:firstLine="0"/>
              <w:jc w:val="right"/>
              <w:rPr>
                <w:sz w:val="18"/>
                <w:szCs w:val="18"/>
              </w:rPr>
            </w:pPr>
            <w:r w:rsidRPr="00996C4B">
              <w:rPr>
                <w:color w:val="000000"/>
                <w:sz w:val="18"/>
                <w:szCs w:val="32"/>
              </w:rPr>
              <w:t>108,2</w:t>
            </w:r>
          </w:p>
        </w:tc>
        <w:tc>
          <w:tcPr>
            <w:tcW w:w="851" w:type="dxa"/>
            <w:tcBorders>
              <w:top w:val="nil"/>
              <w:left w:val="nil"/>
              <w:bottom w:val="single" w:sz="4" w:space="0" w:color="auto"/>
              <w:right w:val="single" w:sz="4" w:space="0" w:color="auto"/>
            </w:tcBorders>
            <w:shd w:val="clear" w:color="auto" w:fill="auto"/>
            <w:noWrap/>
            <w:vAlign w:val="center"/>
          </w:tcPr>
          <w:p w14:paraId="49B5C0D4" w14:textId="77777777" w:rsidR="00D0442A" w:rsidRPr="00996C4B" w:rsidRDefault="00D0442A" w:rsidP="00D0442A">
            <w:pPr>
              <w:spacing w:after="0"/>
              <w:ind w:firstLine="0"/>
              <w:jc w:val="right"/>
              <w:rPr>
                <w:sz w:val="18"/>
                <w:szCs w:val="18"/>
              </w:rPr>
            </w:pPr>
            <w:r w:rsidRPr="00996C4B">
              <w:rPr>
                <w:color w:val="000000"/>
                <w:sz w:val="18"/>
                <w:szCs w:val="32"/>
              </w:rPr>
              <w:t>98,2</w:t>
            </w:r>
          </w:p>
        </w:tc>
        <w:tc>
          <w:tcPr>
            <w:tcW w:w="850" w:type="dxa"/>
            <w:tcBorders>
              <w:top w:val="nil"/>
              <w:left w:val="nil"/>
              <w:bottom w:val="single" w:sz="4" w:space="0" w:color="auto"/>
              <w:right w:val="single" w:sz="4" w:space="0" w:color="auto"/>
            </w:tcBorders>
            <w:shd w:val="clear" w:color="auto" w:fill="auto"/>
            <w:noWrap/>
            <w:vAlign w:val="center"/>
          </w:tcPr>
          <w:p w14:paraId="5CB351AA" w14:textId="77777777" w:rsidR="00D0442A" w:rsidRPr="00996C4B" w:rsidRDefault="00D0442A" w:rsidP="00D0442A">
            <w:pPr>
              <w:spacing w:after="0"/>
              <w:ind w:firstLine="0"/>
              <w:jc w:val="right"/>
              <w:rPr>
                <w:sz w:val="18"/>
                <w:szCs w:val="18"/>
              </w:rPr>
            </w:pPr>
            <w:r w:rsidRPr="00996C4B">
              <w:rPr>
                <w:color w:val="000000"/>
                <w:sz w:val="18"/>
                <w:szCs w:val="32"/>
              </w:rPr>
              <w:t>97,6</w:t>
            </w:r>
          </w:p>
        </w:tc>
      </w:tr>
      <w:tr w:rsidR="00D0442A" w:rsidRPr="0026061A" w14:paraId="588AF251" w14:textId="77777777" w:rsidTr="00D0442A">
        <w:trPr>
          <w:trHeight w:val="104"/>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47ADE911" w14:textId="77777777" w:rsidR="00D0442A" w:rsidRPr="00F07E39" w:rsidRDefault="00D0442A" w:rsidP="00D0442A">
            <w:pPr>
              <w:spacing w:after="0"/>
              <w:ind w:left="-183" w:firstLineChars="100" w:firstLine="190"/>
              <w:jc w:val="left"/>
              <w:rPr>
                <w:sz w:val="19"/>
                <w:szCs w:val="19"/>
              </w:rPr>
            </w:pPr>
            <w:r w:rsidRPr="00F07E39">
              <w:rPr>
                <w:sz w:val="19"/>
                <w:szCs w:val="19"/>
              </w:rPr>
              <w:t>Izdevumi</w:t>
            </w:r>
          </w:p>
        </w:tc>
        <w:tc>
          <w:tcPr>
            <w:tcW w:w="851" w:type="dxa"/>
            <w:tcBorders>
              <w:top w:val="nil"/>
              <w:left w:val="nil"/>
              <w:bottom w:val="single" w:sz="4" w:space="0" w:color="auto"/>
              <w:right w:val="single" w:sz="4" w:space="0" w:color="auto"/>
            </w:tcBorders>
            <w:shd w:val="clear" w:color="auto" w:fill="auto"/>
            <w:noWrap/>
            <w:vAlign w:val="center"/>
          </w:tcPr>
          <w:p w14:paraId="75D30A30" w14:textId="77777777" w:rsidR="00D0442A" w:rsidRPr="00996C4B" w:rsidRDefault="00D0442A" w:rsidP="00D0442A">
            <w:pPr>
              <w:spacing w:after="0"/>
              <w:ind w:firstLine="0"/>
              <w:jc w:val="right"/>
              <w:rPr>
                <w:sz w:val="18"/>
                <w:szCs w:val="18"/>
              </w:rPr>
            </w:pPr>
            <w:r w:rsidRPr="00996C4B">
              <w:rPr>
                <w:color w:val="000000"/>
                <w:sz w:val="18"/>
                <w:szCs w:val="18"/>
              </w:rPr>
              <w:t>7 667,0</w:t>
            </w:r>
          </w:p>
        </w:tc>
        <w:tc>
          <w:tcPr>
            <w:tcW w:w="850" w:type="dxa"/>
            <w:tcBorders>
              <w:top w:val="nil"/>
              <w:left w:val="nil"/>
              <w:bottom w:val="single" w:sz="4" w:space="0" w:color="auto"/>
              <w:right w:val="single" w:sz="4" w:space="0" w:color="auto"/>
            </w:tcBorders>
            <w:shd w:val="clear" w:color="auto" w:fill="auto"/>
            <w:noWrap/>
            <w:vAlign w:val="center"/>
          </w:tcPr>
          <w:p w14:paraId="3C3ACB8C" w14:textId="77777777" w:rsidR="00D0442A" w:rsidRPr="00996C4B" w:rsidRDefault="00D0442A" w:rsidP="00D0442A">
            <w:pPr>
              <w:spacing w:after="0"/>
              <w:ind w:firstLine="0"/>
              <w:jc w:val="right"/>
              <w:rPr>
                <w:sz w:val="18"/>
                <w:szCs w:val="18"/>
              </w:rPr>
            </w:pPr>
            <w:r w:rsidRPr="00996C4B">
              <w:rPr>
                <w:color w:val="000000"/>
                <w:sz w:val="18"/>
                <w:szCs w:val="18"/>
              </w:rPr>
              <w:t>9 640,1</w:t>
            </w:r>
          </w:p>
        </w:tc>
        <w:tc>
          <w:tcPr>
            <w:tcW w:w="851" w:type="dxa"/>
            <w:tcBorders>
              <w:top w:val="nil"/>
              <w:left w:val="nil"/>
              <w:bottom w:val="single" w:sz="4" w:space="0" w:color="auto"/>
              <w:right w:val="single" w:sz="4" w:space="0" w:color="auto"/>
            </w:tcBorders>
            <w:shd w:val="clear" w:color="auto" w:fill="auto"/>
            <w:noWrap/>
            <w:vAlign w:val="center"/>
          </w:tcPr>
          <w:p w14:paraId="369F9A4B" w14:textId="77777777" w:rsidR="00D0442A" w:rsidRPr="00996C4B" w:rsidRDefault="00D0442A" w:rsidP="00D0442A">
            <w:pPr>
              <w:spacing w:after="0"/>
              <w:ind w:firstLine="0"/>
              <w:jc w:val="right"/>
              <w:rPr>
                <w:sz w:val="18"/>
                <w:szCs w:val="18"/>
              </w:rPr>
            </w:pPr>
            <w:r w:rsidRPr="00996C4B">
              <w:rPr>
                <w:color w:val="000000"/>
                <w:sz w:val="18"/>
                <w:szCs w:val="18"/>
              </w:rPr>
              <w:t>8 750,6</w:t>
            </w:r>
          </w:p>
        </w:tc>
        <w:tc>
          <w:tcPr>
            <w:tcW w:w="850" w:type="dxa"/>
            <w:tcBorders>
              <w:top w:val="nil"/>
              <w:left w:val="nil"/>
              <w:bottom w:val="single" w:sz="4" w:space="0" w:color="auto"/>
              <w:right w:val="single" w:sz="4" w:space="0" w:color="auto"/>
            </w:tcBorders>
            <w:shd w:val="clear" w:color="auto" w:fill="auto"/>
            <w:noWrap/>
            <w:vAlign w:val="center"/>
          </w:tcPr>
          <w:p w14:paraId="23EF0052" w14:textId="77777777" w:rsidR="00D0442A" w:rsidRPr="00996C4B" w:rsidRDefault="00D0442A" w:rsidP="00D0442A">
            <w:pPr>
              <w:spacing w:after="0"/>
              <w:ind w:firstLine="0"/>
              <w:jc w:val="right"/>
              <w:rPr>
                <w:sz w:val="18"/>
                <w:szCs w:val="18"/>
              </w:rPr>
            </w:pPr>
            <w:r w:rsidRPr="00996C4B">
              <w:rPr>
                <w:color w:val="000000"/>
                <w:sz w:val="18"/>
                <w:szCs w:val="18"/>
              </w:rPr>
              <w:t>8 566,4</w:t>
            </w:r>
          </w:p>
        </w:tc>
        <w:tc>
          <w:tcPr>
            <w:tcW w:w="851" w:type="dxa"/>
            <w:tcBorders>
              <w:top w:val="single" w:sz="4" w:space="0" w:color="auto"/>
              <w:left w:val="nil"/>
              <w:bottom w:val="single" w:sz="4" w:space="0" w:color="auto"/>
              <w:right w:val="single" w:sz="4" w:space="0" w:color="auto"/>
            </w:tcBorders>
            <w:vAlign w:val="center"/>
          </w:tcPr>
          <w:p w14:paraId="22EC11CC" w14:textId="77777777" w:rsidR="00D0442A" w:rsidRPr="00996C4B" w:rsidRDefault="00D0442A" w:rsidP="00D0442A">
            <w:pPr>
              <w:spacing w:after="0"/>
              <w:ind w:firstLine="0"/>
              <w:jc w:val="right"/>
              <w:rPr>
                <w:sz w:val="18"/>
                <w:szCs w:val="18"/>
              </w:rPr>
            </w:pPr>
            <w:r w:rsidRPr="00996C4B">
              <w:rPr>
                <w:color w:val="000000"/>
                <w:sz w:val="18"/>
                <w:szCs w:val="18"/>
              </w:rPr>
              <w:t>8 529,9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557387F0" w14:textId="77777777" w:rsidR="00D0442A" w:rsidRPr="00996C4B" w:rsidRDefault="00D0442A" w:rsidP="00D0442A">
            <w:pPr>
              <w:spacing w:after="0"/>
              <w:ind w:firstLine="0"/>
              <w:jc w:val="right"/>
              <w:rPr>
                <w:sz w:val="18"/>
                <w:szCs w:val="18"/>
              </w:rPr>
            </w:pPr>
            <w:r w:rsidRPr="00996C4B">
              <w:rPr>
                <w:color w:val="000000"/>
                <w:sz w:val="18"/>
                <w:szCs w:val="18"/>
              </w:rPr>
              <w:t>9 263,0</w:t>
            </w:r>
          </w:p>
        </w:tc>
        <w:tc>
          <w:tcPr>
            <w:tcW w:w="851" w:type="dxa"/>
            <w:tcBorders>
              <w:top w:val="nil"/>
              <w:left w:val="nil"/>
              <w:bottom w:val="single" w:sz="4" w:space="0" w:color="auto"/>
              <w:right w:val="single" w:sz="4" w:space="0" w:color="auto"/>
            </w:tcBorders>
            <w:shd w:val="clear" w:color="auto" w:fill="auto"/>
            <w:noWrap/>
            <w:vAlign w:val="center"/>
          </w:tcPr>
          <w:p w14:paraId="4C32F14E" w14:textId="77777777" w:rsidR="00D0442A" w:rsidRPr="00996C4B" w:rsidRDefault="00D0442A" w:rsidP="00D0442A">
            <w:pPr>
              <w:spacing w:after="0"/>
              <w:ind w:firstLine="0"/>
              <w:jc w:val="right"/>
              <w:rPr>
                <w:sz w:val="18"/>
                <w:szCs w:val="18"/>
              </w:rPr>
            </w:pPr>
            <w:r w:rsidRPr="00996C4B">
              <w:rPr>
                <w:color w:val="000000"/>
                <w:sz w:val="18"/>
                <w:szCs w:val="18"/>
              </w:rPr>
              <w:t>8 776,9</w:t>
            </w:r>
          </w:p>
        </w:tc>
        <w:tc>
          <w:tcPr>
            <w:tcW w:w="850" w:type="dxa"/>
            <w:tcBorders>
              <w:top w:val="nil"/>
              <w:left w:val="nil"/>
              <w:bottom w:val="single" w:sz="4" w:space="0" w:color="auto"/>
              <w:right w:val="single" w:sz="4" w:space="0" w:color="auto"/>
            </w:tcBorders>
            <w:shd w:val="clear" w:color="auto" w:fill="auto"/>
            <w:noWrap/>
            <w:vAlign w:val="center"/>
          </w:tcPr>
          <w:p w14:paraId="5960257C" w14:textId="77777777" w:rsidR="00D0442A" w:rsidRPr="00996C4B" w:rsidRDefault="00D0442A" w:rsidP="00D0442A">
            <w:pPr>
              <w:spacing w:after="0"/>
              <w:ind w:firstLine="0"/>
              <w:jc w:val="right"/>
              <w:rPr>
                <w:sz w:val="18"/>
                <w:szCs w:val="18"/>
              </w:rPr>
            </w:pPr>
            <w:r w:rsidRPr="00996C4B">
              <w:rPr>
                <w:color w:val="000000"/>
                <w:sz w:val="18"/>
                <w:szCs w:val="18"/>
              </w:rPr>
              <w:t>8 782,7</w:t>
            </w:r>
          </w:p>
        </w:tc>
      </w:tr>
      <w:tr w:rsidR="00D0442A" w:rsidRPr="0026061A" w14:paraId="5F3D1F74"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57EF952" w14:textId="77777777" w:rsidR="00D0442A" w:rsidRPr="00F07E39" w:rsidRDefault="00D0442A" w:rsidP="00D0442A">
            <w:pPr>
              <w:spacing w:after="0"/>
              <w:ind w:left="-239" w:firstLineChars="200" w:firstLine="380"/>
              <w:jc w:val="left"/>
              <w:rPr>
                <w:sz w:val="19"/>
                <w:szCs w:val="19"/>
              </w:rPr>
            </w:pPr>
            <w:r w:rsidRPr="00F07E39">
              <w:rPr>
                <w:sz w:val="19"/>
                <w:szCs w:val="19"/>
              </w:rPr>
              <w:t>Uzturēšanas izdevumi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FAE35" w14:textId="77777777" w:rsidR="00D0442A" w:rsidRPr="00996C4B" w:rsidRDefault="00D0442A" w:rsidP="00D0442A">
            <w:pPr>
              <w:spacing w:after="0"/>
              <w:ind w:firstLine="0"/>
              <w:jc w:val="right"/>
              <w:rPr>
                <w:sz w:val="18"/>
                <w:szCs w:val="18"/>
              </w:rPr>
            </w:pPr>
            <w:r w:rsidRPr="00996C4B">
              <w:rPr>
                <w:color w:val="000000"/>
                <w:sz w:val="18"/>
                <w:szCs w:val="18"/>
              </w:rPr>
              <w:t>6 877,1</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73B04EA" w14:textId="77777777" w:rsidR="00D0442A" w:rsidRPr="00996C4B" w:rsidRDefault="00D0442A" w:rsidP="00D0442A">
            <w:pPr>
              <w:spacing w:after="0"/>
              <w:ind w:firstLine="0"/>
              <w:jc w:val="right"/>
              <w:rPr>
                <w:sz w:val="18"/>
                <w:szCs w:val="18"/>
              </w:rPr>
            </w:pPr>
            <w:r w:rsidRPr="00996C4B">
              <w:rPr>
                <w:color w:val="000000"/>
                <w:sz w:val="18"/>
                <w:szCs w:val="18"/>
              </w:rPr>
              <w:t>8 845,2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E3860CB" w14:textId="77777777" w:rsidR="00D0442A" w:rsidRPr="00996C4B" w:rsidRDefault="00D0442A" w:rsidP="00D0442A">
            <w:pPr>
              <w:spacing w:after="0"/>
              <w:ind w:firstLine="0"/>
              <w:jc w:val="right"/>
              <w:rPr>
                <w:sz w:val="18"/>
                <w:szCs w:val="18"/>
              </w:rPr>
            </w:pPr>
            <w:r w:rsidRPr="00996C4B">
              <w:rPr>
                <w:color w:val="000000"/>
                <w:sz w:val="18"/>
                <w:szCs w:val="18"/>
              </w:rPr>
              <w:t>7 961,7</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3E63924" w14:textId="77777777" w:rsidR="00D0442A" w:rsidRPr="00996C4B" w:rsidRDefault="00D0442A" w:rsidP="00D0442A">
            <w:pPr>
              <w:spacing w:after="0"/>
              <w:ind w:firstLine="0"/>
              <w:jc w:val="right"/>
              <w:rPr>
                <w:sz w:val="18"/>
                <w:szCs w:val="18"/>
              </w:rPr>
            </w:pPr>
            <w:r w:rsidRPr="00996C4B">
              <w:rPr>
                <w:color w:val="000000"/>
                <w:sz w:val="18"/>
                <w:szCs w:val="18"/>
              </w:rPr>
              <w:t>8 046,2</w:t>
            </w:r>
          </w:p>
        </w:tc>
        <w:tc>
          <w:tcPr>
            <w:tcW w:w="851" w:type="dxa"/>
            <w:tcBorders>
              <w:top w:val="single" w:sz="4" w:space="0" w:color="auto"/>
              <w:left w:val="nil"/>
              <w:bottom w:val="single" w:sz="4" w:space="0" w:color="auto"/>
              <w:right w:val="single" w:sz="4" w:space="0" w:color="auto"/>
            </w:tcBorders>
            <w:vAlign w:val="center"/>
          </w:tcPr>
          <w:p w14:paraId="222AFB6A" w14:textId="77777777" w:rsidR="00D0442A" w:rsidRPr="00996C4B" w:rsidRDefault="00D0442A" w:rsidP="00D0442A">
            <w:pPr>
              <w:spacing w:after="0"/>
              <w:ind w:firstLine="0"/>
              <w:jc w:val="right"/>
              <w:rPr>
                <w:sz w:val="18"/>
                <w:szCs w:val="18"/>
              </w:rPr>
            </w:pPr>
            <w:r w:rsidRPr="00996C4B">
              <w:rPr>
                <w:color w:val="000000"/>
                <w:sz w:val="18"/>
                <w:szCs w:val="18"/>
              </w:rPr>
              <w:t>8 073,4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BC31C" w14:textId="77777777" w:rsidR="00D0442A" w:rsidRPr="00996C4B" w:rsidRDefault="00D0442A" w:rsidP="00D0442A">
            <w:pPr>
              <w:spacing w:after="0"/>
              <w:ind w:firstLine="0"/>
              <w:jc w:val="right"/>
              <w:rPr>
                <w:sz w:val="18"/>
                <w:szCs w:val="18"/>
              </w:rPr>
            </w:pPr>
            <w:r w:rsidRPr="00996C4B">
              <w:rPr>
                <w:color w:val="000000"/>
                <w:sz w:val="18"/>
                <w:szCs w:val="18"/>
              </w:rPr>
              <w:t>8 299,2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678EC75" w14:textId="77777777" w:rsidR="00D0442A" w:rsidRPr="00996C4B" w:rsidRDefault="00D0442A" w:rsidP="00D0442A">
            <w:pPr>
              <w:spacing w:after="0"/>
              <w:ind w:firstLine="0"/>
              <w:jc w:val="right"/>
              <w:rPr>
                <w:sz w:val="18"/>
                <w:szCs w:val="18"/>
              </w:rPr>
            </w:pPr>
            <w:r w:rsidRPr="00996C4B">
              <w:rPr>
                <w:color w:val="000000"/>
                <w:sz w:val="18"/>
                <w:szCs w:val="18"/>
              </w:rPr>
              <w:t>8 261,8</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813EB77" w14:textId="77777777" w:rsidR="00D0442A" w:rsidRPr="00996C4B" w:rsidRDefault="00D0442A" w:rsidP="00D0442A">
            <w:pPr>
              <w:spacing w:after="0"/>
              <w:ind w:firstLine="0"/>
              <w:jc w:val="right"/>
              <w:rPr>
                <w:sz w:val="18"/>
                <w:szCs w:val="18"/>
              </w:rPr>
            </w:pPr>
            <w:r w:rsidRPr="00996C4B">
              <w:rPr>
                <w:color w:val="000000"/>
                <w:sz w:val="18"/>
                <w:szCs w:val="18"/>
              </w:rPr>
              <w:t>8 249,8</w:t>
            </w:r>
          </w:p>
        </w:tc>
      </w:tr>
      <w:tr w:rsidR="00D0442A" w:rsidRPr="0026061A" w14:paraId="2D865E41"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46EC7C35" w14:textId="77777777" w:rsidR="00D0442A" w:rsidRPr="00F07E39" w:rsidRDefault="00D0442A" w:rsidP="00D0442A">
            <w:pPr>
              <w:spacing w:after="0"/>
              <w:ind w:left="-239" w:firstLineChars="200" w:firstLine="380"/>
              <w:jc w:val="left"/>
              <w:rPr>
                <w:sz w:val="19"/>
                <w:szCs w:val="19"/>
              </w:rPr>
            </w:pPr>
            <w:r w:rsidRPr="00F07E39">
              <w:rPr>
                <w:sz w:val="19"/>
                <w:szCs w:val="19"/>
              </w:rPr>
              <w:t>Kapitālie izdevumi</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965D9A3" w14:textId="77777777" w:rsidR="00D0442A" w:rsidRPr="00996C4B" w:rsidRDefault="00D0442A" w:rsidP="00D0442A">
            <w:pPr>
              <w:spacing w:after="0"/>
              <w:ind w:firstLine="0"/>
              <w:jc w:val="right"/>
              <w:rPr>
                <w:sz w:val="18"/>
                <w:szCs w:val="18"/>
              </w:rPr>
            </w:pPr>
            <w:r w:rsidRPr="00996C4B">
              <w:rPr>
                <w:color w:val="000000"/>
                <w:sz w:val="18"/>
                <w:szCs w:val="18"/>
              </w:rPr>
              <w:t>789,9</w:t>
            </w:r>
          </w:p>
        </w:tc>
        <w:tc>
          <w:tcPr>
            <w:tcW w:w="850" w:type="dxa"/>
            <w:tcBorders>
              <w:top w:val="nil"/>
              <w:left w:val="nil"/>
              <w:bottom w:val="single" w:sz="4" w:space="0" w:color="auto"/>
              <w:right w:val="single" w:sz="4" w:space="0" w:color="auto"/>
            </w:tcBorders>
            <w:shd w:val="clear" w:color="auto" w:fill="auto"/>
            <w:noWrap/>
            <w:vAlign w:val="center"/>
          </w:tcPr>
          <w:p w14:paraId="535B40FE" w14:textId="77777777" w:rsidR="00D0442A" w:rsidRPr="00996C4B" w:rsidRDefault="00D0442A" w:rsidP="00D0442A">
            <w:pPr>
              <w:spacing w:after="0"/>
              <w:ind w:firstLine="0"/>
              <w:jc w:val="right"/>
              <w:rPr>
                <w:sz w:val="18"/>
                <w:szCs w:val="18"/>
              </w:rPr>
            </w:pPr>
            <w:r w:rsidRPr="00996C4B">
              <w:rPr>
                <w:color w:val="000000"/>
                <w:sz w:val="18"/>
                <w:szCs w:val="18"/>
              </w:rPr>
              <w:t>794,9</w:t>
            </w:r>
          </w:p>
        </w:tc>
        <w:tc>
          <w:tcPr>
            <w:tcW w:w="851" w:type="dxa"/>
            <w:tcBorders>
              <w:top w:val="nil"/>
              <w:left w:val="nil"/>
              <w:bottom w:val="single" w:sz="4" w:space="0" w:color="auto"/>
              <w:right w:val="single" w:sz="4" w:space="0" w:color="auto"/>
            </w:tcBorders>
            <w:shd w:val="clear" w:color="auto" w:fill="auto"/>
            <w:noWrap/>
            <w:vAlign w:val="center"/>
          </w:tcPr>
          <w:p w14:paraId="6ED936FF" w14:textId="77777777" w:rsidR="00D0442A" w:rsidRPr="00996C4B" w:rsidRDefault="00D0442A" w:rsidP="00D0442A">
            <w:pPr>
              <w:spacing w:after="0"/>
              <w:ind w:firstLine="0"/>
              <w:jc w:val="right"/>
              <w:rPr>
                <w:sz w:val="18"/>
                <w:szCs w:val="18"/>
              </w:rPr>
            </w:pPr>
            <w:r w:rsidRPr="00996C4B">
              <w:rPr>
                <w:color w:val="000000"/>
                <w:sz w:val="18"/>
                <w:szCs w:val="18"/>
              </w:rPr>
              <w:t>788,9</w:t>
            </w:r>
          </w:p>
        </w:tc>
        <w:tc>
          <w:tcPr>
            <w:tcW w:w="850" w:type="dxa"/>
            <w:tcBorders>
              <w:top w:val="nil"/>
              <w:left w:val="nil"/>
              <w:bottom w:val="single" w:sz="4" w:space="0" w:color="auto"/>
              <w:right w:val="single" w:sz="4" w:space="0" w:color="auto"/>
            </w:tcBorders>
            <w:shd w:val="clear" w:color="auto" w:fill="auto"/>
            <w:noWrap/>
            <w:vAlign w:val="center"/>
          </w:tcPr>
          <w:p w14:paraId="1E1FD5F7" w14:textId="77777777" w:rsidR="00D0442A" w:rsidRPr="00996C4B" w:rsidRDefault="00D0442A" w:rsidP="00D0442A">
            <w:pPr>
              <w:spacing w:after="0"/>
              <w:ind w:firstLine="0"/>
              <w:jc w:val="right"/>
              <w:rPr>
                <w:sz w:val="18"/>
                <w:szCs w:val="18"/>
              </w:rPr>
            </w:pPr>
            <w:r w:rsidRPr="00996C4B">
              <w:rPr>
                <w:color w:val="000000"/>
                <w:sz w:val="18"/>
                <w:szCs w:val="18"/>
              </w:rPr>
              <w:t>520,2</w:t>
            </w:r>
          </w:p>
        </w:tc>
        <w:tc>
          <w:tcPr>
            <w:tcW w:w="851" w:type="dxa"/>
            <w:tcBorders>
              <w:top w:val="single" w:sz="4" w:space="0" w:color="auto"/>
              <w:left w:val="nil"/>
              <w:bottom w:val="single" w:sz="4" w:space="0" w:color="auto"/>
              <w:right w:val="single" w:sz="4" w:space="0" w:color="auto"/>
            </w:tcBorders>
            <w:vAlign w:val="center"/>
          </w:tcPr>
          <w:p w14:paraId="46602BFD" w14:textId="77777777" w:rsidR="00D0442A" w:rsidRPr="00996C4B" w:rsidRDefault="00D0442A" w:rsidP="00D0442A">
            <w:pPr>
              <w:spacing w:after="0"/>
              <w:ind w:firstLine="0"/>
              <w:jc w:val="right"/>
              <w:rPr>
                <w:sz w:val="18"/>
                <w:szCs w:val="18"/>
              </w:rPr>
            </w:pPr>
            <w:r w:rsidRPr="00996C4B">
              <w:rPr>
                <w:color w:val="000000"/>
                <w:sz w:val="18"/>
                <w:szCs w:val="18"/>
              </w:rPr>
              <w:t>456,5</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28458C8" w14:textId="77777777" w:rsidR="00D0442A" w:rsidRPr="00996C4B" w:rsidRDefault="00D0442A" w:rsidP="00D0442A">
            <w:pPr>
              <w:spacing w:after="0"/>
              <w:ind w:firstLine="0"/>
              <w:jc w:val="right"/>
              <w:rPr>
                <w:sz w:val="18"/>
                <w:szCs w:val="18"/>
              </w:rPr>
            </w:pPr>
            <w:r w:rsidRPr="00996C4B">
              <w:rPr>
                <w:color w:val="000000"/>
                <w:sz w:val="18"/>
                <w:szCs w:val="18"/>
              </w:rPr>
              <w:t>963,9</w:t>
            </w:r>
          </w:p>
        </w:tc>
        <w:tc>
          <w:tcPr>
            <w:tcW w:w="851" w:type="dxa"/>
            <w:tcBorders>
              <w:top w:val="nil"/>
              <w:left w:val="nil"/>
              <w:bottom w:val="single" w:sz="4" w:space="0" w:color="auto"/>
              <w:right w:val="single" w:sz="4" w:space="0" w:color="auto"/>
            </w:tcBorders>
            <w:shd w:val="clear" w:color="auto" w:fill="auto"/>
            <w:noWrap/>
            <w:vAlign w:val="center"/>
          </w:tcPr>
          <w:p w14:paraId="5A4EE29F" w14:textId="77777777" w:rsidR="00D0442A" w:rsidRPr="00996C4B" w:rsidRDefault="00D0442A" w:rsidP="00D0442A">
            <w:pPr>
              <w:spacing w:after="0"/>
              <w:ind w:firstLine="0"/>
              <w:jc w:val="right"/>
              <w:rPr>
                <w:sz w:val="18"/>
                <w:szCs w:val="18"/>
              </w:rPr>
            </w:pPr>
            <w:r w:rsidRPr="00996C4B">
              <w:rPr>
                <w:color w:val="000000"/>
                <w:sz w:val="18"/>
                <w:szCs w:val="18"/>
              </w:rPr>
              <w:t>515,1</w:t>
            </w:r>
          </w:p>
        </w:tc>
        <w:tc>
          <w:tcPr>
            <w:tcW w:w="850" w:type="dxa"/>
            <w:tcBorders>
              <w:top w:val="nil"/>
              <w:left w:val="nil"/>
              <w:bottom w:val="single" w:sz="4" w:space="0" w:color="auto"/>
              <w:right w:val="single" w:sz="4" w:space="0" w:color="auto"/>
            </w:tcBorders>
            <w:shd w:val="clear" w:color="auto" w:fill="auto"/>
            <w:noWrap/>
            <w:vAlign w:val="center"/>
          </w:tcPr>
          <w:p w14:paraId="1F58D23E" w14:textId="77777777" w:rsidR="00D0442A" w:rsidRPr="00996C4B" w:rsidRDefault="00D0442A" w:rsidP="00D0442A">
            <w:pPr>
              <w:spacing w:after="0"/>
              <w:ind w:firstLine="0"/>
              <w:jc w:val="right"/>
              <w:rPr>
                <w:sz w:val="18"/>
                <w:szCs w:val="18"/>
              </w:rPr>
            </w:pPr>
            <w:r w:rsidRPr="00996C4B">
              <w:rPr>
                <w:color w:val="000000"/>
                <w:sz w:val="18"/>
                <w:szCs w:val="18"/>
              </w:rPr>
              <w:t>532,9</w:t>
            </w:r>
          </w:p>
        </w:tc>
      </w:tr>
      <w:tr w:rsidR="00D0442A" w:rsidRPr="0026061A" w14:paraId="2E2543E9"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6DAB344" w14:textId="77777777" w:rsidR="00D0442A" w:rsidRPr="00F07E39" w:rsidRDefault="00D0442A" w:rsidP="00D0442A">
            <w:pPr>
              <w:spacing w:after="0"/>
              <w:ind w:firstLine="0"/>
              <w:jc w:val="left"/>
              <w:rPr>
                <w:b/>
                <w:bCs/>
                <w:i/>
                <w:iCs/>
                <w:sz w:val="19"/>
                <w:szCs w:val="19"/>
              </w:rPr>
            </w:pPr>
            <w:r w:rsidRPr="00F07E39">
              <w:rPr>
                <w:b/>
                <w:bCs/>
                <w:i/>
                <w:iCs/>
                <w:sz w:val="19"/>
                <w:szCs w:val="19"/>
              </w:rPr>
              <w:t>VALSTS SPECIĀLĀ BUDŽETA BILANCE</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F1BEE66" w14:textId="77777777" w:rsidR="00D0442A" w:rsidRPr="00AF68C1" w:rsidRDefault="00D0442A" w:rsidP="00D0442A">
            <w:pPr>
              <w:spacing w:after="0"/>
              <w:ind w:firstLine="0"/>
              <w:jc w:val="right"/>
              <w:rPr>
                <w:b/>
                <w:sz w:val="18"/>
                <w:szCs w:val="18"/>
              </w:rPr>
            </w:pPr>
            <w:r w:rsidRPr="00AF68C1">
              <w:rPr>
                <w:b/>
                <w:bCs/>
                <w:color w:val="000000"/>
                <w:sz w:val="18"/>
                <w:szCs w:val="18"/>
              </w:rPr>
              <w:t>114,9</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D95AFD2" w14:textId="77777777" w:rsidR="00D0442A" w:rsidRPr="00AF68C1" w:rsidRDefault="00D0442A" w:rsidP="00D0442A">
            <w:pPr>
              <w:spacing w:after="0"/>
              <w:ind w:firstLine="0"/>
              <w:jc w:val="right"/>
              <w:rPr>
                <w:b/>
                <w:sz w:val="18"/>
                <w:szCs w:val="18"/>
              </w:rPr>
            </w:pPr>
            <w:r w:rsidRPr="00AF68C1">
              <w:rPr>
                <w:b/>
                <w:bCs/>
                <w:color w:val="000000"/>
                <w:sz w:val="18"/>
                <w:szCs w:val="18"/>
              </w:rPr>
              <w:t>-113,8</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286F34B" w14:textId="77777777" w:rsidR="00D0442A" w:rsidRPr="00AF68C1" w:rsidRDefault="00D0442A" w:rsidP="00D0442A">
            <w:pPr>
              <w:spacing w:after="0"/>
              <w:ind w:firstLine="0"/>
              <w:jc w:val="right"/>
              <w:rPr>
                <w:b/>
                <w:sz w:val="18"/>
                <w:szCs w:val="18"/>
              </w:rPr>
            </w:pPr>
            <w:r w:rsidRPr="00AF68C1">
              <w:rPr>
                <w:b/>
                <w:bCs/>
                <w:color w:val="000000"/>
                <w:sz w:val="18"/>
                <w:szCs w:val="18"/>
              </w:rPr>
              <w:t>19,6</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E303C39" w14:textId="77777777" w:rsidR="00D0442A" w:rsidRPr="00AF68C1" w:rsidRDefault="00D0442A" w:rsidP="00D0442A">
            <w:pPr>
              <w:spacing w:after="0"/>
              <w:ind w:firstLine="0"/>
              <w:jc w:val="right"/>
              <w:rPr>
                <w:b/>
                <w:sz w:val="18"/>
                <w:szCs w:val="18"/>
              </w:rPr>
            </w:pPr>
            <w:r w:rsidRPr="00AF68C1">
              <w:rPr>
                <w:b/>
                <w:bCs/>
                <w:color w:val="000000"/>
                <w:sz w:val="18"/>
                <w:szCs w:val="18"/>
              </w:rPr>
              <w:t>86,7</w:t>
            </w:r>
          </w:p>
        </w:tc>
        <w:tc>
          <w:tcPr>
            <w:tcW w:w="851" w:type="dxa"/>
            <w:tcBorders>
              <w:top w:val="single" w:sz="4" w:space="0" w:color="auto"/>
              <w:left w:val="nil"/>
              <w:bottom w:val="single" w:sz="4" w:space="0" w:color="auto"/>
              <w:right w:val="single" w:sz="4" w:space="0" w:color="auto"/>
            </w:tcBorders>
            <w:vAlign w:val="center"/>
          </w:tcPr>
          <w:p w14:paraId="6B82FE1F" w14:textId="77777777" w:rsidR="00D0442A" w:rsidRPr="00AF68C1" w:rsidRDefault="00D0442A" w:rsidP="00D0442A">
            <w:pPr>
              <w:spacing w:after="0"/>
              <w:ind w:firstLine="0"/>
              <w:jc w:val="right"/>
              <w:rPr>
                <w:b/>
                <w:sz w:val="18"/>
                <w:szCs w:val="18"/>
              </w:rPr>
            </w:pPr>
            <w:r w:rsidRPr="00AF68C1">
              <w:rPr>
                <w:b/>
                <w:bCs/>
                <w:color w:val="000000"/>
                <w:sz w:val="18"/>
                <w:szCs w:val="18"/>
              </w:rPr>
              <w:t>19,1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BCA93" w14:textId="77777777" w:rsidR="00D0442A" w:rsidRPr="00AF68C1" w:rsidRDefault="00D0442A" w:rsidP="00D0442A">
            <w:pPr>
              <w:spacing w:after="0"/>
              <w:ind w:firstLine="0"/>
              <w:jc w:val="right"/>
              <w:rPr>
                <w:b/>
                <w:i/>
                <w:sz w:val="18"/>
                <w:szCs w:val="18"/>
              </w:rPr>
            </w:pPr>
            <w:r w:rsidRPr="00AF68C1">
              <w:rPr>
                <w:b/>
                <w:bCs/>
                <w:sz w:val="18"/>
                <w:szCs w:val="18"/>
              </w:rPr>
              <w:t>50,4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B771EAE" w14:textId="77777777" w:rsidR="00D0442A" w:rsidRPr="00AF68C1" w:rsidRDefault="00D0442A" w:rsidP="00D0442A">
            <w:pPr>
              <w:spacing w:after="0"/>
              <w:ind w:firstLine="0"/>
              <w:jc w:val="right"/>
              <w:rPr>
                <w:b/>
                <w:i/>
                <w:sz w:val="18"/>
                <w:szCs w:val="18"/>
              </w:rPr>
            </w:pPr>
            <w:r w:rsidRPr="00AF68C1">
              <w:rPr>
                <w:b/>
                <w:bCs/>
                <w:sz w:val="18"/>
                <w:szCs w:val="18"/>
              </w:rPr>
              <w:t>130,0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3E0B24F" w14:textId="77777777" w:rsidR="00D0442A" w:rsidRPr="00AF68C1" w:rsidRDefault="00D0442A" w:rsidP="00D0442A">
            <w:pPr>
              <w:spacing w:after="0"/>
              <w:ind w:firstLine="0"/>
              <w:jc w:val="right"/>
              <w:rPr>
                <w:b/>
                <w:i/>
                <w:sz w:val="18"/>
                <w:szCs w:val="18"/>
              </w:rPr>
            </w:pPr>
            <w:r w:rsidRPr="00AF68C1">
              <w:rPr>
                <w:b/>
                <w:bCs/>
                <w:sz w:val="18"/>
                <w:szCs w:val="18"/>
              </w:rPr>
              <w:t>63,5</w:t>
            </w:r>
          </w:p>
        </w:tc>
      </w:tr>
      <w:tr w:rsidR="00D0442A" w:rsidRPr="0026061A" w14:paraId="68464B74"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6AB18DC" w14:textId="77777777" w:rsidR="00D0442A" w:rsidRPr="00F07E39" w:rsidRDefault="00D0442A" w:rsidP="00D0442A">
            <w:pPr>
              <w:spacing w:after="0"/>
              <w:ind w:left="-183" w:firstLineChars="100" w:firstLine="190"/>
              <w:jc w:val="left"/>
              <w:rPr>
                <w:sz w:val="19"/>
                <w:szCs w:val="19"/>
              </w:rPr>
            </w:pPr>
            <w:r w:rsidRPr="00F07E39">
              <w:rPr>
                <w:sz w:val="19"/>
                <w:szCs w:val="19"/>
              </w:rPr>
              <w:t>Ieņēmumi</w:t>
            </w:r>
          </w:p>
        </w:tc>
        <w:tc>
          <w:tcPr>
            <w:tcW w:w="851" w:type="dxa"/>
            <w:tcBorders>
              <w:top w:val="nil"/>
              <w:left w:val="nil"/>
              <w:bottom w:val="single" w:sz="4" w:space="0" w:color="auto"/>
              <w:right w:val="single" w:sz="4" w:space="0" w:color="auto"/>
            </w:tcBorders>
            <w:shd w:val="clear" w:color="auto" w:fill="auto"/>
            <w:noWrap/>
            <w:vAlign w:val="center"/>
          </w:tcPr>
          <w:p w14:paraId="4CE59A3F" w14:textId="77777777" w:rsidR="00D0442A" w:rsidRPr="00AF68C1" w:rsidRDefault="00D0442A" w:rsidP="00D0442A">
            <w:pPr>
              <w:spacing w:after="0"/>
              <w:ind w:firstLine="0"/>
              <w:jc w:val="right"/>
              <w:rPr>
                <w:sz w:val="18"/>
                <w:szCs w:val="18"/>
              </w:rPr>
            </w:pPr>
            <w:r w:rsidRPr="00AF68C1">
              <w:rPr>
                <w:sz w:val="18"/>
                <w:szCs w:val="18"/>
              </w:rPr>
              <w:t>3 107,6</w:t>
            </w:r>
          </w:p>
        </w:tc>
        <w:tc>
          <w:tcPr>
            <w:tcW w:w="850" w:type="dxa"/>
            <w:tcBorders>
              <w:top w:val="nil"/>
              <w:left w:val="nil"/>
              <w:bottom w:val="single" w:sz="4" w:space="0" w:color="auto"/>
              <w:right w:val="single" w:sz="4" w:space="0" w:color="auto"/>
            </w:tcBorders>
            <w:shd w:val="clear" w:color="auto" w:fill="auto"/>
            <w:noWrap/>
            <w:vAlign w:val="center"/>
          </w:tcPr>
          <w:p w14:paraId="1F5B3310" w14:textId="77777777" w:rsidR="00D0442A" w:rsidRPr="00AF68C1" w:rsidRDefault="00D0442A" w:rsidP="00D0442A">
            <w:pPr>
              <w:spacing w:after="0"/>
              <w:ind w:firstLine="0"/>
              <w:jc w:val="right"/>
              <w:rPr>
                <w:sz w:val="18"/>
                <w:szCs w:val="18"/>
              </w:rPr>
            </w:pPr>
            <w:r w:rsidRPr="00AF68C1">
              <w:rPr>
                <w:sz w:val="18"/>
                <w:szCs w:val="18"/>
              </w:rPr>
              <w:t>3 140,4</w:t>
            </w:r>
          </w:p>
        </w:tc>
        <w:tc>
          <w:tcPr>
            <w:tcW w:w="851" w:type="dxa"/>
            <w:tcBorders>
              <w:top w:val="nil"/>
              <w:left w:val="nil"/>
              <w:bottom w:val="single" w:sz="4" w:space="0" w:color="auto"/>
              <w:right w:val="single" w:sz="4" w:space="0" w:color="auto"/>
            </w:tcBorders>
            <w:shd w:val="clear" w:color="auto" w:fill="auto"/>
            <w:noWrap/>
            <w:vAlign w:val="center"/>
          </w:tcPr>
          <w:p w14:paraId="08C2ADEE" w14:textId="77777777" w:rsidR="00D0442A" w:rsidRPr="00AF68C1" w:rsidRDefault="00D0442A" w:rsidP="00D0442A">
            <w:pPr>
              <w:spacing w:after="0"/>
              <w:ind w:firstLine="0"/>
              <w:jc w:val="right"/>
              <w:rPr>
                <w:sz w:val="18"/>
                <w:szCs w:val="18"/>
              </w:rPr>
            </w:pPr>
            <w:r w:rsidRPr="00AF68C1">
              <w:rPr>
                <w:sz w:val="18"/>
                <w:szCs w:val="18"/>
              </w:rPr>
              <w:t>3 407,2</w:t>
            </w:r>
          </w:p>
        </w:tc>
        <w:tc>
          <w:tcPr>
            <w:tcW w:w="850" w:type="dxa"/>
            <w:tcBorders>
              <w:top w:val="nil"/>
              <w:left w:val="nil"/>
              <w:bottom w:val="single" w:sz="4" w:space="0" w:color="auto"/>
              <w:right w:val="single" w:sz="4" w:space="0" w:color="auto"/>
            </w:tcBorders>
            <w:shd w:val="clear" w:color="auto" w:fill="auto"/>
            <w:noWrap/>
            <w:vAlign w:val="center"/>
          </w:tcPr>
          <w:p w14:paraId="2F973105" w14:textId="77777777" w:rsidR="00D0442A" w:rsidRPr="00AF68C1" w:rsidRDefault="00D0442A" w:rsidP="00D0442A">
            <w:pPr>
              <w:spacing w:after="0"/>
              <w:ind w:firstLine="0"/>
              <w:jc w:val="right"/>
              <w:rPr>
                <w:sz w:val="18"/>
                <w:szCs w:val="18"/>
              </w:rPr>
            </w:pPr>
            <w:r w:rsidRPr="00AF68C1">
              <w:rPr>
                <w:sz w:val="18"/>
                <w:szCs w:val="18"/>
              </w:rPr>
              <w:t>3 627,6</w:t>
            </w:r>
          </w:p>
        </w:tc>
        <w:tc>
          <w:tcPr>
            <w:tcW w:w="851" w:type="dxa"/>
            <w:tcBorders>
              <w:top w:val="single" w:sz="4" w:space="0" w:color="auto"/>
              <w:left w:val="nil"/>
              <w:bottom w:val="single" w:sz="4" w:space="0" w:color="auto"/>
              <w:right w:val="single" w:sz="4" w:space="0" w:color="auto"/>
            </w:tcBorders>
            <w:vAlign w:val="center"/>
          </w:tcPr>
          <w:p w14:paraId="56405113" w14:textId="77777777" w:rsidR="00D0442A" w:rsidRPr="00AF68C1" w:rsidRDefault="00D0442A" w:rsidP="00D0442A">
            <w:pPr>
              <w:spacing w:after="0"/>
              <w:ind w:firstLine="0"/>
              <w:jc w:val="right"/>
              <w:rPr>
                <w:sz w:val="18"/>
                <w:szCs w:val="18"/>
              </w:rPr>
            </w:pPr>
            <w:r w:rsidRPr="00AF68C1">
              <w:rPr>
                <w:sz w:val="18"/>
                <w:szCs w:val="18"/>
              </w:rPr>
              <w:t>3 790,6</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C7331F2" w14:textId="77777777" w:rsidR="00D0442A" w:rsidRPr="00AF68C1" w:rsidRDefault="00D0442A" w:rsidP="00D0442A">
            <w:pPr>
              <w:spacing w:after="0"/>
              <w:ind w:firstLine="0"/>
              <w:jc w:val="right"/>
              <w:rPr>
                <w:sz w:val="18"/>
                <w:szCs w:val="18"/>
              </w:rPr>
            </w:pPr>
            <w:r w:rsidRPr="00AF68C1">
              <w:rPr>
                <w:sz w:val="18"/>
                <w:szCs w:val="18"/>
              </w:rPr>
              <w:t>3 437,5</w:t>
            </w:r>
          </w:p>
        </w:tc>
        <w:tc>
          <w:tcPr>
            <w:tcW w:w="851" w:type="dxa"/>
            <w:tcBorders>
              <w:top w:val="nil"/>
              <w:left w:val="nil"/>
              <w:bottom w:val="single" w:sz="4" w:space="0" w:color="auto"/>
              <w:right w:val="single" w:sz="4" w:space="0" w:color="auto"/>
            </w:tcBorders>
            <w:shd w:val="clear" w:color="auto" w:fill="auto"/>
            <w:noWrap/>
            <w:vAlign w:val="center"/>
          </w:tcPr>
          <w:p w14:paraId="6A500E44" w14:textId="77777777" w:rsidR="00D0442A" w:rsidRPr="00AF68C1" w:rsidRDefault="00D0442A" w:rsidP="00D0442A">
            <w:pPr>
              <w:spacing w:after="0"/>
              <w:ind w:firstLine="0"/>
              <w:jc w:val="right"/>
              <w:rPr>
                <w:sz w:val="18"/>
                <w:szCs w:val="18"/>
              </w:rPr>
            </w:pPr>
            <w:r w:rsidRPr="00AF68C1">
              <w:rPr>
                <w:sz w:val="18"/>
                <w:szCs w:val="18"/>
              </w:rPr>
              <w:t>3 668,0</w:t>
            </w:r>
          </w:p>
        </w:tc>
        <w:tc>
          <w:tcPr>
            <w:tcW w:w="850" w:type="dxa"/>
            <w:tcBorders>
              <w:top w:val="nil"/>
              <w:left w:val="nil"/>
              <w:bottom w:val="single" w:sz="4" w:space="0" w:color="auto"/>
              <w:right w:val="single" w:sz="4" w:space="0" w:color="auto"/>
            </w:tcBorders>
            <w:shd w:val="clear" w:color="auto" w:fill="auto"/>
            <w:noWrap/>
            <w:vAlign w:val="center"/>
          </w:tcPr>
          <w:p w14:paraId="1C404290" w14:textId="77777777" w:rsidR="00D0442A" w:rsidRPr="00AF68C1" w:rsidRDefault="00D0442A" w:rsidP="00D0442A">
            <w:pPr>
              <w:spacing w:after="0"/>
              <w:ind w:firstLine="0"/>
              <w:jc w:val="right"/>
              <w:rPr>
                <w:sz w:val="18"/>
                <w:szCs w:val="18"/>
              </w:rPr>
            </w:pPr>
            <w:r w:rsidRPr="00AF68C1">
              <w:rPr>
                <w:sz w:val="18"/>
                <w:szCs w:val="18"/>
              </w:rPr>
              <w:t>3 831,1</w:t>
            </w:r>
          </w:p>
        </w:tc>
      </w:tr>
      <w:tr w:rsidR="00D0442A" w:rsidRPr="0026061A" w14:paraId="25770FB3"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BC9835F" w14:textId="77777777" w:rsidR="00D0442A" w:rsidRPr="00F07E39" w:rsidRDefault="00D0442A" w:rsidP="00D0442A">
            <w:pPr>
              <w:spacing w:after="0"/>
              <w:ind w:left="-239" w:firstLineChars="200" w:firstLine="380"/>
              <w:jc w:val="left"/>
              <w:rPr>
                <w:sz w:val="19"/>
                <w:szCs w:val="19"/>
              </w:rPr>
            </w:pPr>
            <w:r w:rsidRPr="00F07E39">
              <w:rPr>
                <w:sz w:val="19"/>
                <w:szCs w:val="19"/>
              </w:rPr>
              <w:t>Nodokļu ieņēmumi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C1B25F" w14:textId="77777777" w:rsidR="00D0442A" w:rsidRPr="00AF68C1" w:rsidRDefault="00D0442A" w:rsidP="00D0442A">
            <w:pPr>
              <w:spacing w:after="0"/>
              <w:ind w:firstLine="0"/>
              <w:jc w:val="right"/>
              <w:rPr>
                <w:sz w:val="18"/>
                <w:szCs w:val="18"/>
              </w:rPr>
            </w:pPr>
            <w:r w:rsidRPr="00AF68C1">
              <w:rPr>
                <w:sz w:val="18"/>
                <w:szCs w:val="18"/>
              </w:rPr>
              <w:t>2 815,9</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DE4BEDB" w14:textId="77777777" w:rsidR="00D0442A" w:rsidRPr="00AF68C1" w:rsidRDefault="00D0442A" w:rsidP="00D0442A">
            <w:pPr>
              <w:spacing w:after="0"/>
              <w:ind w:firstLine="0"/>
              <w:jc w:val="right"/>
              <w:rPr>
                <w:sz w:val="18"/>
                <w:szCs w:val="18"/>
              </w:rPr>
            </w:pPr>
            <w:r w:rsidRPr="00AF68C1">
              <w:rPr>
                <w:sz w:val="18"/>
                <w:szCs w:val="18"/>
              </w:rPr>
              <w:t>2 794,8</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B7A90F4" w14:textId="77777777" w:rsidR="00D0442A" w:rsidRPr="00AF68C1" w:rsidRDefault="00D0442A" w:rsidP="00D0442A">
            <w:pPr>
              <w:spacing w:after="0"/>
              <w:ind w:firstLine="0"/>
              <w:jc w:val="right"/>
              <w:rPr>
                <w:sz w:val="18"/>
                <w:szCs w:val="18"/>
              </w:rPr>
            </w:pPr>
            <w:r w:rsidRPr="00AF68C1">
              <w:rPr>
                <w:sz w:val="18"/>
                <w:szCs w:val="18"/>
              </w:rPr>
              <w:t>3 104,1</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817BFB9" w14:textId="77777777" w:rsidR="00D0442A" w:rsidRPr="00AF68C1" w:rsidRDefault="00D0442A" w:rsidP="00D0442A">
            <w:pPr>
              <w:spacing w:after="0"/>
              <w:ind w:firstLine="0"/>
              <w:jc w:val="right"/>
              <w:rPr>
                <w:sz w:val="18"/>
                <w:szCs w:val="18"/>
              </w:rPr>
            </w:pPr>
            <w:r w:rsidRPr="00AF68C1">
              <w:rPr>
                <w:sz w:val="18"/>
                <w:szCs w:val="18"/>
              </w:rPr>
              <w:t>3 325,5</w:t>
            </w:r>
          </w:p>
        </w:tc>
        <w:tc>
          <w:tcPr>
            <w:tcW w:w="851" w:type="dxa"/>
            <w:tcBorders>
              <w:top w:val="single" w:sz="4" w:space="0" w:color="auto"/>
              <w:left w:val="nil"/>
              <w:bottom w:val="single" w:sz="4" w:space="0" w:color="auto"/>
              <w:right w:val="single" w:sz="4" w:space="0" w:color="auto"/>
            </w:tcBorders>
            <w:vAlign w:val="center"/>
          </w:tcPr>
          <w:p w14:paraId="22230961" w14:textId="77777777" w:rsidR="00D0442A" w:rsidRPr="00AF68C1" w:rsidRDefault="00D0442A" w:rsidP="00D0442A">
            <w:pPr>
              <w:spacing w:after="0"/>
              <w:ind w:firstLine="0"/>
              <w:jc w:val="right"/>
              <w:rPr>
                <w:sz w:val="18"/>
                <w:szCs w:val="18"/>
              </w:rPr>
            </w:pPr>
            <w:r w:rsidRPr="00AF68C1">
              <w:rPr>
                <w:sz w:val="18"/>
                <w:szCs w:val="18"/>
              </w:rPr>
              <w:t>3 488,2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B9AAB" w14:textId="77777777" w:rsidR="00D0442A" w:rsidRPr="00AF68C1" w:rsidRDefault="00D0442A" w:rsidP="00D0442A">
            <w:pPr>
              <w:spacing w:after="0"/>
              <w:ind w:firstLine="0"/>
              <w:jc w:val="right"/>
              <w:rPr>
                <w:sz w:val="18"/>
                <w:szCs w:val="18"/>
              </w:rPr>
            </w:pPr>
            <w:r w:rsidRPr="00AF68C1">
              <w:rPr>
                <w:sz w:val="18"/>
                <w:szCs w:val="18"/>
              </w:rPr>
              <w:t>3 133,3</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4D95016" w14:textId="77777777" w:rsidR="00D0442A" w:rsidRPr="00AF68C1" w:rsidRDefault="00D0442A" w:rsidP="00D0442A">
            <w:pPr>
              <w:spacing w:after="0"/>
              <w:ind w:firstLine="0"/>
              <w:jc w:val="right"/>
              <w:rPr>
                <w:sz w:val="18"/>
                <w:szCs w:val="18"/>
              </w:rPr>
            </w:pPr>
            <w:r w:rsidRPr="00AF68C1">
              <w:rPr>
                <w:sz w:val="18"/>
                <w:szCs w:val="18"/>
              </w:rPr>
              <w:t>3 366,0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FE23E25" w14:textId="77777777" w:rsidR="00D0442A" w:rsidRPr="00AF68C1" w:rsidRDefault="00D0442A" w:rsidP="00D0442A">
            <w:pPr>
              <w:spacing w:after="0"/>
              <w:ind w:firstLine="0"/>
              <w:jc w:val="right"/>
              <w:rPr>
                <w:sz w:val="18"/>
                <w:szCs w:val="18"/>
              </w:rPr>
            </w:pPr>
            <w:r w:rsidRPr="00AF68C1">
              <w:rPr>
                <w:sz w:val="18"/>
                <w:szCs w:val="18"/>
              </w:rPr>
              <w:t>3 528,7</w:t>
            </w:r>
          </w:p>
        </w:tc>
      </w:tr>
      <w:tr w:rsidR="00D0442A" w:rsidRPr="0026061A" w14:paraId="70B5BE4E"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3A1FC0C" w14:textId="77777777" w:rsidR="00D0442A" w:rsidRPr="00F07E39" w:rsidRDefault="00D0442A" w:rsidP="00D0442A">
            <w:pPr>
              <w:spacing w:after="0"/>
              <w:ind w:left="-239" w:firstLineChars="200" w:firstLine="380"/>
              <w:jc w:val="left"/>
              <w:rPr>
                <w:sz w:val="19"/>
                <w:szCs w:val="19"/>
              </w:rPr>
            </w:pPr>
            <w:r w:rsidRPr="00F07E39">
              <w:rPr>
                <w:sz w:val="19"/>
                <w:szCs w:val="19"/>
              </w:rPr>
              <w:t>Pārējie ieņēmumi</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84F5723" w14:textId="77777777" w:rsidR="00D0442A" w:rsidRPr="00AF68C1" w:rsidRDefault="00D0442A" w:rsidP="00D0442A">
            <w:pPr>
              <w:spacing w:after="0"/>
              <w:ind w:firstLine="0"/>
              <w:jc w:val="right"/>
              <w:rPr>
                <w:sz w:val="18"/>
                <w:szCs w:val="18"/>
              </w:rPr>
            </w:pPr>
            <w:r w:rsidRPr="00AF68C1">
              <w:rPr>
                <w:color w:val="000000"/>
                <w:sz w:val="18"/>
                <w:szCs w:val="18"/>
              </w:rPr>
              <w:t>291,7</w:t>
            </w:r>
          </w:p>
        </w:tc>
        <w:tc>
          <w:tcPr>
            <w:tcW w:w="850" w:type="dxa"/>
            <w:tcBorders>
              <w:top w:val="nil"/>
              <w:left w:val="nil"/>
              <w:bottom w:val="single" w:sz="4" w:space="0" w:color="auto"/>
              <w:right w:val="single" w:sz="4" w:space="0" w:color="auto"/>
            </w:tcBorders>
            <w:shd w:val="clear" w:color="auto" w:fill="auto"/>
            <w:noWrap/>
            <w:vAlign w:val="center"/>
          </w:tcPr>
          <w:p w14:paraId="76CEC070" w14:textId="77777777" w:rsidR="00D0442A" w:rsidRPr="00AF68C1" w:rsidRDefault="00D0442A" w:rsidP="00D0442A">
            <w:pPr>
              <w:spacing w:after="0"/>
              <w:ind w:firstLine="0"/>
              <w:jc w:val="right"/>
              <w:rPr>
                <w:sz w:val="18"/>
                <w:szCs w:val="18"/>
              </w:rPr>
            </w:pPr>
            <w:r w:rsidRPr="00AF68C1">
              <w:rPr>
                <w:color w:val="000000"/>
                <w:sz w:val="18"/>
                <w:szCs w:val="18"/>
              </w:rPr>
              <w:t>345,6</w:t>
            </w:r>
          </w:p>
        </w:tc>
        <w:tc>
          <w:tcPr>
            <w:tcW w:w="851" w:type="dxa"/>
            <w:tcBorders>
              <w:top w:val="nil"/>
              <w:left w:val="nil"/>
              <w:bottom w:val="single" w:sz="4" w:space="0" w:color="auto"/>
              <w:right w:val="single" w:sz="4" w:space="0" w:color="auto"/>
            </w:tcBorders>
            <w:shd w:val="clear" w:color="auto" w:fill="auto"/>
            <w:noWrap/>
            <w:vAlign w:val="center"/>
          </w:tcPr>
          <w:p w14:paraId="74B98A03" w14:textId="77777777" w:rsidR="00D0442A" w:rsidRPr="00AF68C1" w:rsidRDefault="00D0442A" w:rsidP="00D0442A">
            <w:pPr>
              <w:spacing w:after="0"/>
              <w:ind w:firstLine="0"/>
              <w:jc w:val="right"/>
              <w:rPr>
                <w:sz w:val="18"/>
                <w:szCs w:val="18"/>
              </w:rPr>
            </w:pPr>
            <w:r w:rsidRPr="00AF68C1">
              <w:rPr>
                <w:color w:val="000000"/>
                <w:sz w:val="18"/>
                <w:szCs w:val="18"/>
              </w:rPr>
              <w:t>303,1</w:t>
            </w:r>
          </w:p>
        </w:tc>
        <w:tc>
          <w:tcPr>
            <w:tcW w:w="850" w:type="dxa"/>
            <w:tcBorders>
              <w:top w:val="nil"/>
              <w:left w:val="nil"/>
              <w:bottom w:val="single" w:sz="4" w:space="0" w:color="auto"/>
              <w:right w:val="single" w:sz="4" w:space="0" w:color="auto"/>
            </w:tcBorders>
            <w:shd w:val="clear" w:color="auto" w:fill="auto"/>
            <w:noWrap/>
            <w:vAlign w:val="center"/>
          </w:tcPr>
          <w:p w14:paraId="0CF082B7" w14:textId="77777777" w:rsidR="00D0442A" w:rsidRPr="00AF68C1" w:rsidRDefault="00D0442A" w:rsidP="00D0442A">
            <w:pPr>
              <w:spacing w:after="0"/>
              <w:ind w:firstLine="0"/>
              <w:jc w:val="right"/>
              <w:rPr>
                <w:sz w:val="18"/>
                <w:szCs w:val="18"/>
              </w:rPr>
            </w:pPr>
            <w:r w:rsidRPr="00AF68C1">
              <w:rPr>
                <w:color w:val="000000"/>
                <w:sz w:val="18"/>
                <w:szCs w:val="18"/>
              </w:rPr>
              <w:t>302,1</w:t>
            </w:r>
          </w:p>
        </w:tc>
        <w:tc>
          <w:tcPr>
            <w:tcW w:w="851" w:type="dxa"/>
            <w:tcBorders>
              <w:top w:val="single" w:sz="4" w:space="0" w:color="auto"/>
              <w:left w:val="nil"/>
              <w:bottom w:val="single" w:sz="4" w:space="0" w:color="auto"/>
              <w:right w:val="single" w:sz="4" w:space="0" w:color="auto"/>
            </w:tcBorders>
            <w:vAlign w:val="center"/>
          </w:tcPr>
          <w:p w14:paraId="01D35012" w14:textId="77777777" w:rsidR="00D0442A" w:rsidRPr="00AF68C1" w:rsidRDefault="00D0442A" w:rsidP="00D0442A">
            <w:pPr>
              <w:spacing w:after="0"/>
              <w:ind w:firstLine="0"/>
              <w:jc w:val="right"/>
              <w:rPr>
                <w:sz w:val="18"/>
                <w:szCs w:val="18"/>
              </w:rPr>
            </w:pPr>
            <w:r w:rsidRPr="00AF68C1">
              <w:rPr>
                <w:color w:val="000000"/>
                <w:sz w:val="18"/>
                <w:szCs w:val="18"/>
              </w:rPr>
              <w:t>302,4</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2B36EC0" w14:textId="77777777" w:rsidR="00D0442A" w:rsidRPr="00AF68C1" w:rsidRDefault="00D0442A" w:rsidP="00D0442A">
            <w:pPr>
              <w:spacing w:after="0"/>
              <w:ind w:firstLine="0"/>
              <w:jc w:val="right"/>
              <w:rPr>
                <w:sz w:val="18"/>
                <w:szCs w:val="18"/>
              </w:rPr>
            </w:pPr>
            <w:r w:rsidRPr="00AF68C1">
              <w:rPr>
                <w:color w:val="000000"/>
                <w:sz w:val="18"/>
                <w:szCs w:val="18"/>
              </w:rPr>
              <w:t>304,2</w:t>
            </w:r>
          </w:p>
        </w:tc>
        <w:tc>
          <w:tcPr>
            <w:tcW w:w="851" w:type="dxa"/>
            <w:tcBorders>
              <w:top w:val="nil"/>
              <w:left w:val="nil"/>
              <w:bottom w:val="single" w:sz="4" w:space="0" w:color="auto"/>
              <w:right w:val="single" w:sz="4" w:space="0" w:color="auto"/>
            </w:tcBorders>
            <w:shd w:val="clear" w:color="auto" w:fill="auto"/>
            <w:noWrap/>
            <w:vAlign w:val="center"/>
          </w:tcPr>
          <w:p w14:paraId="58AC75AC" w14:textId="77777777" w:rsidR="00D0442A" w:rsidRPr="00AF68C1" w:rsidRDefault="00D0442A" w:rsidP="00D0442A">
            <w:pPr>
              <w:spacing w:after="0"/>
              <w:ind w:firstLine="0"/>
              <w:jc w:val="right"/>
              <w:rPr>
                <w:sz w:val="18"/>
                <w:szCs w:val="18"/>
              </w:rPr>
            </w:pPr>
            <w:r w:rsidRPr="00AF68C1">
              <w:rPr>
                <w:color w:val="000000"/>
                <w:sz w:val="18"/>
                <w:szCs w:val="18"/>
              </w:rPr>
              <w:t>302,1</w:t>
            </w:r>
          </w:p>
        </w:tc>
        <w:tc>
          <w:tcPr>
            <w:tcW w:w="850" w:type="dxa"/>
            <w:tcBorders>
              <w:top w:val="nil"/>
              <w:left w:val="nil"/>
              <w:bottom w:val="single" w:sz="4" w:space="0" w:color="auto"/>
              <w:right w:val="single" w:sz="4" w:space="0" w:color="auto"/>
            </w:tcBorders>
            <w:shd w:val="clear" w:color="auto" w:fill="auto"/>
            <w:noWrap/>
            <w:vAlign w:val="center"/>
          </w:tcPr>
          <w:p w14:paraId="6B2B219F" w14:textId="77777777" w:rsidR="00D0442A" w:rsidRPr="00AF68C1" w:rsidRDefault="00D0442A" w:rsidP="00D0442A">
            <w:pPr>
              <w:spacing w:after="0"/>
              <w:ind w:firstLine="0"/>
              <w:jc w:val="right"/>
              <w:rPr>
                <w:sz w:val="18"/>
                <w:szCs w:val="18"/>
              </w:rPr>
            </w:pPr>
            <w:r w:rsidRPr="00AF68C1">
              <w:rPr>
                <w:color w:val="000000"/>
                <w:sz w:val="18"/>
                <w:szCs w:val="18"/>
              </w:rPr>
              <w:t>302,4</w:t>
            </w:r>
          </w:p>
        </w:tc>
      </w:tr>
      <w:tr w:rsidR="00D0442A" w:rsidRPr="0026061A" w14:paraId="0F5E413D"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752A5C2" w14:textId="77777777" w:rsidR="00D0442A" w:rsidRPr="00F07E39" w:rsidRDefault="00D0442A" w:rsidP="00D0442A">
            <w:pPr>
              <w:spacing w:after="0"/>
              <w:ind w:left="-183" w:firstLineChars="100" w:firstLine="190"/>
              <w:jc w:val="left"/>
              <w:rPr>
                <w:sz w:val="19"/>
                <w:szCs w:val="19"/>
              </w:rPr>
            </w:pPr>
            <w:r w:rsidRPr="00F07E39">
              <w:rPr>
                <w:sz w:val="19"/>
                <w:szCs w:val="19"/>
              </w:rPr>
              <w:t>Izdevumi</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8ADBADA" w14:textId="77777777" w:rsidR="00D0442A" w:rsidRPr="00AF68C1" w:rsidRDefault="00D0442A" w:rsidP="00D0442A">
            <w:pPr>
              <w:spacing w:after="0"/>
              <w:ind w:firstLine="0"/>
              <w:jc w:val="right"/>
              <w:rPr>
                <w:sz w:val="18"/>
                <w:szCs w:val="18"/>
              </w:rPr>
            </w:pPr>
            <w:r w:rsidRPr="00AF68C1">
              <w:rPr>
                <w:sz w:val="18"/>
                <w:szCs w:val="18"/>
              </w:rPr>
              <w:t>2 992,6</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BE5F997" w14:textId="77777777" w:rsidR="00D0442A" w:rsidRPr="00AF68C1" w:rsidRDefault="00D0442A" w:rsidP="00D0442A">
            <w:pPr>
              <w:spacing w:after="0"/>
              <w:ind w:firstLine="0"/>
              <w:jc w:val="right"/>
              <w:rPr>
                <w:sz w:val="18"/>
                <w:szCs w:val="18"/>
              </w:rPr>
            </w:pPr>
            <w:r w:rsidRPr="00AF68C1">
              <w:rPr>
                <w:sz w:val="18"/>
                <w:szCs w:val="18"/>
              </w:rPr>
              <w:t>3 254,2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0A4D8C5" w14:textId="77777777" w:rsidR="00D0442A" w:rsidRPr="00AF68C1" w:rsidRDefault="00D0442A" w:rsidP="00D0442A">
            <w:pPr>
              <w:spacing w:after="0"/>
              <w:ind w:firstLine="0"/>
              <w:jc w:val="right"/>
              <w:rPr>
                <w:sz w:val="18"/>
                <w:szCs w:val="18"/>
              </w:rPr>
            </w:pPr>
            <w:r w:rsidRPr="00AF68C1">
              <w:rPr>
                <w:sz w:val="18"/>
                <w:szCs w:val="18"/>
              </w:rPr>
              <w:t>3 387,5</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F1CB8E9" w14:textId="77777777" w:rsidR="00D0442A" w:rsidRPr="00AF68C1" w:rsidRDefault="00D0442A" w:rsidP="00D0442A">
            <w:pPr>
              <w:spacing w:after="0"/>
              <w:ind w:firstLine="0"/>
              <w:jc w:val="right"/>
              <w:rPr>
                <w:sz w:val="18"/>
                <w:szCs w:val="18"/>
              </w:rPr>
            </w:pPr>
            <w:r w:rsidRPr="00AF68C1">
              <w:rPr>
                <w:sz w:val="18"/>
                <w:szCs w:val="18"/>
              </w:rPr>
              <w:t>3 540,9</w:t>
            </w:r>
          </w:p>
        </w:tc>
        <w:tc>
          <w:tcPr>
            <w:tcW w:w="851" w:type="dxa"/>
            <w:tcBorders>
              <w:top w:val="single" w:sz="4" w:space="0" w:color="auto"/>
              <w:left w:val="nil"/>
              <w:bottom w:val="single" w:sz="4" w:space="0" w:color="auto"/>
              <w:right w:val="single" w:sz="4" w:space="0" w:color="auto"/>
            </w:tcBorders>
            <w:vAlign w:val="center"/>
          </w:tcPr>
          <w:p w14:paraId="2BEE9717" w14:textId="77777777" w:rsidR="00D0442A" w:rsidRPr="00AF68C1" w:rsidRDefault="00D0442A" w:rsidP="00D0442A">
            <w:pPr>
              <w:spacing w:after="0"/>
              <w:ind w:firstLine="0"/>
              <w:jc w:val="right"/>
              <w:rPr>
                <w:sz w:val="18"/>
                <w:szCs w:val="18"/>
              </w:rPr>
            </w:pPr>
            <w:r w:rsidRPr="00AF68C1">
              <w:rPr>
                <w:sz w:val="18"/>
                <w:szCs w:val="18"/>
              </w:rPr>
              <w:t>3 771,6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71C07" w14:textId="77777777" w:rsidR="00D0442A" w:rsidRPr="00AF68C1" w:rsidRDefault="00D0442A" w:rsidP="00D0442A">
            <w:pPr>
              <w:spacing w:after="0"/>
              <w:ind w:firstLine="0"/>
              <w:jc w:val="right"/>
              <w:rPr>
                <w:sz w:val="18"/>
                <w:szCs w:val="18"/>
              </w:rPr>
            </w:pPr>
            <w:r w:rsidRPr="00AF68C1">
              <w:rPr>
                <w:sz w:val="18"/>
                <w:szCs w:val="18"/>
              </w:rPr>
              <w:t>3 387,1</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66B2E1B" w14:textId="77777777" w:rsidR="00D0442A" w:rsidRPr="00AF68C1" w:rsidRDefault="00D0442A" w:rsidP="00D0442A">
            <w:pPr>
              <w:spacing w:after="0"/>
              <w:ind w:firstLine="0"/>
              <w:jc w:val="right"/>
              <w:rPr>
                <w:sz w:val="18"/>
                <w:szCs w:val="18"/>
              </w:rPr>
            </w:pPr>
            <w:r w:rsidRPr="00AF68C1">
              <w:rPr>
                <w:sz w:val="18"/>
                <w:szCs w:val="18"/>
              </w:rPr>
              <w:t>3 538,1</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8D49B7F" w14:textId="77777777" w:rsidR="00D0442A" w:rsidRPr="00AF68C1" w:rsidRDefault="00D0442A" w:rsidP="00D0442A">
            <w:pPr>
              <w:spacing w:after="0"/>
              <w:ind w:firstLine="0"/>
              <w:jc w:val="right"/>
              <w:rPr>
                <w:sz w:val="18"/>
                <w:szCs w:val="18"/>
              </w:rPr>
            </w:pPr>
            <w:r w:rsidRPr="00AF68C1">
              <w:rPr>
                <w:sz w:val="18"/>
                <w:szCs w:val="18"/>
              </w:rPr>
              <w:t>3 767,7</w:t>
            </w:r>
          </w:p>
        </w:tc>
      </w:tr>
      <w:tr w:rsidR="00D0442A" w:rsidRPr="0026061A" w14:paraId="17B921B6"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DF97C6E" w14:textId="77777777" w:rsidR="00D0442A" w:rsidRPr="00F07E39" w:rsidRDefault="00D0442A" w:rsidP="00D0442A">
            <w:pPr>
              <w:spacing w:after="0"/>
              <w:ind w:left="-239" w:firstLineChars="200" w:firstLine="380"/>
              <w:jc w:val="left"/>
              <w:rPr>
                <w:sz w:val="19"/>
                <w:szCs w:val="19"/>
              </w:rPr>
            </w:pPr>
            <w:r w:rsidRPr="00F07E39">
              <w:rPr>
                <w:sz w:val="19"/>
                <w:szCs w:val="19"/>
              </w:rPr>
              <w:lastRenderedPageBreak/>
              <w:t>Uzturēšanas izdevumi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275570" w14:textId="77777777" w:rsidR="00D0442A" w:rsidRPr="00AF68C1" w:rsidRDefault="00D0442A" w:rsidP="00D0442A">
            <w:pPr>
              <w:spacing w:after="0"/>
              <w:ind w:firstLine="0"/>
              <w:jc w:val="right"/>
              <w:rPr>
                <w:sz w:val="18"/>
                <w:szCs w:val="18"/>
              </w:rPr>
            </w:pPr>
            <w:r w:rsidRPr="00AF68C1">
              <w:rPr>
                <w:sz w:val="18"/>
                <w:szCs w:val="18"/>
              </w:rPr>
              <w:t>2 991,5</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B057C7C" w14:textId="77777777" w:rsidR="00D0442A" w:rsidRPr="00AF68C1" w:rsidRDefault="00D0442A" w:rsidP="00D0442A">
            <w:pPr>
              <w:spacing w:after="0"/>
              <w:ind w:firstLine="0"/>
              <w:jc w:val="right"/>
              <w:rPr>
                <w:sz w:val="18"/>
                <w:szCs w:val="18"/>
              </w:rPr>
            </w:pPr>
            <w:r w:rsidRPr="00AF68C1">
              <w:rPr>
                <w:sz w:val="18"/>
                <w:szCs w:val="18"/>
              </w:rPr>
              <w:t>3 252,1</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C856FDF" w14:textId="77777777" w:rsidR="00D0442A" w:rsidRPr="00AF68C1" w:rsidRDefault="00D0442A" w:rsidP="00D0442A">
            <w:pPr>
              <w:spacing w:after="0"/>
              <w:ind w:firstLine="0"/>
              <w:jc w:val="right"/>
              <w:rPr>
                <w:sz w:val="18"/>
                <w:szCs w:val="18"/>
              </w:rPr>
            </w:pPr>
            <w:r w:rsidRPr="00AF68C1">
              <w:rPr>
                <w:sz w:val="18"/>
                <w:szCs w:val="18"/>
              </w:rPr>
              <w:t>3 386,3</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6219B25" w14:textId="77777777" w:rsidR="00D0442A" w:rsidRPr="00AF68C1" w:rsidRDefault="00D0442A" w:rsidP="00D0442A">
            <w:pPr>
              <w:spacing w:after="0"/>
              <w:ind w:firstLine="0"/>
              <w:jc w:val="right"/>
              <w:rPr>
                <w:sz w:val="18"/>
                <w:szCs w:val="18"/>
              </w:rPr>
            </w:pPr>
            <w:r w:rsidRPr="00AF68C1">
              <w:rPr>
                <w:sz w:val="18"/>
                <w:szCs w:val="18"/>
              </w:rPr>
              <w:t>3 539,8</w:t>
            </w:r>
          </w:p>
        </w:tc>
        <w:tc>
          <w:tcPr>
            <w:tcW w:w="851" w:type="dxa"/>
            <w:tcBorders>
              <w:top w:val="single" w:sz="4" w:space="0" w:color="auto"/>
              <w:left w:val="nil"/>
              <w:bottom w:val="single" w:sz="4" w:space="0" w:color="auto"/>
              <w:right w:val="single" w:sz="4" w:space="0" w:color="auto"/>
            </w:tcBorders>
            <w:vAlign w:val="center"/>
          </w:tcPr>
          <w:p w14:paraId="3249D22E" w14:textId="77777777" w:rsidR="00D0442A" w:rsidRPr="00AF68C1" w:rsidRDefault="00D0442A" w:rsidP="00D0442A">
            <w:pPr>
              <w:spacing w:after="0"/>
              <w:ind w:firstLine="0"/>
              <w:jc w:val="right"/>
              <w:rPr>
                <w:sz w:val="18"/>
                <w:szCs w:val="18"/>
              </w:rPr>
            </w:pPr>
            <w:r w:rsidRPr="00AF68C1">
              <w:rPr>
                <w:sz w:val="18"/>
                <w:szCs w:val="18"/>
              </w:rPr>
              <w:t>3 770,5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0EC3A" w14:textId="77777777" w:rsidR="00D0442A" w:rsidRPr="00AF68C1" w:rsidRDefault="00D0442A" w:rsidP="00D0442A">
            <w:pPr>
              <w:spacing w:after="0"/>
              <w:ind w:firstLine="0"/>
              <w:jc w:val="right"/>
              <w:rPr>
                <w:sz w:val="18"/>
                <w:szCs w:val="18"/>
              </w:rPr>
            </w:pPr>
            <w:r w:rsidRPr="00AF68C1">
              <w:rPr>
                <w:sz w:val="18"/>
                <w:szCs w:val="18"/>
              </w:rPr>
              <w:t>3 384,8</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5434BC9" w14:textId="77777777" w:rsidR="00D0442A" w:rsidRPr="00AF68C1" w:rsidRDefault="00D0442A" w:rsidP="00D0442A">
            <w:pPr>
              <w:spacing w:after="0"/>
              <w:ind w:firstLine="0"/>
              <w:jc w:val="right"/>
              <w:rPr>
                <w:sz w:val="18"/>
                <w:szCs w:val="18"/>
              </w:rPr>
            </w:pPr>
            <w:r w:rsidRPr="00AF68C1">
              <w:rPr>
                <w:sz w:val="18"/>
                <w:szCs w:val="18"/>
              </w:rPr>
              <w:t>3 537,0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1BF01EA" w14:textId="77777777" w:rsidR="00D0442A" w:rsidRPr="00AF68C1" w:rsidRDefault="00D0442A" w:rsidP="00D0442A">
            <w:pPr>
              <w:spacing w:after="0"/>
              <w:ind w:firstLine="0"/>
              <w:jc w:val="right"/>
              <w:rPr>
                <w:sz w:val="18"/>
                <w:szCs w:val="18"/>
              </w:rPr>
            </w:pPr>
            <w:r w:rsidRPr="00AF68C1">
              <w:rPr>
                <w:sz w:val="18"/>
                <w:szCs w:val="18"/>
              </w:rPr>
              <w:t>3 766,6</w:t>
            </w:r>
          </w:p>
        </w:tc>
      </w:tr>
      <w:tr w:rsidR="00D0442A" w:rsidRPr="0026061A" w14:paraId="06B425DD"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44F0356" w14:textId="77777777" w:rsidR="00D0442A" w:rsidRPr="00F07E39" w:rsidRDefault="00D0442A" w:rsidP="00D0442A">
            <w:pPr>
              <w:spacing w:after="0"/>
              <w:ind w:left="-239" w:firstLineChars="200" w:firstLine="380"/>
              <w:jc w:val="left"/>
              <w:rPr>
                <w:sz w:val="19"/>
                <w:szCs w:val="19"/>
              </w:rPr>
            </w:pPr>
            <w:r w:rsidRPr="00F07E39">
              <w:rPr>
                <w:sz w:val="19"/>
                <w:szCs w:val="19"/>
              </w:rPr>
              <w:t>Kapitālie izdevumi</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63FB7E8" w14:textId="77777777" w:rsidR="00D0442A" w:rsidRPr="00AF68C1" w:rsidRDefault="00D0442A" w:rsidP="00D0442A">
            <w:pPr>
              <w:spacing w:after="0"/>
              <w:ind w:firstLine="0"/>
              <w:jc w:val="right"/>
              <w:rPr>
                <w:sz w:val="18"/>
                <w:szCs w:val="18"/>
              </w:rPr>
            </w:pPr>
            <w:r w:rsidRPr="00AF68C1">
              <w:rPr>
                <w:sz w:val="18"/>
                <w:szCs w:val="18"/>
              </w:rPr>
              <w:t>1,2</w:t>
            </w:r>
          </w:p>
        </w:tc>
        <w:tc>
          <w:tcPr>
            <w:tcW w:w="850" w:type="dxa"/>
            <w:tcBorders>
              <w:top w:val="nil"/>
              <w:left w:val="nil"/>
              <w:bottom w:val="single" w:sz="4" w:space="0" w:color="auto"/>
              <w:right w:val="single" w:sz="4" w:space="0" w:color="auto"/>
            </w:tcBorders>
            <w:shd w:val="clear" w:color="auto" w:fill="auto"/>
            <w:noWrap/>
            <w:vAlign w:val="center"/>
          </w:tcPr>
          <w:p w14:paraId="657F2BED" w14:textId="77777777" w:rsidR="00D0442A" w:rsidRPr="00AF68C1" w:rsidRDefault="00D0442A" w:rsidP="00D0442A">
            <w:pPr>
              <w:spacing w:after="0"/>
              <w:ind w:firstLine="0"/>
              <w:jc w:val="right"/>
              <w:rPr>
                <w:sz w:val="18"/>
                <w:szCs w:val="18"/>
              </w:rPr>
            </w:pPr>
            <w:r w:rsidRPr="00AF68C1">
              <w:rPr>
                <w:sz w:val="18"/>
                <w:szCs w:val="18"/>
              </w:rPr>
              <w:t>2,1</w:t>
            </w:r>
          </w:p>
        </w:tc>
        <w:tc>
          <w:tcPr>
            <w:tcW w:w="851" w:type="dxa"/>
            <w:tcBorders>
              <w:top w:val="nil"/>
              <w:left w:val="nil"/>
              <w:bottom w:val="single" w:sz="4" w:space="0" w:color="auto"/>
              <w:right w:val="single" w:sz="4" w:space="0" w:color="auto"/>
            </w:tcBorders>
            <w:shd w:val="clear" w:color="auto" w:fill="auto"/>
            <w:noWrap/>
            <w:vAlign w:val="center"/>
          </w:tcPr>
          <w:p w14:paraId="5AC50B79" w14:textId="77777777" w:rsidR="00D0442A" w:rsidRPr="00AF68C1" w:rsidRDefault="00D0442A" w:rsidP="00D0442A">
            <w:pPr>
              <w:spacing w:after="0"/>
              <w:ind w:firstLine="0"/>
              <w:jc w:val="right"/>
              <w:rPr>
                <w:sz w:val="18"/>
                <w:szCs w:val="18"/>
              </w:rPr>
            </w:pPr>
            <w:r w:rsidRPr="00AF68C1">
              <w:rPr>
                <w:sz w:val="18"/>
                <w:szCs w:val="18"/>
              </w:rPr>
              <w:t>1,3</w:t>
            </w:r>
          </w:p>
        </w:tc>
        <w:tc>
          <w:tcPr>
            <w:tcW w:w="850" w:type="dxa"/>
            <w:tcBorders>
              <w:top w:val="nil"/>
              <w:left w:val="nil"/>
              <w:bottom w:val="single" w:sz="4" w:space="0" w:color="auto"/>
              <w:right w:val="single" w:sz="4" w:space="0" w:color="auto"/>
            </w:tcBorders>
            <w:shd w:val="clear" w:color="auto" w:fill="auto"/>
            <w:noWrap/>
            <w:vAlign w:val="center"/>
          </w:tcPr>
          <w:p w14:paraId="5455FBC5" w14:textId="77777777" w:rsidR="00D0442A" w:rsidRPr="00AF68C1" w:rsidRDefault="00D0442A" w:rsidP="00D0442A">
            <w:pPr>
              <w:spacing w:after="0"/>
              <w:ind w:firstLine="0"/>
              <w:jc w:val="right"/>
              <w:rPr>
                <w:sz w:val="18"/>
                <w:szCs w:val="18"/>
              </w:rPr>
            </w:pPr>
            <w:r w:rsidRPr="00AF68C1">
              <w:rPr>
                <w:sz w:val="18"/>
                <w:szCs w:val="18"/>
              </w:rPr>
              <w:t>1,1</w:t>
            </w:r>
          </w:p>
        </w:tc>
        <w:tc>
          <w:tcPr>
            <w:tcW w:w="851" w:type="dxa"/>
            <w:tcBorders>
              <w:top w:val="single" w:sz="4" w:space="0" w:color="auto"/>
              <w:left w:val="nil"/>
              <w:bottom w:val="single" w:sz="4" w:space="0" w:color="auto"/>
              <w:right w:val="single" w:sz="4" w:space="0" w:color="auto"/>
            </w:tcBorders>
            <w:vAlign w:val="center"/>
          </w:tcPr>
          <w:p w14:paraId="01A8941B" w14:textId="77777777" w:rsidR="00D0442A" w:rsidRPr="00AF68C1" w:rsidRDefault="00D0442A" w:rsidP="00D0442A">
            <w:pPr>
              <w:spacing w:after="0"/>
              <w:ind w:firstLine="0"/>
              <w:jc w:val="right"/>
              <w:rPr>
                <w:sz w:val="18"/>
                <w:szCs w:val="18"/>
              </w:rPr>
            </w:pPr>
            <w:r w:rsidRPr="00AF68C1">
              <w:rPr>
                <w:sz w:val="18"/>
                <w:szCs w:val="18"/>
              </w:rPr>
              <w:t>1,1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B4673A0" w14:textId="77777777" w:rsidR="00D0442A" w:rsidRPr="00AF68C1" w:rsidRDefault="00D0442A" w:rsidP="00D0442A">
            <w:pPr>
              <w:spacing w:after="0"/>
              <w:ind w:firstLine="0"/>
              <w:jc w:val="right"/>
              <w:rPr>
                <w:sz w:val="18"/>
                <w:szCs w:val="18"/>
              </w:rPr>
            </w:pPr>
            <w:r w:rsidRPr="00AF68C1">
              <w:rPr>
                <w:sz w:val="18"/>
                <w:szCs w:val="18"/>
              </w:rPr>
              <w:t>2,3</w:t>
            </w:r>
          </w:p>
        </w:tc>
        <w:tc>
          <w:tcPr>
            <w:tcW w:w="851" w:type="dxa"/>
            <w:tcBorders>
              <w:top w:val="nil"/>
              <w:left w:val="nil"/>
              <w:bottom w:val="single" w:sz="4" w:space="0" w:color="auto"/>
              <w:right w:val="single" w:sz="4" w:space="0" w:color="auto"/>
            </w:tcBorders>
            <w:shd w:val="clear" w:color="auto" w:fill="auto"/>
            <w:noWrap/>
            <w:vAlign w:val="center"/>
          </w:tcPr>
          <w:p w14:paraId="18CE9439" w14:textId="77777777" w:rsidR="00D0442A" w:rsidRPr="00AF68C1" w:rsidRDefault="00D0442A" w:rsidP="00D0442A">
            <w:pPr>
              <w:spacing w:after="0"/>
              <w:ind w:firstLine="0"/>
              <w:jc w:val="right"/>
              <w:rPr>
                <w:sz w:val="18"/>
                <w:szCs w:val="18"/>
              </w:rPr>
            </w:pPr>
            <w:r w:rsidRPr="00AF68C1">
              <w:rPr>
                <w:sz w:val="18"/>
                <w:szCs w:val="18"/>
              </w:rPr>
              <w:t>1,1</w:t>
            </w:r>
          </w:p>
        </w:tc>
        <w:tc>
          <w:tcPr>
            <w:tcW w:w="850" w:type="dxa"/>
            <w:tcBorders>
              <w:top w:val="nil"/>
              <w:left w:val="nil"/>
              <w:bottom w:val="single" w:sz="4" w:space="0" w:color="auto"/>
              <w:right w:val="single" w:sz="4" w:space="0" w:color="auto"/>
            </w:tcBorders>
            <w:shd w:val="clear" w:color="auto" w:fill="auto"/>
            <w:noWrap/>
            <w:vAlign w:val="center"/>
          </w:tcPr>
          <w:p w14:paraId="48191E81" w14:textId="77777777" w:rsidR="00D0442A" w:rsidRPr="00AF68C1" w:rsidRDefault="00D0442A" w:rsidP="00D0442A">
            <w:pPr>
              <w:spacing w:after="0"/>
              <w:ind w:firstLine="0"/>
              <w:jc w:val="right"/>
              <w:rPr>
                <w:sz w:val="18"/>
                <w:szCs w:val="18"/>
              </w:rPr>
            </w:pPr>
            <w:r w:rsidRPr="00AF68C1">
              <w:rPr>
                <w:sz w:val="18"/>
                <w:szCs w:val="18"/>
              </w:rPr>
              <w:t>1,1</w:t>
            </w:r>
          </w:p>
        </w:tc>
      </w:tr>
      <w:tr w:rsidR="00D0442A" w:rsidRPr="0026061A" w14:paraId="023BACF7"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481D5172" w14:textId="77777777" w:rsidR="00D0442A" w:rsidRPr="00F07E39" w:rsidRDefault="00D0442A" w:rsidP="00D0442A">
            <w:pPr>
              <w:spacing w:after="0"/>
              <w:ind w:firstLine="0"/>
              <w:jc w:val="left"/>
              <w:rPr>
                <w:b/>
                <w:bCs/>
                <w:i/>
                <w:iCs/>
                <w:sz w:val="19"/>
                <w:szCs w:val="19"/>
              </w:rPr>
            </w:pPr>
            <w:r w:rsidRPr="00F07E39">
              <w:rPr>
                <w:b/>
                <w:bCs/>
                <w:i/>
                <w:iCs/>
                <w:sz w:val="19"/>
                <w:szCs w:val="19"/>
              </w:rPr>
              <w:t>ATVAS. PUBL. PERS. BUDŽETA BILANCE</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7CA6B2A" w14:textId="77777777" w:rsidR="00D0442A" w:rsidRPr="006A2E5C" w:rsidRDefault="00D0442A" w:rsidP="00D0442A">
            <w:pPr>
              <w:spacing w:after="0"/>
              <w:ind w:firstLine="0"/>
              <w:jc w:val="right"/>
              <w:rPr>
                <w:b/>
                <w:sz w:val="18"/>
                <w:szCs w:val="18"/>
                <w:highlight w:val="yellow"/>
              </w:rPr>
            </w:pPr>
            <w:r w:rsidRPr="006A2E5C">
              <w:rPr>
                <w:b/>
                <w:bCs/>
                <w:sz w:val="18"/>
                <w:szCs w:val="18"/>
              </w:rPr>
              <w:t>17,3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B7E018D" w14:textId="77777777" w:rsidR="00D0442A" w:rsidRPr="006A2E5C" w:rsidRDefault="00D0442A" w:rsidP="00D0442A">
            <w:pPr>
              <w:spacing w:after="0"/>
              <w:ind w:firstLine="0"/>
              <w:jc w:val="right"/>
              <w:rPr>
                <w:b/>
                <w:sz w:val="18"/>
                <w:szCs w:val="18"/>
                <w:highlight w:val="yellow"/>
              </w:rPr>
            </w:pPr>
            <w:r w:rsidRPr="006A2E5C">
              <w:rPr>
                <w:b/>
                <w:bCs/>
                <w:iCs/>
                <w:sz w:val="18"/>
                <w:szCs w:val="18"/>
              </w:rPr>
              <w:t>11,8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C0E4927" w14:textId="77777777" w:rsidR="00D0442A" w:rsidRPr="006A2E5C" w:rsidRDefault="00D0442A" w:rsidP="00D0442A">
            <w:pPr>
              <w:spacing w:after="0"/>
              <w:ind w:firstLine="0"/>
              <w:jc w:val="right"/>
              <w:rPr>
                <w:b/>
                <w:sz w:val="18"/>
                <w:szCs w:val="18"/>
                <w:highlight w:val="yellow"/>
              </w:rPr>
            </w:pPr>
            <w:r w:rsidRPr="006A2E5C">
              <w:rPr>
                <w:b/>
                <w:bCs/>
                <w:iCs/>
                <w:sz w:val="18"/>
                <w:szCs w:val="18"/>
              </w:rPr>
              <w:t>-26,9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B192938" w14:textId="77777777" w:rsidR="00D0442A" w:rsidRPr="006A2E5C" w:rsidRDefault="00D0442A" w:rsidP="00D0442A">
            <w:pPr>
              <w:spacing w:after="0"/>
              <w:ind w:firstLine="0"/>
              <w:jc w:val="right"/>
              <w:rPr>
                <w:b/>
                <w:sz w:val="18"/>
                <w:szCs w:val="18"/>
                <w:highlight w:val="yellow"/>
              </w:rPr>
            </w:pPr>
            <w:r w:rsidRPr="006A2E5C">
              <w:rPr>
                <w:b/>
                <w:bCs/>
                <w:iCs/>
                <w:sz w:val="18"/>
                <w:szCs w:val="18"/>
              </w:rPr>
              <w:t>-38,0</w:t>
            </w:r>
          </w:p>
        </w:tc>
        <w:tc>
          <w:tcPr>
            <w:tcW w:w="851" w:type="dxa"/>
            <w:tcBorders>
              <w:top w:val="single" w:sz="4" w:space="0" w:color="auto"/>
              <w:left w:val="nil"/>
              <w:bottom w:val="single" w:sz="4" w:space="0" w:color="auto"/>
              <w:right w:val="single" w:sz="4" w:space="0" w:color="auto"/>
            </w:tcBorders>
            <w:vAlign w:val="center"/>
          </w:tcPr>
          <w:p w14:paraId="6F4F3131" w14:textId="77777777" w:rsidR="00D0442A" w:rsidRPr="006A2E5C" w:rsidRDefault="00D0442A" w:rsidP="00D0442A">
            <w:pPr>
              <w:spacing w:after="0"/>
              <w:ind w:firstLine="0"/>
              <w:jc w:val="right"/>
              <w:rPr>
                <w:b/>
                <w:sz w:val="18"/>
                <w:szCs w:val="18"/>
                <w:highlight w:val="yellow"/>
              </w:rPr>
            </w:pPr>
            <w:r w:rsidRPr="006A2E5C">
              <w:rPr>
                <w:b/>
                <w:bCs/>
                <w:iCs/>
                <w:sz w:val="18"/>
                <w:szCs w:val="18"/>
              </w:rPr>
              <w:t>-37,6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F1B90" w14:textId="77777777" w:rsidR="00D0442A" w:rsidRPr="00DA36B0" w:rsidRDefault="00D0442A" w:rsidP="00D0442A">
            <w:pPr>
              <w:spacing w:after="0"/>
              <w:ind w:firstLine="0"/>
              <w:jc w:val="right"/>
              <w:rPr>
                <w:b/>
                <w:i/>
                <w:sz w:val="18"/>
                <w:szCs w:val="18"/>
                <w:highlight w:val="yellow"/>
              </w:rPr>
            </w:pPr>
            <w:r w:rsidRPr="00DA36B0">
              <w:rPr>
                <w:b/>
                <w:bCs/>
                <w:sz w:val="18"/>
                <w:szCs w:val="18"/>
              </w:rPr>
              <w:t>-26,9</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0713967" w14:textId="77777777" w:rsidR="00D0442A" w:rsidRPr="00DA36B0" w:rsidRDefault="00D0442A" w:rsidP="00D0442A">
            <w:pPr>
              <w:spacing w:after="0"/>
              <w:ind w:firstLine="0"/>
              <w:jc w:val="right"/>
              <w:rPr>
                <w:b/>
                <w:i/>
                <w:sz w:val="18"/>
                <w:szCs w:val="18"/>
                <w:highlight w:val="yellow"/>
              </w:rPr>
            </w:pPr>
            <w:r w:rsidRPr="00DA36B0">
              <w:rPr>
                <w:b/>
                <w:bCs/>
                <w:sz w:val="18"/>
                <w:szCs w:val="18"/>
              </w:rPr>
              <w:t>-38,0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2B4194E" w14:textId="77777777" w:rsidR="00D0442A" w:rsidRPr="00DA36B0" w:rsidRDefault="00D0442A" w:rsidP="00D0442A">
            <w:pPr>
              <w:spacing w:after="0"/>
              <w:ind w:firstLine="0"/>
              <w:jc w:val="right"/>
              <w:rPr>
                <w:b/>
                <w:bCs/>
                <w:sz w:val="18"/>
                <w:szCs w:val="18"/>
              </w:rPr>
            </w:pPr>
            <w:r w:rsidRPr="00DA36B0">
              <w:rPr>
                <w:b/>
                <w:bCs/>
                <w:sz w:val="18"/>
                <w:szCs w:val="18"/>
              </w:rPr>
              <w:t>-37,6</w:t>
            </w:r>
          </w:p>
        </w:tc>
      </w:tr>
      <w:tr w:rsidR="00D0442A" w:rsidRPr="0026061A" w14:paraId="4E18FA44" w14:textId="77777777" w:rsidTr="00D0442A">
        <w:trPr>
          <w:trHeight w:val="7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46673B4C" w14:textId="77777777" w:rsidR="00D0442A" w:rsidRPr="00F07E39" w:rsidRDefault="00D0442A" w:rsidP="00D0442A">
            <w:pPr>
              <w:spacing w:after="0"/>
              <w:ind w:left="-183" w:firstLineChars="100" w:firstLine="190"/>
              <w:jc w:val="left"/>
              <w:rPr>
                <w:sz w:val="19"/>
                <w:szCs w:val="19"/>
              </w:rPr>
            </w:pPr>
            <w:r w:rsidRPr="00F07E39">
              <w:rPr>
                <w:sz w:val="19"/>
                <w:szCs w:val="19"/>
              </w:rPr>
              <w:t>Ieņēmumi</w:t>
            </w:r>
          </w:p>
        </w:tc>
        <w:tc>
          <w:tcPr>
            <w:tcW w:w="851" w:type="dxa"/>
            <w:tcBorders>
              <w:top w:val="nil"/>
              <w:left w:val="nil"/>
              <w:bottom w:val="single" w:sz="4" w:space="0" w:color="auto"/>
              <w:right w:val="single" w:sz="4" w:space="0" w:color="auto"/>
            </w:tcBorders>
            <w:shd w:val="clear" w:color="auto" w:fill="auto"/>
            <w:noWrap/>
            <w:vAlign w:val="center"/>
            <w:hideMark/>
          </w:tcPr>
          <w:p w14:paraId="015ABBF7" w14:textId="77777777" w:rsidR="00D0442A" w:rsidRPr="006A2E5C" w:rsidRDefault="00D0442A" w:rsidP="00D0442A">
            <w:pPr>
              <w:spacing w:after="0"/>
              <w:ind w:firstLine="0"/>
              <w:jc w:val="right"/>
              <w:rPr>
                <w:sz w:val="18"/>
                <w:szCs w:val="18"/>
                <w:highlight w:val="yellow"/>
              </w:rPr>
            </w:pPr>
            <w:r w:rsidRPr="006A2E5C">
              <w:rPr>
                <w:sz w:val="18"/>
                <w:szCs w:val="18"/>
              </w:rPr>
              <w:t>475,4</w:t>
            </w:r>
          </w:p>
        </w:tc>
        <w:tc>
          <w:tcPr>
            <w:tcW w:w="850" w:type="dxa"/>
            <w:tcBorders>
              <w:top w:val="nil"/>
              <w:left w:val="nil"/>
              <w:bottom w:val="single" w:sz="4" w:space="0" w:color="auto"/>
              <w:right w:val="single" w:sz="4" w:space="0" w:color="auto"/>
            </w:tcBorders>
            <w:shd w:val="clear" w:color="auto" w:fill="auto"/>
            <w:noWrap/>
            <w:vAlign w:val="center"/>
            <w:hideMark/>
          </w:tcPr>
          <w:p w14:paraId="10E9A5AF" w14:textId="77777777" w:rsidR="00D0442A" w:rsidRPr="006A2E5C" w:rsidRDefault="00D0442A" w:rsidP="00D0442A">
            <w:pPr>
              <w:spacing w:after="0"/>
              <w:ind w:firstLine="0"/>
              <w:jc w:val="right"/>
              <w:rPr>
                <w:sz w:val="18"/>
                <w:szCs w:val="18"/>
                <w:highlight w:val="yellow"/>
              </w:rPr>
            </w:pPr>
            <w:r w:rsidRPr="006A2E5C">
              <w:rPr>
                <w:iCs/>
                <w:sz w:val="18"/>
                <w:szCs w:val="18"/>
              </w:rPr>
              <w:t>491,2</w:t>
            </w:r>
          </w:p>
        </w:tc>
        <w:tc>
          <w:tcPr>
            <w:tcW w:w="851" w:type="dxa"/>
            <w:tcBorders>
              <w:top w:val="nil"/>
              <w:left w:val="nil"/>
              <w:bottom w:val="single" w:sz="4" w:space="0" w:color="auto"/>
              <w:right w:val="single" w:sz="4" w:space="0" w:color="auto"/>
            </w:tcBorders>
            <w:shd w:val="clear" w:color="auto" w:fill="auto"/>
            <w:noWrap/>
            <w:vAlign w:val="center"/>
            <w:hideMark/>
          </w:tcPr>
          <w:p w14:paraId="6E85F1D4" w14:textId="77777777" w:rsidR="00D0442A" w:rsidRPr="006A2E5C" w:rsidRDefault="00D0442A" w:rsidP="00D0442A">
            <w:pPr>
              <w:spacing w:after="0"/>
              <w:ind w:firstLine="0"/>
              <w:jc w:val="right"/>
              <w:rPr>
                <w:sz w:val="18"/>
                <w:szCs w:val="18"/>
                <w:highlight w:val="yellow"/>
              </w:rPr>
            </w:pPr>
            <w:r w:rsidRPr="006A2E5C">
              <w:rPr>
                <w:iCs/>
                <w:sz w:val="18"/>
                <w:szCs w:val="18"/>
              </w:rPr>
              <w:t>463,9</w:t>
            </w:r>
          </w:p>
        </w:tc>
        <w:tc>
          <w:tcPr>
            <w:tcW w:w="850" w:type="dxa"/>
            <w:tcBorders>
              <w:top w:val="nil"/>
              <w:left w:val="nil"/>
              <w:bottom w:val="single" w:sz="4" w:space="0" w:color="auto"/>
              <w:right w:val="single" w:sz="4" w:space="0" w:color="auto"/>
            </w:tcBorders>
            <w:shd w:val="clear" w:color="auto" w:fill="auto"/>
            <w:noWrap/>
            <w:vAlign w:val="center"/>
            <w:hideMark/>
          </w:tcPr>
          <w:p w14:paraId="239B53C2" w14:textId="77777777" w:rsidR="00D0442A" w:rsidRPr="006A2E5C" w:rsidRDefault="00D0442A" w:rsidP="00D0442A">
            <w:pPr>
              <w:spacing w:after="0"/>
              <w:ind w:firstLine="0"/>
              <w:jc w:val="right"/>
              <w:rPr>
                <w:sz w:val="18"/>
                <w:szCs w:val="18"/>
                <w:highlight w:val="yellow"/>
              </w:rPr>
            </w:pPr>
            <w:r w:rsidRPr="006A2E5C">
              <w:rPr>
                <w:iCs/>
                <w:sz w:val="18"/>
                <w:szCs w:val="18"/>
              </w:rPr>
              <w:t>466,5</w:t>
            </w:r>
          </w:p>
        </w:tc>
        <w:tc>
          <w:tcPr>
            <w:tcW w:w="851" w:type="dxa"/>
            <w:tcBorders>
              <w:top w:val="single" w:sz="4" w:space="0" w:color="auto"/>
              <w:left w:val="nil"/>
              <w:bottom w:val="single" w:sz="4" w:space="0" w:color="auto"/>
              <w:right w:val="single" w:sz="4" w:space="0" w:color="auto"/>
            </w:tcBorders>
            <w:vAlign w:val="center"/>
          </w:tcPr>
          <w:p w14:paraId="18E8ED68" w14:textId="77777777" w:rsidR="00D0442A" w:rsidRPr="006A2E5C" w:rsidRDefault="00D0442A" w:rsidP="00D0442A">
            <w:pPr>
              <w:spacing w:after="0"/>
              <w:ind w:firstLine="0"/>
              <w:jc w:val="right"/>
              <w:rPr>
                <w:sz w:val="18"/>
                <w:szCs w:val="18"/>
                <w:highlight w:val="yellow"/>
              </w:rPr>
            </w:pPr>
            <w:r w:rsidRPr="006A2E5C">
              <w:rPr>
                <w:iCs/>
                <w:sz w:val="18"/>
                <w:szCs w:val="18"/>
              </w:rPr>
              <w:t>467,7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AE85D8A" w14:textId="77777777" w:rsidR="00D0442A" w:rsidRPr="00DA36B0" w:rsidRDefault="00D0442A" w:rsidP="00D0442A">
            <w:pPr>
              <w:spacing w:after="0"/>
              <w:ind w:firstLine="0"/>
              <w:jc w:val="right"/>
              <w:rPr>
                <w:sz w:val="18"/>
                <w:szCs w:val="18"/>
                <w:highlight w:val="yellow"/>
              </w:rPr>
            </w:pPr>
            <w:r w:rsidRPr="00DA36B0">
              <w:rPr>
                <w:bCs/>
                <w:sz w:val="18"/>
                <w:szCs w:val="18"/>
              </w:rPr>
              <w:t>519,3</w:t>
            </w:r>
          </w:p>
        </w:tc>
        <w:tc>
          <w:tcPr>
            <w:tcW w:w="851" w:type="dxa"/>
            <w:tcBorders>
              <w:top w:val="nil"/>
              <w:left w:val="nil"/>
              <w:bottom w:val="single" w:sz="4" w:space="0" w:color="auto"/>
              <w:right w:val="single" w:sz="4" w:space="0" w:color="auto"/>
            </w:tcBorders>
            <w:shd w:val="clear" w:color="auto" w:fill="auto"/>
            <w:noWrap/>
            <w:vAlign w:val="center"/>
            <w:hideMark/>
          </w:tcPr>
          <w:p w14:paraId="7F5937CB" w14:textId="77777777" w:rsidR="00D0442A" w:rsidRPr="00DA36B0" w:rsidRDefault="00D0442A" w:rsidP="00D0442A">
            <w:pPr>
              <w:spacing w:after="0"/>
              <w:ind w:firstLine="0"/>
              <w:jc w:val="right"/>
              <w:rPr>
                <w:bCs/>
                <w:sz w:val="18"/>
                <w:szCs w:val="18"/>
              </w:rPr>
            </w:pPr>
            <w:r w:rsidRPr="00DA36B0">
              <w:rPr>
                <w:bCs/>
                <w:sz w:val="18"/>
                <w:szCs w:val="18"/>
              </w:rPr>
              <w:t>502,1</w:t>
            </w:r>
          </w:p>
        </w:tc>
        <w:tc>
          <w:tcPr>
            <w:tcW w:w="850" w:type="dxa"/>
            <w:tcBorders>
              <w:top w:val="nil"/>
              <w:left w:val="nil"/>
              <w:bottom w:val="single" w:sz="4" w:space="0" w:color="auto"/>
              <w:right w:val="single" w:sz="4" w:space="0" w:color="auto"/>
            </w:tcBorders>
            <w:shd w:val="clear" w:color="auto" w:fill="auto"/>
            <w:noWrap/>
            <w:vAlign w:val="center"/>
            <w:hideMark/>
          </w:tcPr>
          <w:p w14:paraId="1CBE5D96" w14:textId="77777777" w:rsidR="00D0442A" w:rsidRPr="00DA36B0" w:rsidRDefault="00D0442A" w:rsidP="00D0442A">
            <w:pPr>
              <w:spacing w:after="0"/>
              <w:ind w:firstLine="0"/>
              <w:jc w:val="right"/>
              <w:rPr>
                <w:bCs/>
                <w:sz w:val="18"/>
                <w:szCs w:val="18"/>
              </w:rPr>
            </w:pPr>
            <w:r w:rsidRPr="00DA36B0">
              <w:rPr>
                <w:bCs/>
                <w:sz w:val="18"/>
                <w:szCs w:val="18"/>
              </w:rPr>
              <w:t>505,6</w:t>
            </w:r>
          </w:p>
        </w:tc>
      </w:tr>
      <w:tr w:rsidR="00D0442A" w:rsidRPr="0026061A" w14:paraId="3F614AD3" w14:textId="77777777" w:rsidTr="00D0442A">
        <w:trPr>
          <w:trHeight w:val="75"/>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5D414" w14:textId="77777777" w:rsidR="00D0442A" w:rsidRPr="00F07E39" w:rsidRDefault="00D0442A" w:rsidP="00D0442A">
            <w:pPr>
              <w:spacing w:after="0"/>
              <w:ind w:left="-183" w:firstLineChars="100" w:firstLine="190"/>
              <w:jc w:val="left"/>
              <w:rPr>
                <w:sz w:val="19"/>
                <w:szCs w:val="19"/>
              </w:rPr>
            </w:pPr>
            <w:r w:rsidRPr="00F07E39">
              <w:rPr>
                <w:sz w:val="19"/>
                <w:szCs w:val="19"/>
              </w:rPr>
              <w:t>Izdevumi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4E5C0C9" w14:textId="77777777" w:rsidR="00D0442A" w:rsidRPr="006A2E5C" w:rsidRDefault="00D0442A" w:rsidP="00D0442A">
            <w:pPr>
              <w:spacing w:after="0"/>
              <w:ind w:firstLine="0"/>
              <w:jc w:val="right"/>
              <w:rPr>
                <w:sz w:val="18"/>
                <w:szCs w:val="18"/>
                <w:highlight w:val="yellow"/>
              </w:rPr>
            </w:pPr>
            <w:r w:rsidRPr="006A2E5C">
              <w:rPr>
                <w:sz w:val="18"/>
                <w:szCs w:val="18"/>
              </w:rPr>
              <w:t>458,1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D21975E" w14:textId="77777777" w:rsidR="00D0442A" w:rsidRPr="006A2E5C" w:rsidRDefault="00D0442A" w:rsidP="00D0442A">
            <w:pPr>
              <w:spacing w:after="0"/>
              <w:ind w:firstLine="0"/>
              <w:jc w:val="right"/>
              <w:rPr>
                <w:sz w:val="18"/>
                <w:szCs w:val="18"/>
                <w:highlight w:val="yellow"/>
              </w:rPr>
            </w:pPr>
            <w:r w:rsidRPr="006A2E5C">
              <w:rPr>
                <w:iCs/>
                <w:sz w:val="18"/>
                <w:szCs w:val="18"/>
              </w:rPr>
              <w:t>479,4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CB8BB67" w14:textId="77777777" w:rsidR="00D0442A" w:rsidRPr="006A2E5C" w:rsidRDefault="00D0442A" w:rsidP="00D0442A">
            <w:pPr>
              <w:spacing w:after="0"/>
              <w:ind w:firstLine="0"/>
              <w:jc w:val="right"/>
              <w:rPr>
                <w:sz w:val="18"/>
                <w:szCs w:val="18"/>
                <w:highlight w:val="yellow"/>
              </w:rPr>
            </w:pPr>
            <w:r w:rsidRPr="006A2E5C">
              <w:rPr>
                <w:iCs/>
                <w:sz w:val="18"/>
                <w:szCs w:val="18"/>
              </w:rPr>
              <w:t>490,8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5FA387B" w14:textId="77777777" w:rsidR="00D0442A" w:rsidRPr="006A2E5C" w:rsidRDefault="00D0442A" w:rsidP="00D0442A">
            <w:pPr>
              <w:spacing w:after="0"/>
              <w:ind w:firstLine="0"/>
              <w:jc w:val="right"/>
              <w:rPr>
                <w:sz w:val="18"/>
                <w:szCs w:val="18"/>
                <w:highlight w:val="yellow"/>
              </w:rPr>
            </w:pPr>
            <w:r w:rsidRPr="006A2E5C">
              <w:rPr>
                <w:iCs/>
                <w:sz w:val="18"/>
                <w:szCs w:val="18"/>
              </w:rPr>
              <w:t>504,5</w:t>
            </w:r>
          </w:p>
        </w:tc>
        <w:tc>
          <w:tcPr>
            <w:tcW w:w="851" w:type="dxa"/>
            <w:tcBorders>
              <w:top w:val="single" w:sz="4" w:space="0" w:color="auto"/>
              <w:left w:val="nil"/>
              <w:bottom w:val="single" w:sz="4" w:space="0" w:color="auto"/>
              <w:right w:val="single" w:sz="4" w:space="0" w:color="auto"/>
            </w:tcBorders>
            <w:vAlign w:val="center"/>
          </w:tcPr>
          <w:p w14:paraId="2B55AD43" w14:textId="77777777" w:rsidR="00D0442A" w:rsidRPr="006A2E5C" w:rsidRDefault="00D0442A" w:rsidP="00D0442A">
            <w:pPr>
              <w:spacing w:after="0"/>
              <w:ind w:firstLine="0"/>
              <w:jc w:val="right"/>
              <w:rPr>
                <w:sz w:val="18"/>
                <w:szCs w:val="18"/>
                <w:highlight w:val="yellow"/>
              </w:rPr>
            </w:pPr>
            <w:r w:rsidRPr="006A2E5C">
              <w:rPr>
                <w:iCs/>
                <w:sz w:val="18"/>
                <w:szCs w:val="18"/>
              </w:rPr>
              <w:t>505,3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4B05F" w14:textId="77777777" w:rsidR="00D0442A" w:rsidRPr="00DA36B0" w:rsidRDefault="00D0442A" w:rsidP="00D0442A">
            <w:pPr>
              <w:spacing w:after="0"/>
              <w:ind w:firstLine="0"/>
              <w:jc w:val="right"/>
              <w:rPr>
                <w:bCs/>
                <w:sz w:val="18"/>
                <w:szCs w:val="18"/>
              </w:rPr>
            </w:pPr>
            <w:r w:rsidRPr="00DA36B0">
              <w:rPr>
                <w:bCs/>
                <w:sz w:val="18"/>
                <w:szCs w:val="18"/>
              </w:rPr>
              <w:t>546,2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04ED580" w14:textId="77777777" w:rsidR="00D0442A" w:rsidRPr="00DA36B0" w:rsidRDefault="00D0442A" w:rsidP="00D0442A">
            <w:pPr>
              <w:spacing w:after="0"/>
              <w:ind w:firstLine="0"/>
              <w:jc w:val="right"/>
              <w:rPr>
                <w:bCs/>
                <w:sz w:val="18"/>
                <w:szCs w:val="18"/>
              </w:rPr>
            </w:pPr>
            <w:r w:rsidRPr="00DA36B0">
              <w:rPr>
                <w:bCs/>
                <w:sz w:val="18"/>
                <w:szCs w:val="18"/>
              </w:rPr>
              <w:t>540,1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B6150B0" w14:textId="77777777" w:rsidR="00D0442A" w:rsidRPr="00DA36B0" w:rsidRDefault="00D0442A" w:rsidP="00D0442A">
            <w:pPr>
              <w:spacing w:after="0"/>
              <w:ind w:firstLine="0"/>
              <w:jc w:val="right"/>
              <w:rPr>
                <w:bCs/>
                <w:sz w:val="18"/>
                <w:szCs w:val="18"/>
              </w:rPr>
            </w:pPr>
            <w:r w:rsidRPr="00DA36B0">
              <w:rPr>
                <w:bCs/>
                <w:sz w:val="18"/>
                <w:szCs w:val="18"/>
              </w:rPr>
              <w:t>543,2</w:t>
            </w:r>
          </w:p>
        </w:tc>
      </w:tr>
    </w:tbl>
    <w:p w14:paraId="12806728" w14:textId="6082444E" w:rsidR="00D0442A" w:rsidRDefault="00D0442A" w:rsidP="00D0442A">
      <w:pPr>
        <w:spacing w:before="120"/>
        <w:rPr>
          <w:color w:val="000000" w:themeColor="text1"/>
          <w:szCs w:val="28"/>
        </w:rPr>
      </w:pPr>
      <w:bookmarkStart w:id="53" w:name="_Hlk83887516"/>
      <w:r w:rsidRPr="002D7736">
        <w:rPr>
          <w:b/>
          <w:noProof/>
          <w:color w:val="000000" w:themeColor="text1"/>
          <w:szCs w:val="28"/>
        </w:rPr>
        <w:t xml:space="preserve">Atvasināto publisko personu budžetā </w:t>
      </w:r>
      <w:r w:rsidRPr="002D7736">
        <w:rPr>
          <w:noProof/>
          <w:color w:val="000000" w:themeColor="text1"/>
          <w:szCs w:val="28"/>
        </w:rPr>
        <w:t>(turpmāk –</w:t>
      </w:r>
      <w:r w:rsidRPr="002D7736">
        <w:rPr>
          <w:b/>
          <w:noProof/>
          <w:color w:val="000000" w:themeColor="text1"/>
          <w:szCs w:val="28"/>
        </w:rPr>
        <w:t xml:space="preserve"> </w:t>
      </w:r>
      <w:r w:rsidRPr="002D7736">
        <w:rPr>
          <w:noProof/>
          <w:color w:val="000000" w:themeColor="text1"/>
          <w:szCs w:val="28"/>
        </w:rPr>
        <w:t>APP) kopš deficīta veidošanās 2015.</w:t>
      </w:r>
      <w:r>
        <w:rPr>
          <w:noProof/>
          <w:color w:val="000000" w:themeColor="text1"/>
          <w:szCs w:val="28"/>
        </w:rPr>
        <w:t> </w:t>
      </w:r>
      <w:r w:rsidRPr="002D7736">
        <w:rPr>
          <w:noProof/>
          <w:color w:val="000000" w:themeColor="text1"/>
          <w:szCs w:val="28"/>
        </w:rPr>
        <w:t>gadā, kas bija saistīts ar augsto ieguldījumu līmeni, noslēdzoties 2007.-2013.</w:t>
      </w:r>
      <w:r>
        <w:rPr>
          <w:noProof/>
          <w:color w:val="000000" w:themeColor="text1"/>
          <w:szCs w:val="28"/>
        </w:rPr>
        <w:t> </w:t>
      </w:r>
      <w:r w:rsidRPr="002D7736">
        <w:rPr>
          <w:noProof/>
          <w:color w:val="000000" w:themeColor="text1"/>
          <w:szCs w:val="28"/>
        </w:rPr>
        <w:t>gada plānošanas per</w:t>
      </w:r>
      <w:r w:rsidR="0090051F">
        <w:rPr>
          <w:noProof/>
          <w:color w:val="000000" w:themeColor="text1"/>
          <w:szCs w:val="28"/>
        </w:rPr>
        <w:t>ioda Eiropas Savienības</w:t>
      </w:r>
      <w:r w:rsidRPr="002D7736">
        <w:rPr>
          <w:noProof/>
          <w:color w:val="000000" w:themeColor="text1"/>
          <w:szCs w:val="28"/>
        </w:rPr>
        <w:t xml:space="preserve"> Struktūrfondu ciklam, pēdējos gados veidojas pārpalikums. Tas saistīts ar pieaugošiem transfertiem ES fondu projektu īstenošanai no valsts pamatbudžeta, kas </w:t>
      </w:r>
      <w:r>
        <w:rPr>
          <w:noProof/>
          <w:color w:val="000000" w:themeColor="text1"/>
          <w:szCs w:val="28"/>
        </w:rPr>
        <w:t xml:space="preserve">lielā mērā nodrošina pārpalikumu APP </w:t>
      </w:r>
      <w:r w:rsidR="0090051F">
        <w:rPr>
          <w:noProof/>
          <w:color w:val="000000" w:themeColor="text1"/>
          <w:szCs w:val="28"/>
        </w:rPr>
        <w:t>budžeta bilancē. Eiropas Savienības</w:t>
      </w:r>
      <w:r w:rsidRPr="00DB1316">
        <w:rPr>
          <w:noProof/>
          <w:color w:val="000000" w:themeColor="text1"/>
          <w:szCs w:val="28"/>
        </w:rPr>
        <w:t xml:space="preserve"> fondu plānošanas perioda sākumā transfertu apjoms ir lielāks, jo ietver arī avansa maksājumus, tādējādi APP budžetā palielinās ieņēmumi un veidojas pār</w:t>
      </w:r>
      <w:r w:rsidR="0090051F">
        <w:rPr>
          <w:noProof/>
          <w:color w:val="000000" w:themeColor="text1"/>
          <w:szCs w:val="28"/>
        </w:rPr>
        <w:t>palikums, tomēr, noslēdzoties Eiropas Savienības</w:t>
      </w:r>
      <w:r w:rsidRPr="00DB1316">
        <w:rPr>
          <w:noProof/>
          <w:color w:val="000000" w:themeColor="text1"/>
          <w:szCs w:val="28"/>
        </w:rPr>
        <w:t xml:space="preserve"> fondu plānošanas periodam, kad tiek pabeigti lielāki infrastruktūras projekti universitātēs un zinātniskajos institūtos, palielinās izdevumi, kas veicina deficīta veidošanos. Tiek plānots, ka APP budžetā 2021.</w:t>
      </w:r>
      <w:r>
        <w:rPr>
          <w:noProof/>
          <w:color w:val="000000" w:themeColor="text1"/>
          <w:szCs w:val="28"/>
        </w:rPr>
        <w:t> </w:t>
      </w:r>
      <w:r w:rsidR="0090051F">
        <w:rPr>
          <w:noProof/>
          <w:color w:val="000000" w:themeColor="text1"/>
          <w:szCs w:val="28"/>
        </w:rPr>
        <w:t>gads būs pēdējais esošajā Eiropas Savienības</w:t>
      </w:r>
      <w:r w:rsidRPr="00DB1316">
        <w:rPr>
          <w:noProof/>
          <w:color w:val="000000" w:themeColor="text1"/>
          <w:szCs w:val="28"/>
        </w:rPr>
        <w:t xml:space="preserve"> fondu īstenošanas ciklā, kad veidosies pārpalikums, bet </w:t>
      </w:r>
      <w:r>
        <w:rPr>
          <w:noProof/>
          <w:color w:val="000000" w:themeColor="text1"/>
          <w:szCs w:val="28"/>
        </w:rPr>
        <w:t xml:space="preserve">sākot </w:t>
      </w:r>
      <w:r w:rsidRPr="00DB1316">
        <w:rPr>
          <w:noProof/>
          <w:color w:val="000000" w:themeColor="text1"/>
          <w:szCs w:val="28"/>
        </w:rPr>
        <w:t>ar 2022.</w:t>
      </w:r>
      <w:r>
        <w:rPr>
          <w:noProof/>
          <w:color w:val="000000" w:themeColor="text1"/>
          <w:szCs w:val="28"/>
        </w:rPr>
        <w:t> </w:t>
      </w:r>
      <w:r w:rsidRPr="00DB1316">
        <w:rPr>
          <w:noProof/>
          <w:color w:val="000000" w:themeColor="text1"/>
          <w:szCs w:val="28"/>
        </w:rPr>
        <w:t xml:space="preserve">gadu </w:t>
      </w:r>
      <w:r>
        <w:rPr>
          <w:noProof/>
          <w:color w:val="000000" w:themeColor="text1"/>
          <w:szCs w:val="28"/>
        </w:rPr>
        <w:t xml:space="preserve">un vidējā termiņā </w:t>
      </w:r>
      <w:r w:rsidRPr="00DB1316">
        <w:rPr>
          <w:noProof/>
          <w:color w:val="000000" w:themeColor="text1"/>
          <w:szCs w:val="28"/>
        </w:rPr>
        <w:t>APP budžetā tiek prognozēts</w:t>
      </w:r>
      <w:r w:rsidRPr="00DB1316">
        <w:rPr>
          <w:color w:val="000000" w:themeColor="text1"/>
          <w:szCs w:val="28"/>
        </w:rPr>
        <w:t xml:space="preserve"> deficīts.</w:t>
      </w:r>
    </w:p>
    <w:p w14:paraId="63022F96" w14:textId="77777777" w:rsidR="00D0442A" w:rsidRPr="0090538F" w:rsidRDefault="00D0442A" w:rsidP="00D0442A">
      <w:pPr>
        <w:rPr>
          <w:b/>
          <w:color w:val="000000" w:themeColor="text1"/>
          <w:szCs w:val="28"/>
        </w:rPr>
      </w:pPr>
      <w:r>
        <w:rPr>
          <w:color w:val="000000" w:themeColor="text1"/>
          <w:szCs w:val="28"/>
        </w:rPr>
        <w:t>APP budžetā vidējā termiņa paredzēti papildus līdzekļi z</w:t>
      </w:r>
      <w:r w:rsidRPr="00362D04">
        <w:rPr>
          <w:color w:val="000000" w:themeColor="text1"/>
          <w:szCs w:val="28"/>
        </w:rPr>
        <w:t>inātnes</w:t>
      </w:r>
      <w:r>
        <w:rPr>
          <w:color w:val="000000" w:themeColor="text1"/>
          <w:szCs w:val="28"/>
        </w:rPr>
        <w:t xml:space="preserve"> </w:t>
      </w:r>
      <w:r w:rsidRPr="00362D04">
        <w:rPr>
          <w:color w:val="000000" w:themeColor="text1"/>
          <w:szCs w:val="28"/>
        </w:rPr>
        <w:t>bāzes finansējuma palielināšanai</w:t>
      </w:r>
      <w:r>
        <w:rPr>
          <w:color w:val="000000" w:themeColor="text1"/>
          <w:szCs w:val="28"/>
        </w:rPr>
        <w:t>, s</w:t>
      </w:r>
      <w:r w:rsidRPr="00362D04">
        <w:rPr>
          <w:color w:val="000000" w:themeColor="text1"/>
          <w:szCs w:val="28"/>
        </w:rPr>
        <w:t>ociālo</w:t>
      </w:r>
      <w:r>
        <w:rPr>
          <w:color w:val="000000" w:themeColor="text1"/>
          <w:szCs w:val="28"/>
        </w:rPr>
        <w:t xml:space="preserve"> </w:t>
      </w:r>
      <w:r w:rsidRPr="00362D04">
        <w:rPr>
          <w:color w:val="000000" w:themeColor="text1"/>
          <w:szCs w:val="28"/>
        </w:rPr>
        <w:t>stipendiju nodrošināšana studējošajiem no</w:t>
      </w:r>
      <w:r w:rsidRPr="00362D04">
        <w:rPr>
          <w:noProof/>
          <w:color w:val="000000" w:themeColor="text1"/>
          <w:szCs w:val="28"/>
        </w:rPr>
        <w:t xml:space="preserve"> daudzbērnu</w:t>
      </w:r>
      <w:r w:rsidRPr="00362D04">
        <w:rPr>
          <w:color w:val="000000" w:themeColor="text1"/>
          <w:szCs w:val="28"/>
        </w:rPr>
        <w:t xml:space="preserve"> ģimenēm</w:t>
      </w:r>
      <w:r>
        <w:rPr>
          <w:color w:val="000000" w:themeColor="text1"/>
          <w:szCs w:val="28"/>
        </w:rPr>
        <w:t xml:space="preserve">, tāpat arī citām prioritātēm. 2022. gadā APP budžetā sagaidāms kapitālo izdevumu pieaugums, jo piešķirti līdzekļi </w:t>
      </w:r>
      <w:r w:rsidRPr="00362D04">
        <w:rPr>
          <w:color w:val="000000" w:themeColor="text1"/>
          <w:szCs w:val="28"/>
        </w:rPr>
        <w:t>infrastruktūras pilnveidošana</w:t>
      </w:r>
      <w:r>
        <w:rPr>
          <w:color w:val="000000" w:themeColor="text1"/>
          <w:szCs w:val="28"/>
        </w:rPr>
        <w:t xml:space="preserve">i zemkopības resora iestādēm, tostarp </w:t>
      </w:r>
      <w:r w:rsidRPr="00362D04">
        <w:rPr>
          <w:color w:val="000000" w:themeColor="text1"/>
          <w:szCs w:val="28"/>
        </w:rPr>
        <w:t>ieguldījumi</w:t>
      </w:r>
      <w:r>
        <w:rPr>
          <w:color w:val="000000" w:themeColor="text1"/>
          <w:szCs w:val="28"/>
        </w:rPr>
        <w:t>em</w:t>
      </w:r>
      <w:r w:rsidRPr="00362D04">
        <w:rPr>
          <w:color w:val="000000" w:themeColor="text1"/>
          <w:szCs w:val="28"/>
        </w:rPr>
        <w:t xml:space="preserve"> meliorācijas sistēmās un</w:t>
      </w:r>
      <w:r>
        <w:rPr>
          <w:color w:val="000000" w:themeColor="text1"/>
          <w:szCs w:val="28"/>
        </w:rPr>
        <w:t xml:space="preserve"> investīcijām</w:t>
      </w:r>
      <w:r w:rsidRPr="00362D04">
        <w:rPr>
          <w:color w:val="000000" w:themeColor="text1"/>
          <w:szCs w:val="28"/>
        </w:rPr>
        <w:t xml:space="preserve"> Zaļā kursa mērķu sasniegšanai</w:t>
      </w:r>
      <w:r>
        <w:rPr>
          <w:color w:val="000000" w:themeColor="text1"/>
          <w:szCs w:val="28"/>
        </w:rPr>
        <w:t>.</w:t>
      </w:r>
    </w:p>
    <w:p w14:paraId="65E88753" w14:textId="77777777" w:rsidR="00D0442A" w:rsidRPr="0090538F" w:rsidRDefault="00D0442A" w:rsidP="00DB2540">
      <w:pPr>
        <w:tabs>
          <w:tab w:val="left" w:pos="1965"/>
        </w:tabs>
        <w:spacing w:before="240" w:after="240"/>
        <w:jc w:val="center"/>
        <w:rPr>
          <w:b/>
          <w:color w:val="000000" w:themeColor="text1"/>
          <w:szCs w:val="28"/>
        </w:rPr>
      </w:pPr>
      <w:r w:rsidRPr="0090538F">
        <w:rPr>
          <w:b/>
          <w:color w:val="000000" w:themeColor="text1"/>
          <w:szCs w:val="28"/>
        </w:rPr>
        <w:t>Pašvaldību budžets</w:t>
      </w:r>
    </w:p>
    <w:p w14:paraId="249C6255" w14:textId="3D69F519" w:rsidR="00D0442A" w:rsidRPr="00CD733C" w:rsidRDefault="00D0442A" w:rsidP="00D0442A">
      <w:pPr>
        <w:rPr>
          <w:color w:val="1F497D"/>
          <w:sz w:val="22"/>
        </w:rPr>
      </w:pPr>
      <w:r w:rsidRPr="00CD733C">
        <w:t xml:space="preserve">Pašvaldību budžetā 2021. gadā ir sagaidāmi zemāki ieņēmumi, salīdzinot ar 2020. gadu, pamatā dēļ zemākiem iedzīvotāju ienākuma nodokļa ieņēmumiem, ņemot vērā atvieglojumu palielināšanu un Covid-19 pandēmijas ietekmi, </w:t>
      </w:r>
      <w:r w:rsidRPr="00CD733C">
        <w:rPr>
          <w:noProof/>
        </w:rPr>
        <w:t>turpretī transferti no valsts pamatbudžeta tiek sagaidīti lielākā apmērā nekā iepriekšējā gadā. Transfertu pieaugumu nodrošina speciālās dotācijas un mērķdotāciju pieaugums. Speciālā dotācija pašvaldībām tiek piešķirt</w:t>
      </w:r>
      <w:r w:rsidR="0090051F">
        <w:rPr>
          <w:noProof/>
        </w:rPr>
        <w:t>a lai kompensētu pašvaldībām iedzīvotāju ienākuma nodokļa</w:t>
      </w:r>
      <w:r w:rsidRPr="00CD733C">
        <w:rPr>
          <w:noProof/>
        </w:rPr>
        <w:t xml:space="preserve"> ieņēmumu kritumu 2018. gada</w:t>
      </w:r>
      <w:r w:rsidRPr="00CD733C">
        <w:t xml:space="preserve"> nodokļu reformas rezultātā, savukārt mērķdotācijas paredzētas augstākam pedagogu atalgojumam. </w:t>
      </w:r>
      <w:r w:rsidRPr="00CD733C">
        <w:rPr>
          <w:szCs w:val="28"/>
        </w:rPr>
        <w:t>Pretēji ieņēmumiem, izdevumiem tiek prognozēts pieaugums pret 2020. gadu, pamatā kārtējiem izdevumiem</w:t>
      </w:r>
      <w:r>
        <w:rPr>
          <w:color w:val="000000" w:themeColor="text1"/>
          <w:szCs w:val="28"/>
        </w:rPr>
        <w:t xml:space="preserve">, jo kapitālajos izdevumos, neskatoties uz </w:t>
      </w:r>
      <w:r w:rsidRPr="00554354">
        <w:rPr>
          <w:color w:val="000000" w:themeColor="text1"/>
          <w:szCs w:val="24"/>
        </w:rPr>
        <w:t>papildus aizņēmumu limita palielināšanu</w:t>
      </w:r>
      <w:r>
        <w:rPr>
          <w:color w:val="000000" w:themeColor="text1"/>
          <w:szCs w:val="24"/>
        </w:rPr>
        <w:t xml:space="preserve"> un augstas gatavības projektu realizāciju Covid-19 seku mazināšanai, kopumā tiek sagaidīts kritums. Kritumu kapitāl</w:t>
      </w:r>
      <w:r w:rsidR="0090051F">
        <w:rPr>
          <w:color w:val="000000" w:themeColor="text1"/>
          <w:szCs w:val="24"/>
        </w:rPr>
        <w:t>ajos izdevumos nosaka zemākas Eiropas Savienības</w:t>
      </w:r>
      <w:r>
        <w:rPr>
          <w:color w:val="000000" w:themeColor="text1"/>
          <w:szCs w:val="24"/>
        </w:rPr>
        <w:t xml:space="preserve"> fondu investīcijas pašvaldībās, noslēdzoties 2014.-2020. gada plānošanas periodam.</w:t>
      </w:r>
    </w:p>
    <w:p w14:paraId="1E750EED" w14:textId="05E6F84A" w:rsidR="00D0442A" w:rsidRDefault="00D0442A" w:rsidP="00D0442A">
      <w:pPr>
        <w:spacing w:before="120"/>
        <w:rPr>
          <w:szCs w:val="28"/>
        </w:rPr>
      </w:pPr>
      <w:r w:rsidRPr="00C765C2">
        <w:rPr>
          <w:noProof/>
          <w:szCs w:val="28"/>
        </w:rPr>
        <w:t>Vidējā termiņā pašvaldību budžetā tiek prognozēts augsts deficīta līmenis,</w:t>
      </w:r>
      <w:r w:rsidRPr="00C765C2">
        <w:rPr>
          <w:szCs w:val="28"/>
        </w:rPr>
        <w:t xml:space="preserve"> </w:t>
      </w:r>
      <w:r>
        <w:rPr>
          <w:szCs w:val="28"/>
        </w:rPr>
        <w:t>ņemot vērā, ka</w:t>
      </w:r>
      <w:r w:rsidRPr="00C765C2">
        <w:rPr>
          <w:szCs w:val="28"/>
        </w:rPr>
        <w:t xml:space="preserve"> vairāki valdības apstiprinātie lēmumi</w:t>
      </w:r>
      <w:r>
        <w:rPr>
          <w:szCs w:val="28"/>
        </w:rPr>
        <w:t xml:space="preserve"> paredz</w:t>
      </w:r>
      <w:r w:rsidRPr="00C765C2">
        <w:rPr>
          <w:szCs w:val="28"/>
        </w:rPr>
        <w:t xml:space="preserve"> pašvaldību ieņēmum</w:t>
      </w:r>
      <w:r>
        <w:rPr>
          <w:szCs w:val="28"/>
        </w:rPr>
        <w:t>u samazināšanos – paaugstinot ar iedzīvotāju nodokli neapliekamo minimumu strādājošajiem un pensionāriem.</w:t>
      </w:r>
      <w:r w:rsidRPr="00C765C2">
        <w:rPr>
          <w:szCs w:val="28"/>
        </w:rPr>
        <w:t xml:space="preserve"> </w:t>
      </w:r>
      <w:r>
        <w:rPr>
          <w:szCs w:val="28"/>
        </w:rPr>
        <w:t>Tiek prognozēts, ka salīdzinājumā ar scenāriju pie nemainīgas politikas iedzīvotāju ienākuma nodokļa ieņēmumi pašvaldību budžetā samazināsies 2022. </w:t>
      </w:r>
      <w:r>
        <w:rPr>
          <w:noProof/>
          <w:szCs w:val="28"/>
        </w:rPr>
        <w:t xml:space="preserve">gadā </w:t>
      </w:r>
      <w:r w:rsidRPr="00B4264B">
        <w:rPr>
          <w:noProof/>
          <w:szCs w:val="28"/>
        </w:rPr>
        <w:t xml:space="preserve">par 69,8 milj. </w:t>
      </w:r>
      <w:r w:rsidRPr="00B4264B">
        <w:rPr>
          <w:i/>
          <w:noProof/>
          <w:szCs w:val="28"/>
        </w:rPr>
        <w:t>euro</w:t>
      </w:r>
      <w:r w:rsidRPr="00B4264B">
        <w:rPr>
          <w:iCs/>
          <w:noProof/>
          <w:szCs w:val="28"/>
        </w:rPr>
        <w:t>, 2023. gadā par</w:t>
      </w:r>
      <w:r w:rsidRPr="00B4264B">
        <w:rPr>
          <w:noProof/>
          <w:szCs w:val="28"/>
        </w:rPr>
        <w:t xml:space="preserve"> 119,9 milj. </w:t>
      </w:r>
      <w:r w:rsidRPr="00B4264B">
        <w:rPr>
          <w:i/>
          <w:noProof/>
          <w:szCs w:val="28"/>
        </w:rPr>
        <w:t>euro</w:t>
      </w:r>
      <w:r w:rsidRPr="00B4264B">
        <w:rPr>
          <w:noProof/>
          <w:szCs w:val="28"/>
        </w:rPr>
        <w:t xml:space="preserve"> un 2024. gadā par 120,6 milj. </w:t>
      </w:r>
      <w:r w:rsidRPr="00B4264B">
        <w:rPr>
          <w:i/>
          <w:noProof/>
          <w:szCs w:val="28"/>
        </w:rPr>
        <w:t>euro</w:t>
      </w:r>
      <w:r w:rsidRPr="00C765C2">
        <w:rPr>
          <w:noProof/>
          <w:szCs w:val="28"/>
        </w:rPr>
        <w:t xml:space="preserve">. </w:t>
      </w:r>
      <w:r>
        <w:rPr>
          <w:noProof/>
          <w:szCs w:val="28"/>
        </w:rPr>
        <w:t>Ta</w:t>
      </w:r>
      <w:r w:rsidR="0090051F">
        <w:rPr>
          <w:noProof/>
          <w:szCs w:val="28"/>
        </w:rPr>
        <w:t>ču, ņemot vērā to, ka kopumā iedzīvotāju ienākuma nodokļu</w:t>
      </w:r>
      <w:r>
        <w:rPr>
          <w:noProof/>
          <w:szCs w:val="28"/>
        </w:rPr>
        <w:t xml:space="preserve"> ieņēmumi pašvaldību budžetā vidējā termiņā pieaugs, </w:t>
      </w:r>
      <w:r>
        <w:rPr>
          <w:noProof/>
          <w:szCs w:val="28"/>
        </w:rPr>
        <w:lastRenderedPageBreak/>
        <w:t>ievērojami samazināta iepriekš minētā speciālā dotācija no valsts budžeta. Attiecībā uz pašvaldību budžeta izdevumiem tiek prognozēts, ka tie vidējā termiņā pieaugs, it īpaši a</w:t>
      </w:r>
      <w:r w:rsidR="005774F8">
        <w:rPr>
          <w:noProof/>
          <w:szCs w:val="28"/>
        </w:rPr>
        <w:t>tlīdzībai pedagogiem un aprūpētā</w:t>
      </w:r>
      <w:r>
        <w:rPr>
          <w:noProof/>
          <w:szCs w:val="28"/>
        </w:rPr>
        <w:t>jiem sociālās aprūpes institūcijās, kā arī kapitālie izdevumi</w:t>
      </w:r>
      <w:r>
        <w:rPr>
          <w:szCs w:val="28"/>
        </w:rPr>
        <w:t xml:space="preserve">. </w:t>
      </w:r>
      <w:r w:rsidRPr="007F48D4">
        <w:rPr>
          <w:szCs w:val="28"/>
        </w:rPr>
        <w:t>2022.</w:t>
      </w:r>
      <w:r>
        <w:rPr>
          <w:szCs w:val="28"/>
        </w:rPr>
        <w:t> </w:t>
      </w:r>
      <w:r w:rsidRPr="007F48D4">
        <w:rPr>
          <w:szCs w:val="28"/>
        </w:rPr>
        <w:t xml:space="preserve">gadā augstāku </w:t>
      </w:r>
      <w:r>
        <w:rPr>
          <w:szCs w:val="28"/>
        </w:rPr>
        <w:t xml:space="preserve">kapitālo </w:t>
      </w:r>
      <w:r w:rsidRPr="007F48D4">
        <w:rPr>
          <w:szCs w:val="28"/>
        </w:rPr>
        <w:t xml:space="preserve">izdevumu līmeni noteiks valdības piešķirtie </w:t>
      </w:r>
      <w:r w:rsidRPr="007F48D4">
        <w:rPr>
          <w:noProof/>
          <w:szCs w:val="28"/>
        </w:rPr>
        <w:t>30</w:t>
      </w:r>
      <w:r>
        <w:rPr>
          <w:noProof/>
          <w:szCs w:val="28"/>
        </w:rPr>
        <w:t> </w:t>
      </w:r>
      <w:r w:rsidRPr="007F48D4">
        <w:rPr>
          <w:noProof/>
          <w:szCs w:val="28"/>
        </w:rPr>
        <w:t xml:space="preserve">milj. </w:t>
      </w:r>
      <w:r w:rsidRPr="007F48D4">
        <w:rPr>
          <w:i/>
          <w:noProof/>
          <w:szCs w:val="28"/>
        </w:rPr>
        <w:t>euro</w:t>
      </w:r>
      <w:r w:rsidRPr="007F48D4">
        <w:rPr>
          <w:noProof/>
          <w:szCs w:val="28"/>
        </w:rPr>
        <w:t xml:space="preserve"> pašvaldību investīciju programmai un aizņemšanās limita palielināšana par 70</w:t>
      </w:r>
      <w:r>
        <w:rPr>
          <w:noProof/>
          <w:szCs w:val="28"/>
        </w:rPr>
        <w:t> </w:t>
      </w:r>
      <w:r w:rsidRPr="007F48D4">
        <w:rPr>
          <w:noProof/>
          <w:szCs w:val="28"/>
        </w:rPr>
        <w:t xml:space="preserve">milj. </w:t>
      </w:r>
      <w:r w:rsidRPr="007F48D4">
        <w:rPr>
          <w:i/>
          <w:noProof/>
          <w:szCs w:val="28"/>
        </w:rPr>
        <w:t>euro</w:t>
      </w:r>
      <w:r w:rsidRPr="007F48D4">
        <w:rPr>
          <w:noProof/>
          <w:szCs w:val="28"/>
        </w:rPr>
        <w:t xml:space="preserve">. </w:t>
      </w:r>
    </w:p>
    <w:bookmarkEnd w:id="53"/>
    <w:p w14:paraId="0BCA6ED8" w14:textId="270B3C97" w:rsidR="00D0442A" w:rsidRPr="00D0442A" w:rsidRDefault="00D0442A" w:rsidP="00DB2540">
      <w:pPr>
        <w:keepNext/>
        <w:spacing w:before="120"/>
        <w:ind w:firstLine="1843"/>
        <w:jc w:val="right"/>
        <w:rPr>
          <w:i/>
          <w:szCs w:val="24"/>
        </w:rPr>
      </w:pPr>
      <w:r w:rsidRPr="00D0442A">
        <w:rPr>
          <w:b/>
          <w:i/>
          <w:szCs w:val="24"/>
        </w:rPr>
        <w:t xml:space="preserve">2.9. tabula. Pašvaldību konsolidētā budžeta bilance 2020.-2024.gadā, milj. </w:t>
      </w:r>
      <w:r w:rsidRPr="00D0442A">
        <w:rPr>
          <w:b/>
          <w:i/>
          <w:noProof/>
          <w:szCs w:val="24"/>
        </w:rPr>
        <w:t>euro</w:t>
      </w:r>
    </w:p>
    <w:tbl>
      <w:tblPr>
        <w:tblW w:w="9061" w:type="dxa"/>
        <w:jc w:val="center"/>
        <w:tblLayout w:type="fixed"/>
        <w:tblLook w:val="04A0" w:firstRow="1" w:lastRow="0" w:firstColumn="1" w:lastColumn="0" w:noHBand="0" w:noVBand="1"/>
      </w:tblPr>
      <w:tblGrid>
        <w:gridCol w:w="2263"/>
        <w:gridCol w:w="860"/>
        <w:gridCol w:w="841"/>
        <w:gridCol w:w="851"/>
        <w:gridCol w:w="850"/>
        <w:gridCol w:w="851"/>
        <w:gridCol w:w="850"/>
        <w:gridCol w:w="792"/>
        <w:gridCol w:w="903"/>
      </w:tblGrid>
      <w:tr w:rsidR="00D0442A" w:rsidRPr="00C4506F" w14:paraId="21BA70F0" w14:textId="77777777" w:rsidTr="00D0442A">
        <w:trPr>
          <w:trHeight w:val="100"/>
          <w:tblHeader/>
          <w:jc w:val="center"/>
        </w:trPr>
        <w:tc>
          <w:tcPr>
            <w:tcW w:w="226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700B18A7" w14:textId="03C44B9A" w:rsidR="00D0442A" w:rsidRPr="00C4506F" w:rsidRDefault="00D0442A" w:rsidP="00D0442A">
            <w:pPr>
              <w:spacing w:after="0"/>
              <w:ind w:firstLine="0"/>
              <w:jc w:val="left"/>
              <w:rPr>
                <w:color w:val="000000"/>
                <w:sz w:val="18"/>
                <w:szCs w:val="18"/>
              </w:rPr>
            </w:pPr>
            <w:r w:rsidRPr="00C4506F">
              <w:rPr>
                <w:color w:val="000000"/>
                <w:sz w:val="18"/>
                <w:szCs w:val="18"/>
              </w:rPr>
              <w:t> </w:t>
            </w:r>
            <w:r w:rsidR="005774F8">
              <w:rPr>
                <w:color w:val="000000"/>
                <w:sz w:val="18"/>
                <w:szCs w:val="18"/>
              </w:rPr>
              <w:t>ā</w:t>
            </w:r>
          </w:p>
        </w:tc>
        <w:tc>
          <w:tcPr>
            <w:tcW w:w="86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74BDA3BE" w14:textId="77777777" w:rsidR="00D0442A" w:rsidRPr="00C4506F" w:rsidRDefault="00D0442A" w:rsidP="00D0442A">
            <w:pPr>
              <w:spacing w:after="0"/>
              <w:ind w:firstLine="0"/>
              <w:jc w:val="center"/>
              <w:rPr>
                <w:b/>
                <w:bCs/>
                <w:sz w:val="18"/>
                <w:szCs w:val="18"/>
              </w:rPr>
            </w:pPr>
            <w:r w:rsidRPr="007333CF">
              <w:rPr>
                <w:b/>
                <w:bCs/>
                <w:color w:val="000000"/>
                <w:sz w:val="18"/>
                <w:szCs w:val="18"/>
              </w:rPr>
              <w:t>20</w:t>
            </w:r>
            <w:r>
              <w:rPr>
                <w:b/>
                <w:bCs/>
                <w:color w:val="000000"/>
                <w:sz w:val="18"/>
                <w:szCs w:val="18"/>
              </w:rPr>
              <w:t>20</w:t>
            </w:r>
          </w:p>
        </w:tc>
        <w:tc>
          <w:tcPr>
            <w:tcW w:w="84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2A3FB193" w14:textId="77777777" w:rsidR="00D0442A" w:rsidRPr="00C4506F" w:rsidRDefault="00D0442A" w:rsidP="00D0442A">
            <w:pPr>
              <w:spacing w:after="0"/>
              <w:ind w:firstLine="0"/>
              <w:jc w:val="center"/>
              <w:rPr>
                <w:b/>
                <w:bCs/>
                <w:sz w:val="18"/>
                <w:szCs w:val="18"/>
              </w:rPr>
            </w:pPr>
            <w:r w:rsidRPr="007333CF">
              <w:rPr>
                <w:b/>
                <w:bCs/>
                <w:color w:val="000000"/>
                <w:sz w:val="18"/>
                <w:szCs w:val="18"/>
              </w:rPr>
              <w:t>20</w:t>
            </w:r>
            <w:r>
              <w:rPr>
                <w:b/>
                <w:bCs/>
                <w:color w:val="000000"/>
                <w:sz w:val="18"/>
                <w:szCs w:val="18"/>
              </w:rPr>
              <w:t>21</w:t>
            </w:r>
          </w:p>
        </w:tc>
        <w:tc>
          <w:tcPr>
            <w:tcW w:w="85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688C307D" w14:textId="77777777" w:rsidR="00D0442A" w:rsidRPr="00C4506F" w:rsidRDefault="00D0442A" w:rsidP="00D0442A">
            <w:pPr>
              <w:spacing w:after="0"/>
              <w:ind w:firstLine="0"/>
              <w:jc w:val="center"/>
              <w:rPr>
                <w:b/>
                <w:bCs/>
                <w:sz w:val="18"/>
                <w:szCs w:val="18"/>
              </w:rPr>
            </w:pPr>
            <w:r w:rsidRPr="007333CF">
              <w:rPr>
                <w:b/>
                <w:bCs/>
                <w:color w:val="000000"/>
                <w:sz w:val="18"/>
                <w:szCs w:val="18"/>
              </w:rPr>
              <w:t>202</w:t>
            </w:r>
            <w:r>
              <w:rPr>
                <w:b/>
                <w:bCs/>
                <w:color w:val="000000"/>
                <w:sz w:val="18"/>
                <w:szCs w:val="18"/>
              </w:rPr>
              <w:t>2</w:t>
            </w:r>
          </w:p>
        </w:tc>
        <w:tc>
          <w:tcPr>
            <w:tcW w:w="85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652D0E50" w14:textId="77777777" w:rsidR="00D0442A" w:rsidRPr="00C4506F" w:rsidRDefault="00D0442A" w:rsidP="00D0442A">
            <w:pPr>
              <w:spacing w:after="0"/>
              <w:ind w:firstLine="0"/>
              <w:jc w:val="center"/>
              <w:rPr>
                <w:b/>
                <w:bCs/>
                <w:sz w:val="18"/>
                <w:szCs w:val="18"/>
              </w:rPr>
            </w:pPr>
            <w:r w:rsidRPr="007333CF">
              <w:rPr>
                <w:b/>
                <w:bCs/>
                <w:color w:val="000000"/>
                <w:sz w:val="18"/>
                <w:szCs w:val="18"/>
              </w:rPr>
              <w:t>202</w:t>
            </w:r>
            <w:r>
              <w:rPr>
                <w:b/>
                <w:bCs/>
                <w:color w:val="000000"/>
                <w:sz w:val="18"/>
                <w:szCs w:val="18"/>
              </w:rPr>
              <w:t>3</w:t>
            </w:r>
          </w:p>
        </w:tc>
        <w:tc>
          <w:tcPr>
            <w:tcW w:w="851" w:type="dxa"/>
            <w:tcBorders>
              <w:top w:val="single" w:sz="4" w:space="0" w:color="auto"/>
              <w:left w:val="nil"/>
              <w:bottom w:val="single" w:sz="4" w:space="0" w:color="auto"/>
              <w:right w:val="single" w:sz="4" w:space="0" w:color="auto"/>
            </w:tcBorders>
            <w:shd w:val="clear" w:color="auto" w:fill="9CC2E5" w:themeFill="accent1" w:themeFillTint="99"/>
            <w:noWrap/>
            <w:hideMark/>
          </w:tcPr>
          <w:p w14:paraId="0C8B0A47" w14:textId="77777777" w:rsidR="00D0442A" w:rsidRPr="00C4506F" w:rsidRDefault="00D0442A" w:rsidP="00D0442A">
            <w:pPr>
              <w:spacing w:after="0"/>
              <w:ind w:firstLine="0"/>
              <w:jc w:val="center"/>
              <w:rPr>
                <w:b/>
                <w:bCs/>
                <w:sz w:val="18"/>
                <w:szCs w:val="18"/>
              </w:rPr>
            </w:pPr>
            <w:r w:rsidRPr="007333CF">
              <w:rPr>
                <w:b/>
                <w:bCs/>
                <w:color w:val="000000"/>
                <w:sz w:val="18"/>
                <w:szCs w:val="18"/>
              </w:rPr>
              <w:t>202</w:t>
            </w:r>
            <w:r>
              <w:rPr>
                <w:b/>
                <w:bCs/>
                <w:color w:val="000000"/>
                <w:sz w:val="18"/>
                <w:szCs w:val="18"/>
              </w:rPr>
              <w:t>4</w:t>
            </w:r>
          </w:p>
        </w:tc>
        <w:tc>
          <w:tcPr>
            <w:tcW w:w="850" w:type="dxa"/>
            <w:tcBorders>
              <w:top w:val="single" w:sz="4" w:space="0" w:color="auto"/>
              <w:left w:val="nil"/>
              <w:bottom w:val="single" w:sz="4" w:space="0" w:color="auto"/>
              <w:right w:val="single" w:sz="4" w:space="0" w:color="auto"/>
            </w:tcBorders>
            <w:shd w:val="clear" w:color="auto" w:fill="9CC2E5" w:themeFill="accent1" w:themeFillTint="99"/>
            <w:vAlign w:val="center"/>
          </w:tcPr>
          <w:p w14:paraId="4D15F8E5" w14:textId="77777777" w:rsidR="00D0442A" w:rsidRPr="00C4506F" w:rsidRDefault="00D0442A" w:rsidP="00D0442A">
            <w:pPr>
              <w:spacing w:after="0"/>
              <w:ind w:firstLine="0"/>
              <w:jc w:val="center"/>
              <w:rPr>
                <w:b/>
                <w:bCs/>
                <w:color w:val="000000"/>
                <w:sz w:val="18"/>
                <w:szCs w:val="18"/>
              </w:rPr>
            </w:pPr>
            <w:r w:rsidRPr="007333CF">
              <w:rPr>
                <w:b/>
                <w:bCs/>
                <w:color w:val="000000"/>
                <w:sz w:val="18"/>
                <w:szCs w:val="18"/>
              </w:rPr>
              <w:t>202</w:t>
            </w:r>
            <w:r>
              <w:rPr>
                <w:b/>
                <w:bCs/>
                <w:color w:val="000000"/>
                <w:sz w:val="18"/>
                <w:szCs w:val="18"/>
              </w:rPr>
              <w:t>2</w:t>
            </w:r>
          </w:p>
        </w:tc>
        <w:tc>
          <w:tcPr>
            <w:tcW w:w="79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5EFA3E62" w14:textId="77777777" w:rsidR="00D0442A" w:rsidRPr="00C4506F" w:rsidRDefault="00D0442A" w:rsidP="00D0442A">
            <w:pPr>
              <w:spacing w:after="0"/>
              <w:ind w:firstLine="0"/>
              <w:jc w:val="center"/>
              <w:rPr>
                <w:b/>
                <w:bCs/>
                <w:sz w:val="18"/>
                <w:szCs w:val="18"/>
              </w:rPr>
            </w:pPr>
            <w:r w:rsidRPr="007333CF">
              <w:rPr>
                <w:b/>
                <w:bCs/>
                <w:color w:val="000000"/>
                <w:sz w:val="18"/>
                <w:szCs w:val="18"/>
              </w:rPr>
              <w:t>202</w:t>
            </w:r>
            <w:r>
              <w:rPr>
                <w:b/>
                <w:bCs/>
                <w:color w:val="000000"/>
                <w:sz w:val="18"/>
                <w:szCs w:val="18"/>
              </w:rPr>
              <w:t>3</w:t>
            </w:r>
          </w:p>
        </w:tc>
        <w:tc>
          <w:tcPr>
            <w:tcW w:w="903" w:type="dxa"/>
            <w:tcBorders>
              <w:top w:val="single" w:sz="4" w:space="0" w:color="auto"/>
              <w:left w:val="nil"/>
              <w:bottom w:val="single" w:sz="4" w:space="0" w:color="auto"/>
              <w:right w:val="single" w:sz="4" w:space="0" w:color="auto"/>
            </w:tcBorders>
            <w:shd w:val="clear" w:color="auto" w:fill="9CC2E5" w:themeFill="accent1" w:themeFillTint="99"/>
            <w:noWrap/>
            <w:hideMark/>
          </w:tcPr>
          <w:p w14:paraId="41382399" w14:textId="77777777" w:rsidR="00D0442A" w:rsidRPr="00C4506F" w:rsidRDefault="00D0442A" w:rsidP="00D0442A">
            <w:pPr>
              <w:spacing w:after="0"/>
              <w:ind w:firstLine="0"/>
              <w:jc w:val="center"/>
              <w:rPr>
                <w:b/>
                <w:bCs/>
                <w:sz w:val="18"/>
                <w:szCs w:val="18"/>
              </w:rPr>
            </w:pPr>
            <w:r w:rsidRPr="007333CF">
              <w:rPr>
                <w:b/>
                <w:bCs/>
                <w:color w:val="000000"/>
                <w:sz w:val="18"/>
                <w:szCs w:val="18"/>
              </w:rPr>
              <w:t>202</w:t>
            </w:r>
            <w:r>
              <w:rPr>
                <w:b/>
                <w:bCs/>
                <w:color w:val="000000"/>
                <w:sz w:val="18"/>
                <w:szCs w:val="18"/>
              </w:rPr>
              <w:t>4</w:t>
            </w:r>
          </w:p>
        </w:tc>
      </w:tr>
      <w:tr w:rsidR="00D0442A" w:rsidRPr="00C4506F" w14:paraId="314604FE" w14:textId="77777777" w:rsidTr="00D0442A">
        <w:trPr>
          <w:trHeight w:val="375"/>
          <w:tblHeader/>
          <w:jc w:val="center"/>
        </w:trPr>
        <w:tc>
          <w:tcPr>
            <w:tcW w:w="2263"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14:paraId="088B5E30" w14:textId="77777777" w:rsidR="00D0442A" w:rsidRPr="00C4506F" w:rsidRDefault="00D0442A" w:rsidP="00D0442A">
            <w:pPr>
              <w:spacing w:after="0"/>
              <w:ind w:firstLine="0"/>
              <w:jc w:val="left"/>
              <w:rPr>
                <w:b/>
                <w:bCs/>
                <w:color w:val="000000"/>
                <w:sz w:val="18"/>
                <w:szCs w:val="18"/>
              </w:rPr>
            </w:pPr>
            <w:r w:rsidRPr="00C4506F">
              <w:rPr>
                <w:b/>
                <w:bCs/>
                <w:color w:val="000000"/>
                <w:sz w:val="18"/>
                <w:szCs w:val="18"/>
              </w:rPr>
              <w:t> </w:t>
            </w:r>
          </w:p>
        </w:tc>
        <w:tc>
          <w:tcPr>
            <w:tcW w:w="86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65A91759" w14:textId="77777777" w:rsidR="00D0442A" w:rsidRPr="00C4506F" w:rsidRDefault="00D0442A" w:rsidP="00D0442A">
            <w:pPr>
              <w:spacing w:after="0"/>
              <w:ind w:firstLine="0"/>
              <w:jc w:val="center"/>
              <w:rPr>
                <w:b/>
                <w:sz w:val="18"/>
                <w:szCs w:val="18"/>
              </w:rPr>
            </w:pPr>
            <w:r w:rsidRPr="006A6D52">
              <w:rPr>
                <w:b/>
                <w:color w:val="000000"/>
                <w:sz w:val="18"/>
                <w:szCs w:val="18"/>
              </w:rPr>
              <w:t>Fakts</w:t>
            </w:r>
          </w:p>
        </w:tc>
        <w:tc>
          <w:tcPr>
            <w:tcW w:w="841" w:type="dxa"/>
            <w:tcBorders>
              <w:top w:val="single" w:sz="4" w:space="0" w:color="auto"/>
              <w:left w:val="nil"/>
              <w:bottom w:val="single" w:sz="4" w:space="0" w:color="auto"/>
              <w:right w:val="single" w:sz="4" w:space="0" w:color="auto"/>
            </w:tcBorders>
            <w:shd w:val="clear" w:color="auto" w:fill="9CC2E5" w:themeFill="accent1" w:themeFillTint="99"/>
            <w:vAlign w:val="center"/>
          </w:tcPr>
          <w:p w14:paraId="22F1AF37" w14:textId="77777777" w:rsidR="00D0442A" w:rsidRPr="00C4506F" w:rsidRDefault="00D0442A" w:rsidP="00D0442A">
            <w:pPr>
              <w:spacing w:after="0"/>
              <w:ind w:firstLine="0"/>
              <w:jc w:val="center"/>
              <w:rPr>
                <w:b/>
                <w:sz w:val="18"/>
                <w:szCs w:val="18"/>
              </w:rPr>
            </w:pPr>
            <w:r w:rsidRPr="006A6D52">
              <w:rPr>
                <w:b/>
                <w:color w:val="000000"/>
                <w:sz w:val="18"/>
                <w:szCs w:val="18"/>
              </w:rPr>
              <w:t>Novērt.</w:t>
            </w:r>
          </w:p>
        </w:tc>
        <w:tc>
          <w:tcPr>
            <w:tcW w:w="2552" w:type="dxa"/>
            <w:gridSpan w:val="3"/>
            <w:tcBorders>
              <w:top w:val="single" w:sz="4" w:space="0" w:color="auto"/>
              <w:left w:val="nil"/>
              <w:bottom w:val="single" w:sz="4" w:space="0" w:color="auto"/>
              <w:right w:val="single" w:sz="4" w:space="0" w:color="auto"/>
            </w:tcBorders>
            <w:shd w:val="clear" w:color="auto" w:fill="9CC2E5" w:themeFill="accent1" w:themeFillTint="99"/>
            <w:vAlign w:val="center"/>
          </w:tcPr>
          <w:p w14:paraId="2CDB8A74" w14:textId="77777777" w:rsidR="00D0442A" w:rsidRPr="00C4506F" w:rsidRDefault="00D0442A" w:rsidP="00D0442A">
            <w:pPr>
              <w:spacing w:after="0"/>
              <w:ind w:firstLine="0"/>
              <w:jc w:val="center"/>
              <w:rPr>
                <w:b/>
                <w:sz w:val="18"/>
                <w:szCs w:val="18"/>
              </w:rPr>
            </w:pPr>
            <w:r w:rsidRPr="006A6D52">
              <w:rPr>
                <w:b/>
                <w:color w:val="000000"/>
                <w:sz w:val="18"/>
                <w:szCs w:val="18"/>
              </w:rPr>
              <w:t>Prognoze</w:t>
            </w:r>
            <w:r>
              <w:rPr>
                <w:b/>
                <w:color w:val="000000"/>
                <w:sz w:val="18"/>
                <w:szCs w:val="18"/>
              </w:rPr>
              <w:br/>
            </w:r>
            <w:r w:rsidRPr="006A6D52">
              <w:rPr>
                <w:b/>
                <w:color w:val="000000"/>
                <w:sz w:val="18"/>
                <w:szCs w:val="18"/>
              </w:rPr>
              <w:t>(</w:t>
            </w:r>
            <w:r>
              <w:rPr>
                <w:b/>
                <w:color w:val="000000"/>
                <w:sz w:val="18"/>
                <w:szCs w:val="18"/>
              </w:rPr>
              <w:t xml:space="preserve">pie </w:t>
            </w:r>
            <w:r w:rsidRPr="006A6D52">
              <w:rPr>
                <w:b/>
                <w:color w:val="000000"/>
                <w:sz w:val="18"/>
                <w:szCs w:val="18"/>
              </w:rPr>
              <w:t>nemainīga</w:t>
            </w:r>
            <w:r>
              <w:rPr>
                <w:b/>
                <w:color w:val="000000"/>
                <w:sz w:val="18"/>
                <w:szCs w:val="18"/>
              </w:rPr>
              <w:t>s</w:t>
            </w:r>
            <w:r w:rsidRPr="006A6D52">
              <w:rPr>
                <w:b/>
                <w:color w:val="000000"/>
                <w:sz w:val="18"/>
                <w:szCs w:val="18"/>
              </w:rPr>
              <w:t xml:space="preserve"> politika</w:t>
            </w:r>
            <w:r>
              <w:rPr>
                <w:b/>
                <w:color w:val="000000"/>
                <w:sz w:val="18"/>
                <w:szCs w:val="18"/>
              </w:rPr>
              <w:t>s)</w:t>
            </w:r>
            <w:r>
              <w:rPr>
                <w:rStyle w:val="FootnoteReference"/>
                <w:b/>
                <w:color w:val="000000"/>
                <w:sz w:val="18"/>
                <w:szCs w:val="18"/>
              </w:rPr>
              <w:footnoteReference w:id="15"/>
            </w:r>
          </w:p>
        </w:tc>
        <w:tc>
          <w:tcPr>
            <w:tcW w:w="2545" w:type="dxa"/>
            <w:gridSpan w:val="3"/>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D5B43D4" w14:textId="77777777" w:rsidR="00D0442A" w:rsidRPr="00C4506F" w:rsidRDefault="00D0442A" w:rsidP="00D0442A">
            <w:pPr>
              <w:spacing w:after="0"/>
              <w:ind w:firstLine="0"/>
              <w:jc w:val="center"/>
              <w:rPr>
                <w:b/>
                <w:sz w:val="18"/>
                <w:szCs w:val="18"/>
              </w:rPr>
            </w:pPr>
            <w:r w:rsidRPr="006A6D52">
              <w:rPr>
                <w:b/>
                <w:color w:val="000000"/>
                <w:sz w:val="18"/>
                <w:szCs w:val="18"/>
              </w:rPr>
              <w:t xml:space="preserve">Prognoze </w:t>
            </w:r>
          </w:p>
        </w:tc>
      </w:tr>
      <w:tr w:rsidR="00D0442A" w:rsidRPr="00C4506F" w14:paraId="1ABCE1C0" w14:textId="77777777" w:rsidTr="00D0442A">
        <w:trPr>
          <w:trHeight w:val="184"/>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A4A2E" w14:textId="77777777" w:rsidR="00D0442A" w:rsidRPr="00E558BC" w:rsidRDefault="00D0442A" w:rsidP="00D0442A">
            <w:pPr>
              <w:spacing w:after="0"/>
              <w:ind w:firstLine="0"/>
              <w:jc w:val="left"/>
              <w:rPr>
                <w:b/>
                <w:bCs/>
                <w:sz w:val="18"/>
                <w:szCs w:val="18"/>
              </w:rPr>
            </w:pPr>
            <w:r w:rsidRPr="00E558BC">
              <w:rPr>
                <w:b/>
                <w:bCs/>
                <w:sz w:val="18"/>
                <w:szCs w:val="18"/>
              </w:rPr>
              <w:t>PAŠVALDĪBU BUDŽETA BILANCE</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653CB29B" w14:textId="77777777" w:rsidR="00D0442A" w:rsidRPr="007F5A1B" w:rsidRDefault="00D0442A" w:rsidP="00D0442A">
            <w:pPr>
              <w:spacing w:after="0"/>
              <w:ind w:firstLine="0"/>
              <w:jc w:val="right"/>
              <w:rPr>
                <w:b/>
                <w:bCs/>
                <w:sz w:val="18"/>
                <w:szCs w:val="18"/>
              </w:rPr>
            </w:pPr>
            <w:r w:rsidRPr="007F5A1B">
              <w:rPr>
                <w:b/>
                <w:bCs/>
                <w:sz w:val="18"/>
                <w:szCs w:val="18"/>
              </w:rPr>
              <w:t>-39,4</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649CD3BA" w14:textId="77777777" w:rsidR="00D0442A" w:rsidRPr="007F5A1B" w:rsidRDefault="00D0442A" w:rsidP="00D0442A">
            <w:pPr>
              <w:spacing w:after="0"/>
              <w:ind w:firstLine="0"/>
              <w:jc w:val="right"/>
              <w:rPr>
                <w:b/>
                <w:bCs/>
                <w:sz w:val="18"/>
                <w:szCs w:val="18"/>
              </w:rPr>
            </w:pPr>
            <w:r w:rsidRPr="007F5A1B">
              <w:rPr>
                <w:b/>
                <w:bCs/>
                <w:sz w:val="18"/>
                <w:szCs w:val="18"/>
              </w:rPr>
              <w:t>-115,8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F73643A" w14:textId="77777777" w:rsidR="00D0442A" w:rsidRPr="007F5A1B" w:rsidRDefault="00D0442A" w:rsidP="00D0442A">
            <w:pPr>
              <w:spacing w:after="0"/>
              <w:ind w:firstLine="0"/>
              <w:jc w:val="right"/>
              <w:rPr>
                <w:b/>
                <w:bCs/>
                <w:sz w:val="18"/>
                <w:szCs w:val="18"/>
              </w:rPr>
            </w:pPr>
            <w:r w:rsidRPr="007F5A1B">
              <w:rPr>
                <w:b/>
                <w:bCs/>
                <w:sz w:val="18"/>
                <w:szCs w:val="18"/>
              </w:rPr>
              <w:t>-66,2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8D90739" w14:textId="77777777" w:rsidR="00D0442A" w:rsidRPr="007F5A1B" w:rsidRDefault="00D0442A" w:rsidP="00D0442A">
            <w:pPr>
              <w:spacing w:after="0"/>
              <w:ind w:firstLine="0"/>
              <w:jc w:val="right"/>
              <w:rPr>
                <w:b/>
                <w:bCs/>
                <w:sz w:val="18"/>
                <w:szCs w:val="18"/>
              </w:rPr>
            </w:pPr>
            <w:r w:rsidRPr="007F5A1B">
              <w:rPr>
                <w:b/>
                <w:bCs/>
                <w:sz w:val="18"/>
                <w:szCs w:val="18"/>
              </w:rPr>
              <w:t>-41,0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8F6DCD0" w14:textId="77777777" w:rsidR="00D0442A" w:rsidRPr="007F5A1B" w:rsidRDefault="00D0442A" w:rsidP="00D0442A">
            <w:pPr>
              <w:spacing w:after="0"/>
              <w:ind w:firstLine="0"/>
              <w:jc w:val="right"/>
              <w:rPr>
                <w:b/>
                <w:bCs/>
                <w:sz w:val="18"/>
                <w:szCs w:val="18"/>
              </w:rPr>
            </w:pPr>
            <w:r w:rsidRPr="007F5A1B">
              <w:rPr>
                <w:b/>
                <w:bCs/>
                <w:sz w:val="18"/>
                <w:szCs w:val="18"/>
              </w:rPr>
              <w:t>-26,6</w:t>
            </w:r>
          </w:p>
        </w:tc>
        <w:tc>
          <w:tcPr>
            <w:tcW w:w="850" w:type="dxa"/>
            <w:tcBorders>
              <w:top w:val="single" w:sz="4" w:space="0" w:color="auto"/>
              <w:left w:val="nil"/>
              <w:bottom w:val="single" w:sz="4" w:space="0" w:color="auto"/>
              <w:right w:val="single" w:sz="4" w:space="0" w:color="auto"/>
            </w:tcBorders>
            <w:shd w:val="clear" w:color="auto" w:fill="auto"/>
            <w:vAlign w:val="center"/>
          </w:tcPr>
          <w:p w14:paraId="3181FFDD" w14:textId="77777777" w:rsidR="00D0442A" w:rsidRPr="00397E7A" w:rsidRDefault="00D0442A" w:rsidP="00D0442A">
            <w:pPr>
              <w:spacing w:after="0"/>
              <w:ind w:firstLine="0"/>
              <w:jc w:val="right"/>
              <w:rPr>
                <w:b/>
                <w:color w:val="FF0000"/>
                <w:sz w:val="18"/>
                <w:szCs w:val="18"/>
              </w:rPr>
            </w:pPr>
            <w:r w:rsidRPr="00397E7A">
              <w:rPr>
                <w:b/>
                <w:bCs/>
                <w:sz w:val="18"/>
                <w:szCs w:val="18"/>
              </w:rPr>
              <w:t>-196,0</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19521" w14:textId="77777777" w:rsidR="00D0442A" w:rsidRPr="00397E7A" w:rsidRDefault="00D0442A" w:rsidP="00D0442A">
            <w:pPr>
              <w:spacing w:after="0"/>
              <w:ind w:firstLine="0"/>
              <w:jc w:val="right"/>
              <w:rPr>
                <w:b/>
                <w:color w:val="FF0000"/>
                <w:sz w:val="18"/>
                <w:szCs w:val="18"/>
              </w:rPr>
            </w:pPr>
            <w:r w:rsidRPr="00397E7A">
              <w:rPr>
                <w:b/>
                <w:bCs/>
                <w:sz w:val="18"/>
                <w:szCs w:val="18"/>
              </w:rPr>
              <w:t>-160,8</w:t>
            </w:r>
          </w:p>
        </w:tc>
        <w:tc>
          <w:tcPr>
            <w:tcW w:w="903" w:type="dxa"/>
            <w:tcBorders>
              <w:top w:val="single" w:sz="4" w:space="0" w:color="auto"/>
              <w:left w:val="nil"/>
              <w:bottom w:val="single" w:sz="4" w:space="0" w:color="auto"/>
              <w:right w:val="single" w:sz="4" w:space="0" w:color="auto"/>
            </w:tcBorders>
            <w:shd w:val="clear" w:color="auto" w:fill="auto"/>
            <w:noWrap/>
            <w:vAlign w:val="center"/>
            <w:hideMark/>
          </w:tcPr>
          <w:p w14:paraId="6602F6A4" w14:textId="77777777" w:rsidR="00D0442A" w:rsidRPr="00397E7A" w:rsidRDefault="00D0442A" w:rsidP="00D0442A">
            <w:pPr>
              <w:spacing w:after="0"/>
              <w:ind w:firstLine="0"/>
              <w:jc w:val="right"/>
              <w:rPr>
                <w:b/>
                <w:color w:val="FF0000"/>
                <w:sz w:val="18"/>
                <w:szCs w:val="18"/>
              </w:rPr>
            </w:pPr>
            <w:r w:rsidRPr="00397E7A">
              <w:rPr>
                <w:b/>
                <w:bCs/>
                <w:sz w:val="18"/>
                <w:szCs w:val="18"/>
              </w:rPr>
              <w:t>-147,2</w:t>
            </w:r>
          </w:p>
        </w:tc>
      </w:tr>
      <w:tr w:rsidR="00D0442A" w:rsidRPr="00C4506F" w14:paraId="68ECB710" w14:textId="77777777" w:rsidTr="00D0442A">
        <w:trPr>
          <w:trHeight w:val="71"/>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D3301" w14:textId="77777777" w:rsidR="00D0442A" w:rsidRPr="00E558BC" w:rsidRDefault="00D0442A" w:rsidP="00D0442A">
            <w:pPr>
              <w:spacing w:after="0"/>
              <w:ind w:left="-225" w:firstLineChars="100" w:firstLine="180"/>
              <w:rPr>
                <w:sz w:val="18"/>
                <w:szCs w:val="18"/>
              </w:rPr>
            </w:pPr>
            <w:r w:rsidRPr="00E558BC">
              <w:rPr>
                <w:sz w:val="18"/>
                <w:szCs w:val="18"/>
              </w:rPr>
              <w:t>Ieņēmumi</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700A864D" w14:textId="77777777" w:rsidR="00D0442A" w:rsidRPr="007F5A1B" w:rsidRDefault="00D0442A" w:rsidP="00D0442A">
            <w:pPr>
              <w:spacing w:after="0"/>
              <w:ind w:firstLine="0"/>
              <w:jc w:val="right"/>
              <w:rPr>
                <w:color w:val="FF0000"/>
                <w:sz w:val="18"/>
                <w:szCs w:val="18"/>
                <w:highlight w:val="yellow"/>
              </w:rPr>
            </w:pPr>
            <w:r w:rsidRPr="007F5A1B">
              <w:rPr>
                <w:bCs/>
                <w:sz w:val="18"/>
                <w:szCs w:val="18"/>
              </w:rPr>
              <w:t>2 818,3</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ECF291D" w14:textId="77777777" w:rsidR="00D0442A" w:rsidRPr="007F5A1B" w:rsidRDefault="00D0442A" w:rsidP="00D0442A">
            <w:pPr>
              <w:spacing w:after="0"/>
              <w:ind w:firstLine="0"/>
              <w:jc w:val="right"/>
              <w:rPr>
                <w:color w:val="FF0000"/>
                <w:sz w:val="18"/>
                <w:szCs w:val="18"/>
                <w:highlight w:val="yellow"/>
              </w:rPr>
            </w:pPr>
            <w:r w:rsidRPr="007F5A1B">
              <w:rPr>
                <w:bCs/>
                <w:sz w:val="18"/>
                <w:szCs w:val="18"/>
              </w:rPr>
              <w:t>2 791,4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C69222A" w14:textId="77777777" w:rsidR="00D0442A" w:rsidRPr="007F5A1B" w:rsidRDefault="00D0442A" w:rsidP="00D0442A">
            <w:pPr>
              <w:spacing w:after="0"/>
              <w:ind w:firstLine="0"/>
              <w:jc w:val="right"/>
              <w:rPr>
                <w:color w:val="FF0000"/>
                <w:sz w:val="18"/>
                <w:szCs w:val="18"/>
                <w:highlight w:val="yellow"/>
              </w:rPr>
            </w:pPr>
            <w:r w:rsidRPr="007F5A1B">
              <w:rPr>
                <w:bCs/>
                <w:sz w:val="18"/>
                <w:szCs w:val="18"/>
              </w:rPr>
              <w:t>2 920,4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8507CEC" w14:textId="77777777" w:rsidR="00D0442A" w:rsidRPr="007F5A1B" w:rsidRDefault="00D0442A" w:rsidP="00D0442A">
            <w:pPr>
              <w:spacing w:after="0"/>
              <w:ind w:firstLine="0"/>
              <w:jc w:val="right"/>
              <w:rPr>
                <w:color w:val="FF0000"/>
                <w:sz w:val="18"/>
                <w:szCs w:val="18"/>
                <w:highlight w:val="yellow"/>
              </w:rPr>
            </w:pPr>
            <w:r w:rsidRPr="007F5A1B">
              <w:rPr>
                <w:bCs/>
                <w:sz w:val="18"/>
                <w:szCs w:val="18"/>
              </w:rPr>
              <w:t>3 007,0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2D55781" w14:textId="77777777" w:rsidR="00D0442A" w:rsidRPr="007F5A1B" w:rsidRDefault="00D0442A" w:rsidP="00D0442A">
            <w:pPr>
              <w:spacing w:after="0"/>
              <w:ind w:firstLine="0"/>
              <w:jc w:val="right"/>
              <w:rPr>
                <w:color w:val="FF0000"/>
                <w:sz w:val="18"/>
                <w:szCs w:val="18"/>
                <w:highlight w:val="yellow"/>
              </w:rPr>
            </w:pPr>
            <w:r w:rsidRPr="007F5A1B">
              <w:rPr>
                <w:bCs/>
                <w:sz w:val="18"/>
                <w:szCs w:val="18"/>
              </w:rPr>
              <w:t>3 191,1</w:t>
            </w:r>
          </w:p>
        </w:tc>
        <w:tc>
          <w:tcPr>
            <w:tcW w:w="850" w:type="dxa"/>
            <w:tcBorders>
              <w:top w:val="single" w:sz="4" w:space="0" w:color="auto"/>
              <w:left w:val="nil"/>
              <w:bottom w:val="single" w:sz="4" w:space="0" w:color="auto"/>
              <w:right w:val="single" w:sz="4" w:space="0" w:color="auto"/>
            </w:tcBorders>
            <w:shd w:val="clear" w:color="auto" w:fill="auto"/>
            <w:vAlign w:val="center"/>
          </w:tcPr>
          <w:p w14:paraId="0D8ACDC0" w14:textId="77777777" w:rsidR="00D0442A" w:rsidRPr="00397E7A" w:rsidRDefault="00D0442A" w:rsidP="00D0442A">
            <w:pPr>
              <w:spacing w:after="0"/>
              <w:ind w:firstLine="0"/>
              <w:jc w:val="right"/>
              <w:rPr>
                <w:color w:val="FF0000"/>
                <w:sz w:val="18"/>
                <w:szCs w:val="18"/>
              </w:rPr>
            </w:pPr>
            <w:r w:rsidRPr="00397E7A">
              <w:rPr>
                <w:bCs/>
                <w:sz w:val="18"/>
                <w:szCs w:val="18"/>
              </w:rPr>
              <w:t>2 906,0</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40915" w14:textId="77777777" w:rsidR="00D0442A" w:rsidRPr="00397E7A" w:rsidRDefault="00D0442A" w:rsidP="00D0442A">
            <w:pPr>
              <w:spacing w:after="0"/>
              <w:ind w:firstLine="0"/>
              <w:jc w:val="right"/>
              <w:rPr>
                <w:color w:val="FF0000"/>
                <w:sz w:val="18"/>
                <w:szCs w:val="18"/>
              </w:rPr>
            </w:pPr>
            <w:r w:rsidRPr="00397E7A">
              <w:rPr>
                <w:bCs/>
                <w:sz w:val="18"/>
                <w:szCs w:val="18"/>
              </w:rPr>
              <w:t>2 854,5</w:t>
            </w:r>
          </w:p>
        </w:tc>
        <w:tc>
          <w:tcPr>
            <w:tcW w:w="903" w:type="dxa"/>
            <w:tcBorders>
              <w:top w:val="single" w:sz="4" w:space="0" w:color="auto"/>
              <w:left w:val="nil"/>
              <w:bottom w:val="single" w:sz="4" w:space="0" w:color="auto"/>
              <w:right w:val="single" w:sz="4" w:space="0" w:color="auto"/>
            </w:tcBorders>
            <w:shd w:val="clear" w:color="auto" w:fill="auto"/>
            <w:noWrap/>
            <w:vAlign w:val="center"/>
            <w:hideMark/>
          </w:tcPr>
          <w:p w14:paraId="32DD254D" w14:textId="77777777" w:rsidR="00D0442A" w:rsidRPr="00397E7A" w:rsidRDefault="00D0442A" w:rsidP="00D0442A">
            <w:pPr>
              <w:spacing w:after="0"/>
              <w:ind w:firstLine="0"/>
              <w:jc w:val="right"/>
              <w:rPr>
                <w:color w:val="FF0000"/>
                <w:sz w:val="18"/>
                <w:szCs w:val="18"/>
              </w:rPr>
            </w:pPr>
            <w:r w:rsidRPr="00397E7A">
              <w:rPr>
                <w:bCs/>
                <w:sz w:val="18"/>
                <w:szCs w:val="18"/>
              </w:rPr>
              <w:t>2 952,1</w:t>
            </w:r>
          </w:p>
        </w:tc>
      </w:tr>
      <w:tr w:rsidR="00D0442A" w:rsidRPr="00C4506F" w14:paraId="05738287" w14:textId="77777777" w:rsidTr="00D0442A">
        <w:trPr>
          <w:trHeight w:val="7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C37D493" w14:textId="77777777" w:rsidR="00D0442A" w:rsidRPr="00E558BC" w:rsidRDefault="00D0442A" w:rsidP="00D0442A">
            <w:pPr>
              <w:spacing w:after="0"/>
              <w:ind w:left="-239" w:firstLineChars="200" w:firstLine="360"/>
              <w:rPr>
                <w:sz w:val="18"/>
                <w:szCs w:val="18"/>
              </w:rPr>
            </w:pPr>
            <w:r w:rsidRPr="00E558BC">
              <w:rPr>
                <w:sz w:val="18"/>
                <w:szCs w:val="18"/>
              </w:rPr>
              <w:t>Nodokļu ieņēmumi</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2FD97" w14:textId="77777777" w:rsidR="00D0442A" w:rsidRPr="007F5A1B" w:rsidRDefault="00D0442A" w:rsidP="00D0442A">
            <w:pPr>
              <w:spacing w:after="0"/>
              <w:ind w:firstLine="0"/>
              <w:jc w:val="right"/>
              <w:rPr>
                <w:color w:val="FF0000"/>
                <w:sz w:val="18"/>
                <w:szCs w:val="18"/>
                <w:highlight w:val="yellow"/>
              </w:rPr>
            </w:pPr>
            <w:r w:rsidRPr="007F5A1B">
              <w:rPr>
                <w:sz w:val="18"/>
                <w:szCs w:val="18"/>
              </w:rPr>
              <w:t>1 688,4</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3278329" w14:textId="77777777" w:rsidR="00D0442A" w:rsidRPr="007F5A1B" w:rsidRDefault="00D0442A" w:rsidP="00D0442A">
            <w:pPr>
              <w:spacing w:after="0"/>
              <w:ind w:firstLine="0"/>
              <w:jc w:val="right"/>
              <w:rPr>
                <w:color w:val="FF0000"/>
                <w:sz w:val="18"/>
                <w:szCs w:val="18"/>
                <w:highlight w:val="yellow"/>
              </w:rPr>
            </w:pPr>
            <w:r w:rsidRPr="007F5A1B">
              <w:rPr>
                <w:sz w:val="18"/>
                <w:szCs w:val="18"/>
              </w:rPr>
              <w:t>1 548,5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DDFBF05" w14:textId="77777777" w:rsidR="00D0442A" w:rsidRPr="007F5A1B" w:rsidRDefault="00D0442A" w:rsidP="00D0442A">
            <w:pPr>
              <w:spacing w:after="0"/>
              <w:ind w:firstLine="0"/>
              <w:jc w:val="right"/>
              <w:rPr>
                <w:color w:val="FF0000"/>
                <w:sz w:val="18"/>
                <w:szCs w:val="18"/>
                <w:highlight w:val="yellow"/>
              </w:rPr>
            </w:pPr>
            <w:r w:rsidRPr="007F5A1B">
              <w:rPr>
                <w:sz w:val="18"/>
                <w:szCs w:val="18"/>
              </w:rPr>
              <w:t>1 711,9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BAFF7DD" w14:textId="77777777" w:rsidR="00D0442A" w:rsidRPr="007F5A1B" w:rsidRDefault="00D0442A" w:rsidP="00D0442A">
            <w:pPr>
              <w:spacing w:after="0"/>
              <w:ind w:firstLine="0"/>
              <w:jc w:val="right"/>
              <w:rPr>
                <w:color w:val="FF0000"/>
                <w:sz w:val="18"/>
                <w:szCs w:val="18"/>
                <w:highlight w:val="yellow"/>
              </w:rPr>
            </w:pPr>
            <w:r w:rsidRPr="007F5A1B">
              <w:rPr>
                <w:sz w:val="18"/>
                <w:szCs w:val="18"/>
              </w:rPr>
              <w:t>1 807,6</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8C492FB" w14:textId="77777777" w:rsidR="00D0442A" w:rsidRPr="007F5A1B" w:rsidRDefault="00D0442A" w:rsidP="00D0442A">
            <w:pPr>
              <w:spacing w:after="0"/>
              <w:ind w:firstLine="0"/>
              <w:jc w:val="right"/>
              <w:rPr>
                <w:color w:val="FF0000"/>
                <w:sz w:val="18"/>
                <w:szCs w:val="18"/>
                <w:highlight w:val="yellow"/>
              </w:rPr>
            </w:pPr>
            <w:r w:rsidRPr="007F5A1B">
              <w:rPr>
                <w:sz w:val="18"/>
                <w:szCs w:val="18"/>
              </w:rPr>
              <w:t>1 894,9</w:t>
            </w:r>
          </w:p>
        </w:tc>
        <w:tc>
          <w:tcPr>
            <w:tcW w:w="850" w:type="dxa"/>
            <w:tcBorders>
              <w:top w:val="single" w:sz="4" w:space="0" w:color="auto"/>
              <w:left w:val="nil"/>
              <w:bottom w:val="single" w:sz="4" w:space="0" w:color="auto"/>
              <w:right w:val="single" w:sz="4" w:space="0" w:color="auto"/>
            </w:tcBorders>
            <w:shd w:val="clear" w:color="auto" w:fill="auto"/>
            <w:vAlign w:val="center"/>
          </w:tcPr>
          <w:p w14:paraId="38477BC7" w14:textId="77777777" w:rsidR="00D0442A" w:rsidRPr="00397E7A" w:rsidRDefault="00D0442A" w:rsidP="00D0442A">
            <w:pPr>
              <w:spacing w:after="0"/>
              <w:ind w:firstLine="0"/>
              <w:jc w:val="right"/>
              <w:rPr>
                <w:color w:val="FF0000"/>
                <w:sz w:val="18"/>
                <w:szCs w:val="18"/>
              </w:rPr>
            </w:pPr>
            <w:r w:rsidRPr="00397E7A">
              <w:rPr>
                <w:sz w:val="18"/>
                <w:szCs w:val="18"/>
              </w:rPr>
              <w:t>1 642,1</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45DE8" w14:textId="77777777" w:rsidR="00D0442A" w:rsidRPr="00397E7A" w:rsidRDefault="00D0442A" w:rsidP="00D0442A">
            <w:pPr>
              <w:spacing w:after="0"/>
              <w:ind w:firstLine="0"/>
              <w:jc w:val="right"/>
              <w:rPr>
                <w:color w:val="FF0000"/>
                <w:sz w:val="18"/>
                <w:szCs w:val="18"/>
              </w:rPr>
            </w:pPr>
            <w:r w:rsidRPr="00397E7A">
              <w:rPr>
                <w:sz w:val="18"/>
                <w:szCs w:val="18"/>
              </w:rPr>
              <w:t>1 687,7</w:t>
            </w:r>
          </w:p>
        </w:tc>
        <w:tc>
          <w:tcPr>
            <w:tcW w:w="903" w:type="dxa"/>
            <w:tcBorders>
              <w:top w:val="single" w:sz="4" w:space="0" w:color="auto"/>
              <w:left w:val="nil"/>
              <w:bottom w:val="single" w:sz="4" w:space="0" w:color="auto"/>
              <w:right w:val="single" w:sz="4" w:space="0" w:color="auto"/>
            </w:tcBorders>
            <w:shd w:val="clear" w:color="auto" w:fill="auto"/>
            <w:noWrap/>
            <w:vAlign w:val="center"/>
            <w:hideMark/>
          </w:tcPr>
          <w:p w14:paraId="0A73543E" w14:textId="77777777" w:rsidR="00D0442A" w:rsidRPr="00397E7A" w:rsidRDefault="00D0442A" w:rsidP="00D0442A">
            <w:pPr>
              <w:spacing w:after="0"/>
              <w:ind w:firstLine="0"/>
              <w:jc w:val="right"/>
              <w:rPr>
                <w:color w:val="FF0000"/>
                <w:sz w:val="18"/>
                <w:szCs w:val="18"/>
              </w:rPr>
            </w:pPr>
            <w:r w:rsidRPr="00397E7A">
              <w:rPr>
                <w:sz w:val="18"/>
                <w:szCs w:val="18"/>
              </w:rPr>
              <w:t>1 774,3</w:t>
            </w:r>
          </w:p>
        </w:tc>
      </w:tr>
      <w:tr w:rsidR="00D0442A" w:rsidRPr="00C4506F" w14:paraId="73CB3CD7" w14:textId="77777777" w:rsidTr="00D0442A">
        <w:trPr>
          <w:trHeight w:val="86"/>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B632AC4" w14:textId="77777777" w:rsidR="00D0442A" w:rsidRPr="00E558BC" w:rsidRDefault="00D0442A" w:rsidP="00D0442A">
            <w:pPr>
              <w:spacing w:after="0"/>
              <w:ind w:firstLine="0"/>
              <w:rPr>
                <w:sz w:val="18"/>
                <w:szCs w:val="18"/>
              </w:rPr>
            </w:pPr>
            <w:r>
              <w:rPr>
                <w:noProof/>
                <w:sz w:val="18"/>
                <w:szCs w:val="18"/>
              </w:rPr>
              <w:t xml:space="preserve">   </w:t>
            </w:r>
            <w:r w:rsidRPr="00E558BC">
              <w:rPr>
                <w:noProof/>
                <w:sz w:val="18"/>
                <w:szCs w:val="18"/>
              </w:rPr>
              <w:t xml:space="preserve">Transferts </w:t>
            </w:r>
            <w:r w:rsidRPr="00E558BC">
              <w:rPr>
                <w:sz w:val="18"/>
                <w:szCs w:val="18"/>
              </w:rPr>
              <w:t>no valsts budžeta</w:t>
            </w:r>
          </w:p>
        </w:tc>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66C841B" w14:textId="77777777" w:rsidR="00D0442A" w:rsidRPr="007F5A1B" w:rsidRDefault="00D0442A" w:rsidP="00D0442A">
            <w:pPr>
              <w:spacing w:after="0"/>
              <w:ind w:firstLine="0"/>
              <w:jc w:val="right"/>
              <w:rPr>
                <w:color w:val="FF0000"/>
                <w:sz w:val="18"/>
                <w:szCs w:val="18"/>
                <w:highlight w:val="yellow"/>
              </w:rPr>
            </w:pPr>
            <w:r w:rsidRPr="007F5A1B">
              <w:rPr>
                <w:sz w:val="18"/>
                <w:szCs w:val="18"/>
              </w:rPr>
              <w:t>946,4</w:t>
            </w:r>
          </w:p>
        </w:tc>
        <w:tc>
          <w:tcPr>
            <w:tcW w:w="841" w:type="dxa"/>
            <w:tcBorders>
              <w:top w:val="nil"/>
              <w:left w:val="nil"/>
              <w:bottom w:val="single" w:sz="4" w:space="0" w:color="auto"/>
              <w:right w:val="single" w:sz="4" w:space="0" w:color="auto"/>
            </w:tcBorders>
            <w:shd w:val="clear" w:color="auto" w:fill="auto"/>
            <w:noWrap/>
            <w:vAlign w:val="center"/>
            <w:hideMark/>
          </w:tcPr>
          <w:p w14:paraId="6C14F704" w14:textId="77777777" w:rsidR="00D0442A" w:rsidRPr="007F5A1B" w:rsidRDefault="00D0442A" w:rsidP="00D0442A">
            <w:pPr>
              <w:spacing w:after="0"/>
              <w:ind w:firstLine="0"/>
              <w:jc w:val="right"/>
              <w:rPr>
                <w:color w:val="FF0000"/>
                <w:sz w:val="18"/>
                <w:szCs w:val="18"/>
                <w:highlight w:val="yellow"/>
              </w:rPr>
            </w:pPr>
            <w:r w:rsidRPr="007F5A1B">
              <w:rPr>
                <w:sz w:val="18"/>
                <w:szCs w:val="18"/>
              </w:rPr>
              <w:t>1 053,8</w:t>
            </w:r>
          </w:p>
        </w:tc>
        <w:tc>
          <w:tcPr>
            <w:tcW w:w="851" w:type="dxa"/>
            <w:tcBorders>
              <w:top w:val="nil"/>
              <w:left w:val="nil"/>
              <w:bottom w:val="single" w:sz="4" w:space="0" w:color="auto"/>
              <w:right w:val="single" w:sz="4" w:space="0" w:color="auto"/>
            </w:tcBorders>
            <w:shd w:val="clear" w:color="auto" w:fill="auto"/>
            <w:noWrap/>
            <w:vAlign w:val="center"/>
            <w:hideMark/>
          </w:tcPr>
          <w:p w14:paraId="7B555447" w14:textId="77777777" w:rsidR="00D0442A" w:rsidRPr="007F5A1B" w:rsidRDefault="00D0442A" w:rsidP="00D0442A">
            <w:pPr>
              <w:spacing w:after="0"/>
              <w:ind w:firstLine="0"/>
              <w:jc w:val="right"/>
              <w:rPr>
                <w:color w:val="FF0000"/>
                <w:sz w:val="18"/>
                <w:szCs w:val="18"/>
                <w:highlight w:val="yellow"/>
              </w:rPr>
            </w:pPr>
            <w:r w:rsidRPr="007F5A1B">
              <w:rPr>
                <w:sz w:val="18"/>
                <w:szCs w:val="18"/>
              </w:rPr>
              <w:t>1 014,4</w:t>
            </w:r>
          </w:p>
        </w:tc>
        <w:tc>
          <w:tcPr>
            <w:tcW w:w="850" w:type="dxa"/>
            <w:tcBorders>
              <w:top w:val="nil"/>
              <w:left w:val="nil"/>
              <w:bottom w:val="single" w:sz="4" w:space="0" w:color="auto"/>
              <w:right w:val="single" w:sz="4" w:space="0" w:color="auto"/>
            </w:tcBorders>
            <w:shd w:val="clear" w:color="auto" w:fill="auto"/>
            <w:noWrap/>
            <w:vAlign w:val="center"/>
            <w:hideMark/>
          </w:tcPr>
          <w:p w14:paraId="138F2381" w14:textId="77777777" w:rsidR="00D0442A" w:rsidRPr="007F5A1B" w:rsidRDefault="00D0442A" w:rsidP="00D0442A">
            <w:pPr>
              <w:spacing w:after="0"/>
              <w:ind w:firstLine="0"/>
              <w:jc w:val="right"/>
              <w:rPr>
                <w:color w:val="FF0000"/>
                <w:sz w:val="18"/>
                <w:szCs w:val="18"/>
                <w:highlight w:val="yellow"/>
              </w:rPr>
            </w:pPr>
            <w:r w:rsidRPr="007F5A1B">
              <w:rPr>
                <w:sz w:val="18"/>
                <w:szCs w:val="18"/>
              </w:rPr>
              <w:t>1 005,4</w:t>
            </w:r>
          </w:p>
        </w:tc>
        <w:tc>
          <w:tcPr>
            <w:tcW w:w="851" w:type="dxa"/>
            <w:tcBorders>
              <w:top w:val="nil"/>
              <w:left w:val="nil"/>
              <w:bottom w:val="single" w:sz="4" w:space="0" w:color="auto"/>
              <w:right w:val="single" w:sz="4" w:space="0" w:color="auto"/>
            </w:tcBorders>
            <w:shd w:val="clear" w:color="auto" w:fill="auto"/>
            <w:noWrap/>
            <w:vAlign w:val="center"/>
            <w:hideMark/>
          </w:tcPr>
          <w:p w14:paraId="7551BB24" w14:textId="77777777" w:rsidR="00D0442A" w:rsidRPr="007F5A1B" w:rsidRDefault="00D0442A" w:rsidP="00D0442A">
            <w:pPr>
              <w:spacing w:after="0"/>
              <w:ind w:firstLine="0"/>
              <w:jc w:val="right"/>
              <w:rPr>
                <w:color w:val="FF0000"/>
                <w:sz w:val="18"/>
                <w:szCs w:val="18"/>
                <w:highlight w:val="yellow"/>
              </w:rPr>
            </w:pPr>
            <w:r w:rsidRPr="007F5A1B">
              <w:rPr>
                <w:sz w:val="18"/>
                <w:szCs w:val="18"/>
              </w:rPr>
              <w:t>1 102,1</w:t>
            </w:r>
          </w:p>
        </w:tc>
        <w:tc>
          <w:tcPr>
            <w:tcW w:w="850" w:type="dxa"/>
            <w:tcBorders>
              <w:top w:val="single" w:sz="4" w:space="0" w:color="auto"/>
              <w:left w:val="nil"/>
              <w:bottom w:val="single" w:sz="4" w:space="0" w:color="auto"/>
              <w:right w:val="single" w:sz="4" w:space="0" w:color="auto"/>
            </w:tcBorders>
            <w:shd w:val="clear" w:color="auto" w:fill="auto"/>
            <w:vAlign w:val="center"/>
          </w:tcPr>
          <w:p w14:paraId="5B854585" w14:textId="77777777" w:rsidR="00D0442A" w:rsidRPr="00397E7A" w:rsidRDefault="00D0442A" w:rsidP="00D0442A">
            <w:pPr>
              <w:spacing w:after="0"/>
              <w:ind w:firstLine="0"/>
              <w:jc w:val="right"/>
              <w:rPr>
                <w:color w:val="FF0000"/>
                <w:sz w:val="18"/>
                <w:szCs w:val="18"/>
              </w:rPr>
            </w:pPr>
            <w:r w:rsidRPr="00397E7A">
              <w:rPr>
                <w:sz w:val="18"/>
                <w:szCs w:val="18"/>
              </w:rPr>
              <w:t>1 069,8</w:t>
            </w:r>
          </w:p>
        </w:tc>
        <w:tc>
          <w:tcPr>
            <w:tcW w:w="792" w:type="dxa"/>
            <w:tcBorders>
              <w:top w:val="nil"/>
              <w:left w:val="single" w:sz="4" w:space="0" w:color="auto"/>
              <w:bottom w:val="single" w:sz="4" w:space="0" w:color="auto"/>
              <w:right w:val="single" w:sz="4" w:space="0" w:color="auto"/>
            </w:tcBorders>
            <w:shd w:val="clear" w:color="auto" w:fill="auto"/>
            <w:noWrap/>
            <w:vAlign w:val="center"/>
            <w:hideMark/>
          </w:tcPr>
          <w:p w14:paraId="22C8D975" w14:textId="77777777" w:rsidR="00D0442A" w:rsidRPr="00397E7A" w:rsidRDefault="00D0442A" w:rsidP="00D0442A">
            <w:pPr>
              <w:spacing w:after="0"/>
              <w:ind w:firstLine="0"/>
              <w:jc w:val="right"/>
              <w:rPr>
                <w:color w:val="FF0000"/>
                <w:sz w:val="18"/>
                <w:szCs w:val="18"/>
              </w:rPr>
            </w:pPr>
            <w:r w:rsidRPr="00397E7A">
              <w:rPr>
                <w:sz w:val="18"/>
                <w:szCs w:val="18"/>
              </w:rPr>
              <w:t>972,7</w:t>
            </w:r>
          </w:p>
        </w:tc>
        <w:tc>
          <w:tcPr>
            <w:tcW w:w="903" w:type="dxa"/>
            <w:tcBorders>
              <w:top w:val="nil"/>
              <w:left w:val="nil"/>
              <w:bottom w:val="single" w:sz="4" w:space="0" w:color="auto"/>
              <w:right w:val="single" w:sz="4" w:space="0" w:color="auto"/>
            </w:tcBorders>
            <w:shd w:val="clear" w:color="auto" w:fill="auto"/>
            <w:noWrap/>
            <w:vAlign w:val="center"/>
            <w:hideMark/>
          </w:tcPr>
          <w:p w14:paraId="0E4B24B0" w14:textId="77777777" w:rsidR="00D0442A" w:rsidRPr="00397E7A" w:rsidRDefault="00D0442A" w:rsidP="00D0442A">
            <w:pPr>
              <w:spacing w:after="0"/>
              <w:ind w:firstLine="0"/>
              <w:jc w:val="right"/>
              <w:rPr>
                <w:color w:val="FF0000"/>
                <w:sz w:val="18"/>
                <w:szCs w:val="18"/>
              </w:rPr>
            </w:pPr>
            <w:r w:rsidRPr="00397E7A">
              <w:rPr>
                <w:sz w:val="18"/>
                <w:szCs w:val="18"/>
              </w:rPr>
              <w:t>983,7</w:t>
            </w:r>
          </w:p>
        </w:tc>
      </w:tr>
      <w:tr w:rsidR="00D0442A" w:rsidRPr="00C4506F" w14:paraId="605A3004" w14:textId="77777777" w:rsidTr="00D0442A">
        <w:trPr>
          <w:trHeight w:val="7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6E9FA31" w14:textId="77777777" w:rsidR="00D0442A" w:rsidRPr="00E558BC" w:rsidRDefault="00D0442A" w:rsidP="00D0442A">
            <w:pPr>
              <w:spacing w:after="0"/>
              <w:ind w:left="-239" w:firstLineChars="200" w:firstLine="360"/>
              <w:rPr>
                <w:sz w:val="18"/>
                <w:szCs w:val="18"/>
              </w:rPr>
            </w:pPr>
            <w:r w:rsidRPr="00E558BC">
              <w:rPr>
                <w:sz w:val="18"/>
                <w:szCs w:val="18"/>
              </w:rPr>
              <w:t>Pārējie ieņēmumi</w:t>
            </w:r>
          </w:p>
        </w:tc>
        <w:tc>
          <w:tcPr>
            <w:tcW w:w="860" w:type="dxa"/>
            <w:tcBorders>
              <w:top w:val="nil"/>
              <w:left w:val="single" w:sz="4" w:space="0" w:color="auto"/>
              <w:bottom w:val="single" w:sz="4" w:space="0" w:color="auto"/>
              <w:right w:val="single" w:sz="4" w:space="0" w:color="auto"/>
            </w:tcBorders>
            <w:shd w:val="clear" w:color="auto" w:fill="auto"/>
            <w:noWrap/>
            <w:vAlign w:val="center"/>
          </w:tcPr>
          <w:p w14:paraId="69300DD4" w14:textId="77777777" w:rsidR="00D0442A" w:rsidRPr="007F5A1B" w:rsidRDefault="00D0442A" w:rsidP="00D0442A">
            <w:pPr>
              <w:spacing w:after="0"/>
              <w:ind w:firstLine="0"/>
              <w:jc w:val="right"/>
              <w:rPr>
                <w:iCs/>
                <w:sz w:val="18"/>
                <w:szCs w:val="18"/>
              </w:rPr>
            </w:pPr>
            <w:r w:rsidRPr="007F5A1B">
              <w:rPr>
                <w:iCs/>
                <w:sz w:val="18"/>
                <w:szCs w:val="18"/>
              </w:rPr>
              <w:t>183,5</w:t>
            </w:r>
          </w:p>
        </w:tc>
        <w:tc>
          <w:tcPr>
            <w:tcW w:w="841" w:type="dxa"/>
            <w:tcBorders>
              <w:top w:val="nil"/>
              <w:left w:val="nil"/>
              <w:bottom w:val="single" w:sz="4" w:space="0" w:color="auto"/>
              <w:right w:val="single" w:sz="4" w:space="0" w:color="auto"/>
            </w:tcBorders>
            <w:shd w:val="clear" w:color="auto" w:fill="auto"/>
            <w:noWrap/>
            <w:vAlign w:val="center"/>
          </w:tcPr>
          <w:p w14:paraId="738F6AA9" w14:textId="77777777" w:rsidR="00D0442A" w:rsidRPr="007F5A1B" w:rsidRDefault="00D0442A" w:rsidP="00D0442A">
            <w:pPr>
              <w:spacing w:after="0"/>
              <w:ind w:firstLine="0"/>
              <w:jc w:val="right"/>
              <w:rPr>
                <w:iCs/>
                <w:sz w:val="18"/>
                <w:szCs w:val="18"/>
              </w:rPr>
            </w:pPr>
            <w:r w:rsidRPr="007F5A1B">
              <w:rPr>
                <w:iCs/>
                <w:sz w:val="18"/>
                <w:szCs w:val="18"/>
              </w:rPr>
              <w:t>189,1</w:t>
            </w:r>
          </w:p>
        </w:tc>
        <w:tc>
          <w:tcPr>
            <w:tcW w:w="851" w:type="dxa"/>
            <w:tcBorders>
              <w:top w:val="nil"/>
              <w:left w:val="nil"/>
              <w:bottom w:val="single" w:sz="4" w:space="0" w:color="auto"/>
              <w:right w:val="single" w:sz="4" w:space="0" w:color="auto"/>
            </w:tcBorders>
            <w:shd w:val="clear" w:color="auto" w:fill="auto"/>
            <w:noWrap/>
            <w:vAlign w:val="center"/>
          </w:tcPr>
          <w:p w14:paraId="5FFBBDC5" w14:textId="77777777" w:rsidR="00D0442A" w:rsidRPr="007F5A1B" w:rsidRDefault="00D0442A" w:rsidP="00D0442A">
            <w:pPr>
              <w:spacing w:after="0"/>
              <w:ind w:firstLine="0"/>
              <w:jc w:val="right"/>
              <w:rPr>
                <w:iCs/>
                <w:sz w:val="18"/>
                <w:szCs w:val="18"/>
              </w:rPr>
            </w:pPr>
            <w:r w:rsidRPr="007F5A1B">
              <w:rPr>
                <w:iCs/>
                <w:sz w:val="18"/>
                <w:szCs w:val="18"/>
              </w:rPr>
              <w:t>194,1</w:t>
            </w:r>
          </w:p>
        </w:tc>
        <w:tc>
          <w:tcPr>
            <w:tcW w:w="850" w:type="dxa"/>
            <w:tcBorders>
              <w:top w:val="nil"/>
              <w:left w:val="nil"/>
              <w:bottom w:val="single" w:sz="4" w:space="0" w:color="auto"/>
              <w:right w:val="single" w:sz="4" w:space="0" w:color="auto"/>
            </w:tcBorders>
            <w:shd w:val="clear" w:color="auto" w:fill="auto"/>
            <w:noWrap/>
            <w:vAlign w:val="center"/>
          </w:tcPr>
          <w:p w14:paraId="57AC0974" w14:textId="77777777" w:rsidR="00D0442A" w:rsidRPr="007F5A1B" w:rsidRDefault="00D0442A" w:rsidP="00D0442A">
            <w:pPr>
              <w:spacing w:after="0"/>
              <w:ind w:firstLine="0"/>
              <w:jc w:val="right"/>
              <w:rPr>
                <w:iCs/>
                <w:sz w:val="18"/>
                <w:szCs w:val="18"/>
              </w:rPr>
            </w:pPr>
            <w:r w:rsidRPr="007F5A1B">
              <w:rPr>
                <w:iCs/>
                <w:sz w:val="18"/>
                <w:szCs w:val="18"/>
              </w:rPr>
              <w:t>194,1</w:t>
            </w:r>
          </w:p>
        </w:tc>
        <w:tc>
          <w:tcPr>
            <w:tcW w:w="851" w:type="dxa"/>
            <w:tcBorders>
              <w:top w:val="nil"/>
              <w:left w:val="nil"/>
              <w:bottom w:val="single" w:sz="4" w:space="0" w:color="auto"/>
              <w:right w:val="single" w:sz="4" w:space="0" w:color="auto"/>
            </w:tcBorders>
            <w:shd w:val="clear" w:color="auto" w:fill="auto"/>
            <w:noWrap/>
            <w:vAlign w:val="center"/>
          </w:tcPr>
          <w:p w14:paraId="7DF38DA4" w14:textId="77777777" w:rsidR="00D0442A" w:rsidRPr="007F5A1B" w:rsidRDefault="00D0442A" w:rsidP="00D0442A">
            <w:pPr>
              <w:spacing w:after="0"/>
              <w:ind w:firstLine="0"/>
              <w:jc w:val="right"/>
              <w:rPr>
                <w:iCs/>
                <w:sz w:val="18"/>
                <w:szCs w:val="18"/>
              </w:rPr>
            </w:pPr>
            <w:r w:rsidRPr="007F5A1B">
              <w:rPr>
                <w:iCs/>
                <w:sz w:val="18"/>
                <w:szCs w:val="18"/>
              </w:rPr>
              <w:t>194,1</w:t>
            </w:r>
          </w:p>
        </w:tc>
        <w:tc>
          <w:tcPr>
            <w:tcW w:w="850" w:type="dxa"/>
            <w:tcBorders>
              <w:top w:val="single" w:sz="4" w:space="0" w:color="auto"/>
              <w:left w:val="nil"/>
              <w:bottom w:val="single" w:sz="4" w:space="0" w:color="auto"/>
              <w:right w:val="single" w:sz="4" w:space="0" w:color="auto"/>
            </w:tcBorders>
            <w:shd w:val="clear" w:color="auto" w:fill="auto"/>
            <w:vAlign w:val="center"/>
          </w:tcPr>
          <w:p w14:paraId="038DB901" w14:textId="77777777" w:rsidR="00D0442A" w:rsidRPr="00397E7A" w:rsidRDefault="00D0442A" w:rsidP="00D0442A">
            <w:pPr>
              <w:spacing w:after="0"/>
              <w:ind w:firstLine="0"/>
              <w:jc w:val="right"/>
              <w:rPr>
                <w:color w:val="FF0000"/>
                <w:sz w:val="18"/>
                <w:szCs w:val="18"/>
              </w:rPr>
            </w:pPr>
            <w:r w:rsidRPr="00397E7A">
              <w:rPr>
                <w:iCs/>
                <w:sz w:val="18"/>
                <w:szCs w:val="18"/>
              </w:rPr>
              <w:t>194,1</w:t>
            </w:r>
          </w:p>
        </w:tc>
        <w:tc>
          <w:tcPr>
            <w:tcW w:w="792" w:type="dxa"/>
            <w:tcBorders>
              <w:top w:val="nil"/>
              <w:left w:val="single" w:sz="4" w:space="0" w:color="auto"/>
              <w:bottom w:val="single" w:sz="4" w:space="0" w:color="auto"/>
              <w:right w:val="single" w:sz="4" w:space="0" w:color="auto"/>
            </w:tcBorders>
            <w:shd w:val="clear" w:color="auto" w:fill="auto"/>
            <w:noWrap/>
            <w:vAlign w:val="center"/>
          </w:tcPr>
          <w:p w14:paraId="6EFF088B" w14:textId="77777777" w:rsidR="00D0442A" w:rsidRPr="00397E7A" w:rsidRDefault="00D0442A" w:rsidP="00D0442A">
            <w:pPr>
              <w:spacing w:after="0"/>
              <w:ind w:firstLine="0"/>
              <w:jc w:val="right"/>
              <w:rPr>
                <w:color w:val="FF0000"/>
                <w:sz w:val="18"/>
                <w:szCs w:val="18"/>
              </w:rPr>
            </w:pPr>
            <w:r w:rsidRPr="00397E7A">
              <w:rPr>
                <w:iCs/>
                <w:sz w:val="18"/>
                <w:szCs w:val="18"/>
              </w:rPr>
              <w:t>194,1</w:t>
            </w:r>
          </w:p>
        </w:tc>
        <w:tc>
          <w:tcPr>
            <w:tcW w:w="903" w:type="dxa"/>
            <w:tcBorders>
              <w:top w:val="nil"/>
              <w:left w:val="nil"/>
              <w:bottom w:val="single" w:sz="4" w:space="0" w:color="auto"/>
              <w:right w:val="single" w:sz="4" w:space="0" w:color="auto"/>
            </w:tcBorders>
            <w:shd w:val="clear" w:color="auto" w:fill="auto"/>
            <w:noWrap/>
            <w:vAlign w:val="center"/>
          </w:tcPr>
          <w:p w14:paraId="48F7AAA4" w14:textId="77777777" w:rsidR="00D0442A" w:rsidRPr="00397E7A" w:rsidRDefault="00D0442A" w:rsidP="00D0442A">
            <w:pPr>
              <w:spacing w:after="0"/>
              <w:ind w:firstLine="0"/>
              <w:jc w:val="right"/>
              <w:rPr>
                <w:color w:val="FF0000"/>
                <w:sz w:val="18"/>
                <w:szCs w:val="18"/>
              </w:rPr>
            </w:pPr>
            <w:r w:rsidRPr="00397E7A">
              <w:rPr>
                <w:iCs/>
                <w:sz w:val="18"/>
                <w:szCs w:val="18"/>
              </w:rPr>
              <w:t>194,1</w:t>
            </w:r>
          </w:p>
        </w:tc>
      </w:tr>
      <w:tr w:rsidR="00D0442A" w:rsidRPr="00C4506F" w14:paraId="20EA83DA" w14:textId="77777777" w:rsidTr="00D0442A">
        <w:trPr>
          <w:trHeight w:val="71"/>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EF0EC81" w14:textId="77777777" w:rsidR="00D0442A" w:rsidRPr="00E558BC" w:rsidRDefault="00D0442A" w:rsidP="00D0442A">
            <w:pPr>
              <w:spacing w:after="0"/>
              <w:ind w:left="-225" w:firstLineChars="100" w:firstLine="180"/>
              <w:rPr>
                <w:sz w:val="18"/>
                <w:szCs w:val="18"/>
              </w:rPr>
            </w:pPr>
            <w:r w:rsidRPr="00E558BC">
              <w:rPr>
                <w:sz w:val="18"/>
                <w:szCs w:val="18"/>
              </w:rPr>
              <w:t>Izdevumi</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7BAE1602" w14:textId="77777777" w:rsidR="00D0442A" w:rsidRPr="007F5A1B" w:rsidRDefault="00D0442A" w:rsidP="00D0442A">
            <w:pPr>
              <w:spacing w:after="0"/>
              <w:ind w:firstLine="0"/>
              <w:jc w:val="right"/>
              <w:rPr>
                <w:color w:val="FF0000"/>
                <w:sz w:val="18"/>
                <w:szCs w:val="18"/>
                <w:highlight w:val="yellow"/>
              </w:rPr>
            </w:pPr>
            <w:r w:rsidRPr="007F5A1B">
              <w:rPr>
                <w:bCs/>
                <w:sz w:val="18"/>
                <w:szCs w:val="18"/>
              </w:rPr>
              <w:t>2 857,7</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608F4263" w14:textId="77777777" w:rsidR="00D0442A" w:rsidRPr="007F5A1B" w:rsidRDefault="00D0442A" w:rsidP="00D0442A">
            <w:pPr>
              <w:spacing w:after="0"/>
              <w:ind w:firstLine="0"/>
              <w:jc w:val="right"/>
              <w:rPr>
                <w:color w:val="FF0000"/>
                <w:sz w:val="18"/>
                <w:szCs w:val="18"/>
                <w:highlight w:val="yellow"/>
              </w:rPr>
            </w:pPr>
            <w:r w:rsidRPr="007F5A1B">
              <w:rPr>
                <w:bCs/>
                <w:sz w:val="18"/>
                <w:szCs w:val="18"/>
              </w:rPr>
              <w:t>2 907,1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2F2ACF3" w14:textId="77777777" w:rsidR="00D0442A" w:rsidRPr="007F5A1B" w:rsidRDefault="00D0442A" w:rsidP="00D0442A">
            <w:pPr>
              <w:spacing w:after="0"/>
              <w:ind w:firstLine="0"/>
              <w:jc w:val="right"/>
              <w:rPr>
                <w:color w:val="FF0000"/>
                <w:sz w:val="18"/>
                <w:szCs w:val="18"/>
                <w:highlight w:val="yellow"/>
              </w:rPr>
            </w:pPr>
            <w:r w:rsidRPr="007F5A1B">
              <w:rPr>
                <w:bCs/>
                <w:sz w:val="18"/>
                <w:szCs w:val="18"/>
              </w:rPr>
              <w:t>2 986,6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2E1D013" w14:textId="77777777" w:rsidR="00D0442A" w:rsidRPr="007F5A1B" w:rsidRDefault="00D0442A" w:rsidP="00D0442A">
            <w:pPr>
              <w:spacing w:after="0"/>
              <w:ind w:firstLine="0"/>
              <w:jc w:val="right"/>
              <w:rPr>
                <w:color w:val="FF0000"/>
                <w:sz w:val="18"/>
                <w:szCs w:val="18"/>
                <w:highlight w:val="yellow"/>
              </w:rPr>
            </w:pPr>
            <w:r w:rsidRPr="007F5A1B">
              <w:rPr>
                <w:bCs/>
                <w:sz w:val="18"/>
                <w:szCs w:val="18"/>
              </w:rPr>
              <w:t>3 048,0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BF85507" w14:textId="77777777" w:rsidR="00D0442A" w:rsidRPr="007F5A1B" w:rsidRDefault="00D0442A" w:rsidP="00D0442A">
            <w:pPr>
              <w:spacing w:after="0"/>
              <w:ind w:firstLine="0"/>
              <w:jc w:val="right"/>
              <w:rPr>
                <w:color w:val="FF0000"/>
                <w:sz w:val="18"/>
                <w:szCs w:val="18"/>
                <w:highlight w:val="yellow"/>
              </w:rPr>
            </w:pPr>
            <w:r w:rsidRPr="007F5A1B">
              <w:rPr>
                <w:bCs/>
                <w:sz w:val="18"/>
                <w:szCs w:val="18"/>
              </w:rPr>
              <w:t>3 217,7</w:t>
            </w:r>
          </w:p>
        </w:tc>
        <w:tc>
          <w:tcPr>
            <w:tcW w:w="850" w:type="dxa"/>
            <w:tcBorders>
              <w:top w:val="single" w:sz="4" w:space="0" w:color="auto"/>
              <w:left w:val="nil"/>
              <w:bottom w:val="single" w:sz="4" w:space="0" w:color="auto"/>
              <w:right w:val="single" w:sz="4" w:space="0" w:color="auto"/>
            </w:tcBorders>
            <w:shd w:val="clear" w:color="auto" w:fill="auto"/>
            <w:vAlign w:val="center"/>
          </w:tcPr>
          <w:p w14:paraId="50E2A524" w14:textId="77777777" w:rsidR="00D0442A" w:rsidRPr="00397E7A" w:rsidRDefault="00D0442A" w:rsidP="00D0442A">
            <w:pPr>
              <w:spacing w:after="0"/>
              <w:ind w:firstLine="0"/>
              <w:jc w:val="right"/>
              <w:rPr>
                <w:color w:val="FF0000"/>
                <w:sz w:val="18"/>
                <w:szCs w:val="18"/>
              </w:rPr>
            </w:pPr>
            <w:r w:rsidRPr="00397E7A">
              <w:rPr>
                <w:bCs/>
                <w:sz w:val="18"/>
                <w:szCs w:val="18"/>
              </w:rPr>
              <w:t>3 102,0</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62761" w14:textId="77777777" w:rsidR="00D0442A" w:rsidRPr="00397E7A" w:rsidRDefault="00D0442A" w:rsidP="00D0442A">
            <w:pPr>
              <w:spacing w:after="0"/>
              <w:ind w:firstLine="0"/>
              <w:jc w:val="right"/>
              <w:rPr>
                <w:color w:val="FF0000"/>
                <w:sz w:val="18"/>
                <w:szCs w:val="18"/>
              </w:rPr>
            </w:pPr>
            <w:r w:rsidRPr="00397E7A">
              <w:rPr>
                <w:bCs/>
                <w:sz w:val="18"/>
                <w:szCs w:val="18"/>
              </w:rPr>
              <w:t>3 015,3</w:t>
            </w:r>
          </w:p>
        </w:tc>
        <w:tc>
          <w:tcPr>
            <w:tcW w:w="903" w:type="dxa"/>
            <w:tcBorders>
              <w:top w:val="single" w:sz="4" w:space="0" w:color="auto"/>
              <w:left w:val="nil"/>
              <w:bottom w:val="single" w:sz="4" w:space="0" w:color="auto"/>
              <w:right w:val="single" w:sz="4" w:space="0" w:color="auto"/>
            </w:tcBorders>
            <w:shd w:val="clear" w:color="auto" w:fill="auto"/>
            <w:noWrap/>
            <w:vAlign w:val="center"/>
            <w:hideMark/>
          </w:tcPr>
          <w:p w14:paraId="15816ACA" w14:textId="77777777" w:rsidR="00D0442A" w:rsidRPr="00397E7A" w:rsidRDefault="00D0442A" w:rsidP="00D0442A">
            <w:pPr>
              <w:spacing w:after="0"/>
              <w:ind w:firstLine="0"/>
              <w:jc w:val="right"/>
              <w:rPr>
                <w:color w:val="FF0000"/>
                <w:sz w:val="18"/>
                <w:szCs w:val="18"/>
              </w:rPr>
            </w:pPr>
            <w:r w:rsidRPr="00397E7A">
              <w:rPr>
                <w:bCs/>
                <w:sz w:val="18"/>
                <w:szCs w:val="18"/>
              </w:rPr>
              <w:t>3 099,3</w:t>
            </w:r>
          </w:p>
        </w:tc>
      </w:tr>
      <w:tr w:rsidR="00D0442A" w:rsidRPr="00C4506F" w14:paraId="06203BD0" w14:textId="77777777" w:rsidTr="00D0442A">
        <w:trPr>
          <w:trHeight w:val="7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FD10C13" w14:textId="77777777" w:rsidR="00D0442A" w:rsidRPr="00E558BC" w:rsidRDefault="00D0442A" w:rsidP="00D0442A">
            <w:pPr>
              <w:spacing w:after="0"/>
              <w:ind w:left="-239" w:firstLineChars="200" w:firstLine="360"/>
              <w:rPr>
                <w:sz w:val="18"/>
                <w:szCs w:val="18"/>
              </w:rPr>
            </w:pPr>
            <w:r w:rsidRPr="00E558BC">
              <w:rPr>
                <w:sz w:val="18"/>
                <w:szCs w:val="18"/>
              </w:rPr>
              <w:t>Uzturēšanas izdevumi</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9127C" w14:textId="77777777" w:rsidR="00D0442A" w:rsidRPr="007F5A1B" w:rsidRDefault="00D0442A" w:rsidP="00D0442A">
            <w:pPr>
              <w:spacing w:after="0"/>
              <w:ind w:firstLine="0"/>
              <w:jc w:val="right"/>
              <w:rPr>
                <w:color w:val="FF0000"/>
                <w:sz w:val="18"/>
                <w:szCs w:val="18"/>
                <w:highlight w:val="yellow"/>
              </w:rPr>
            </w:pPr>
            <w:r w:rsidRPr="007F5A1B">
              <w:rPr>
                <w:sz w:val="18"/>
                <w:szCs w:val="18"/>
              </w:rPr>
              <w:t>2 232,1</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9D71A3B" w14:textId="77777777" w:rsidR="00D0442A" w:rsidRPr="007F5A1B" w:rsidRDefault="00D0442A" w:rsidP="00D0442A">
            <w:pPr>
              <w:spacing w:after="0"/>
              <w:ind w:firstLine="0"/>
              <w:jc w:val="right"/>
              <w:rPr>
                <w:color w:val="FF0000"/>
                <w:sz w:val="18"/>
                <w:szCs w:val="18"/>
                <w:highlight w:val="yellow"/>
              </w:rPr>
            </w:pPr>
            <w:r w:rsidRPr="007F5A1B">
              <w:rPr>
                <w:sz w:val="18"/>
                <w:szCs w:val="18"/>
              </w:rPr>
              <w:t>2 313,4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C161496" w14:textId="77777777" w:rsidR="00D0442A" w:rsidRPr="007F5A1B" w:rsidRDefault="00D0442A" w:rsidP="00D0442A">
            <w:pPr>
              <w:spacing w:after="0"/>
              <w:ind w:firstLine="0"/>
              <w:jc w:val="right"/>
              <w:rPr>
                <w:color w:val="FF0000"/>
                <w:sz w:val="18"/>
                <w:szCs w:val="18"/>
                <w:highlight w:val="yellow"/>
              </w:rPr>
            </w:pPr>
            <w:r w:rsidRPr="007F5A1B">
              <w:rPr>
                <w:sz w:val="18"/>
                <w:szCs w:val="18"/>
              </w:rPr>
              <w:t>2 387,4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6209F73" w14:textId="77777777" w:rsidR="00D0442A" w:rsidRPr="007F5A1B" w:rsidRDefault="00D0442A" w:rsidP="00D0442A">
            <w:pPr>
              <w:spacing w:after="0"/>
              <w:ind w:firstLine="0"/>
              <w:jc w:val="right"/>
              <w:rPr>
                <w:color w:val="FF0000"/>
                <w:sz w:val="18"/>
                <w:szCs w:val="18"/>
                <w:highlight w:val="yellow"/>
              </w:rPr>
            </w:pPr>
            <w:r w:rsidRPr="007F5A1B">
              <w:rPr>
                <w:sz w:val="18"/>
                <w:szCs w:val="18"/>
              </w:rPr>
              <w:t>2 444,7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C91DA44" w14:textId="77777777" w:rsidR="00D0442A" w:rsidRPr="007F5A1B" w:rsidRDefault="00D0442A" w:rsidP="00D0442A">
            <w:pPr>
              <w:spacing w:after="0"/>
              <w:ind w:firstLine="0"/>
              <w:jc w:val="right"/>
              <w:rPr>
                <w:color w:val="FF0000"/>
                <w:sz w:val="18"/>
                <w:szCs w:val="18"/>
                <w:highlight w:val="yellow"/>
              </w:rPr>
            </w:pPr>
            <w:r w:rsidRPr="007F5A1B">
              <w:rPr>
                <w:sz w:val="18"/>
                <w:szCs w:val="18"/>
              </w:rPr>
              <w:t>2 503,0</w:t>
            </w:r>
          </w:p>
        </w:tc>
        <w:tc>
          <w:tcPr>
            <w:tcW w:w="850" w:type="dxa"/>
            <w:tcBorders>
              <w:top w:val="single" w:sz="4" w:space="0" w:color="auto"/>
              <w:left w:val="nil"/>
              <w:bottom w:val="single" w:sz="4" w:space="0" w:color="auto"/>
              <w:right w:val="single" w:sz="4" w:space="0" w:color="auto"/>
            </w:tcBorders>
            <w:shd w:val="clear" w:color="auto" w:fill="auto"/>
            <w:vAlign w:val="bottom"/>
          </w:tcPr>
          <w:p w14:paraId="426F343A" w14:textId="77777777" w:rsidR="00D0442A" w:rsidRPr="00397E7A" w:rsidRDefault="00D0442A" w:rsidP="00D0442A">
            <w:pPr>
              <w:spacing w:after="0"/>
              <w:ind w:firstLine="0"/>
              <w:jc w:val="right"/>
              <w:rPr>
                <w:sz w:val="18"/>
                <w:szCs w:val="18"/>
              </w:rPr>
            </w:pPr>
            <w:r w:rsidRPr="00397E7A">
              <w:rPr>
                <w:sz w:val="18"/>
                <w:szCs w:val="18"/>
              </w:rPr>
              <w:t>2 386,4</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36086" w14:textId="77777777" w:rsidR="00D0442A" w:rsidRPr="00397E7A" w:rsidRDefault="00D0442A" w:rsidP="00D0442A">
            <w:pPr>
              <w:spacing w:after="0"/>
              <w:ind w:firstLine="0"/>
              <w:jc w:val="right"/>
              <w:rPr>
                <w:sz w:val="18"/>
                <w:szCs w:val="18"/>
              </w:rPr>
            </w:pPr>
            <w:r w:rsidRPr="00397E7A">
              <w:rPr>
                <w:sz w:val="18"/>
                <w:szCs w:val="18"/>
              </w:rPr>
              <w:t>2 412,0</w:t>
            </w:r>
          </w:p>
        </w:tc>
        <w:tc>
          <w:tcPr>
            <w:tcW w:w="903" w:type="dxa"/>
            <w:tcBorders>
              <w:top w:val="single" w:sz="4" w:space="0" w:color="auto"/>
              <w:left w:val="nil"/>
              <w:bottom w:val="single" w:sz="4" w:space="0" w:color="auto"/>
              <w:right w:val="single" w:sz="4" w:space="0" w:color="auto"/>
            </w:tcBorders>
            <w:shd w:val="clear" w:color="auto" w:fill="auto"/>
            <w:noWrap/>
            <w:vAlign w:val="bottom"/>
            <w:hideMark/>
          </w:tcPr>
          <w:p w14:paraId="310ACB26" w14:textId="77777777" w:rsidR="00D0442A" w:rsidRPr="00397E7A" w:rsidRDefault="00D0442A" w:rsidP="00D0442A">
            <w:pPr>
              <w:spacing w:after="0"/>
              <w:ind w:firstLine="0"/>
              <w:jc w:val="right"/>
              <w:rPr>
                <w:sz w:val="18"/>
                <w:szCs w:val="18"/>
              </w:rPr>
            </w:pPr>
            <w:r w:rsidRPr="00397E7A">
              <w:rPr>
                <w:sz w:val="18"/>
                <w:szCs w:val="18"/>
              </w:rPr>
              <w:t>2 384,6</w:t>
            </w:r>
          </w:p>
        </w:tc>
      </w:tr>
      <w:tr w:rsidR="00D0442A" w:rsidRPr="00C4506F" w14:paraId="79FDC74C" w14:textId="77777777" w:rsidTr="00D0442A">
        <w:trPr>
          <w:trHeight w:val="78"/>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1DA34739" w14:textId="77777777" w:rsidR="00D0442A" w:rsidRPr="00E558BC" w:rsidRDefault="00D0442A" w:rsidP="00D0442A">
            <w:pPr>
              <w:spacing w:after="0"/>
              <w:ind w:left="-239" w:firstLineChars="200" w:firstLine="360"/>
              <w:rPr>
                <w:sz w:val="18"/>
                <w:szCs w:val="18"/>
              </w:rPr>
            </w:pPr>
            <w:r w:rsidRPr="00E558BC">
              <w:rPr>
                <w:sz w:val="18"/>
                <w:szCs w:val="18"/>
              </w:rPr>
              <w:t>Kapitālie izdevumi</w:t>
            </w:r>
          </w:p>
        </w:tc>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1BF01313" w14:textId="77777777" w:rsidR="00D0442A" w:rsidRPr="007F5A1B" w:rsidRDefault="00D0442A" w:rsidP="00D0442A">
            <w:pPr>
              <w:spacing w:after="0"/>
              <w:ind w:firstLine="0"/>
              <w:jc w:val="right"/>
              <w:rPr>
                <w:color w:val="FF0000"/>
                <w:sz w:val="18"/>
                <w:szCs w:val="18"/>
                <w:highlight w:val="yellow"/>
              </w:rPr>
            </w:pPr>
            <w:r w:rsidRPr="007F5A1B">
              <w:rPr>
                <w:sz w:val="18"/>
                <w:szCs w:val="18"/>
              </w:rPr>
              <w:t>625,6</w:t>
            </w:r>
          </w:p>
        </w:tc>
        <w:tc>
          <w:tcPr>
            <w:tcW w:w="841" w:type="dxa"/>
            <w:tcBorders>
              <w:top w:val="nil"/>
              <w:left w:val="nil"/>
              <w:bottom w:val="single" w:sz="4" w:space="0" w:color="auto"/>
              <w:right w:val="single" w:sz="4" w:space="0" w:color="auto"/>
            </w:tcBorders>
            <w:shd w:val="clear" w:color="auto" w:fill="auto"/>
            <w:noWrap/>
            <w:vAlign w:val="center"/>
            <w:hideMark/>
          </w:tcPr>
          <w:p w14:paraId="641890AC" w14:textId="77777777" w:rsidR="00D0442A" w:rsidRPr="007F5A1B" w:rsidRDefault="00D0442A" w:rsidP="00D0442A">
            <w:pPr>
              <w:spacing w:after="0"/>
              <w:ind w:firstLine="0"/>
              <w:jc w:val="right"/>
              <w:rPr>
                <w:color w:val="FF0000"/>
                <w:sz w:val="18"/>
                <w:szCs w:val="18"/>
                <w:highlight w:val="yellow"/>
              </w:rPr>
            </w:pPr>
            <w:r w:rsidRPr="007F5A1B">
              <w:rPr>
                <w:sz w:val="18"/>
                <w:szCs w:val="18"/>
              </w:rPr>
              <w:t>593,8</w:t>
            </w:r>
          </w:p>
        </w:tc>
        <w:tc>
          <w:tcPr>
            <w:tcW w:w="851" w:type="dxa"/>
            <w:tcBorders>
              <w:top w:val="nil"/>
              <w:left w:val="nil"/>
              <w:bottom w:val="single" w:sz="4" w:space="0" w:color="auto"/>
              <w:right w:val="single" w:sz="4" w:space="0" w:color="auto"/>
            </w:tcBorders>
            <w:shd w:val="clear" w:color="auto" w:fill="auto"/>
            <w:noWrap/>
            <w:vAlign w:val="center"/>
            <w:hideMark/>
          </w:tcPr>
          <w:p w14:paraId="1D730F59" w14:textId="77777777" w:rsidR="00D0442A" w:rsidRPr="007F5A1B" w:rsidRDefault="00D0442A" w:rsidP="00D0442A">
            <w:pPr>
              <w:spacing w:after="0"/>
              <w:ind w:firstLine="0"/>
              <w:jc w:val="right"/>
              <w:rPr>
                <w:color w:val="FF0000"/>
                <w:sz w:val="18"/>
                <w:szCs w:val="18"/>
                <w:highlight w:val="yellow"/>
              </w:rPr>
            </w:pPr>
            <w:r w:rsidRPr="007F5A1B">
              <w:rPr>
                <w:sz w:val="18"/>
                <w:szCs w:val="18"/>
              </w:rPr>
              <w:t>599,2</w:t>
            </w:r>
          </w:p>
        </w:tc>
        <w:tc>
          <w:tcPr>
            <w:tcW w:w="850" w:type="dxa"/>
            <w:tcBorders>
              <w:top w:val="nil"/>
              <w:left w:val="nil"/>
              <w:bottom w:val="single" w:sz="4" w:space="0" w:color="auto"/>
              <w:right w:val="single" w:sz="4" w:space="0" w:color="auto"/>
            </w:tcBorders>
            <w:shd w:val="clear" w:color="auto" w:fill="auto"/>
            <w:noWrap/>
            <w:vAlign w:val="center"/>
            <w:hideMark/>
          </w:tcPr>
          <w:p w14:paraId="62207C48" w14:textId="77777777" w:rsidR="00D0442A" w:rsidRPr="007F5A1B" w:rsidRDefault="00D0442A" w:rsidP="00D0442A">
            <w:pPr>
              <w:spacing w:after="0"/>
              <w:ind w:firstLine="0"/>
              <w:jc w:val="right"/>
              <w:rPr>
                <w:color w:val="FF0000"/>
                <w:sz w:val="18"/>
                <w:szCs w:val="18"/>
                <w:highlight w:val="yellow"/>
              </w:rPr>
            </w:pPr>
            <w:r w:rsidRPr="007F5A1B">
              <w:rPr>
                <w:sz w:val="18"/>
                <w:szCs w:val="18"/>
              </w:rPr>
              <w:t>603,3</w:t>
            </w:r>
          </w:p>
        </w:tc>
        <w:tc>
          <w:tcPr>
            <w:tcW w:w="851" w:type="dxa"/>
            <w:tcBorders>
              <w:top w:val="nil"/>
              <w:left w:val="nil"/>
              <w:bottom w:val="single" w:sz="4" w:space="0" w:color="auto"/>
              <w:right w:val="single" w:sz="4" w:space="0" w:color="auto"/>
            </w:tcBorders>
            <w:shd w:val="clear" w:color="auto" w:fill="auto"/>
            <w:noWrap/>
            <w:vAlign w:val="center"/>
            <w:hideMark/>
          </w:tcPr>
          <w:p w14:paraId="134CC3C8" w14:textId="77777777" w:rsidR="00D0442A" w:rsidRPr="007F5A1B" w:rsidRDefault="00D0442A" w:rsidP="00D0442A">
            <w:pPr>
              <w:spacing w:after="0"/>
              <w:ind w:firstLine="0"/>
              <w:jc w:val="right"/>
              <w:rPr>
                <w:color w:val="FF0000"/>
                <w:sz w:val="18"/>
                <w:szCs w:val="18"/>
                <w:highlight w:val="yellow"/>
              </w:rPr>
            </w:pPr>
            <w:r w:rsidRPr="007F5A1B">
              <w:rPr>
                <w:sz w:val="18"/>
                <w:szCs w:val="18"/>
              </w:rPr>
              <w:t>714,7</w:t>
            </w:r>
          </w:p>
        </w:tc>
        <w:tc>
          <w:tcPr>
            <w:tcW w:w="850" w:type="dxa"/>
            <w:tcBorders>
              <w:top w:val="single" w:sz="4" w:space="0" w:color="auto"/>
              <w:left w:val="nil"/>
              <w:bottom w:val="single" w:sz="4" w:space="0" w:color="auto"/>
              <w:right w:val="single" w:sz="4" w:space="0" w:color="auto"/>
            </w:tcBorders>
            <w:shd w:val="clear" w:color="auto" w:fill="auto"/>
            <w:vAlign w:val="bottom"/>
          </w:tcPr>
          <w:p w14:paraId="02FF792C" w14:textId="77777777" w:rsidR="00D0442A" w:rsidRPr="00397E7A" w:rsidRDefault="00D0442A" w:rsidP="00D0442A">
            <w:pPr>
              <w:spacing w:after="0"/>
              <w:ind w:firstLine="0"/>
              <w:jc w:val="right"/>
              <w:rPr>
                <w:sz w:val="18"/>
                <w:szCs w:val="18"/>
              </w:rPr>
            </w:pPr>
            <w:r w:rsidRPr="00397E7A">
              <w:rPr>
                <w:sz w:val="18"/>
                <w:szCs w:val="18"/>
              </w:rPr>
              <w:t>715,6</w:t>
            </w:r>
          </w:p>
        </w:tc>
        <w:tc>
          <w:tcPr>
            <w:tcW w:w="792" w:type="dxa"/>
            <w:tcBorders>
              <w:top w:val="nil"/>
              <w:left w:val="single" w:sz="4" w:space="0" w:color="auto"/>
              <w:bottom w:val="single" w:sz="4" w:space="0" w:color="auto"/>
              <w:right w:val="single" w:sz="4" w:space="0" w:color="auto"/>
            </w:tcBorders>
            <w:shd w:val="clear" w:color="auto" w:fill="auto"/>
            <w:noWrap/>
            <w:vAlign w:val="bottom"/>
            <w:hideMark/>
          </w:tcPr>
          <w:p w14:paraId="1DD8323A" w14:textId="77777777" w:rsidR="00D0442A" w:rsidRPr="00397E7A" w:rsidRDefault="00D0442A" w:rsidP="00D0442A">
            <w:pPr>
              <w:spacing w:after="0"/>
              <w:ind w:firstLine="0"/>
              <w:jc w:val="right"/>
              <w:rPr>
                <w:sz w:val="18"/>
                <w:szCs w:val="18"/>
              </w:rPr>
            </w:pPr>
            <w:r w:rsidRPr="00397E7A">
              <w:rPr>
                <w:sz w:val="18"/>
                <w:szCs w:val="18"/>
              </w:rPr>
              <w:t>603,3</w:t>
            </w:r>
          </w:p>
        </w:tc>
        <w:tc>
          <w:tcPr>
            <w:tcW w:w="903" w:type="dxa"/>
            <w:tcBorders>
              <w:top w:val="nil"/>
              <w:left w:val="nil"/>
              <w:bottom w:val="single" w:sz="4" w:space="0" w:color="auto"/>
              <w:right w:val="single" w:sz="4" w:space="0" w:color="auto"/>
            </w:tcBorders>
            <w:shd w:val="clear" w:color="auto" w:fill="auto"/>
            <w:noWrap/>
            <w:vAlign w:val="bottom"/>
            <w:hideMark/>
          </w:tcPr>
          <w:p w14:paraId="0A0B991E" w14:textId="77777777" w:rsidR="00D0442A" w:rsidRPr="00397E7A" w:rsidRDefault="00D0442A" w:rsidP="00D0442A">
            <w:pPr>
              <w:spacing w:after="0"/>
              <w:ind w:firstLine="0"/>
              <w:jc w:val="right"/>
              <w:rPr>
                <w:sz w:val="18"/>
                <w:szCs w:val="18"/>
              </w:rPr>
            </w:pPr>
            <w:r w:rsidRPr="00397E7A">
              <w:rPr>
                <w:sz w:val="18"/>
                <w:szCs w:val="18"/>
              </w:rPr>
              <w:t>714,7</w:t>
            </w:r>
          </w:p>
        </w:tc>
      </w:tr>
      <w:tr w:rsidR="00D0442A" w:rsidRPr="00C4506F" w14:paraId="3C23BE01" w14:textId="77777777" w:rsidTr="00D0442A">
        <w:trPr>
          <w:trHeight w:val="78"/>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D39FAE" w14:textId="77777777" w:rsidR="00D0442A" w:rsidRPr="00E558BC" w:rsidRDefault="00D0442A" w:rsidP="00D0442A">
            <w:pPr>
              <w:spacing w:after="0"/>
              <w:ind w:left="-239" w:firstLineChars="200" w:firstLine="360"/>
              <w:rPr>
                <w:sz w:val="18"/>
                <w:szCs w:val="18"/>
              </w:rPr>
            </w:pPr>
            <w:r w:rsidRPr="00E558BC">
              <w:rPr>
                <w:sz w:val="18"/>
                <w:szCs w:val="18"/>
              </w:rPr>
              <w:t>Pārējie izdevumi</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18D6F" w14:textId="77777777" w:rsidR="00D0442A" w:rsidRPr="007F5A1B" w:rsidRDefault="00D0442A" w:rsidP="00D0442A">
            <w:pPr>
              <w:spacing w:after="0"/>
              <w:ind w:firstLine="0"/>
              <w:jc w:val="right"/>
              <w:rPr>
                <w:color w:val="FF0000"/>
                <w:sz w:val="18"/>
                <w:szCs w:val="18"/>
              </w:rPr>
            </w:pPr>
            <w:r w:rsidRPr="007F5A1B">
              <w:rPr>
                <w:sz w:val="18"/>
                <w:szCs w:val="18"/>
              </w:rPr>
              <w:t>0,0</w:t>
            </w:r>
          </w:p>
        </w:tc>
        <w:tc>
          <w:tcPr>
            <w:tcW w:w="841" w:type="dxa"/>
            <w:tcBorders>
              <w:top w:val="single" w:sz="4" w:space="0" w:color="auto"/>
              <w:left w:val="nil"/>
              <w:bottom w:val="single" w:sz="4" w:space="0" w:color="auto"/>
              <w:right w:val="single" w:sz="4" w:space="0" w:color="auto"/>
            </w:tcBorders>
            <w:shd w:val="clear" w:color="auto" w:fill="auto"/>
            <w:noWrap/>
            <w:vAlign w:val="center"/>
          </w:tcPr>
          <w:p w14:paraId="4CBBB025" w14:textId="77777777" w:rsidR="00D0442A" w:rsidRPr="007F5A1B" w:rsidRDefault="00D0442A" w:rsidP="00D0442A">
            <w:pPr>
              <w:spacing w:after="0"/>
              <w:ind w:firstLine="0"/>
              <w:jc w:val="right"/>
              <w:rPr>
                <w:color w:val="FF0000"/>
                <w:sz w:val="18"/>
                <w:szCs w:val="18"/>
              </w:rPr>
            </w:pPr>
            <w:r w:rsidRPr="007F5A1B">
              <w:rPr>
                <w:sz w:val="18"/>
                <w:szCs w:val="18"/>
              </w:rPr>
              <w:t>0,0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7614698" w14:textId="77777777" w:rsidR="00D0442A" w:rsidRPr="007F5A1B" w:rsidRDefault="00D0442A" w:rsidP="00D0442A">
            <w:pPr>
              <w:spacing w:after="0"/>
              <w:ind w:firstLine="0"/>
              <w:jc w:val="right"/>
              <w:rPr>
                <w:color w:val="FF0000"/>
                <w:sz w:val="18"/>
                <w:szCs w:val="18"/>
              </w:rPr>
            </w:pPr>
            <w:r w:rsidRPr="007F5A1B">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9DE162D" w14:textId="77777777" w:rsidR="00D0442A" w:rsidRPr="007F5A1B" w:rsidRDefault="00D0442A" w:rsidP="00D0442A">
            <w:pPr>
              <w:spacing w:after="0"/>
              <w:ind w:firstLine="0"/>
              <w:jc w:val="right"/>
              <w:rPr>
                <w:color w:val="FF0000"/>
                <w:sz w:val="18"/>
                <w:szCs w:val="18"/>
              </w:rPr>
            </w:pPr>
            <w:r w:rsidRPr="007F5A1B">
              <w:rPr>
                <w:sz w:val="18"/>
                <w:szCs w:val="18"/>
              </w:rPr>
              <w:t>0,0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80597D5" w14:textId="77777777" w:rsidR="00D0442A" w:rsidRPr="007F5A1B" w:rsidRDefault="00D0442A" w:rsidP="00D0442A">
            <w:pPr>
              <w:spacing w:after="0"/>
              <w:ind w:firstLine="0"/>
              <w:jc w:val="right"/>
              <w:rPr>
                <w:color w:val="FF0000"/>
                <w:sz w:val="18"/>
                <w:szCs w:val="18"/>
              </w:rPr>
            </w:pPr>
            <w:r w:rsidRPr="007F5A1B">
              <w:rPr>
                <w:sz w:val="18"/>
                <w:szCs w:val="18"/>
              </w:rPr>
              <w:t>0,0</w:t>
            </w:r>
          </w:p>
        </w:tc>
        <w:tc>
          <w:tcPr>
            <w:tcW w:w="850" w:type="dxa"/>
            <w:tcBorders>
              <w:top w:val="single" w:sz="4" w:space="0" w:color="auto"/>
              <w:left w:val="nil"/>
              <w:bottom w:val="single" w:sz="4" w:space="0" w:color="auto"/>
              <w:right w:val="single" w:sz="4" w:space="0" w:color="auto"/>
            </w:tcBorders>
            <w:shd w:val="clear" w:color="auto" w:fill="auto"/>
          </w:tcPr>
          <w:p w14:paraId="399EBE44" w14:textId="77777777" w:rsidR="00D0442A" w:rsidRPr="00397E7A" w:rsidRDefault="00D0442A" w:rsidP="00D0442A">
            <w:pPr>
              <w:spacing w:after="0"/>
              <w:ind w:firstLine="0"/>
              <w:jc w:val="right"/>
              <w:rPr>
                <w:color w:val="FF0000"/>
                <w:sz w:val="18"/>
                <w:szCs w:val="18"/>
              </w:rPr>
            </w:pPr>
            <w:r w:rsidRPr="00397E7A">
              <w:rPr>
                <w:color w:val="000000" w:themeColor="text1"/>
                <w:sz w:val="18"/>
                <w:szCs w:val="18"/>
              </w:rPr>
              <w:t>0,0</w:t>
            </w:r>
          </w:p>
        </w:tc>
        <w:tc>
          <w:tcPr>
            <w:tcW w:w="792" w:type="dxa"/>
            <w:tcBorders>
              <w:top w:val="single" w:sz="4" w:space="0" w:color="auto"/>
              <w:left w:val="single" w:sz="4" w:space="0" w:color="auto"/>
              <w:bottom w:val="single" w:sz="4" w:space="0" w:color="auto"/>
              <w:right w:val="single" w:sz="4" w:space="0" w:color="auto"/>
            </w:tcBorders>
            <w:shd w:val="clear" w:color="auto" w:fill="auto"/>
            <w:noWrap/>
          </w:tcPr>
          <w:p w14:paraId="19F60229" w14:textId="77777777" w:rsidR="00D0442A" w:rsidRPr="00397E7A" w:rsidRDefault="00D0442A" w:rsidP="00D0442A">
            <w:pPr>
              <w:spacing w:after="0"/>
              <w:ind w:firstLine="0"/>
              <w:jc w:val="right"/>
              <w:rPr>
                <w:color w:val="FF0000"/>
                <w:sz w:val="18"/>
                <w:szCs w:val="18"/>
              </w:rPr>
            </w:pPr>
            <w:r w:rsidRPr="00397E7A">
              <w:rPr>
                <w:color w:val="000000" w:themeColor="text1"/>
                <w:sz w:val="18"/>
                <w:szCs w:val="18"/>
              </w:rPr>
              <w:t>0,0</w:t>
            </w:r>
          </w:p>
        </w:tc>
        <w:tc>
          <w:tcPr>
            <w:tcW w:w="903" w:type="dxa"/>
            <w:tcBorders>
              <w:top w:val="single" w:sz="4" w:space="0" w:color="auto"/>
              <w:left w:val="nil"/>
              <w:bottom w:val="single" w:sz="4" w:space="0" w:color="auto"/>
              <w:right w:val="single" w:sz="4" w:space="0" w:color="auto"/>
            </w:tcBorders>
            <w:shd w:val="clear" w:color="auto" w:fill="auto"/>
            <w:noWrap/>
          </w:tcPr>
          <w:p w14:paraId="0DBD8F00" w14:textId="77777777" w:rsidR="00D0442A" w:rsidRPr="00397E7A" w:rsidRDefault="00D0442A" w:rsidP="00D0442A">
            <w:pPr>
              <w:spacing w:after="0"/>
              <w:ind w:firstLine="0"/>
              <w:jc w:val="right"/>
              <w:rPr>
                <w:color w:val="FF0000"/>
                <w:sz w:val="18"/>
                <w:szCs w:val="18"/>
              </w:rPr>
            </w:pPr>
            <w:r w:rsidRPr="00397E7A">
              <w:rPr>
                <w:color w:val="000000" w:themeColor="text1"/>
                <w:sz w:val="18"/>
                <w:szCs w:val="18"/>
              </w:rPr>
              <w:t>0,0</w:t>
            </w:r>
          </w:p>
        </w:tc>
      </w:tr>
    </w:tbl>
    <w:p w14:paraId="271ED7FE" w14:textId="40267547" w:rsidR="008643AC" w:rsidRPr="008643AC" w:rsidRDefault="008643AC" w:rsidP="0090051F">
      <w:pPr>
        <w:ind w:firstLine="0"/>
        <w:rPr>
          <w:rFonts w:eastAsia="Times New Roman" w:cs="Times New Roman"/>
          <w:color w:val="000000"/>
          <w:szCs w:val="24"/>
          <w:lang w:eastAsia="en-US"/>
        </w:rPr>
      </w:pPr>
    </w:p>
    <w:p w14:paraId="42F5B13D" w14:textId="381048AB" w:rsidR="00FB5161" w:rsidRDefault="005D361F" w:rsidP="00DB2540">
      <w:pPr>
        <w:pStyle w:val="Heading3"/>
        <w:numPr>
          <w:ilvl w:val="0"/>
          <w:numId w:val="0"/>
        </w:numPr>
        <w:spacing w:before="240" w:after="240"/>
      </w:pPr>
      <w:bookmarkStart w:id="54" w:name="_Toc84756414"/>
      <w:r>
        <w:t xml:space="preserve">2.2.3. </w:t>
      </w:r>
      <w:r w:rsidR="00FB5161">
        <w:t xml:space="preserve">Valdības apstiprinātie atbalsta pasākumi Covid-19 infekcijas izraisītās krīzes seku mazināšanai </w:t>
      </w:r>
      <w:r w:rsidR="00FB5161" w:rsidRPr="005905C7">
        <w:t>tautsaimniecībā un to fiskālā ietekme</w:t>
      </w:r>
      <w:bookmarkEnd w:id="54"/>
    </w:p>
    <w:p w14:paraId="652A942A" w14:textId="3DC63D3C" w:rsidR="00D0442A" w:rsidRDefault="00D0442A" w:rsidP="00D0442A">
      <w:pPr>
        <w:spacing w:before="60"/>
        <w:rPr>
          <w:noProof/>
          <w:color w:val="000000" w:themeColor="text1"/>
          <w:szCs w:val="24"/>
        </w:rPr>
      </w:pPr>
      <w:r w:rsidRPr="00E61D2E">
        <w:rPr>
          <w:color w:val="000000" w:themeColor="text1"/>
          <w:szCs w:val="24"/>
        </w:rPr>
        <w:t xml:space="preserve">Atbilstoši </w:t>
      </w:r>
      <w:r w:rsidR="0090051F">
        <w:rPr>
          <w:color w:val="000000" w:themeColor="text1"/>
          <w:szCs w:val="24"/>
        </w:rPr>
        <w:t>Finanšu ministrijas</w:t>
      </w:r>
      <w:r w:rsidRPr="00E61D2E">
        <w:rPr>
          <w:color w:val="000000" w:themeColor="text1"/>
          <w:szCs w:val="24"/>
        </w:rPr>
        <w:t xml:space="preserve"> </w:t>
      </w:r>
      <w:r>
        <w:rPr>
          <w:color w:val="000000" w:themeColor="text1"/>
          <w:szCs w:val="24"/>
        </w:rPr>
        <w:t>novērtējumam</w:t>
      </w:r>
      <w:r w:rsidRPr="00E61D2E">
        <w:rPr>
          <w:color w:val="000000" w:themeColor="text1"/>
          <w:szCs w:val="24"/>
        </w:rPr>
        <w:t xml:space="preserve"> līdz šā gada </w:t>
      </w:r>
      <w:r>
        <w:rPr>
          <w:color w:val="000000" w:themeColor="text1"/>
          <w:szCs w:val="24"/>
        </w:rPr>
        <w:t>3</w:t>
      </w:r>
      <w:r w:rsidRPr="00E61D2E">
        <w:rPr>
          <w:color w:val="000000" w:themeColor="text1"/>
          <w:szCs w:val="24"/>
        </w:rPr>
        <w:t>. </w:t>
      </w:r>
      <w:r>
        <w:rPr>
          <w:color w:val="000000" w:themeColor="text1"/>
          <w:szCs w:val="24"/>
        </w:rPr>
        <w:t>oktobrim</w:t>
      </w:r>
      <w:r w:rsidRPr="00E61D2E">
        <w:rPr>
          <w:color w:val="000000" w:themeColor="text1"/>
          <w:szCs w:val="24"/>
        </w:rPr>
        <w:t xml:space="preserve"> apstiprinātais tautsaimniecības atbalsta pasākumu apmērs 2021. gadā </w:t>
      </w:r>
      <w:r w:rsidRPr="00FB0360">
        <w:rPr>
          <w:color w:val="000000" w:themeColor="text1"/>
          <w:szCs w:val="24"/>
        </w:rPr>
        <w:t xml:space="preserve">veido 3,2 </w:t>
      </w:r>
      <w:r w:rsidRPr="00FB0360">
        <w:rPr>
          <w:noProof/>
          <w:color w:val="000000" w:themeColor="text1"/>
          <w:szCs w:val="24"/>
        </w:rPr>
        <w:t xml:space="preserve">miljardus </w:t>
      </w:r>
      <w:r w:rsidRPr="00FB0360">
        <w:rPr>
          <w:i/>
          <w:noProof/>
          <w:color w:val="000000" w:themeColor="text1"/>
          <w:szCs w:val="24"/>
        </w:rPr>
        <w:t>euro</w:t>
      </w:r>
      <w:r w:rsidRPr="00FB0360">
        <w:rPr>
          <w:noProof/>
          <w:color w:val="000000" w:themeColor="text1"/>
          <w:szCs w:val="24"/>
        </w:rPr>
        <w:t xml:space="preserve"> jeb 10,4% no </w:t>
      </w:r>
      <w:r w:rsidR="0090051F">
        <w:rPr>
          <w:noProof/>
        </w:rPr>
        <w:t>iekšzemes kopprodukta</w:t>
      </w:r>
      <w:r w:rsidRPr="00FB0360">
        <w:rPr>
          <w:noProof/>
          <w:color w:val="000000" w:themeColor="text1"/>
          <w:szCs w:val="24"/>
        </w:rPr>
        <w:t xml:space="preserve">, 2022. gadā 0,5 miljardus </w:t>
      </w:r>
      <w:r w:rsidRPr="00FB0360">
        <w:rPr>
          <w:i/>
          <w:noProof/>
          <w:color w:val="000000" w:themeColor="text1"/>
          <w:szCs w:val="24"/>
        </w:rPr>
        <w:t>euro</w:t>
      </w:r>
      <w:r w:rsidRPr="00FB0360">
        <w:rPr>
          <w:noProof/>
          <w:color w:val="000000" w:themeColor="text1"/>
          <w:szCs w:val="24"/>
        </w:rPr>
        <w:t xml:space="preserve"> jeb 1,5% no </w:t>
      </w:r>
      <w:r w:rsidR="0090051F">
        <w:rPr>
          <w:noProof/>
        </w:rPr>
        <w:t>iekšzemes kopprodukta</w:t>
      </w:r>
      <w:r w:rsidRPr="00FB0360">
        <w:rPr>
          <w:noProof/>
          <w:color w:val="000000" w:themeColor="text1"/>
          <w:szCs w:val="24"/>
        </w:rPr>
        <w:t xml:space="preserve"> apmērā, 2023. gadā 0,3 miljardus </w:t>
      </w:r>
      <w:r w:rsidRPr="00FB0360">
        <w:rPr>
          <w:i/>
          <w:noProof/>
          <w:color w:val="000000" w:themeColor="text1"/>
          <w:szCs w:val="24"/>
        </w:rPr>
        <w:t>euro</w:t>
      </w:r>
      <w:r w:rsidRPr="00FB0360">
        <w:rPr>
          <w:noProof/>
          <w:color w:val="000000" w:themeColor="text1"/>
          <w:szCs w:val="24"/>
        </w:rPr>
        <w:t xml:space="preserve"> jeb 0,8% no IKP, 2024. gadā 0,1 miljardu </w:t>
      </w:r>
      <w:r w:rsidRPr="00FB0360">
        <w:rPr>
          <w:i/>
          <w:noProof/>
          <w:color w:val="000000" w:themeColor="text1"/>
          <w:szCs w:val="24"/>
        </w:rPr>
        <w:t>euro</w:t>
      </w:r>
      <w:r w:rsidRPr="00FB0360">
        <w:rPr>
          <w:noProof/>
          <w:color w:val="000000" w:themeColor="text1"/>
          <w:szCs w:val="24"/>
        </w:rPr>
        <w:t xml:space="preserve"> jeb 0,3% no </w:t>
      </w:r>
      <w:r w:rsidR="0090051F">
        <w:rPr>
          <w:noProof/>
        </w:rPr>
        <w:t>iekšzemes kopprodukta</w:t>
      </w:r>
      <w:r w:rsidRPr="00FB0360">
        <w:rPr>
          <w:noProof/>
          <w:color w:val="000000" w:themeColor="text1"/>
          <w:szCs w:val="24"/>
        </w:rPr>
        <w:t>. Savukārt 2020. gadā faktiskais atbalsts, ņemot vērā Valsts ieņēmumu dienesta, finanšu institūcijas ALTUM u.c. institūciju sniegto informāciju</w:t>
      </w:r>
      <w:r>
        <w:rPr>
          <w:noProof/>
          <w:color w:val="000000" w:themeColor="text1"/>
          <w:szCs w:val="24"/>
        </w:rPr>
        <w:t>,</w:t>
      </w:r>
      <w:r w:rsidRPr="00FB0360">
        <w:rPr>
          <w:noProof/>
          <w:color w:val="000000" w:themeColor="text1"/>
          <w:szCs w:val="24"/>
        </w:rPr>
        <w:t xml:space="preserve"> bija 1,3 miljards </w:t>
      </w:r>
      <w:r w:rsidRPr="00FB0360">
        <w:rPr>
          <w:i/>
          <w:noProof/>
          <w:color w:val="000000" w:themeColor="text1"/>
          <w:szCs w:val="24"/>
        </w:rPr>
        <w:t>euro</w:t>
      </w:r>
      <w:r w:rsidRPr="00FB0360">
        <w:rPr>
          <w:noProof/>
          <w:color w:val="000000" w:themeColor="text1"/>
          <w:szCs w:val="24"/>
        </w:rPr>
        <w:t xml:space="preserve"> jeb 4,4% no </w:t>
      </w:r>
      <w:r w:rsidR="0090051F">
        <w:rPr>
          <w:noProof/>
        </w:rPr>
        <w:t>iekšzemes kopprodukta</w:t>
      </w:r>
      <w:r w:rsidRPr="00FB0360">
        <w:rPr>
          <w:noProof/>
          <w:color w:val="000000" w:themeColor="text1"/>
          <w:szCs w:val="24"/>
        </w:rPr>
        <w:t>.</w:t>
      </w:r>
      <w:r w:rsidRPr="00E61D2E">
        <w:rPr>
          <w:noProof/>
          <w:color w:val="000000" w:themeColor="text1"/>
          <w:szCs w:val="24"/>
        </w:rPr>
        <w:t xml:space="preserve"> </w:t>
      </w:r>
    </w:p>
    <w:p w14:paraId="2D82FA8E" w14:textId="3FAD61F1" w:rsidR="00D0442A" w:rsidRDefault="00D0442A" w:rsidP="00D0442A">
      <w:pPr>
        <w:spacing w:before="120" w:after="60"/>
        <w:rPr>
          <w:color w:val="000000" w:themeColor="text1"/>
          <w:szCs w:val="24"/>
        </w:rPr>
      </w:pPr>
      <w:r>
        <w:rPr>
          <w:color w:val="000000"/>
          <w:szCs w:val="28"/>
        </w:rPr>
        <w:t xml:space="preserve">Apstiprinātos </w:t>
      </w:r>
      <w:r w:rsidRPr="00B43A5C">
        <w:rPr>
          <w:color w:val="000000"/>
          <w:szCs w:val="28"/>
        </w:rPr>
        <w:t>atbalsta pasākumu</w:t>
      </w:r>
      <w:r>
        <w:rPr>
          <w:color w:val="000000"/>
          <w:szCs w:val="28"/>
        </w:rPr>
        <w:t>s</w:t>
      </w:r>
      <w:r w:rsidRPr="00B43A5C">
        <w:rPr>
          <w:color w:val="000000"/>
          <w:szCs w:val="28"/>
        </w:rPr>
        <w:t xml:space="preserve"> Covid-19 krīzes pārvarēšanai var sadalīt piecās kategorijās – atbalsts nodokļu jomā, atbalsts pabalstu jomā, atbalsts aizdevumu un garantiju j</w:t>
      </w:r>
      <w:r w:rsidR="0090051F">
        <w:rPr>
          <w:color w:val="000000"/>
          <w:szCs w:val="28"/>
        </w:rPr>
        <w:t>omā, atbalsts nozarēm, kā arī Eiropas Savienības</w:t>
      </w:r>
      <w:r w:rsidRPr="00B43A5C">
        <w:rPr>
          <w:color w:val="000000"/>
          <w:szCs w:val="28"/>
        </w:rPr>
        <w:t xml:space="preserve"> finansējuma atbalsts. Pasākumi ar lielāko fiskālo ietekmi katrā jomā ir atspoguļoti</w:t>
      </w:r>
      <w:r w:rsidR="0090051F">
        <w:rPr>
          <w:color w:val="000000" w:themeColor="text1"/>
          <w:szCs w:val="24"/>
        </w:rPr>
        <w:t xml:space="preserve"> 2.10</w:t>
      </w:r>
      <w:r w:rsidRPr="00B43A5C">
        <w:rPr>
          <w:color w:val="000000" w:themeColor="text1"/>
          <w:szCs w:val="24"/>
        </w:rPr>
        <w:t>. tabulā.</w:t>
      </w:r>
    </w:p>
    <w:p w14:paraId="7993245A" w14:textId="4D395AA4" w:rsidR="00DB2540" w:rsidRDefault="00DB2540" w:rsidP="00D0442A">
      <w:pPr>
        <w:spacing w:before="120" w:after="60"/>
        <w:rPr>
          <w:color w:val="000000" w:themeColor="text1"/>
          <w:szCs w:val="24"/>
        </w:rPr>
      </w:pPr>
    </w:p>
    <w:p w14:paraId="2C5725B6" w14:textId="1E8C96B4" w:rsidR="00DB2540" w:rsidRDefault="00DB2540" w:rsidP="00D0442A">
      <w:pPr>
        <w:spacing w:before="120" w:after="60"/>
        <w:rPr>
          <w:color w:val="000000" w:themeColor="text1"/>
          <w:szCs w:val="24"/>
        </w:rPr>
      </w:pPr>
    </w:p>
    <w:p w14:paraId="127E2AB8" w14:textId="2943E412" w:rsidR="00DB2540" w:rsidRDefault="00DB2540" w:rsidP="00D0442A">
      <w:pPr>
        <w:spacing w:before="120" w:after="60"/>
        <w:rPr>
          <w:color w:val="000000" w:themeColor="text1"/>
          <w:szCs w:val="24"/>
        </w:rPr>
      </w:pPr>
    </w:p>
    <w:p w14:paraId="2C913D63" w14:textId="77777777" w:rsidR="00DB2540" w:rsidRPr="00EB7E11" w:rsidRDefault="00DB2540" w:rsidP="00D0442A">
      <w:pPr>
        <w:spacing w:before="120" w:after="60"/>
        <w:rPr>
          <w:noProof/>
          <w:color w:val="000000" w:themeColor="text1"/>
          <w:szCs w:val="24"/>
        </w:rPr>
      </w:pPr>
    </w:p>
    <w:p w14:paraId="14D2F7A0" w14:textId="4F44DD8B" w:rsidR="00D0442A" w:rsidRPr="00D0442A" w:rsidRDefault="00D0442A" w:rsidP="00DB2540">
      <w:pPr>
        <w:ind w:left="2127" w:hanging="426"/>
        <w:jc w:val="right"/>
        <w:rPr>
          <w:rFonts w:eastAsia="Calibri"/>
          <w:b/>
          <w:i/>
          <w:noProof/>
          <w:szCs w:val="24"/>
        </w:rPr>
      </w:pPr>
      <w:r w:rsidRPr="00D0442A">
        <w:rPr>
          <w:b/>
          <w:i/>
          <w:szCs w:val="24"/>
        </w:rPr>
        <w:lastRenderedPageBreak/>
        <w:t xml:space="preserve">2.10. tabula. </w:t>
      </w:r>
      <w:r w:rsidRPr="00D0442A">
        <w:rPr>
          <w:rFonts w:eastAsia="Calibri"/>
          <w:b/>
          <w:i/>
          <w:noProof/>
          <w:szCs w:val="24"/>
        </w:rPr>
        <w:t xml:space="preserve">Valdības apstiprinātie atbalsta pasākumi Covid-19 izraisītās seku mazināšanai tautsaimniecībā un to fiskālā ietekme, % no </w:t>
      </w:r>
      <w:r w:rsidR="0090051F" w:rsidRPr="0090051F">
        <w:rPr>
          <w:rFonts w:eastAsia="Calibri"/>
          <w:b/>
          <w:i/>
          <w:noProof/>
          <w:szCs w:val="24"/>
        </w:rPr>
        <w:t>iekšzemes kopprodukta</w:t>
      </w:r>
      <w:r w:rsidRPr="00D0442A">
        <w:rPr>
          <w:rFonts w:eastAsia="Calibri"/>
          <w:b/>
          <w:i/>
          <w:noProof/>
          <w:szCs w:val="24"/>
        </w:rPr>
        <w:t xml:space="preserve"> un milj. euro</w:t>
      </w:r>
    </w:p>
    <w:tbl>
      <w:tblPr>
        <w:tblStyle w:val="TableGrid1"/>
        <w:tblW w:w="9067" w:type="dxa"/>
        <w:jc w:val="center"/>
        <w:tblLayout w:type="fixed"/>
        <w:tblLook w:val="04A0" w:firstRow="1" w:lastRow="0" w:firstColumn="1" w:lastColumn="0" w:noHBand="0" w:noVBand="1"/>
      </w:tblPr>
      <w:tblGrid>
        <w:gridCol w:w="2689"/>
        <w:gridCol w:w="850"/>
        <w:gridCol w:w="851"/>
        <w:gridCol w:w="850"/>
        <w:gridCol w:w="1134"/>
        <w:gridCol w:w="992"/>
        <w:gridCol w:w="709"/>
        <w:gridCol w:w="992"/>
      </w:tblGrid>
      <w:tr w:rsidR="00D0442A" w:rsidRPr="00F42440" w14:paraId="75266990" w14:textId="77777777" w:rsidTr="00D0442A">
        <w:trPr>
          <w:trHeight w:val="196"/>
          <w:tblHeader/>
          <w:jc w:val="center"/>
        </w:trPr>
        <w:tc>
          <w:tcPr>
            <w:tcW w:w="2689" w:type="dxa"/>
            <w:vMerge w:val="restart"/>
            <w:shd w:val="clear" w:color="auto" w:fill="9CC2E5" w:themeFill="accent1" w:themeFillTint="99"/>
            <w:noWrap/>
            <w:vAlign w:val="center"/>
            <w:hideMark/>
          </w:tcPr>
          <w:p w14:paraId="7C726706" w14:textId="77777777" w:rsidR="00D0442A" w:rsidRPr="00E64FC4" w:rsidRDefault="00D0442A" w:rsidP="00D0442A">
            <w:pPr>
              <w:spacing w:after="0"/>
              <w:ind w:firstLine="0"/>
              <w:jc w:val="center"/>
              <w:rPr>
                <w:rFonts w:eastAsia="Times New Roman"/>
                <w:b/>
                <w:bCs/>
                <w:color w:val="000000"/>
                <w:sz w:val="18"/>
                <w:szCs w:val="18"/>
              </w:rPr>
            </w:pPr>
            <w:r w:rsidRPr="00E64FC4">
              <w:rPr>
                <w:rFonts w:eastAsia="Times New Roman"/>
                <w:b/>
                <w:bCs/>
                <w:color w:val="000000"/>
                <w:sz w:val="18"/>
                <w:szCs w:val="18"/>
              </w:rPr>
              <w:t>Pasākumi</w:t>
            </w:r>
          </w:p>
        </w:tc>
        <w:tc>
          <w:tcPr>
            <w:tcW w:w="1701" w:type="dxa"/>
            <w:gridSpan w:val="2"/>
            <w:shd w:val="clear" w:color="auto" w:fill="9CC2E5" w:themeFill="accent1" w:themeFillTint="99"/>
            <w:noWrap/>
          </w:tcPr>
          <w:p w14:paraId="4BE75055" w14:textId="77777777" w:rsidR="00D0442A" w:rsidRPr="00E64FC4" w:rsidRDefault="00D0442A" w:rsidP="00D0442A">
            <w:pPr>
              <w:spacing w:after="0"/>
              <w:ind w:firstLine="0"/>
              <w:jc w:val="center"/>
              <w:rPr>
                <w:rFonts w:eastAsia="Times New Roman"/>
                <w:b/>
                <w:bCs/>
                <w:color w:val="000000"/>
                <w:sz w:val="18"/>
                <w:szCs w:val="18"/>
              </w:rPr>
            </w:pPr>
            <w:r w:rsidRPr="00E64FC4">
              <w:rPr>
                <w:rFonts w:eastAsia="Times New Roman"/>
                <w:b/>
                <w:bCs/>
                <w:color w:val="000000"/>
                <w:sz w:val="18"/>
                <w:szCs w:val="18"/>
              </w:rPr>
              <w:t>2020</w:t>
            </w:r>
          </w:p>
        </w:tc>
        <w:tc>
          <w:tcPr>
            <w:tcW w:w="2976" w:type="dxa"/>
            <w:gridSpan w:val="3"/>
            <w:shd w:val="clear" w:color="auto" w:fill="9CC2E5" w:themeFill="accent1" w:themeFillTint="99"/>
            <w:noWrap/>
          </w:tcPr>
          <w:p w14:paraId="0401B02A" w14:textId="77777777" w:rsidR="00D0442A" w:rsidRPr="00E64FC4" w:rsidRDefault="00D0442A" w:rsidP="00D0442A">
            <w:pPr>
              <w:spacing w:after="0"/>
              <w:ind w:firstLine="0"/>
              <w:jc w:val="center"/>
              <w:rPr>
                <w:rFonts w:eastAsia="Times New Roman"/>
                <w:b/>
                <w:bCs/>
                <w:color w:val="000000"/>
                <w:sz w:val="18"/>
                <w:szCs w:val="18"/>
              </w:rPr>
            </w:pPr>
            <w:r w:rsidRPr="00E64FC4">
              <w:rPr>
                <w:rFonts w:eastAsia="Times New Roman"/>
                <w:b/>
                <w:bCs/>
                <w:color w:val="000000"/>
                <w:sz w:val="18"/>
                <w:szCs w:val="18"/>
              </w:rPr>
              <w:t>2021</w:t>
            </w:r>
          </w:p>
        </w:tc>
        <w:tc>
          <w:tcPr>
            <w:tcW w:w="1701" w:type="dxa"/>
            <w:gridSpan w:val="2"/>
            <w:shd w:val="clear" w:color="auto" w:fill="9CC2E5" w:themeFill="accent1" w:themeFillTint="99"/>
          </w:tcPr>
          <w:p w14:paraId="4FCFE238" w14:textId="77777777" w:rsidR="00D0442A" w:rsidRPr="00E64FC4" w:rsidRDefault="00D0442A" w:rsidP="00D0442A">
            <w:pPr>
              <w:spacing w:after="0"/>
              <w:ind w:firstLine="0"/>
              <w:jc w:val="center"/>
              <w:rPr>
                <w:rFonts w:eastAsia="Times New Roman"/>
                <w:b/>
                <w:bCs/>
                <w:color w:val="000000"/>
                <w:sz w:val="18"/>
                <w:szCs w:val="18"/>
              </w:rPr>
            </w:pPr>
            <w:r w:rsidRPr="00E64FC4">
              <w:rPr>
                <w:rFonts w:eastAsia="Times New Roman"/>
                <w:b/>
                <w:bCs/>
                <w:color w:val="000000"/>
                <w:sz w:val="18"/>
                <w:szCs w:val="18"/>
              </w:rPr>
              <w:t>2022</w:t>
            </w:r>
          </w:p>
        </w:tc>
      </w:tr>
      <w:tr w:rsidR="00D0442A" w:rsidRPr="00F42440" w14:paraId="2669CB4A" w14:textId="77777777" w:rsidTr="00D0442A">
        <w:trPr>
          <w:trHeight w:val="448"/>
          <w:tblHeader/>
          <w:jc w:val="center"/>
        </w:trPr>
        <w:tc>
          <w:tcPr>
            <w:tcW w:w="2689" w:type="dxa"/>
            <w:vMerge/>
            <w:shd w:val="clear" w:color="auto" w:fill="9CC2E5" w:themeFill="accent1" w:themeFillTint="99"/>
            <w:hideMark/>
          </w:tcPr>
          <w:p w14:paraId="5DACB6BE" w14:textId="77777777" w:rsidR="00D0442A" w:rsidRPr="00E64FC4" w:rsidRDefault="00D0442A" w:rsidP="00D0442A">
            <w:pPr>
              <w:spacing w:after="0"/>
              <w:rPr>
                <w:rFonts w:eastAsia="Times New Roman"/>
                <w:b/>
                <w:bCs/>
                <w:color w:val="000000"/>
                <w:sz w:val="18"/>
                <w:szCs w:val="18"/>
              </w:rPr>
            </w:pPr>
          </w:p>
        </w:tc>
        <w:tc>
          <w:tcPr>
            <w:tcW w:w="850" w:type="dxa"/>
            <w:shd w:val="clear" w:color="auto" w:fill="9CC2E5" w:themeFill="accent1" w:themeFillTint="99"/>
            <w:noWrap/>
            <w:vAlign w:val="center"/>
          </w:tcPr>
          <w:p w14:paraId="45EB738F" w14:textId="77777777" w:rsidR="00D0442A" w:rsidRPr="00DB24D5" w:rsidRDefault="00D0442A" w:rsidP="00D0442A">
            <w:pPr>
              <w:spacing w:after="0"/>
              <w:ind w:firstLine="0"/>
              <w:jc w:val="center"/>
              <w:rPr>
                <w:rFonts w:eastAsia="Times New Roman"/>
                <w:b/>
                <w:bCs/>
                <w:color w:val="000000"/>
                <w:sz w:val="18"/>
                <w:szCs w:val="18"/>
              </w:rPr>
            </w:pPr>
            <w:r w:rsidRPr="00DB24D5">
              <w:rPr>
                <w:rFonts w:eastAsia="Times New Roman"/>
                <w:b/>
                <w:bCs/>
                <w:color w:val="000000"/>
                <w:sz w:val="18"/>
                <w:szCs w:val="18"/>
              </w:rPr>
              <w:t>Izpilde</w:t>
            </w:r>
          </w:p>
        </w:tc>
        <w:tc>
          <w:tcPr>
            <w:tcW w:w="851" w:type="dxa"/>
            <w:shd w:val="clear" w:color="auto" w:fill="9CC2E5" w:themeFill="accent1" w:themeFillTint="99"/>
            <w:vAlign w:val="center"/>
          </w:tcPr>
          <w:p w14:paraId="74BD1B4C" w14:textId="77777777" w:rsidR="00D0442A" w:rsidRPr="004E52DA" w:rsidRDefault="00D0442A" w:rsidP="00D0442A">
            <w:pPr>
              <w:spacing w:after="0"/>
              <w:ind w:firstLine="0"/>
              <w:jc w:val="center"/>
              <w:rPr>
                <w:rFonts w:eastAsia="Times New Roman"/>
                <w:b/>
                <w:bCs/>
                <w:color w:val="000000"/>
                <w:sz w:val="18"/>
                <w:szCs w:val="18"/>
              </w:rPr>
            </w:pPr>
            <w:r w:rsidRPr="004E52DA">
              <w:rPr>
                <w:rFonts w:eastAsia="Times New Roman"/>
                <w:b/>
                <w:bCs/>
                <w:color w:val="000000"/>
                <w:sz w:val="18"/>
                <w:szCs w:val="18"/>
              </w:rPr>
              <w:t>Ietekme uz bilanci</w:t>
            </w:r>
          </w:p>
        </w:tc>
        <w:tc>
          <w:tcPr>
            <w:tcW w:w="850" w:type="dxa"/>
            <w:shd w:val="clear" w:color="auto" w:fill="9CC2E5" w:themeFill="accent1" w:themeFillTint="99"/>
            <w:vAlign w:val="center"/>
          </w:tcPr>
          <w:p w14:paraId="15CD3776" w14:textId="77777777" w:rsidR="00D0442A" w:rsidRPr="004E52DA" w:rsidRDefault="00D0442A" w:rsidP="00D0442A">
            <w:pPr>
              <w:spacing w:after="0"/>
              <w:ind w:firstLine="0"/>
              <w:jc w:val="center"/>
              <w:rPr>
                <w:rFonts w:eastAsia="Times New Roman"/>
                <w:b/>
                <w:bCs/>
                <w:color w:val="000000"/>
                <w:sz w:val="18"/>
                <w:szCs w:val="18"/>
              </w:rPr>
            </w:pPr>
            <w:r w:rsidRPr="004E52DA">
              <w:rPr>
                <w:rFonts w:eastAsia="Times New Roman"/>
                <w:b/>
                <w:bCs/>
                <w:color w:val="000000"/>
                <w:sz w:val="18"/>
                <w:szCs w:val="18"/>
              </w:rPr>
              <w:t>Plāns uz 03.10.</w:t>
            </w:r>
          </w:p>
        </w:tc>
        <w:tc>
          <w:tcPr>
            <w:tcW w:w="1134" w:type="dxa"/>
            <w:shd w:val="clear" w:color="auto" w:fill="9CC2E5" w:themeFill="accent1" w:themeFillTint="99"/>
            <w:vAlign w:val="center"/>
          </w:tcPr>
          <w:p w14:paraId="7CD55F4A" w14:textId="77777777" w:rsidR="00D0442A" w:rsidRPr="004E52DA" w:rsidRDefault="00D0442A" w:rsidP="00D0442A">
            <w:pPr>
              <w:spacing w:after="0"/>
              <w:ind w:firstLine="0"/>
              <w:jc w:val="center"/>
              <w:rPr>
                <w:rFonts w:eastAsia="Times New Roman"/>
                <w:b/>
                <w:bCs/>
                <w:color w:val="000000"/>
                <w:sz w:val="18"/>
                <w:szCs w:val="18"/>
              </w:rPr>
            </w:pPr>
            <w:r w:rsidRPr="004E52DA">
              <w:rPr>
                <w:rFonts w:eastAsia="Times New Roman"/>
                <w:b/>
                <w:bCs/>
                <w:color w:val="000000"/>
                <w:sz w:val="18"/>
                <w:szCs w:val="18"/>
              </w:rPr>
              <w:t>Operatīvā izpilde līdz 30.09.</w:t>
            </w:r>
          </w:p>
        </w:tc>
        <w:tc>
          <w:tcPr>
            <w:tcW w:w="992" w:type="dxa"/>
            <w:shd w:val="clear" w:color="auto" w:fill="9CC2E5" w:themeFill="accent1" w:themeFillTint="99"/>
            <w:vAlign w:val="center"/>
          </w:tcPr>
          <w:p w14:paraId="20B58748" w14:textId="77777777" w:rsidR="00D0442A" w:rsidRPr="004E52DA" w:rsidRDefault="00D0442A" w:rsidP="00D0442A">
            <w:pPr>
              <w:spacing w:after="0"/>
              <w:ind w:firstLine="0"/>
              <w:jc w:val="center"/>
              <w:rPr>
                <w:rFonts w:eastAsia="Times New Roman"/>
                <w:b/>
                <w:bCs/>
                <w:color w:val="000000"/>
                <w:sz w:val="18"/>
                <w:szCs w:val="18"/>
              </w:rPr>
            </w:pPr>
            <w:r w:rsidRPr="004E52DA">
              <w:rPr>
                <w:rFonts w:eastAsia="Times New Roman"/>
                <w:b/>
                <w:bCs/>
                <w:color w:val="000000"/>
                <w:sz w:val="18"/>
                <w:szCs w:val="18"/>
              </w:rPr>
              <w:t>Ietekme uz bilanci (novērt.)</w:t>
            </w:r>
          </w:p>
        </w:tc>
        <w:tc>
          <w:tcPr>
            <w:tcW w:w="709" w:type="dxa"/>
            <w:shd w:val="clear" w:color="auto" w:fill="9CC2E5" w:themeFill="accent1" w:themeFillTint="99"/>
            <w:vAlign w:val="center"/>
          </w:tcPr>
          <w:p w14:paraId="6F13901F" w14:textId="77777777" w:rsidR="00D0442A" w:rsidRPr="004E52DA" w:rsidRDefault="00D0442A" w:rsidP="00D0442A">
            <w:pPr>
              <w:spacing w:after="0"/>
              <w:ind w:firstLine="0"/>
              <w:jc w:val="center"/>
              <w:rPr>
                <w:b/>
                <w:bCs/>
                <w:color w:val="000000"/>
                <w:sz w:val="18"/>
                <w:szCs w:val="18"/>
              </w:rPr>
            </w:pPr>
            <w:r w:rsidRPr="004E52DA">
              <w:rPr>
                <w:rFonts w:eastAsia="Times New Roman"/>
                <w:b/>
                <w:bCs/>
                <w:color w:val="000000"/>
                <w:sz w:val="18"/>
                <w:szCs w:val="18"/>
              </w:rPr>
              <w:t>Plāns uz 03.10.</w:t>
            </w:r>
          </w:p>
        </w:tc>
        <w:tc>
          <w:tcPr>
            <w:tcW w:w="992" w:type="dxa"/>
            <w:shd w:val="clear" w:color="auto" w:fill="9CC2E5" w:themeFill="accent1" w:themeFillTint="99"/>
            <w:vAlign w:val="center"/>
          </w:tcPr>
          <w:p w14:paraId="5C8CF397" w14:textId="77777777" w:rsidR="00D0442A" w:rsidRPr="004E52DA" w:rsidRDefault="00D0442A" w:rsidP="00D0442A">
            <w:pPr>
              <w:spacing w:after="0"/>
              <w:ind w:firstLine="0"/>
              <w:jc w:val="center"/>
              <w:rPr>
                <w:rFonts w:eastAsia="Times New Roman"/>
                <w:b/>
                <w:bCs/>
                <w:color w:val="000000"/>
                <w:sz w:val="18"/>
                <w:szCs w:val="18"/>
              </w:rPr>
            </w:pPr>
            <w:r w:rsidRPr="004E52DA">
              <w:rPr>
                <w:rFonts w:eastAsia="Times New Roman"/>
                <w:b/>
                <w:bCs/>
                <w:color w:val="000000"/>
                <w:sz w:val="18"/>
                <w:szCs w:val="18"/>
              </w:rPr>
              <w:t>Ietekme uz bilanci (novērt.)</w:t>
            </w:r>
          </w:p>
        </w:tc>
      </w:tr>
      <w:tr w:rsidR="00D0442A" w:rsidRPr="00F42440" w14:paraId="62CFD571" w14:textId="77777777" w:rsidTr="00D0442A">
        <w:trPr>
          <w:trHeight w:val="196"/>
          <w:jc w:val="center"/>
        </w:trPr>
        <w:tc>
          <w:tcPr>
            <w:tcW w:w="2689" w:type="dxa"/>
            <w:shd w:val="clear" w:color="auto" w:fill="9CC2E5" w:themeFill="accent1" w:themeFillTint="99"/>
            <w:noWrap/>
            <w:hideMark/>
          </w:tcPr>
          <w:p w14:paraId="43A88AC8" w14:textId="77777777" w:rsidR="00D0442A" w:rsidRPr="00E64FC4" w:rsidRDefault="00D0442A" w:rsidP="00D0442A">
            <w:pPr>
              <w:spacing w:after="0"/>
              <w:ind w:firstLine="0"/>
              <w:rPr>
                <w:rFonts w:eastAsia="Times New Roman"/>
                <w:b/>
                <w:bCs/>
                <w:color w:val="000000"/>
                <w:sz w:val="18"/>
                <w:szCs w:val="18"/>
              </w:rPr>
            </w:pPr>
            <w:r w:rsidRPr="00E64FC4">
              <w:rPr>
                <w:rFonts w:eastAsia="Times New Roman"/>
                <w:b/>
                <w:bCs/>
                <w:color w:val="000000"/>
                <w:sz w:val="18"/>
                <w:szCs w:val="18"/>
              </w:rPr>
              <w:t>ATBALSTA APJOMS</w:t>
            </w:r>
          </w:p>
        </w:tc>
        <w:tc>
          <w:tcPr>
            <w:tcW w:w="850" w:type="dxa"/>
            <w:shd w:val="clear" w:color="auto" w:fill="9CC2E5" w:themeFill="accent1" w:themeFillTint="99"/>
            <w:noWrap/>
          </w:tcPr>
          <w:p w14:paraId="33E0FDA3" w14:textId="77777777" w:rsidR="00D0442A" w:rsidRPr="00DB24D5" w:rsidRDefault="00D0442A" w:rsidP="00D0442A">
            <w:pPr>
              <w:spacing w:after="0"/>
              <w:ind w:firstLine="0"/>
              <w:jc w:val="right"/>
              <w:rPr>
                <w:rFonts w:eastAsia="Times New Roman"/>
                <w:b/>
                <w:color w:val="000000"/>
                <w:sz w:val="18"/>
                <w:szCs w:val="18"/>
              </w:rPr>
            </w:pPr>
            <w:r w:rsidRPr="00DB24D5">
              <w:rPr>
                <w:rFonts w:eastAsia="Times New Roman"/>
                <w:b/>
                <w:color w:val="000000"/>
                <w:sz w:val="18"/>
                <w:szCs w:val="18"/>
              </w:rPr>
              <w:t>1 280,4</w:t>
            </w:r>
          </w:p>
        </w:tc>
        <w:tc>
          <w:tcPr>
            <w:tcW w:w="851" w:type="dxa"/>
            <w:shd w:val="clear" w:color="auto" w:fill="9CC2E5" w:themeFill="accent1" w:themeFillTint="99"/>
            <w:noWrap/>
          </w:tcPr>
          <w:p w14:paraId="596F2E08" w14:textId="77777777" w:rsidR="00D0442A" w:rsidRPr="004E52DA" w:rsidRDefault="00D0442A" w:rsidP="00D0442A">
            <w:pPr>
              <w:spacing w:after="0"/>
              <w:ind w:firstLine="0"/>
              <w:jc w:val="right"/>
              <w:rPr>
                <w:rFonts w:eastAsia="Times New Roman"/>
                <w:b/>
                <w:color w:val="000000"/>
                <w:sz w:val="18"/>
                <w:szCs w:val="18"/>
              </w:rPr>
            </w:pPr>
            <w:r w:rsidRPr="004E52DA">
              <w:rPr>
                <w:rFonts w:eastAsia="Times New Roman"/>
                <w:b/>
                <w:color w:val="000000"/>
                <w:sz w:val="18"/>
                <w:szCs w:val="18"/>
              </w:rPr>
              <w:t>-958,8</w:t>
            </w:r>
          </w:p>
        </w:tc>
        <w:tc>
          <w:tcPr>
            <w:tcW w:w="850" w:type="dxa"/>
            <w:shd w:val="clear" w:color="auto" w:fill="9CC2E5" w:themeFill="accent1" w:themeFillTint="99"/>
            <w:noWrap/>
          </w:tcPr>
          <w:p w14:paraId="1945BE41" w14:textId="77777777" w:rsidR="00D0442A" w:rsidRPr="00726E18" w:rsidRDefault="00D0442A" w:rsidP="00D0442A">
            <w:pPr>
              <w:spacing w:after="0"/>
              <w:ind w:firstLine="0"/>
              <w:jc w:val="right"/>
              <w:rPr>
                <w:rFonts w:eastAsia="Times New Roman"/>
                <w:b/>
                <w:color w:val="000000"/>
                <w:sz w:val="18"/>
                <w:szCs w:val="18"/>
              </w:rPr>
            </w:pPr>
            <w:r w:rsidRPr="00726E18">
              <w:rPr>
                <w:rFonts w:eastAsia="Times New Roman"/>
                <w:b/>
                <w:color w:val="000000"/>
                <w:sz w:val="18"/>
                <w:szCs w:val="18"/>
              </w:rPr>
              <w:t>3 248,8</w:t>
            </w:r>
          </w:p>
        </w:tc>
        <w:tc>
          <w:tcPr>
            <w:tcW w:w="1134" w:type="dxa"/>
            <w:shd w:val="clear" w:color="auto" w:fill="9CC2E5" w:themeFill="accent1" w:themeFillTint="99"/>
            <w:noWrap/>
          </w:tcPr>
          <w:p w14:paraId="23A072D2" w14:textId="77777777" w:rsidR="00D0442A" w:rsidRPr="00726E18" w:rsidRDefault="00D0442A" w:rsidP="00D0442A">
            <w:pPr>
              <w:spacing w:after="0"/>
              <w:ind w:firstLine="0"/>
              <w:jc w:val="right"/>
              <w:rPr>
                <w:rFonts w:eastAsia="Times New Roman"/>
                <w:b/>
                <w:sz w:val="18"/>
                <w:szCs w:val="18"/>
              </w:rPr>
            </w:pPr>
            <w:r w:rsidRPr="00726E18">
              <w:rPr>
                <w:rFonts w:eastAsia="Times New Roman"/>
                <w:b/>
                <w:sz w:val="18"/>
                <w:szCs w:val="18"/>
              </w:rPr>
              <w:t>1 753,8</w:t>
            </w:r>
          </w:p>
        </w:tc>
        <w:tc>
          <w:tcPr>
            <w:tcW w:w="992" w:type="dxa"/>
            <w:shd w:val="clear" w:color="auto" w:fill="9CC2E5" w:themeFill="accent1" w:themeFillTint="99"/>
            <w:noWrap/>
          </w:tcPr>
          <w:p w14:paraId="5D61A666" w14:textId="77777777" w:rsidR="00D0442A" w:rsidRPr="00726E18" w:rsidRDefault="00D0442A" w:rsidP="00D0442A">
            <w:pPr>
              <w:spacing w:after="0"/>
              <w:ind w:firstLine="0"/>
              <w:jc w:val="right"/>
              <w:rPr>
                <w:rFonts w:eastAsia="Times New Roman"/>
                <w:b/>
                <w:color w:val="000000"/>
                <w:sz w:val="18"/>
                <w:szCs w:val="18"/>
              </w:rPr>
            </w:pPr>
            <w:r w:rsidRPr="00726E18">
              <w:rPr>
                <w:rFonts w:eastAsia="Times New Roman"/>
                <w:b/>
                <w:color w:val="000000"/>
                <w:sz w:val="18"/>
                <w:szCs w:val="18"/>
              </w:rPr>
              <w:t>-2 166,5</w:t>
            </w:r>
          </w:p>
        </w:tc>
        <w:tc>
          <w:tcPr>
            <w:tcW w:w="709" w:type="dxa"/>
            <w:shd w:val="clear" w:color="auto" w:fill="9CC2E5" w:themeFill="accent1" w:themeFillTint="99"/>
            <w:vAlign w:val="center"/>
          </w:tcPr>
          <w:p w14:paraId="0639752B" w14:textId="77777777" w:rsidR="00D0442A" w:rsidRPr="00337D3A" w:rsidRDefault="00D0442A" w:rsidP="00D0442A">
            <w:pPr>
              <w:spacing w:after="0"/>
              <w:ind w:firstLine="0"/>
              <w:jc w:val="right"/>
              <w:rPr>
                <w:b/>
                <w:color w:val="000000"/>
                <w:sz w:val="18"/>
                <w:szCs w:val="18"/>
              </w:rPr>
            </w:pPr>
            <w:r w:rsidRPr="00337D3A">
              <w:rPr>
                <w:b/>
                <w:color w:val="000000"/>
                <w:sz w:val="18"/>
                <w:szCs w:val="18"/>
              </w:rPr>
              <w:t>49</w:t>
            </w:r>
            <w:r>
              <w:rPr>
                <w:b/>
                <w:color w:val="000000"/>
                <w:sz w:val="18"/>
                <w:szCs w:val="18"/>
              </w:rPr>
              <w:t>7</w:t>
            </w:r>
            <w:r w:rsidRPr="00337D3A">
              <w:rPr>
                <w:b/>
                <w:color w:val="000000"/>
                <w:sz w:val="18"/>
                <w:szCs w:val="18"/>
              </w:rPr>
              <w:t>,</w:t>
            </w:r>
            <w:r>
              <w:rPr>
                <w:b/>
                <w:color w:val="000000"/>
                <w:sz w:val="18"/>
                <w:szCs w:val="18"/>
              </w:rPr>
              <w:t>7</w:t>
            </w:r>
          </w:p>
        </w:tc>
        <w:tc>
          <w:tcPr>
            <w:tcW w:w="992" w:type="dxa"/>
            <w:shd w:val="clear" w:color="auto" w:fill="9CC2E5" w:themeFill="accent1" w:themeFillTint="99"/>
            <w:noWrap/>
          </w:tcPr>
          <w:p w14:paraId="6550AB7D" w14:textId="77777777" w:rsidR="00D0442A" w:rsidRPr="00337D3A" w:rsidRDefault="00D0442A" w:rsidP="00D0442A">
            <w:pPr>
              <w:spacing w:after="0"/>
              <w:ind w:firstLine="0"/>
              <w:jc w:val="right"/>
              <w:rPr>
                <w:rFonts w:eastAsia="Times New Roman"/>
                <w:b/>
                <w:color w:val="000000"/>
                <w:sz w:val="18"/>
                <w:szCs w:val="18"/>
              </w:rPr>
            </w:pPr>
            <w:r w:rsidRPr="00337D3A">
              <w:rPr>
                <w:rFonts w:eastAsia="Times New Roman"/>
                <w:b/>
                <w:color w:val="000000"/>
                <w:sz w:val="18"/>
                <w:szCs w:val="18"/>
              </w:rPr>
              <w:t>-26</w:t>
            </w:r>
            <w:r>
              <w:rPr>
                <w:rFonts w:eastAsia="Times New Roman"/>
                <w:b/>
                <w:color w:val="000000"/>
                <w:sz w:val="18"/>
                <w:szCs w:val="18"/>
              </w:rPr>
              <w:t>3</w:t>
            </w:r>
            <w:r w:rsidRPr="00337D3A">
              <w:rPr>
                <w:rFonts w:eastAsia="Times New Roman"/>
                <w:b/>
                <w:color w:val="000000"/>
                <w:sz w:val="18"/>
                <w:szCs w:val="18"/>
              </w:rPr>
              <w:t>,</w:t>
            </w:r>
            <w:r>
              <w:rPr>
                <w:rFonts w:eastAsia="Times New Roman"/>
                <w:b/>
                <w:color w:val="000000"/>
                <w:sz w:val="18"/>
                <w:szCs w:val="18"/>
              </w:rPr>
              <w:t>2</w:t>
            </w:r>
          </w:p>
        </w:tc>
      </w:tr>
      <w:tr w:rsidR="00D0442A" w:rsidRPr="00F42440" w14:paraId="6E3CE8A0" w14:textId="77777777" w:rsidTr="00D0442A">
        <w:trPr>
          <w:trHeight w:val="196"/>
          <w:jc w:val="center"/>
        </w:trPr>
        <w:tc>
          <w:tcPr>
            <w:tcW w:w="2689" w:type="dxa"/>
            <w:shd w:val="clear" w:color="auto" w:fill="9CC2E5" w:themeFill="accent1" w:themeFillTint="99"/>
            <w:noWrap/>
            <w:hideMark/>
          </w:tcPr>
          <w:p w14:paraId="5A3C33A1" w14:textId="78B04928" w:rsidR="00D0442A" w:rsidRPr="00E64FC4" w:rsidRDefault="0090051F" w:rsidP="00D0442A">
            <w:pPr>
              <w:spacing w:after="0"/>
              <w:ind w:firstLine="0"/>
              <w:rPr>
                <w:rFonts w:eastAsia="Times New Roman"/>
                <w:b/>
                <w:bCs/>
                <w:color w:val="000000"/>
                <w:sz w:val="18"/>
                <w:szCs w:val="18"/>
              </w:rPr>
            </w:pPr>
            <w:r>
              <w:rPr>
                <w:rFonts w:eastAsia="Times New Roman"/>
                <w:b/>
                <w:bCs/>
                <w:color w:val="000000"/>
                <w:sz w:val="18"/>
                <w:szCs w:val="18"/>
              </w:rPr>
              <w:t xml:space="preserve">% no attiecīgā gada </w:t>
            </w:r>
            <w:r w:rsidRPr="0090051F">
              <w:rPr>
                <w:rFonts w:eastAsia="Times New Roman"/>
                <w:b/>
                <w:bCs/>
                <w:color w:val="000000"/>
                <w:sz w:val="18"/>
                <w:szCs w:val="18"/>
              </w:rPr>
              <w:t>iekšzemes kopprodukta</w:t>
            </w:r>
          </w:p>
        </w:tc>
        <w:tc>
          <w:tcPr>
            <w:tcW w:w="850" w:type="dxa"/>
            <w:shd w:val="clear" w:color="auto" w:fill="9CC2E5" w:themeFill="accent1" w:themeFillTint="99"/>
          </w:tcPr>
          <w:p w14:paraId="529590B0" w14:textId="77777777" w:rsidR="00D0442A" w:rsidRPr="00DB24D5" w:rsidRDefault="00D0442A" w:rsidP="00D0442A">
            <w:pPr>
              <w:spacing w:after="0"/>
              <w:ind w:firstLine="0"/>
              <w:jc w:val="right"/>
              <w:rPr>
                <w:rFonts w:eastAsia="Times New Roman"/>
                <w:b/>
                <w:color w:val="000000"/>
                <w:sz w:val="18"/>
                <w:szCs w:val="18"/>
              </w:rPr>
            </w:pPr>
            <w:r w:rsidRPr="00DB24D5">
              <w:rPr>
                <w:rFonts w:eastAsia="Times New Roman"/>
                <w:b/>
                <w:color w:val="000000"/>
                <w:sz w:val="18"/>
                <w:szCs w:val="18"/>
              </w:rPr>
              <w:t>4,4</w:t>
            </w:r>
          </w:p>
        </w:tc>
        <w:tc>
          <w:tcPr>
            <w:tcW w:w="851" w:type="dxa"/>
            <w:shd w:val="clear" w:color="auto" w:fill="9CC2E5" w:themeFill="accent1" w:themeFillTint="99"/>
          </w:tcPr>
          <w:p w14:paraId="4EDC8AAD" w14:textId="77777777" w:rsidR="00D0442A" w:rsidRPr="004E52DA" w:rsidRDefault="00D0442A" w:rsidP="00D0442A">
            <w:pPr>
              <w:spacing w:after="0"/>
              <w:ind w:firstLine="0"/>
              <w:jc w:val="right"/>
              <w:rPr>
                <w:rFonts w:eastAsia="Times New Roman"/>
                <w:b/>
                <w:color w:val="000000"/>
                <w:sz w:val="18"/>
                <w:szCs w:val="18"/>
              </w:rPr>
            </w:pPr>
            <w:r w:rsidRPr="004E52DA">
              <w:rPr>
                <w:rFonts w:eastAsia="Times New Roman"/>
                <w:b/>
                <w:color w:val="000000"/>
                <w:sz w:val="18"/>
                <w:szCs w:val="18"/>
              </w:rPr>
              <w:t>-3,3</w:t>
            </w:r>
          </w:p>
        </w:tc>
        <w:tc>
          <w:tcPr>
            <w:tcW w:w="850" w:type="dxa"/>
            <w:shd w:val="clear" w:color="auto" w:fill="9CC2E5" w:themeFill="accent1" w:themeFillTint="99"/>
          </w:tcPr>
          <w:p w14:paraId="7DC0E769" w14:textId="77777777" w:rsidR="00D0442A" w:rsidRPr="00726E18" w:rsidRDefault="00D0442A" w:rsidP="00D0442A">
            <w:pPr>
              <w:spacing w:after="0"/>
              <w:ind w:firstLine="0"/>
              <w:jc w:val="right"/>
              <w:rPr>
                <w:rFonts w:eastAsia="Times New Roman"/>
                <w:b/>
                <w:color w:val="000000"/>
                <w:sz w:val="18"/>
                <w:szCs w:val="18"/>
              </w:rPr>
            </w:pPr>
            <w:r w:rsidRPr="00726E18">
              <w:rPr>
                <w:rFonts w:eastAsia="Times New Roman"/>
                <w:b/>
                <w:color w:val="000000"/>
                <w:sz w:val="18"/>
                <w:szCs w:val="18"/>
              </w:rPr>
              <w:t>10,4</w:t>
            </w:r>
          </w:p>
        </w:tc>
        <w:tc>
          <w:tcPr>
            <w:tcW w:w="1134" w:type="dxa"/>
            <w:shd w:val="clear" w:color="auto" w:fill="9CC2E5" w:themeFill="accent1" w:themeFillTint="99"/>
          </w:tcPr>
          <w:p w14:paraId="6C7A9BCE" w14:textId="77777777" w:rsidR="00D0442A" w:rsidRPr="00726E18" w:rsidRDefault="00D0442A" w:rsidP="00D0442A">
            <w:pPr>
              <w:spacing w:after="0"/>
              <w:ind w:firstLine="0"/>
              <w:jc w:val="right"/>
              <w:rPr>
                <w:rFonts w:eastAsia="Times New Roman"/>
                <w:b/>
                <w:color w:val="000000"/>
                <w:sz w:val="18"/>
                <w:szCs w:val="18"/>
              </w:rPr>
            </w:pPr>
            <w:r w:rsidRPr="00726E18">
              <w:rPr>
                <w:rFonts w:eastAsia="Times New Roman"/>
                <w:b/>
                <w:color w:val="000000"/>
                <w:sz w:val="18"/>
                <w:szCs w:val="18"/>
              </w:rPr>
              <w:t>5,6</w:t>
            </w:r>
          </w:p>
        </w:tc>
        <w:tc>
          <w:tcPr>
            <w:tcW w:w="992" w:type="dxa"/>
            <w:shd w:val="clear" w:color="auto" w:fill="9CC2E5" w:themeFill="accent1" w:themeFillTint="99"/>
          </w:tcPr>
          <w:p w14:paraId="36B826FF" w14:textId="77777777" w:rsidR="00D0442A" w:rsidRPr="00726E18" w:rsidRDefault="00D0442A" w:rsidP="00D0442A">
            <w:pPr>
              <w:spacing w:after="0"/>
              <w:ind w:firstLine="0"/>
              <w:jc w:val="right"/>
              <w:rPr>
                <w:rFonts w:eastAsia="Times New Roman"/>
                <w:b/>
                <w:color w:val="000000"/>
                <w:sz w:val="18"/>
                <w:szCs w:val="18"/>
              </w:rPr>
            </w:pPr>
            <w:r w:rsidRPr="00726E18">
              <w:rPr>
                <w:rFonts w:eastAsia="Times New Roman"/>
                <w:b/>
                <w:color w:val="000000"/>
                <w:sz w:val="18"/>
                <w:szCs w:val="18"/>
              </w:rPr>
              <w:t>-6,9</w:t>
            </w:r>
          </w:p>
        </w:tc>
        <w:tc>
          <w:tcPr>
            <w:tcW w:w="709" w:type="dxa"/>
            <w:shd w:val="clear" w:color="auto" w:fill="9CC2E5" w:themeFill="accent1" w:themeFillTint="99"/>
            <w:vAlign w:val="center"/>
          </w:tcPr>
          <w:p w14:paraId="51BCD389" w14:textId="77777777" w:rsidR="00D0442A" w:rsidRPr="00337D3A" w:rsidRDefault="00D0442A" w:rsidP="00D0442A">
            <w:pPr>
              <w:spacing w:after="0"/>
              <w:ind w:firstLine="0"/>
              <w:jc w:val="right"/>
              <w:rPr>
                <w:b/>
                <w:color w:val="000000"/>
                <w:sz w:val="18"/>
                <w:szCs w:val="18"/>
              </w:rPr>
            </w:pPr>
            <w:r w:rsidRPr="00337D3A">
              <w:rPr>
                <w:b/>
                <w:color w:val="000000"/>
                <w:sz w:val="18"/>
                <w:szCs w:val="18"/>
              </w:rPr>
              <w:t>1,5</w:t>
            </w:r>
          </w:p>
        </w:tc>
        <w:tc>
          <w:tcPr>
            <w:tcW w:w="992" w:type="dxa"/>
            <w:shd w:val="clear" w:color="auto" w:fill="9CC2E5" w:themeFill="accent1" w:themeFillTint="99"/>
          </w:tcPr>
          <w:p w14:paraId="540C12DF" w14:textId="77777777" w:rsidR="00D0442A" w:rsidRPr="00337D3A" w:rsidRDefault="00D0442A" w:rsidP="00D0442A">
            <w:pPr>
              <w:spacing w:after="0"/>
              <w:ind w:firstLine="0"/>
              <w:jc w:val="right"/>
              <w:rPr>
                <w:rFonts w:eastAsia="Times New Roman"/>
                <w:b/>
                <w:color w:val="000000"/>
                <w:sz w:val="18"/>
                <w:szCs w:val="18"/>
              </w:rPr>
            </w:pPr>
            <w:r w:rsidRPr="00337D3A">
              <w:rPr>
                <w:rFonts w:eastAsia="Times New Roman"/>
                <w:b/>
                <w:color w:val="000000"/>
                <w:sz w:val="18"/>
                <w:szCs w:val="18"/>
              </w:rPr>
              <w:t>-0,8</w:t>
            </w:r>
          </w:p>
        </w:tc>
      </w:tr>
      <w:tr w:rsidR="00D0442A" w:rsidRPr="00F42440" w14:paraId="72FEA252" w14:textId="77777777" w:rsidTr="00D0442A">
        <w:trPr>
          <w:trHeight w:val="196"/>
          <w:jc w:val="center"/>
        </w:trPr>
        <w:tc>
          <w:tcPr>
            <w:tcW w:w="2689" w:type="dxa"/>
            <w:shd w:val="clear" w:color="auto" w:fill="DEEAF6" w:themeFill="accent1" w:themeFillTint="33"/>
            <w:noWrap/>
            <w:hideMark/>
          </w:tcPr>
          <w:p w14:paraId="31B52661" w14:textId="77777777" w:rsidR="00D0442A" w:rsidRPr="00E64FC4" w:rsidRDefault="00D0442A" w:rsidP="00D0442A">
            <w:pPr>
              <w:spacing w:after="0"/>
              <w:ind w:firstLine="0"/>
              <w:rPr>
                <w:rFonts w:eastAsia="Times New Roman"/>
                <w:b/>
                <w:bCs/>
                <w:color w:val="000000"/>
                <w:sz w:val="18"/>
                <w:szCs w:val="18"/>
              </w:rPr>
            </w:pPr>
            <w:r w:rsidRPr="00E64FC4">
              <w:rPr>
                <w:rFonts w:eastAsia="Times New Roman"/>
                <w:b/>
                <w:bCs/>
                <w:color w:val="000000"/>
                <w:sz w:val="18"/>
                <w:szCs w:val="18"/>
              </w:rPr>
              <w:t>I Atbalsts nodokļu jomā,</w:t>
            </w:r>
            <w:r w:rsidRPr="00E64FC4">
              <w:rPr>
                <w:rFonts w:eastAsia="Times New Roman"/>
                <w:b/>
                <w:bCs/>
                <w:color w:val="000000"/>
                <w:sz w:val="18"/>
                <w:szCs w:val="18"/>
              </w:rPr>
              <w:br/>
            </w:r>
            <w:r w:rsidRPr="00E64FC4">
              <w:rPr>
                <w:rFonts w:eastAsia="Times New Roman"/>
                <w:color w:val="000000"/>
                <w:sz w:val="18"/>
                <w:szCs w:val="18"/>
              </w:rPr>
              <w:t>tai skaitā</w:t>
            </w:r>
          </w:p>
        </w:tc>
        <w:tc>
          <w:tcPr>
            <w:tcW w:w="850" w:type="dxa"/>
            <w:shd w:val="clear" w:color="auto" w:fill="DEEAF6" w:themeFill="accent1" w:themeFillTint="33"/>
            <w:noWrap/>
            <w:vAlign w:val="center"/>
          </w:tcPr>
          <w:p w14:paraId="0D8E3294"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b/>
                <w:color w:val="000000"/>
                <w:sz w:val="18"/>
                <w:szCs w:val="18"/>
              </w:rPr>
              <w:t>251,0</w:t>
            </w:r>
          </w:p>
        </w:tc>
        <w:tc>
          <w:tcPr>
            <w:tcW w:w="851" w:type="dxa"/>
            <w:shd w:val="clear" w:color="auto" w:fill="DEEAF6" w:themeFill="accent1" w:themeFillTint="33"/>
            <w:noWrap/>
            <w:vAlign w:val="center"/>
          </w:tcPr>
          <w:p w14:paraId="23371B5A" w14:textId="77777777" w:rsidR="00D0442A" w:rsidRPr="004E52DA" w:rsidRDefault="00D0442A" w:rsidP="00D0442A">
            <w:pPr>
              <w:spacing w:after="0"/>
              <w:ind w:firstLine="0"/>
              <w:jc w:val="right"/>
              <w:rPr>
                <w:rFonts w:eastAsia="Times New Roman"/>
                <w:color w:val="000000"/>
                <w:sz w:val="18"/>
                <w:szCs w:val="18"/>
              </w:rPr>
            </w:pPr>
            <w:r w:rsidRPr="004E52DA">
              <w:rPr>
                <w:rFonts w:eastAsia="Times New Roman"/>
                <w:b/>
                <w:color w:val="000000"/>
                <w:sz w:val="18"/>
                <w:szCs w:val="18"/>
              </w:rPr>
              <w:t>-125,1</w:t>
            </w:r>
          </w:p>
        </w:tc>
        <w:tc>
          <w:tcPr>
            <w:tcW w:w="850" w:type="dxa"/>
            <w:shd w:val="clear" w:color="auto" w:fill="DEEAF6" w:themeFill="accent1" w:themeFillTint="33"/>
            <w:noWrap/>
            <w:vAlign w:val="center"/>
          </w:tcPr>
          <w:p w14:paraId="14211F65" w14:textId="77777777" w:rsidR="00D0442A" w:rsidRPr="004E52DA" w:rsidRDefault="00D0442A" w:rsidP="00D0442A">
            <w:pPr>
              <w:spacing w:after="0"/>
              <w:ind w:firstLine="0"/>
              <w:jc w:val="right"/>
              <w:rPr>
                <w:rFonts w:eastAsia="Times New Roman"/>
                <w:color w:val="000000"/>
                <w:sz w:val="18"/>
                <w:szCs w:val="18"/>
              </w:rPr>
            </w:pPr>
            <w:r w:rsidRPr="004E52DA">
              <w:rPr>
                <w:rFonts w:eastAsia="Times New Roman"/>
                <w:b/>
                <w:color w:val="000000"/>
                <w:sz w:val="18"/>
                <w:szCs w:val="18"/>
              </w:rPr>
              <w:t>110,0</w:t>
            </w:r>
          </w:p>
        </w:tc>
        <w:tc>
          <w:tcPr>
            <w:tcW w:w="1134" w:type="dxa"/>
            <w:shd w:val="clear" w:color="auto" w:fill="DEEAF6" w:themeFill="accent1" w:themeFillTint="33"/>
            <w:noWrap/>
            <w:vAlign w:val="center"/>
          </w:tcPr>
          <w:p w14:paraId="55BE150C" w14:textId="77777777" w:rsidR="00D0442A" w:rsidRPr="004E52DA" w:rsidRDefault="00D0442A" w:rsidP="00D0442A">
            <w:pPr>
              <w:spacing w:after="0"/>
              <w:ind w:firstLine="0"/>
              <w:jc w:val="right"/>
              <w:rPr>
                <w:rFonts w:eastAsia="Times New Roman"/>
                <w:color w:val="000000"/>
                <w:sz w:val="18"/>
                <w:szCs w:val="18"/>
              </w:rPr>
            </w:pPr>
            <w:r w:rsidRPr="004E52DA">
              <w:rPr>
                <w:rFonts w:eastAsia="Times New Roman"/>
                <w:b/>
                <w:color w:val="000000"/>
                <w:sz w:val="18"/>
                <w:szCs w:val="18"/>
              </w:rPr>
              <w:t>62,4</w:t>
            </w:r>
          </w:p>
        </w:tc>
        <w:tc>
          <w:tcPr>
            <w:tcW w:w="992" w:type="dxa"/>
            <w:shd w:val="clear" w:color="auto" w:fill="DEEAF6" w:themeFill="accent1" w:themeFillTint="33"/>
            <w:noWrap/>
            <w:vAlign w:val="center"/>
          </w:tcPr>
          <w:p w14:paraId="783A3F67" w14:textId="77777777" w:rsidR="00D0442A" w:rsidRPr="004E52DA" w:rsidRDefault="00D0442A" w:rsidP="00D0442A">
            <w:pPr>
              <w:spacing w:after="0"/>
              <w:ind w:firstLine="0"/>
              <w:jc w:val="right"/>
              <w:rPr>
                <w:rFonts w:eastAsia="Times New Roman"/>
                <w:color w:val="000000"/>
                <w:sz w:val="18"/>
                <w:szCs w:val="18"/>
              </w:rPr>
            </w:pPr>
            <w:r w:rsidRPr="004E52DA">
              <w:rPr>
                <w:rFonts w:eastAsia="Times New Roman"/>
                <w:b/>
                <w:color w:val="000000"/>
                <w:sz w:val="18"/>
                <w:szCs w:val="18"/>
              </w:rPr>
              <w:t>-28,7</w:t>
            </w:r>
          </w:p>
        </w:tc>
        <w:tc>
          <w:tcPr>
            <w:tcW w:w="709" w:type="dxa"/>
            <w:shd w:val="clear" w:color="auto" w:fill="DEEAF6" w:themeFill="accent1" w:themeFillTint="33"/>
            <w:vAlign w:val="center"/>
          </w:tcPr>
          <w:p w14:paraId="6D9F4EA6" w14:textId="77777777" w:rsidR="00D0442A" w:rsidRPr="004E52DA" w:rsidRDefault="00D0442A" w:rsidP="00D0442A">
            <w:pPr>
              <w:spacing w:after="0"/>
              <w:ind w:firstLine="0"/>
              <w:jc w:val="right"/>
              <w:rPr>
                <w:b/>
                <w:color w:val="000000"/>
                <w:sz w:val="18"/>
                <w:szCs w:val="18"/>
              </w:rPr>
            </w:pPr>
            <w:r w:rsidRPr="004E52DA">
              <w:rPr>
                <w:b/>
                <w:color w:val="000000"/>
                <w:sz w:val="18"/>
                <w:szCs w:val="18"/>
              </w:rPr>
              <w:t>0,0</w:t>
            </w:r>
          </w:p>
        </w:tc>
        <w:tc>
          <w:tcPr>
            <w:tcW w:w="992" w:type="dxa"/>
            <w:shd w:val="clear" w:color="auto" w:fill="DEEAF6" w:themeFill="accent1" w:themeFillTint="33"/>
            <w:noWrap/>
            <w:vAlign w:val="center"/>
          </w:tcPr>
          <w:p w14:paraId="13991671" w14:textId="77777777" w:rsidR="00D0442A" w:rsidRPr="004E52DA" w:rsidRDefault="00D0442A" w:rsidP="00D0442A">
            <w:pPr>
              <w:spacing w:after="0"/>
              <w:ind w:firstLine="0"/>
              <w:jc w:val="right"/>
              <w:rPr>
                <w:rFonts w:eastAsia="Times New Roman"/>
                <w:color w:val="000000"/>
                <w:sz w:val="18"/>
                <w:szCs w:val="18"/>
              </w:rPr>
            </w:pPr>
            <w:r w:rsidRPr="004E52DA">
              <w:rPr>
                <w:rFonts w:eastAsia="Times New Roman"/>
                <w:b/>
                <w:color w:val="000000"/>
                <w:sz w:val="18"/>
                <w:szCs w:val="18"/>
              </w:rPr>
              <w:t>35,6</w:t>
            </w:r>
          </w:p>
        </w:tc>
      </w:tr>
      <w:tr w:rsidR="00D0442A" w:rsidRPr="00F42440" w14:paraId="5A778B6C" w14:textId="77777777" w:rsidTr="00D0442A">
        <w:trPr>
          <w:trHeight w:val="196"/>
          <w:jc w:val="center"/>
        </w:trPr>
        <w:tc>
          <w:tcPr>
            <w:tcW w:w="2689" w:type="dxa"/>
            <w:hideMark/>
          </w:tcPr>
          <w:p w14:paraId="2DA6299D" w14:textId="77777777" w:rsidR="00D0442A" w:rsidRPr="00E64FC4" w:rsidRDefault="00D0442A" w:rsidP="00D0442A">
            <w:pPr>
              <w:spacing w:after="0"/>
              <w:ind w:firstLine="0"/>
              <w:rPr>
                <w:rFonts w:eastAsia="Times New Roman"/>
                <w:color w:val="000000"/>
                <w:sz w:val="18"/>
                <w:szCs w:val="18"/>
              </w:rPr>
            </w:pPr>
            <w:r w:rsidRPr="00E64FC4">
              <w:rPr>
                <w:rFonts w:eastAsia="Times New Roman"/>
                <w:color w:val="000000"/>
                <w:sz w:val="18"/>
                <w:szCs w:val="18"/>
              </w:rPr>
              <w:t>Nodokļu samaksas termiņa pagarinājumi</w:t>
            </w:r>
          </w:p>
        </w:tc>
        <w:tc>
          <w:tcPr>
            <w:tcW w:w="850" w:type="dxa"/>
            <w:noWrap/>
            <w:vAlign w:val="center"/>
          </w:tcPr>
          <w:p w14:paraId="5A972F65"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color w:val="000000"/>
                <w:sz w:val="18"/>
                <w:szCs w:val="18"/>
              </w:rPr>
              <w:t>162,0</w:t>
            </w:r>
          </w:p>
        </w:tc>
        <w:tc>
          <w:tcPr>
            <w:tcW w:w="851" w:type="dxa"/>
            <w:vAlign w:val="center"/>
          </w:tcPr>
          <w:p w14:paraId="75021AD7" w14:textId="77777777" w:rsidR="00D0442A" w:rsidRPr="00FB2155" w:rsidRDefault="00D0442A" w:rsidP="00D0442A">
            <w:pPr>
              <w:spacing w:after="0"/>
              <w:ind w:firstLine="0"/>
              <w:jc w:val="right"/>
              <w:rPr>
                <w:rFonts w:eastAsia="Times New Roman"/>
                <w:sz w:val="18"/>
                <w:szCs w:val="18"/>
              </w:rPr>
            </w:pPr>
            <w:r w:rsidRPr="00FB2155">
              <w:rPr>
                <w:rFonts w:eastAsia="Times New Roman"/>
                <w:sz w:val="18"/>
                <w:szCs w:val="18"/>
              </w:rPr>
              <w:t>-36,1</w:t>
            </w:r>
          </w:p>
        </w:tc>
        <w:tc>
          <w:tcPr>
            <w:tcW w:w="850" w:type="dxa"/>
            <w:noWrap/>
            <w:vAlign w:val="center"/>
          </w:tcPr>
          <w:p w14:paraId="6CCCB28C" w14:textId="77777777" w:rsidR="00D0442A" w:rsidRPr="00FB2155" w:rsidRDefault="00D0442A" w:rsidP="00D0442A">
            <w:pPr>
              <w:spacing w:after="0"/>
              <w:ind w:firstLine="0"/>
              <w:jc w:val="right"/>
              <w:rPr>
                <w:rFonts w:eastAsia="Times New Roman"/>
                <w:color w:val="000000"/>
                <w:sz w:val="18"/>
                <w:szCs w:val="18"/>
              </w:rPr>
            </w:pPr>
            <w:r w:rsidRPr="00FB2155">
              <w:rPr>
                <w:rFonts w:eastAsia="Times New Roman"/>
                <w:color w:val="000000"/>
                <w:sz w:val="18"/>
                <w:szCs w:val="18"/>
              </w:rPr>
              <w:t>75,0</w:t>
            </w:r>
          </w:p>
        </w:tc>
        <w:tc>
          <w:tcPr>
            <w:tcW w:w="1134" w:type="dxa"/>
            <w:noWrap/>
            <w:vAlign w:val="center"/>
          </w:tcPr>
          <w:p w14:paraId="03EA9C39" w14:textId="77777777" w:rsidR="00D0442A" w:rsidRPr="00FB2155" w:rsidRDefault="00D0442A" w:rsidP="00D0442A">
            <w:pPr>
              <w:spacing w:after="0"/>
              <w:ind w:firstLine="0"/>
              <w:jc w:val="right"/>
              <w:rPr>
                <w:rFonts w:eastAsia="Times New Roman"/>
                <w:sz w:val="18"/>
                <w:szCs w:val="18"/>
              </w:rPr>
            </w:pPr>
            <w:r w:rsidRPr="00FB2155">
              <w:rPr>
                <w:rFonts w:eastAsia="Times New Roman"/>
                <w:sz w:val="18"/>
                <w:szCs w:val="18"/>
              </w:rPr>
              <w:t>62,4</w:t>
            </w:r>
          </w:p>
        </w:tc>
        <w:tc>
          <w:tcPr>
            <w:tcW w:w="992" w:type="dxa"/>
            <w:vAlign w:val="center"/>
          </w:tcPr>
          <w:p w14:paraId="5A77F7D2" w14:textId="77777777" w:rsidR="00D0442A" w:rsidRPr="00FB2155" w:rsidRDefault="00D0442A" w:rsidP="00D0442A">
            <w:pPr>
              <w:spacing w:after="0"/>
              <w:ind w:firstLine="0"/>
              <w:jc w:val="right"/>
              <w:rPr>
                <w:rFonts w:eastAsia="Times New Roman"/>
                <w:sz w:val="18"/>
                <w:szCs w:val="18"/>
              </w:rPr>
            </w:pPr>
            <w:r w:rsidRPr="00FB2155">
              <w:rPr>
                <w:rFonts w:eastAsia="Times New Roman"/>
                <w:sz w:val="18"/>
                <w:szCs w:val="18"/>
              </w:rPr>
              <w:t>-22,7</w:t>
            </w:r>
          </w:p>
        </w:tc>
        <w:tc>
          <w:tcPr>
            <w:tcW w:w="709" w:type="dxa"/>
            <w:vAlign w:val="center"/>
          </w:tcPr>
          <w:p w14:paraId="476B0735" w14:textId="77777777" w:rsidR="00D0442A" w:rsidRPr="00FB2155" w:rsidRDefault="00D0442A" w:rsidP="00D0442A">
            <w:pPr>
              <w:spacing w:after="0"/>
              <w:ind w:firstLine="0"/>
              <w:jc w:val="right"/>
              <w:rPr>
                <w:sz w:val="18"/>
                <w:szCs w:val="18"/>
              </w:rPr>
            </w:pPr>
            <w:r w:rsidRPr="00FB2155">
              <w:rPr>
                <w:sz w:val="18"/>
                <w:szCs w:val="18"/>
              </w:rPr>
              <w:t>0,0</w:t>
            </w:r>
          </w:p>
        </w:tc>
        <w:tc>
          <w:tcPr>
            <w:tcW w:w="992" w:type="dxa"/>
            <w:vAlign w:val="center"/>
          </w:tcPr>
          <w:p w14:paraId="700066E0" w14:textId="77777777" w:rsidR="00D0442A" w:rsidRPr="00FB2155" w:rsidRDefault="00D0442A" w:rsidP="00D0442A">
            <w:pPr>
              <w:spacing w:after="0"/>
              <w:ind w:firstLine="0"/>
              <w:jc w:val="right"/>
              <w:rPr>
                <w:rFonts w:eastAsia="Times New Roman"/>
                <w:sz w:val="18"/>
                <w:szCs w:val="18"/>
              </w:rPr>
            </w:pPr>
            <w:r w:rsidRPr="00FB2155">
              <w:rPr>
                <w:rFonts w:eastAsia="Times New Roman"/>
                <w:sz w:val="18"/>
                <w:szCs w:val="18"/>
              </w:rPr>
              <w:t>0,6</w:t>
            </w:r>
          </w:p>
        </w:tc>
      </w:tr>
      <w:tr w:rsidR="00D0442A" w:rsidRPr="00F42440" w14:paraId="2D68ED3F" w14:textId="77777777" w:rsidTr="00D0442A">
        <w:trPr>
          <w:trHeight w:val="412"/>
          <w:jc w:val="center"/>
        </w:trPr>
        <w:tc>
          <w:tcPr>
            <w:tcW w:w="2689" w:type="dxa"/>
            <w:shd w:val="clear" w:color="auto" w:fill="DEEAF6" w:themeFill="accent1" w:themeFillTint="33"/>
            <w:noWrap/>
            <w:hideMark/>
          </w:tcPr>
          <w:p w14:paraId="372C8560" w14:textId="77777777" w:rsidR="00D0442A" w:rsidRPr="00E64FC4" w:rsidRDefault="00D0442A" w:rsidP="00D0442A">
            <w:pPr>
              <w:spacing w:after="0"/>
              <w:ind w:firstLine="0"/>
              <w:rPr>
                <w:rFonts w:eastAsia="Times New Roman"/>
                <w:b/>
                <w:bCs/>
                <w:color w:val="000000"/>
                <w:sz w:val="18"/>
                <w:szCs w:val="18"/>
              </w:rPr>
            </w:pPr>
            <w:r w:rsidRPr="00E64FC4">
              <w:rPr>
                <w:rFonts w:eastAsia="Times New Roman"/>
                <w:b/>
                <w:bCs/>
                <w:color w:val="000000"/>
                <w:sz w:val="18"/>
                <w:szCs w:val="18"/>
              </w:rPr>
              <w:t xml:space="preserve">II Atbalsts pabalstu jomā, </w:t>
            </w:r>
          </w:p>
          <w:p w14:paraId="4205973B" w14:textId="77777777" w:rsidR="00D0442A" w:rsidRPr="00E64FC4" w:rsidRDefault="00D0442A" w:rsidP="00D0442A">
            <w:pPr>
              <w:spacing w:after="0"/>
              <w:ind w:firstLine="0"/>
              <w:rPr>
                <w:rFonts w:eastAsia="Times New Roman"/>
                <w:color w:val="000000"/>
                <w:sz w:val="18"/>
                <w:szCs w:val="18"/>
              </w:rPr>
            </w:pPr>
            <w:r w:rsidRPr="00E64FC4">
              <w:rPr>
                <w:rFonts w:eastAsia="Times New Roman"/>
                <w:color w:val="000000"/>
                <w:sz w:val="18"/>
                <w:szCs w:val="18"/>
              </w:rPr>
              <w:t>tai skaitā</w:t>
            </w:r>
          </w:p>
        </w:tc>
        <w:tc>
          <w:tcPr>
            <w:tcW w:w="850" w:type="dxa"/>
            <w:shd w:val="clear" w:color="auto" w:fill="DEEAF6" w:themeFill="accent1" w:themeFillTint="33"/>
            <w:noWrap/>
            <w:vAlign w:val="center"/>
          </w:tcPr>
          <w:p w14:paraId="6B8786BA"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b/>
                <w:color w:val="000000"/>
                <w:sz w:val="18"/>
                <w:szCs w:val="18"/>
              </w:rPr>
              <w:t>129,6</w:t>
            </w:r>
          </w:p>
        </w:tc>
        <w:tc>
          <w:tcPr>
            <w:tcW w:w="851" w:type="dxa"/>
            <w:shd w:val="clear" w:color="auto" w:fill="DEEAF6" w:themeFill="accent1" w:themeFillTint="33"/>
            <w:noWrap/>
            <w:vAlign w:val="center"/>
          </w:tcPr>
          <w:p w14:paraId="494874AC" w14:textId="77777777" w:rsidR="00D0442A" w:rsidRPr="004E52DA" w:rsidRDefault="00D0442A" w:rsidP="00D0442A">
            <w:pPr>
              <w:spacing w:after="0"/>
              <w:ind w:firstLine="0"/>
              <w:jc w:val="right"/>
              <w:rPr>
                <w:rFonts w:eastAsia="Times New Roman"/>
                <w:color w:val="000000"/>
                <w:sz w:val="18"/>
                <w:szCs w:val="18"/>
              </w:rPr>
            </w:pPr>
            <w:r w:rsidRPr="004E52DA">
              <w:rPr>
                <w:rFonts w:eastAsia="Times New Roman"/>
                <w:b/>
                <w:color w:val="000000"/>
                <w:sz w:val="18"/>
                <w:szCs w:val="18"/>
              </w:rPr>
              <w:t>-129,6</w:t>
            </w:r>
          </w:p>
        </w:tc>
        <w:tc>
          <w:tcPr>
            <w:tcW w:w="850" w:type="dxa"/>
            <w:shd w:val="clear" w:color="auto" w:fill="DEEAF6" w:themeFill="accent1" w:themeFillTint="33"/>
            <w:noWrap/>
            <w:vAlign w:val="center"/>
          </w:tcPr>
          <w:p w14:paraId="7BB0C1EC" w14:textId="77777777" w:rsidR="00D0442A" w:rsidRPr="00E64FC4" w:rsidRDefault="00D0442A" w:rsidP="00D0442A">
            <w:pPr>
              <w:spacing w:after="0"/>
              <w:ind w:firstLine="0"/>
              <w:jc w:val="right"/>
              <w:rPr>
                <w:rFonts w:eastAsia="Times New Roman"/>
                <w:color w:val="000000"/>
                <w:sz w:val="18"/>
                <w:szCs w:val="18"/>
                <w:highlight w:val="yellow"/>
              </w:rPr>
            </w:pPr>
            <w:r w:rsidRPr="00337D3A">
              <w:rPr>
                <w:rFonts w:eastAsia="Times New Roman"/>
                <w:b/>
                <w:color w:val="000000"/>
                <w:sz w:val="18"/>
                <w:szCs w:val="18"/>
              </w:rPr>
              <w:t>540,2</w:t>
            </w:r>
          </w:p>
        </w:tc>
        <w:tc>
          <w:tcPr>
            <w:tcW w:w="1134" w:type="dxa"/>
            <w:shd w:val="clear" w:color="auto" w:fill="DEEAF6" w:themeFill="accent1" w:themeFillTint="33"/>
            <w:noWrap/>
            <w:vAlign w:val="center"/>
          </w:tcPr>
          <w:p w14:paraId="470C79F6" w14:textId="77777777" w:rsidR="00D0442A" w:rsidRPr="00E64FC4" w:rsidRDefault="00D0442A" w:rsidP="00D0442A">
            <w:pPr>
              <w:spacing w:after="0"/>
              <w:ind w:firstLine="0"/>
              <w:jc w:val="right"/>
              <w:rPr>
                <w:rFonts w:eastAsia="Times New Roman"/>
                <w:sz w:val="18"/>
                <w:szCs w:val="18"/>
                <w:highlight w:val="yellow"/>
              </w:rPr>
            </w:pPr>
            <w:r w:rsidRPr="00337D3A">
              <w:rPr>
                <w:rFonts w:eastAsia="Times New Roman"/>
                <w:b/>
                <w:color w:val="000000"/>
                <w:sz w:val="18"/>
                <w:szCs w:val="18"/>
              </w:rPr>
              <w:t>506,</w:t>
            </w:r>
            <w:r>
              <w:rPr>
                <w:rFonts w:eastAsia="Times New Roman"/>
                <w:b/>
                <w:color w:val="000000"/>
                <w:sz w:val="18"/>
                <w:szCs w:val="18"/>
              </w:rPr>
              <w:t>5</w:t>
            </w:r>
          </w:p>
        </w:tc>
        <w:tc>
          <w:tcPr>
            <w:tcW w:w="992" w:type="dxa"/>
            <w:shd w:val="clear" w:color="auto" w:fill="DEEAF6" w:themeFill="accent1" w:themeFillTint="33"/>
            <w:noWrap/>
            <w:vAlign w:val="center"/>
          </w:tcPr>
          <w:p w14:paraId="44AFBCB1" w14:textId="77777777" w:rsidR="00D0442A" w:rsidRPr="00E64FC4" w:rsidRDefault="00D0442A" w:rsidP="00D0442A">
            <w:pPr>
              <w:spacing w:after="0"/>
              <w:ind w:firstLine="0"/>
              <w:jc w:val="right"/>
              <w:rPr>
                <w:rFonts w:eastAsia="Times New Roman"/>
                <w:color w:val="000000"/>
                <w:sz w:val="18"/>
                <w:szCs w:val="18"/>
                <w:highlight w:val="yellow"/>
              </w:rPr>
            </w:pPr>
            <w:r w:rsidRPr="00337D3A">
              <w:rPr>
                <w:rFonts w:eastAsia="Times New Roman"/>
                <w:b/>
                <w:color w:val="000000"/>
                <w:sz w:val="18"/>
                <w:szCs w:val="18"/>
              </w:rPr>
              <w:t>-506,</w:t>
            </w:r>
            <w:r>
              <w:rPr>
                <w:rFonts w:eastAsia="Times New Roman"/>
                <w:b/>
                <w:color w:val="000000"/>
                <w:sz w:val="18"/>
                <w:szCs w:val="18"/>
              </w:rPr>
              <w:t>5</w:t>
            </w:r>
          </w:p>
        </w:tc>
        <w:tc>
          <w:tcPr>
            <w:tcW w:w="709" w:type="dxa"/>
            <w:shd w:val="clear" w:color="auto" w:fill="DEEAF6" w:themeFill="accent1" w:themeFillTint="33"/>
            <w:vAlign w:val="center"/>
          </w:tcPr>
          <w:p w14:paraId="24E6A27A" w14:textId="77777777" w:rsidR="00D0442A" w:rsidRPr="00337D3A" w:rsidRDefault="00D0442A" w:rsidP="00D0442A">
            <w:pPr>
              <w:spacing w:after="0"/>
              <w:ind w:firstLine="0"/>
              <w:jc w:val="right"/>
              <w:rPr>
                <w:b/>
                <w:color w:val="000000"/>
                <w:sz w:val="18"/>
                <w:szCs w:val="18"/>
              </w:rPr>
            </w:pPr>
            <w:r w:rsidRPr="00337D3A">
              <w:rPr>
                <w:b/>
                <w:color w:val="000000"/>
                <w:sz w:val="18"/>
                <w:szCs w:val="18"/>
              </w:rPr>
              <w:t>0,0</w:t>
            </w:r>
          </w:p>
        </w:tc>
        <w:tc>
          <w:tcPr>
            <w:tcW w:w="992" w:type="dxa"/>
            <w:shd w:val="clear" w:color="auto" w:fill="DEEAF6" w:themeFill="accent1" w:themeFillTint="33"/>
            <w:noWrap/>
            <w:vAlign w:val="center"/>
          </w:tcPr>
          <w:p w14:paraId="3EF3E36F" w14:textId="77777777" w:rsidR="00D0442A" w:rsidRPr="00337D3A" w:rsidRDefault="00D0442A" w:rsidP="00D0442A">
            <w:pPr>
              <w:spacing w:after="0"/>
              <w:ind w:firstLine="0"/>
              <w:jc w:val="right"/>
              <w:rPr>
                <w:rFonts w:eastAsia="Times New Roman"/>
                <w:color w:val="000000"/>
                <w:sz w:val="18"/>
                <w:szCs w:val="18"/>
              </w:rPr>
            </w:pPr>
            <w:r w:rsidRPr="00337D3A">
              <w:rPr>
                <w:rFonts w:eastAsia="Times New Roman"/>
                <w:b/>
                <w:color w:val="000000"/>
                <w:sz w:val="18"/>
                <w:szCs w:val="18"/>
              </w:rPr>
              <w:t>0,0</w:t>
            </w:r>
          </w:p>
        </w:tc>
      </w:tr>
      <w:tr w:rsidR="00D0442A" w:rsidRPr="00F42440" w14:paraId="4637E6A0" w14:textId="77777777" w:rsidTr="00D0442A">
        <w:trPr>
          <w:trHeight w:val="196"/>
          <w:jc w:val="center"/>
        </w:trPr>
        <w:tc>
          <w:tcPr>
            <w:tcW w:w="2689" w:type="dxa"/>
            <w:noWrap/>
            <w:hideMark/>
          </w:tcPr>
          <w:p w14:paraId="2D624E26" w14:textId="77777777" w:rsidR="00D0442A" w:rsidRPr="00E64FC4" w:rsidRDefault="00D0442A" w:rsidP="00D0442A">
            <w:pPr>
              <w:spacing w:after="0"/>
              <w:ind w:firstLine="0"/>
              <w:rPr>
                <w:rFonts w:eastAsia="Times New Roman"/>
                <w:color w:val="000000"/>
                <w:sz w:val="18"/>
                <w:szCs w:val="18"/>
              </w:rPr>
            </w:pPr>
            <w:r w:rsidRPr="00E64FC4">
              <w:rPr>
                <w:rFonts w:eastAsia="Times New Roman"/>
                <w:color w:val="000000"/>
                <w:sz w:val="18"/>
                <w:szCs w:val="18"/>
              </w:rPr>
              <w:t>Dīkstāves pabalsti</w:t>
            </w:r>
          </w:p>
        </w:tc>
        <w:tc>
          <w:tcPr>
            <w:tcW w:w="850" w:type="dxa"/>
            <w:noWrap/>
            <w:vAlign w:val="center"/>
          </w:tcPr>
          <w:p w14:paraId="2F5CCD7D"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color w:val="000000"/>
                <w:sz w:val="18"/>
                <w:szCs w:val="18"/>
              </w:rPr>
              <w:t>60,5</w:t>
            </w:r>
          </w:p>
        </w:tc>
        <w:tc>
          <w:tcPr>
            <w:tcW w:w="851" w:type="dxa"/>
            <w:vAlign w:val="center"/>
          </w:tcPr>
          <w:p w14:paraId="16440B68" w14:textId="77777777" w:rsidR="00D0442A" w:rsidRPr="004E52DA" w:rsidRDefault="00D0442A" w:rsidP="00D0442A">
            <w:pPr>
              <w:spacing w:after="0"/>
              <w:ind w:firstLine="0"/>
              <w:jc w:val="right"/>
              <w:rPr>
                <w:rFonts w:eastAsia="Times New Roman"/>
                <w:sz w:val="18"/>
                <w:szCs w:val="18"/>
              </w:rPr>
            </w:pPr>
            <w:r w:rsidRPr="004E52DA">
              <w:rPr>
                <w:rFonts w:eastAsia="Times New Roman"/>
                <w:sz w:val="18"/>
                <w:szCs w:val="18"/>
              </w:rPr>
              <w:t>-60,5</w:t>
            </w:r>
          </w:p>
        </w:tc>
        <w:tc>
          <w:tcPr>
            <w:tcW w:w="850" w:type="dxa"/>
            <w:noWrap/>
            <w:vAlign w:val="center"/>
          </w:tcPr>
          <w:p w14:paraId="4B7643D6" w14:textId="77777777" w:rsidR="00D0442A" w:rsidRPr="00337D3A" w:rsidRDefault="00D0442A" w:rsidP="00D0442A">
            <w:pPr>
              <w:spacing w:after="0"/>
              <w:ind w:firstLine="0"/>
              <w:jc w:val="right"/>
              <w:rPr>
                <w:rFonts w:eastAsia="Times New Roman"/>
                <w:color w:val="000000"/>
                <w:sz w:val="18"/>
                <w:szCs w:val="18"/>
              </w:rPr>
            </w:pPr>
            <w:r w:rsidRPr="00337D3A">
              <w:rPr>
                <w:rFonts w:eastAsia="Times New Roman"/>
                <w:color w:val="000000"/>
                <w:sz w:val="18"/>
                <w:szCs w:val="18"/>
              </w:rPr>
              <w:t>97,6</w:t>
            </w:r>
          </w:p>
        </w:tc>
        <w:tc>
          <w:tcPr>
            <w:tcW w:w="1134" w:type="dxa"/>
            <w:noWrap/>
            <w:vAlign w:val="center"/>
          </w:tcPr>
          <w:p w14:paraId="13154548" w14:textId="77777777" w:rsidR="00D0442A" w:rsidRPr="00E64FC4" w:rsidRDefault="00D0442A" w:rsidP="00D0442A">
            <w:pPr>
              <w:spacing w:after="0"/>
              <w:ind w:firstLine="0"/>
              <w:jc w:val="right"/>
              <w:rPr>
                <w:rFonts w:eastAsia="Times New Roman"/>
                <w:sz w:val="18"/>
                <w:szCs w:val="18"/>
                <w:highlight w:val="yellow"/>
              </w:rPr>
            </w:pPr>
            <w:r w:rsidRPr="00D6323B">
              <w:rPr>
                <w:rFonts w:eastAsia="Times New Roman"/>
                <w:sz w:val="18"/>
                <w:szCs w:val="18"/>
              </w:rPr>
              <w:t>135,9</w:t>
            </w:r>
          </w:p>
        </w:tc>
        <w:tc>
          <w:tcPr>
            <w:tcW w:w="992" w:type="dxa"/>
            <w:vAlign w:val="center"/>
          </w:tcPr>
          <w:p w14:paraId="320F9B25" w14:textId="77777777" w:rsidR="00D0442A" w:rsidRPr="00E64FC4" w:rsidRDefault="00D0442A" w:rsidP="00D0442A">
            <w:pPr>
              <w:spacing w:after="0"/>
              <w:ind w:firstLine="0"/>
              <w:jc w:val="right"/>
              <w:rPr>
                <w:rFonts w:eastAsia="Times New Roman"/>
                <w:sz w:val="18"/>
                <w:szCs w:val="18"/>
                <w:highlight w:val="yellow"/>
              </w:rPr>
            </w:pPr>
            <w:r w:rsidRPr="00D6323B">
              <w:rPr>
                <w:rFonts w:eastAsia="Times New Roman"/>
                <w:sz w:val="18"/>
                <w:szCs w:val="18"/>
              </w:rPr>
              <w:t>-135,9</w:t>
            </w:r>
          </w:p>
        </w:tc>
        <w:tc>
          <w:tcPr>
            <w:tcW w:w="709" w:type="dxa"/>
            <w:vAlign w:val="center"/>
          </w:tcPr>
          <w:p w14:paraId="1BBFB8EE" w14:textId="77777777" w:rsidR="00D0442A" w:rsidRPr="00337D3A" w:rsidRDefault="00D0442A" w:rsidP="00D0442A">
            <w:pPr>
              <w:spacing w:after="0"/>
              <w:ind w:firstLine="0"/>
              <w:jc w:val="right"/>
              <w:rPr>
                <w:sz w:val="18"/>
                <w:szCs w:val="18"/>
              </w:rPr>
            </w:pPr>
            <w:r w:rsidRPr="00337D3A">
              <w:rPr>
                <w:sz w:val="18"/>
                <w:szCs w:val="18"/>
              </w:rPr>
              <w:t>0,0</w:t>
            </w:r>
          </w:p>
        </w:tc>
        <w:tc>
          <w:tcPr>
            <w:tcW w:w="992" w:type="dxa"/>
            <w:vAlign w:val="center"/>
          </w:tcPr>
          <w:p w14:paraId="252637D0" w14:textId="77777777" w:rsidR="00D0442A" w:rsidRPr="00337D3A" w:rsidRDefault="00D0442A" w:rsidP="00D0442A">
            <w:pPr>
              <w:spacing w:after="0"/>
              <w:ind w:firstLine="0"/>
              <w:jc w:val="right"/>
              <w:rPr>
                <w:rFonts w:eastAsia="Times New Roman"/>
                <w:sz w:val="18"/>
                <w:szCs w:val="18"/>
              </w:rPr>
            </w:pPr>
            <w:r w:rsidRPr="00337D3A">
              <w:rPr>
                <w:rFonts w:eastAsia="Times New Roman"/>
                <w:sz w:val="18"/>
                <w:szCs w:val="18"/>
              </w:rPr>
              <w:t>0,0</w:t>
            </w:r>
          </w:p>
        </w:tc>
      </w:tr>
      <w:tr w:rsidR="00D0442A" w:rsidRPr="00F42440" w14:paraId="4FA44B93" w14:textId="77777777" w:rsidTr="00D0442A">
        <w:trPr>
          <w:trHeight w:val="196"/>
          <w:jc w:val="center"/>
        </w:trPr>
        <w:tc>
          <w:tcPr>
            <w:tcW w:w="2689" w:type="dxa"/>
            <w:hideMark/>
          </w:tcPr>
          <w:p w14:paraId="69976D93" w14:textId="77777777" w:rsidR="00D0442A" w:rsidRPr="00E64FC4" w:rsidRDefault="00D0442A" w:rsidP="00D0442A">
            <w:pPr>
              <w:spacing w:after="0"/>
              <w:ind w:firstLine="0"/>
              <w:rPr>
                <w:rFonts w:eastAsia="Times New Roman"/>
                <w:sz w:val="18"/>
                <w:szCs w:val="18"/>
              </w:rPr>
            </w:pPr>
            <w:r w:rsidRPr="00E64FC4">
              <w:rPr>
                <w:rFonts w:eastAsia="Times New Roman"/>
                <w:sz w:val="18"/>
                <w:szCs w:val="18"/>
              </w:rPr>
              <w:t>Algu subsīdijas</w:t>
            </w:r>
          </w:p>
        </w:tc>
        <w:tc>
          <w:tcPr>
            <w:tcW w:w="850" w:type="dxa"/>
            <w:noWrap/>
            <w:vAlign w:val="center"/>
          </w:tcPr>
          <w:p w14:paraId="71539E5B"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color w:val="000000"/>
                <w:sz w:val="18"/>
                <w:szCs w:val="18"/>
              </w:rPr>
              <w:t>47,3</w:t>
            </w:r>
          </w:p>
        </w:tc>
        <w:tc>
          <w:tcPr>
            <w:tcW w:w="851" w:type="dxa"/>
            <w:vAlign w:val="center"/>
          </w:tcPr>
          <w:p w14:paraId="2FEEEFDD" w14:textId="77777777" w:rsidR="00D0442A" w:rsidRPr="004E52DA" w:rsidRDefault="00D0442A" w:rsidP="00D0442A">
            <w:pPr>
              <w:spacing w:after="0"/>
              <w:ind w:firstLine="0"/>
              <w:jc w:val="right"/>
              <w:rPr>
                <w:rFonts w:eastAsia="Times New Roman"/>
                <w:color w:val="000000"/>
                <w:sz w:val="18"/>
                <w:szCs w:val="18"/>
              </w:rPr>
            </w:pPr>
            <w:r w:rsidRPr="004E52DA">
              <w:rPr>
                <w:rFonts w:eastAsia="Times New Roman"/>
                <w:color w:val="000000"/>
                <w:sz w:val="18"/>
                <w:szCs w:val="18"/>
              </w:rPr>
              <w:t>-47,3</w:t>
            </w:r>
          </w:p>
        </w:tc>
        <w:tc>
          <w:tcPr>
            <w:tcW w:w="850" w:type="dxa"/>
            <w:noWrap/>
            <w:vAlign w:val="center"/>
          </w:tcPr>
          <w:p w14:paraId="7C74ACDA" w14:textId="77777777" w:rsidR="00D0442A" w:rsidRPr="00337D3A" w:rsidRDefault="00D0442A" w:rsidP="00D0442A">
            <w:pPr>
              <w:spacing w:after="0"/>
              <w:ind w:firstLine="0"/>
              <w:jc w:val="right"/>
              <w:rPr>
                <w:rFonts w:eastAsia="Times New Roman"/>
                <w:color w:val="000000"/>
                <w:sz w:val="18"/>
                <w:szCs w:val="18"/>
              </w:rPr>
            </w:pPr>
            <w:r w:rsidRPr="00337D3A">
              <w:rPr>
                <w:rFonts w:eastAsia="Times New Roman"/>
                <w:color w:val="000000"/>
                <w:sz w:val="18"/>
                <w:szCs w:val="18"/>
              </w:rPr>
              <w:t>75,7</w:t>
            </w:r>
          </w:p>
        </w:tc>
        <w:tc>
          <w:tcPr>
            <w:tcW w:w="1134" w:type="dxa"/>
            <w:noWrap/>
            <w:vAlign w:val="center"/>
          </w:tcPr>
          <w:p w14:paraId="2318108C" w14:textId="77777777" w:rsidR="00D0442A" w:rsidRPr="00E64FC4" w:rsidRDefault="00D0442A" w:rsidP="00D0442A">
            <w:pPr>
              <w:spacing w:after="0"/>
              <w:ind w:firstLine="0"/>
              <w:jc w:val="right"/>
              <w:rPr>
                <w:rFonts w:eastAsia="Times New Roman"/>
                <w:sz w:val="18"/>
                <w:szCs w:val="18"/>
                <w:highlight w:val="yellow"/>
              </w:rPr>
            </w:pPr>
            <w:r w:rsidRPr="00D6323B">
              <w:rPr>
                <w:rFonts w:eastAsia="Times New Roman"/>
                <w:color w:val="000000"/>
                <w:sz w:val="18"/>
                <w:szCs w:val="18"/>
              </w:rPr>
              <w:t>21,0</w:t>
            </w:r>
          </w:p>
        </w:tc>
        <w:tc>
          <w:tcPr>
            <w:tcW w:w="992" w:type="dxa"/>
            <w:vAlign w:val="center"/>
          </w:tcPr>
          <w:p w14:paraId="6D3F8D51" w14:textId="77777777" w:rsidR="00D0442A" w:rsidRPr="00E64FC4" w:rsidRDefault="00D0442A" w:rsidP="00D0442A">
            <w:pPr>
              <w:spacing w:after="0"/>
              <w:ind w:firstLine="0"/>
              <w:jc w:val="right"/>
              <w:rPr>
                <w:rFonts w:eastAsia="Times New Roman"/>
                <w:color w:val="000000"/>
                <w:sz w:val="18"/>
                <w:szCs w:val="18"/>
                <w:highlight w:val="yellow"/>
              </w:rPr>
            </w:pPr>
            <w:r w:rsidRPr="00D6323B">
              <w:rPr>
                <w:rFonts w:eastAsia="Times New Roman"/>
                <w:color w:val="000000"/>
                <w:sz w:val="18"/>
                <w:szCs w:val="18"/>
              </w:rPr>
              <w:t>-21,0</w:t>
            </w:r>
          </w:p>
        </w:tc>
        <w:tc>
          <w:tcPr>
            <w:tcW w:w="709" w:type="dxa"/>
            <w:vAlign w:val="center"/>
          </w:tcPr>
          <w:p w14:paraId="3A1D610D" w14:textId="77777777" w:rsidR="00D0442A" w:rsidRPr="00337D3A" w:rsidRDefault="00D0442A" w:rsidP="00D0442A">
            <w:pPr>
              <w:spacing w:after="0"/>
              <w:ind w:firstLine="0"/>
              <w:jc w:val="right"/>
              <w:rPr>
                <w:color w:val="000000"/>
                <w:sz w:val="18"/>
                <w:szCs w:val="18"/>
              </w:rPr>
            </w:pPr>
            <w:r w:rsidRPr="00337D3A">
              <w:rPr>
                <w:sz w:val="18"/>
                <w:szCs w:val="18"/>
              </w:rPr>
              <w:t>0,0</w:t>
            </w:r>
          </w:p>
        </w:tc>
        <w:tc>
          <w:tcPr>
            <w:tcW w:w="992" w:type="dxa"/>
            <w:vAlign w:val="center"/>
          </w:tcPr>
          <w:p w14:paraId="1420F6AF" w14:textId="77777777" w:rsidR="00D0442A" w:rsidRPr="00337D3A" w:rsidRDefault="00D0442A" w:rsidP="00D0442A">
            <w:pPr>
              <w:spacing w:after="0"/>
              <w:ind w:firstLine="0"/>
              <w:jc w:val="right"/>
              <w:rPr>
                <w:rFonts w:eastAsia="Times New Roman"/>
                <w:color w:val="000000"/>
                <w:sz w:val="18"/>
                <w:szCs w:val="18"/>
              </w:rPr>
            </w:pPr>
            <w:r w:rsidRPr="00337D3A">
              <w:rPr>
                <w:rFonts w:eastAsia="Times New Roman"/>
                <w:color w:val="000000"/>
                <w:sz w:val="18"/>
                <w:szCs w:val="18"/>
              </w:rPr>
              <w:t>0,0</w:t>
            </w:r>
          </w:p>
        </w:tc>
      </w:tr>
      <w:tr w:rsidR="00D0442A" w:rsidRPr="00F42440" w14:paraId="499E8C42" w14:textId="77777777" w:rsidTr="00D0442A">
        <w:trPr>
          <w:trHeight w:val="196"/>
          <w:jc w:val="center"/>
        </w:trPr>
        <w:tc>
          <w:tcPr>
            <w:tcW w:w="2689" w:type="dxa"/>
            <w:hideMark/>
          </w:tcPr>
          <w:p w14:paraId="6CF4227D" w14:textId="77777777" w:rsidR="00D0442A" w:rsidRPr="00E64FC4" w:rsidRDefault="00D0442A" w:rsidP="00D0442A">
            <w:pPr>
              <w:spacing w:after="0"/>
              <w:ind w:firstLine="0"/>
              <w:rPr>
                <w:rFonts w:eastAsia="Times New Roman"/>
                <w:sz w:val="18"/>
                <w:szCs w:val="18"/>
              </w:rPr>
            </w:pPr>
            <w:r w:rsidRPr="00E64FC4">
              <w:rPr>
                <w:rFonts w:eastAsia="Times New Roman"/>
                <w:sz w:val="18"/>
                <w:szCs w:val="18"/>
              </w:rPr>
              <w:t>Slimības palīdzības pabalsts un piemaksa pie tā par bērnu</w:t>
            </w:r>
          </w:p>
        </w:tc>
        <w:tc>
          <w:tcPr>
            <w:tcW w:w="850" w:type="dxa"/>
            <w:noWrap/>
            <w:vAlign w:val="center"/>
          </w:tcPr>
          <w:p w14:paraId="6CDBF850"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color w:val="000000"/>
                <w:sz w:val="18"/>
                <w:szCs w:val="18"/>
              </w:rPr>
              <w:t>0,1</w:t>
            </w:r>
          </w:p>
        </w:tc>
        <w:tc>
          <w:tcPr>
            <w:tcW w:w="851" w:type="dxa"/>
            <w:vAlign w:val="center"/>
          </w:tcPr>
          <w:p w14:paraId="4DD20C46" w14:textId="77777777" w:rsidR="00D0442A" w:rsidRPr="004E52DA" w:rsidRDefault="00D0442A" w:rsidP="00D0442A">
            <w:pPr>
              <w:spacing w:after="0"/>
              <w:ind w:firstLine="0"/>
              <w:jc w:val="right"/>
              <w:rPr>
                <w:rFonts w:eastAsia="Times New Roman"/>
                <w:sz w:val="18"/>
                <w:szCs w:val="18"/>
              </w:rPr>
            </w:pPr>
            <w:r w:rsidRPr="004E52DA">
              <w:rPr>
                <w:rFonts w:eastAsia="Times New Roman"/>
                <w:sz w:val="18"/>
                <w:szCs w:val="18"/>
              </w:rPr>
              <w:t>-0,1</w:t>
            </w:r>
          </w:p>
        </w:tc>
        <w:tc>
          <w:tcPr>
            <w:tcW w:w="850" w:type="dxa"/>
            <w:noWrap/>
            <w:vAlign w:val="center"/>
          </w:tcPr>
          <w:p w14:paraId="0E2DB2F9" w14:textId="77777777" w:rsidR="00D0442A" w:rsidRPr="00337D3A" w:rsidRDefault="00D0442A" w:rsidP="00D0442A">
            <w:pPr>
              <w:spacing w:after="0"/>
              <w:ind w:firstLine="0"/>
              <w:jc w:val="right"/>
              <w:rPr>
                <w:rFonts w:eastAsia="Times New Roman"/>
                <w:color w:val="000000"/>
                <w:sz w:val="18"/>
                <w:szCs w:val="18"/>
              </w:rPr>
            </w:pPr>
            <w:r w:rsidRPr="00337D3A">
              <w:rPr>
                <w:rFonts w:eastAsia="Times New Roman"/>
                <w:color w:val="000000"/>
                <w:sz w:val="18"/>
                <w:szCs w:val="18"/>
              </w:rPr>
              <w:t>14,7</w:t>
            </w:r>
          </w:p>
        </w:tc>
        <w:tc>
          <w:tcPr>
            <w:tcW w:w="1134" w:type="dxa"/>
            <w:noWrap/>
            <w:vAlign w:val="center"/>
          </w:tcPr>
          <w:p w14:paraId="0A37B042" w14:textId="77777777" w:rsidR="00D0442A" w:rsidRPr="00E64FC4" w:rsidRDefault="00D0442A" w:rsidP="00D0442A">
            <w:pPr>
              <w:spacing w:after="0"/>
              <w:ind w:firstLine="0"/>
              <w:jc w:val="right"/>
              <w:rPr>
                <w:rFonts w:eastAsia="Times New Roman"/>
                <w:sz w:val="18"/>
                <w:szCs w:val="18"/>
                <w:highlight w:val="yellow"/>
              </w:rPr>
            </w:pPr>
            <w:r w:rsidRPr="00D6323B">
              <w:rPr>
                <w:rFonts w:eastAsia="Times New Roman"/>
                <w:sz w:val="18"/>
                <w:szCs w:val="18"/>
              </w:rPr>
              <w:t>2,9</w:t>
            </w:r>
          </w:p>
        </w:tc>
        <w:tc>
          <w:tcPr>
            <w:tcW w:w="992" w:type="dxa"/>
            <w:vAlign w:val="center"/>
          </w:tcPr>
          <w:p w14:paraId="1571977D" w14:textId="77777777" w:rsidR="00D0442A" w:rsidRPr="00D6323B" w:rsidRDefault="00D0442A" w:rsidP="00D0442A">
            <w:pPr>
              <w:spacing w:after="0"/>
              <w:ind w:firstLine="0"/>
              <w:jc w:val="right"/>
              <w:rPr>
                <w:rFonts w:eastAsia="Times New Roman"/>
                <w:sz w:val="18"/>
                <w:szCs w:val="18"/>
              </w:rPr>
            </w:pPr>
            <w:r w:rsidRPr="00D6323B">
              <w:rPr>
                <w:rFonts w:eastAsia="Times New Roman"/>
                <w:sz w:val="18"/>
                <w:szCs w:val="18"/>
              </w:rPr>
              <w:t>-2,9</w:t>
            </w:r>
          </w:p>
        </w:tc>
        <w:tc>
          <w:tcPr>
            <w:tcW w:w="709" w:type="dxa"/>
            <w:vAlign w:val="center"/>
          </w:tcPr>
          <w:p w14:paraId="41CD6323" w14:textId="77777777" w:rsidR="00D0442A" w:rsidRPr="00337D3A" w:rsidRDefault="00D0442A" w:rsidP="00D0442A">
            <w:pPr>
              <w:spacing w:after="0"/>
              <w:ind w:firstLine="0"/>
              <w:jc w:val="right"/>
              <w:rPr>
                <w:color w:val="000000"/>
                <w:sz w:val="18"/>
                <w:szCs w:val="18"/>
              </w:rPr>
            </w:pPr>
            <w:r w:rsidRPr="00337D3A">
              <w:rPr>
                <w:sz w:val="18"/>
                <w:szCs w:val="18"/>
              </w:rPr>
              <w:t>0,0</w:t>
            </w:r>
          </w:p>
        </w:tc>
        <w:tc>
          <w:tcPr>
            <w:tcW w:w="992" w:type="dxa"/>
            <w:vAlign w:val="center"/>
          </w:tcPr>
          <w:p w14:paraId="7F610F8D" w14:textId="77777777" w:rsidR="00D0442A" w:rsidRPr="00337D3A" w:rsidRDefault="00D0442A" w:rsidP="00D0442A">
            <w:pPr>
              <w:spacing w:after="0"/>
              <w:ind w:firstLine="0"/>
              <w:jc w:val="right"/>
              <w:rPr>
                <w:rFonts w:eastAsia="Times New Roman"/>
                <w:sz w:val="18"/>
                <w:szCs w:val="18"/>
              </w:rPr>
            </w:pPr>
            <w:r w:rsidRPr="00337D3A">
              <w:rPr>
                <w:rFonts w:eastAsia="Times New Roman"/>
                <w:color w:val="000000"/>
                <w:sz w:val="18"/>
                <w:szCs w:val="18"/>
              </w:rPr>
              <w:t>0,0</w:t>
            </w:r>
          </w:p>
        </w:tc>
      </w:tr>
      <w:tr w:rsidR="00D0442A" w:rsidRPr="00F42440" w14:paraId="2C4041AD" w14:textId="77777777" w:rsidTr="00D0442A">
        <w:trPr>
          <w:trHeight w:val="196"/>
          <w:jc w:val="center"/>
        </w:trPr>
        <w:tc>
          <w:tcPr>
            <w:tcW w:w="2689" w:type="dxa"/>
            <w:hideMark/>
          </w:tcPr>
          <w:p w14:paraId="62779984" w14:textId="77777777" w:rsidR="00D0442A" w:rsidRPr="00E64FC4" w:rsidRDefault="00D0442A" w:rsidP="00D0442A">
            <w:pPr>
              <w:spacing w:after="0"/>
              <w:ind w:firstLine="0"/>
              <w:rPr>
                <w:rFonts w:eastAsia="Times New Roman"/>
                <w:sz w:val="18"/>
                <w:szCs w:val="18"/>
              </w:rPr>
            </w:pPr>
            <w:r w:rsidRPr="00E64FC4">
              <w:rPr>
                <w:rFonts w:eastAsia="Times New Roman"/>
                <w:sz w:val="18"/>
                <w:szCs w:val="18"/>
              </w:rPr>
              <w:t>Bezdarbnieku palīdzības pabalsts</w:t>
            </w:r>
          </w:p>
        </w:tc>
        <w:tc>
          <w:tcPr>
            <w:tcW w:w="850" w:type="dxa"/>
            <w:noWrap/>
            <w:vAlign w:val="center"/>
          </w:tcPr>
          <w:p w14:paraId="2149391E"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color w:val="000000"/>
                <w:sz w:val="18"/>
                <w:szCs w:val="18"/>
              </w:rPr>
              <w:t>5,2</w:t>
            </w:r>
          </w:p>
        </w:tc>
        <w:tc>
          <w:tcPr>
            <w:tcW w:w="851" w:type="dxa"/>
            <w:vAlign w:val="center"/>
          </w:tcPr>
          <w:p w14:paraId="1120F769" w14:textId="77777777" w:rsidR="00D0442A" w:rsidRPr="004E52DA" w:rsidRDefault="00D0442A" w:rsidP="00D0442A">
            <w:pPr>
              <w:spacing w:after="0"/>
              <w:ind w:firstLine="0"/>
              <w:jc w:val="right"/>
              <w:rPr>
                <w:rFonts w:eastAsia="Times New Roman"/>
                <w:sz w:val="18"/>
                <w:szCs w:val="18"/>
              </w:rPr>
            </w:pPr>
            <w:r w:rsidRPr="004E52DA">
              <w:rPr>
                <w:rFonts w:eastAsia="Times New Roman"/>
                <w:sz w:val="18"/>
                <w:szCs w:val="18"/>
              </w:rPr>
              <w:t>-5,2</w:t>
            </w:r>
          </w:p>
        </w:tc>
        <w:tc>
          <w:tcPr>
            <w:tcW w:w="850" w:type="dxa"/>
            <w:noWrap/>
            <w:vAlign w:val="center"/>
          </w:tcPr>
          <w:p w14:paraId="38C043DF" w14:textId="77777777" w:rsidR="00D0442A" w:rsidRPr="00337D3A" w:rsidRDefault="00D0442A" w:rsidP="00D0442A">
            <w:pPr>
              <w:spacing w:after="0"/>
              <w:ind w:firstLine="0"/>
              <w:jc w:val="right"/>
              <w:rPr>
                <w:rFonts w:eastAsia="Times New Roman"/>
                <w:color w:val="000000"/>
                <w:sz w:val="18"/>
                <w:szCs w:val="18"/>
              </w:rPr>
            </w:pPr>
            <w:r w:rsidRPr="00337D3A">
              <w:rPr>
                <w:rFonts w:eastAsia="Times New Roman"/>
                <w:color w:val="000000"/>
                <w:sz w:val="18"/>
                <w:szCs w:val="18"/>
              </w:rPr>
              <w:t>14,8</w:t>
            </w:r>
          </w:p>
        </w:tc>
        <w:tc>
          <w:tcPr>
            <w:tcW w:w="1134" w:type="dxa"/>
            <w:noWrap/>
            <w:vAlign w:val="center"/>
          </w:tcPr>
          <w:p w14:paraId="42F89BDA" w14:textId="77777777" w:rsidR="00D0442A" w:rsidRPr="00E64FC4" w:rsidRDefault="00D0442A" w:rsidP="00D0442A">
            <w:pPr>
              <w:spacing w:after="0"/>
              <w:ind w:firstLine="0"/>
              <w:jc w:val="right"/>
              <w:rPr>
                <w:rFonts w:eastAsia="Times New Roman"/>
                <w:sz w:val="18"/>
                <w:szCs w:val="18"/>
                <w:highlight w:val="yellow"/>
              </w:rPr>
            </w:pPr>
            <w:r w:rsidRPr="00D6323B">
              <w:rPr>
                <w:rFonts w:eastAsia="Times New Roman"/>
                <w:sz w:val="18"/>
                <w:szCs w:val="18"/>
              </w:rPr>
              <w:t>10,8</w:t>
            </w:r>
          </w:p>
        </w:tc>
        <w:tc>
          <w:tcPr>
            <w:tcW w:w="992" w:type="dxa"/>
            <w:vAlign w:val="center"/>
          </w:tcPr>
          <w:p w14:paraId="567FCBDE" w14:textId="77777777" w:rsidR="00D0442A" w:rsidRPr="00D6323B" w:rsidRDefault="00D0442A" w:rsidP="00D0442A">
            <w:pPr>
              <w:spacing w:after="0"/>
              <w:ind w:firstLine="0"/>
              <w:jc w:val="right"/>
              <w:rPr>
                <w:rFonts w:eastAsia="Times New Roman"/>
                <w:sz w:val="18"/>
                <w:szCs w:val="18"/>
              </w:rPr>
            </w:pPr>
            <w:r w:rsidRPr="00D6323B">
              <w:rPr>
                <w:rFonts w:eastAsia="Times New Roman"/>
                <w:sz w:val="18"/>
                <w:szCs w:val="18"/>
              </w:rPr>
              <w:t>-10,8</w:t>
            </w:r>
          </w:p>
        </w:tc>
        <w:tc>
          <w:tcPr>
            <w:tcW w:w="709" w:type="dxa"/>
            <w:vAlign w:val="center"/>
          </w:tcPr>
          <w:p w14:paraId="7FBCDD09" w14:textId="77777777" w:rsidR="00D0442A" w:rsidRPr="00337D3A" w:rsidRDefault="00D0442A" w:rsidP="00D0442A">
            <w:pPr>
              <w:spacing w:after="0"/>
              <w:ind w:firstLine="0"/>
              <w:jc w:val="right"/>
              <w:rPr>
                <w:color w:val="000000"/>
                <w:sz w:val="18"/>
                <w:szCs w:val="18"/>
              </w:rPr>
            </w:pPr>
            <w:r w:rsidRPr="00337D3A">
              <w:rPr>
                <w:sz w:val="18"/>
                <w:szCs w:val="18"/>
              </w:rPr>
              <w:t>0,0</w:t>
            </w:r>
          </w:p>
        </w:tc>
        <w:tc>
          <w:tcPr>
            <w:tcW w:w="992" w:type="dxa"/>
            <w:vAlign w:val="center"/>
          </w:tcPr>
          <w:p w14:paraId="0B7896DD" w14:textId="77777777" w:rsidR="00D0442A" w:rsidRPr="00337D3A" w:rsidRDefault="00D0442A" w:rsidP="00D0442A">
            <w:pPr>
              <w:spacing w:after="0"/>
              <w:ind w:firstLine="0"/>
              <w:jc w:val="right"/>
              <w:rPr>
                <w:rFonts w:eastAsia="Times New Roman"/>
                <w:sz w:val="18"/>
                <w:szCs w:val="18"/>
              </w:rPr>
            </w:pPr>
            <w:r w:rsidRPr="00337D3A">
              <w:rPr>
                <w:rFonts w:eastAsia="Times New Roman"/>
                <w:color w:val="000000"/>
                <w:sz w:val="18"/>
                <w:szCs w:val="18"/>
              </w:rPr>
              <w:t>0,0</w:t>
            </w:r>
          </w:p>
        </w:tc>
      </w:tr>
      <w:tr w:rsidR="00D0442A" w:rsidRPr="00F42440" w14:paraId="4E17E583" w14:textId="77777777" w:rsidTr="00D0442A">
        <w:trPr>
          <w:trHeight w:val="196"/>
          <w:jc w:val="center"/>
        </w:trPr>
        <w:tc>
          <w:tcPr>
            <w:tcW w:w="2689" w:type="dxa"/>
            <w:hideMark/>
          </w:tcPr>
          <w:p w14:paraId="382455D3" w14:textId="77777777" w:rsidR="00D0442A" w:rsidRPr="00E64FC4" w:rsidRDefault="00D0442A" w:rsidP="00D0442A">
            <w:pPr>
              <w:spacing w:after="0"/>
              <w:ind w:firstLine="0"/>
              <w:rPr>
                <w:rFonts w:eastAsia="Times New Roman"/>
                <w:sz w:val="18"/>
                <w:szCs w:val="18"/>
              </w:rPr>
            </w:pPr>
            <w:r w:rsidRPr="00E64FC4">
              <w:rPr>
                <w:rFonts w:eastAsia="Times New Roman"/>
                <w:sz w:val="18"/>
                <w:szCs w:val="18"/>
              </w:rPr>
              <w:t>Slimības pabalsts 1.-10.diena no valsts budžeta dēļ Covid-19</w:t>
            </w:r>
          </w:p>
        </w:tc>
        <w:tc>
          <w:tcPr>
            <w:tcW w:w="850" w:type="dxa"/>
            <w:noWrap/>
            <w:vAlign w:val="center"/>
          </w:tcPr>
          <w:p w14:paraId="64FD6088"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color w:val="000000"/>
                <w:sz w:val="18"/>
                <w:szCs w:val="18"/>
              </w:rPr>
              <w:t>2,9</w:t>
            </w:r>
          </w:p>
        </w:tc>
        <w:tc>
          <w:tcPr>
            <w:tcW w:w="851" w:type="dxa"/>
            <w:vAlign w:val="center"/>
          </w:tcPr>
          <w:p w14:paraId="676D3C49" w14:textId="77777777" w:rsidR="00D0442A" w:rsidRPr="004E52DA" w:rsidRDefault="00D0442A" w:rsidP="00D0442A">
            <w:pPr>
              <w:spacing w:after="0"/>
              <w:ind w:firstLine="0"/>
              <w:jc w:val="right"/>
              <w:rPr>
                <w:rFonts w:eastAsia="Times New Roman"/>
                <w:sz w:val="18"/>
                <w:szCs w:val="18"/>
              </w:rPr>
            </w:pPr>
            <w:r w:rsidRPr="004E52DA">
              <w:rPr>
                <w:rFonts w:eastAsia="Times New Roman"/>
                <w:sz w:val="18"/>
                <w:szCs w:val="18"/>
              </w:rPr>
              <w:t>-2,9</w:t>
            </w:r>
          </w:p>
        </w:tc>
        <w:tc>
          <w:tcPr>
            <w:tcW w:w="850" w:type="dxa"/>
            <w:vAlign w:val="center"/>
          </w:tcPr>
          <w:p w14:paraId="64AEB886" w14:textId="77777777" w:rsidR="00D0442A" w:rsidRPr="00337D3A" w:rsidRDefault="00D0442A" w:rsidP="00D0442A">
            <w:pPr>
              <w:spacing w:after="0"/>
              <w:ind w:firstLine="0"/>
              <w:jc w:val="right"/>
              <w:rPr>
                <w:rFonts w:eastAsia="Times New Roman"/>
                <w:color w:val="000000"/>
                <w:sz w:val="18"/>
                <w:szCs w:val="18"/>
              </w:rPr>
            </w:pPr>
            <w:r w:rsidRPr="00337D3A">
              <w:rPr>
                <w:rFonts w:eastAsia="Times New Roman"/>
                <w:color w:val="000000"/>
                <w:sz w:val="18"/>
                <w:szCs w:val="18"/>
              </w:rPr>
              <w:t>32,5</w:t>
            </w:r>
          </w:p>
        </w:tc>
        <w:tc>
          <w:tcPr>
            <w:tcW w:w="1134" w:type="dxa"/>
            <w:noWrap/>
            <w:vAlign w:val="center"/>
          </w:tcPr>
          <w:p w14:paraId="1DE9DE20" w14:textId="77777777" w:rsidR="00D0442A" w:rsidRPr="00E64FC4" w:rsidRDefault="00D0442A" w:rsidP="00D0442A">
            <w:pPr>
              <w:spacing w:after="0"/>
              <w:ind w:firstLine="0"/>
              <w:jc w:val="right"/>
              <w:rPr>
                <w:rFonts w:eastAsia="Times New Roman"/>
                <w:sz w:val="18"/>
                <w:szCs w:val="18"/>
                <w:highlight w:val="yellow"/>
              </w:rPr>
            </w:pPr>
            <w:r w:rsidRPr="00337D3A">
              <w:rPr>
                <w:rFonts w:eastAsia="Times New Roman"/>
                <w:sz w:val="18"/>
                <w:szCs w:val="18"/>
              </w:rPr>
              <w:t>32,5</w:t>
            </w:r>
          </w:p>
        </w:tc>
        <w:tc>
          <w:tcPr>
            <w:tcW w:w="992" w:type="dxa"/>
            <w:vAlign w:val="center"/>
          </w:tcPr>
          <w:p w14:paraId="2FFB2540" w14:textId="77777777" w:rsidR="00D0442A" w:rsidRPr="00E64FC4" w:rsidRDefault="00D0442A" w:rsidP="00D0442A">
            <w:pPr>
              <w:spacing w:after="0"/>
              <w:ind w:firstLine="0"/>
              <w:jc w:val="right"/>
              <w:rPr>
                <w:rFonts w:eastAsia="Times New Roman"/>
                <w:sz w:val="18"/>
                <w:szCs w:val="18"/>
                <w:highlight w:val="yellow"/>
              </w:rPr>
            </w:pPr>
            <w:r w:rsidRPr="00337D3A">
              <w:rPr>
                <w:rFonts w:eastAsia="Times New Roman"/>
                <w:sz w:val="18"/>
                <w:szCs w:val="18"/>
              </w:rPr>
              <w:t>-32,5</w:t>
            </w:r>
          </w:p>
        </w:tc>
        <w:tc>
          <w:tcPr>
            <w:tcW w:w="709" w:type="dxa"/>
            <w:vAlign w:val="center"/>
          </w:tcPr>
          <w:p w14:paraId="50D0E7DC" w14:textId="77777777" w:rsidR="00D0442A" w:rsidRPr="00337D3A" w:rsidRDefault="00D0442A" w:rsidP="00D0442A">
            <w:pPr>
              <w:spacing w:after="0"/>
              <w:ind w:firstLine="0"/>
              <w:jc w:val="right"/>
              <w:rPr>
                <w:color w:val="000000"/>
                <w:sz w:val="18"/>
                <w:szCs w:val="18"/>
              </w:rPr>
            </w:pPr>
            <w:r w:rsidRPr="00337D3A">
              <w:rPr>
                <w:sz w:val="18"/>
                <w:szCs w:val="18"/>
              </w:rPr>
              <w:t>0,0</w:t>
            </w:r>
          </w:p>
        </w:tc>
        <w:tc>
          <w:tcPr>
            <w:tcW w:w="992" w:type="dxa"/>
            <w:vAlign w:val="center"/>
          </w:tcPr>
          <w:p w14:paraId="795BB411" w14:textId="77777777" w:rsidR="00D0442A" w:rsidRPr="00337D3A" w:rsidRDefault="00D0442A" w:rsidP="00D0442A">
            <w:pPr>
              <w:spacing w:after="0"/>
              <w:ind w:firstLine="0"/>
              <w:jc w:val="right"/>
              <w:rPr>
                <w:rFonts w:eastAsia="Times New Roman"/>
                <w:sz w:val="18"/>
                <w:szCs w:val="18"/>
              </w:rPr>
            </w:pPr>
            <w:r w:rsidRPr="00337D3A">
              <w:rPr>
                <w:rFonts w:eastAsia="Times New Roman"/>
                <w:color w:val="000000"/>
                <w:sz w:val="18"/>
                <w:szCs w:val="18"/>
              </w:rPr>
              <w:t>0,0</w:t>
            </w:r>
          </w:p>
        </w:tc>
      </w:tr>
      <w:tr w:rsidR="00D0442A" w:rsidRPr="00F42440" w14:paraId="1DAE46B4" w14:textId="77777777" w:rsidTr="00D0442A">
        <w:trPr>
          <w:trHeight w:val="196"/>
          <w:jc w:val="center"/>
        </w:trPr>
        <w:tc>
          <w:tcPr>
            <w:tcW w:w="2689" w:type="dxa"/>
            <w:hideMark/>
          </w:tcPr>
          <w:p w14:paraId="05CCBDD1" w14:textId="77777777" w:rsidR="00D0442A" w:rsidRPr="00E64FC4" w:rsidRDefault="00D0442A" w:rsidP="00D0442A">
            <w:pPr>
              <w:spacing w:after="0"/>
              <w:ind w:firstLine="0"/>
              <w:rPr>
                <w:rFonts w:eastAsia="Times New Roman"/>
                <w:noProof/>
                <w:sz w:val="18"/>
                <w:szCs w:val="18"/>
              </w:rPr>
            </w:pPr>
            <w:r w:rsidRPr="00E64FC4">
              <w:rPr>
                <w:rFonts w:eastAsia="Times New Roman"/>
                <w:noProof/>
                <w:sz w:val="18"/>
                <w:szCs w:val="18"/>
              </w:rPr>
              <w:t xml:space="preserve">Vienreizējs pabalsts (500 </w:t>
            </w:r>
            <w:r w:rsidRPr="00E64FC4">
              <w:rPr>
                <w:rFonts w:eastAsia="Times New Roman"/>
                <w:i/>
                <w:noProof/>
                <w:sz w:val="18"/>
                <w:szCs w:val="18"/>
              </w:rPr>
              <w:t>euro</w:t>
            </w:r>
            <w:r w:rsidRPr="00E64FC4">
              <w:rPr>
                <w:rFonts w:eastAsia="Times New Roman"/>
                <w:noProof/>
                <w:sz w:val="18"/>
                <w:szCs w:val="18"/>
              </w:rPr>
              <w:t>) ģimenēm par katru bērnu</w:t>
            </w:r>
          </w:p>
        </w:tc>
        <w:tc>
          <w:tcPr>
            <w:tcW w:w="850" w:type="dxa"/>
            <w:noWrap/>
            <w:vAlign w:val="center"/>
          </w:tcPr>
          <w:p w14:paraId="1A9AABA2"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color w:val="000000"/>
                <w:sz w:val="18"/>
                <w:szCs w:val="18"/>
              </w:rPr>
              <w:t>0,0</w:t>
            </w:r>
          </w:p>
        </w:tc>
        <w:tc>
          <w:tcPr>
            <w:tcW w:w="851" w:type="dxa"/>
            <w:vAlign w:val="center"/>
          </w:tcPr>
          <w:p w14:paraId="3AB71BE0" w14:textId="77777777" w:rsidR="00D0442A" w:rsidRPr="004E52DA" w:rsidRDefault="00D0442A" w:rsidP="00D0442A">
            <w:pPr>
              <w:spacing w:after="0"/>
              <w:ind w:firstLine="0"/>
              <w:jc w:val="right"/>
              <w:rPr>
                <w:rFonts w:eastAsia="Times New Roman"/>
                <w:sz w:val="18"/>
                <w:szCs w:val="18"/>
              </w:rPr>
            </w:pPr>
            <w:r w:rsidRPr="004E52DA">
              <w:rPr>
                <w:rFonts w:eastAsia="Times New Roman"/>
                <w:color w:val="000000"/>
                <w:sz w:val="18"/>
                <w:szCs w:val="18"/>
              </w:rPr>
              <w:t>0,0</w:t>
            </w:r>
          </w:p>
        </w:tc>
        <w:tc>
          <w:tcPr>
            <w:tcW w:w="850" w:type="dxa"/>
            <w:noWrap/>
            <w:vAlign w:val="center"/>
          </w:tcPr>
          <w:p w14:paraId="1DB538CB" w14:textId="77777777" w:rsidR="00D0442A" w:rsidRPr="00337D3A" w:rsidRDefault="00D0442A" w:rsidP="00D0442A">
            <w:pPr>
              <w:spacing w:after="0"/>
              <w:ind w:firstLine="0"/>
              <w:jc w:val="right"/>
              <w:rPr>
                <w:rFonts w:eastAsia="Times New Roman"/>
                <w:color w:val="000000"/>
                <w:sz w:val="18"/>
                <w:szCs w:val="18"/>
              </w:rPr>
            </w:pPr>
            <w:r w:rsidRPr="00337D3A">
              <w:rPr>
                <w:rFonts w:eastAsia="Times New Roman"/>
                <w:color w:val="000000"/>
                <w:sz w:val="18"/>
                <w:szCs w:val="18"/>
              </w:rPr>
              <w:t>187,6</w:t>
            </w:r>
          </w:p>
        </w:tc>
        <w:tc>
          <w:tcPr>
            <w:tcW w:w="1134" w:type="dxa"/>
            <w:noWrap/>
            <w:vAlign w:val="center"/>
          </w:tcPr>
          <w:p w14:paraId="4C50841C" w14:textId="77777777" w:rsidR="00D0442A" w:rsidRPr="00E64FC4" w:rsidRDefault="00D0442A" w:rsidP="00D0442A">
            <w:pPr>
              <w:spacing w:after="0"/>
              <w:ind w:firstLine="0"/>
              <w:jc w:val="right"/>
              <w:rPr>
                <w:rFonts w:eastAsia="Times New Roman"/>
                <w:sz w:val="18"/>
                <w:szCs w:val="18"/>
                <w:highlight w:val="yellow"/>
              </w:rPr>
            </w:pPr>
            <w:r w:rsidRPr="00D6323B">
              <w:rPr>
                <w:rFonts w:eastAsia="Times New Roman"/>
                <w:sz w:val="18"/>
                <w:szCs w:val="18"/>
              </w:rPr>
              <w:t>187,9</w:t>
            </w:r>
          </w:p>
        </w:tc>
        <w:tc>
          <w:tcPr>
            <w:tcW w:w="992" w:type="dxa"/>
            <w:vAlign w:val="center"/>
          </w:tcPr>
          <w:p w14:paraId="47E90122" w14:textId="77777777" w:rsidR="00D0442A" w:rsidRPr="00D6323B" w:rsidRDefault="00D0442A" w:rsidP="00D0442A">
            <w:pPr>
              <w:spacing w:after="0"/>
              <w:ind w:firstLine="0"/>
              <w:jc w:val="right"/>
              <w:rPr>
                <w:rFonts w:eastAsia="Times New Roman"/>
                <w:sz w:val="18"/>
                <w:szCs w:val="18"/>
              </w:rPr>
            </w:pPr>
            <w:r w:rsidRPr="00D6323B">
              <w:rPr>
                <w:rFonts w:eastAsia="Times New Roman"/>
                <w:sz w:val="18"/>
                <w:szCs w:val="18"/>
              </w:rPr>
              <w:t>-187,9</w:t>
            </w:r>
          </w:p>
        </w:tc>
        <w:tc>
          <w:tcPr>
            <w:tcW w:w="709" w:type="dxa"/>
            <w:vAlign w:val="center"/>
          </w:tcPr>
          <w:p w14:paraId="50DD62D2" w14:textId="77777777" w:rsidR="00D0442A" w:rsidRPr="00337D3A" w:rsidRDefault="00D0442A" w:rsidP="00D0442A">
            <w:pPr>
              <w:spacing w:after="0"/>
              <w:ind w:firstLine="0"/>
              <w:jc w:val="right"/>
              <w:rPr>
                <w:color w:val="000000"/>
                <w:sz w:val="18"/>
                <w:szCs w:val="18"/>
              </w:rPr>
            </w:pPr>
            <w:r w:rsidRPr="00337D3A">
              <w:rPr>
                <w:sz w:val="18"/>
                <w:szCs w:val="18"/>
              </w:rPr>
              <w:t>0,0</w:t>
            </w:r>
          </w:p>
        </w:tc>
        <w:tc>
          <w:tcPr>
            <w:tcW w:w="992" w:type="dxa"/>
            <w:vAlign w:val="center"/>
          </w:tcPr>
          <w:p w14:paraId="5824FA97" w14:textId="77777777" w:rsidR="00D0442A" w:rsidRPr="00337D3A" w:rsidRDefault="00D0442A" w:rsidP="00D0442A">
            <w:pPr>
              <w:spacing w:after="0"/>
              <w:ind w:firstLine="0"/>
              <w:jc w:val="right"/>
              <w:rPr>
                <w:rFonts w:eastAsia="Times New Roman"/>
                <w:sz w:val="18"/>
                <w:szCs w:val="18"/>
              </w:rPr>
            </w:pPr>
            <w:r w:rsidRPr="00337D3A">
              <w:rPr>
                <w:rFonts w:eastAsia="Times New Roman"/>
                <w:color w:val="000000"/>
                <w:sz w:val="18"/>
                <w:szCs w:val="18"/>
              </w:rPr>
              <w:t>0,0</w:t>
            </w:r>
          </w:p>
        </w:tc>
      </w:tr>
      <w:tr w:rsidR="00D0442A" w:rsidRPr="00F42440" w14:paraId="683991A1" w14:textId="77777777" w:rsidTr="00D0442A">
        <w:trPr>
          <w:trHeight w:val="196"/>
          <w:jc w:val="center"/>
        </w:trPr>
        <w:tc>
          <w:tcPr>
            <w:tcW w:w="2689" w:type="dxa"/>
            <w:hideMark/>
          </w:tcPr>
          <w:p w14:paraId="41DB24AF" w14:textId="77777777" w:rsidR="00D0442A" w:rsidRPr="00E64FC4" w:rsidRDefault="00D0442A" w:rsidP="00D0442A">
            <w:pPr>
              <w:spacing w:after="0"/>
              <w:ind w:firstLine="0"/>
              <w:rPr>
                <w:rFonts w:eastAsia="Times New Roman"/>
                <w:noProof/>
                <w:sz w:val="18"/>
                <w:szCs w:val="18"/>
              </w:rPr>
            </w:pPr>
            <w:r w:rsidRPr="00E64FC4">
              <w:rPr>
                <w:rFonts w:eastAsia="Times New Roman"/>
                <w:noProof/>
                <w:sz w:val="18"/>
                <w:szCs w:val="18"/>
              </w:rPr>
              <w:t xml:space="preserve">Vienreizējs pabalsts (200 </w:t>
            </w:r>
            <w:r w:rsidRPr="00E64FC4">
              <w:rPr>
                <w:rFonts w:eastAsia="Times New Roman"/>
                <w:i/>
                <w:noProof/>
                <w:sz w:val="18"/>
                <w:szCs w:val="18"/>
              </w:rPr>
              <w:t>euro</w:t>
            </w:r>
            <w:r w:rsidRPr="00E64FC4">
              <w:rPr>
                <w:rFonts w:eastAsia="Times New Roman"/>
                <w:noProof/>
                <w:sz w:val="18"/>
                <w:szCs w:val="18"/>
              </w:rPr>
              <w:t>) senioriem un invalīdiem</w:t>
            </w:r>
          </w:p>
        </w:tc>
        <w:tc>
          <w:tcPr>
            <w:tcW w:w="850" w:type="dxa"/>
            <w:noWrap/>
            <w:vAlign w:val="center"/>
          </w:tcPr>
          <w:p w14:paraId="0F1B1762"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color w:val="000000"/>
                <w:sz w:val="18"/>
                <w:szCs w:val="18"/>
              </w:rPr>
              <w:t>0,0</w:t>
            </w:r>
          </w:p>
        </w:tc>
        <w:tc>
          <w:tcPr>
            <w:tcW w:w="851" w:type="dxa"/>
            <w:vAlign w:val="center"/>
          </w:tcPr>
          <w:p w14:paraId="1D5CBADC" w14:textId="77777777" w:rsidR="00D0442A" w:rsidRPr="004E52DA" w:rsidRDefault="00D0442A" w:rsidP="00D0442A">
            <w:pPr>
              <w:spacing w:after="0"/>
              <w:ind w:firstLine="0"/>
              <w:jc w:val="right"/>
              <w:rPr>
                <w:rFonts w:eastAsia="Times New Roman"/>
                <w:sz w:val="18"/>
                <w:szCs w:val="18"/>
              </w:rPr>
            </w:pPr>
            <w:r w:rsidRPr="004E52DA">
              <w:rPr>
                <w:rFonts w:eastAsia="Times New Roman"/>
                <w:color w:val="000000"/>
                <w:sz w:val="18"/>
                <w:szCs w:val="18"/>
              </w:rPr>
              <w:t>0,0</w:t>
            </w:r>
          </w:p>
        </w:tc>
        <w:tc>
          <w:tcPr>
            <w:tcW w:w="850" w:type="dxa"/>
            <w:noWrap/>
            <w:vAlign w:val="center"/>
          </w:tcPr>
          <w:p w14:paraId="09793C81" w14:textId="77777777" w:rsidR="00D0442A" w:rsidRPr="00337D3A" w:rsidRDefault="00D0442A" w:rsidP="00D0442A">
            <w:pPr>
              <w:spacing w:after="0"/>
              <w:ind w:firstLine="0"/>
              <w:jc w:val="right"/>
              <w:rPr>
                <w:rFonts w:eastAsia="Times New Roman"/>
                <w:color w:val="000000"/>
                <w:sz w:val="18"/>
                <w:szCs w:val="18"/>
              </w:rPr>
            </w:pPr>
            <w:r w:rsidRPr="00337D3A">
              <w:rPr>
                <w:rFonts w:eastAsia="Times New Roman"/>
                <w:color w:val="000000"/>
                <w:sz w:val="18"/>
                <w:szCs w:val="18"/>
              </w:rPr>
              <w:t>112,5</w:t>
            </w:r>
          </w:p>
        </w:tc>
        <w:tc>
          <w:tcPr>
            <w:tcW w:w="1134" w:type="dxa"/>
            <w:noWrap/>
            <w:vAlign w:val="center"/>
          </w:tcPr>
          <w:p w14:paraId="0B12C548" w14:textId="77777777" w:rsidR="00D0442A" w:rsidRPr="00E64FC4" w:rsidRDefault="00D0442A" w:rsidP="00D0442A">
            <w:pPr>
              <w:spacing w:after="0"/>
              <w:ind w:firstLine="0"/>
              <w:jc w:val="right"/>
              <w:rPr>
                <w:rFonts w:eastAsia="Times New Roman"/>
                <w:sz w:val="18"/>
                <w:szCs w:val="18"/>
                <w:highlight w:val="yellow"/>
              </w:rPr>
            </w:pPr>
            <w:r w:rsidRPr="00D6323B">
              <w:rPr>
                <w:rFonts w:eastAsia="Times New Roman"/>
                <w:sz w:val="18"/>
                <w:szCs w:val="18"/>
              </w:rPr>
              <w:t>109,9</w:t>
            </w:r>
          </w:p>
        </w:tc>
        <w:tc>
          <w:tcPr>
            <w:tcW w:w="992" w:type="dxa"/>
            <w:vAlign w:val="center"/>
          </w:tcPr>
          <w:p w14:paraId="6A271945" w14:textId="77777777" w:rsidR="00D0442A" w:rsidRPr="00D6323B" w:rsidRDefault="00D0442A" w:rsidP="00D0442A">
            <w:pPr>
              <w:spacing w:after="0"/>
              <w:ind w:firstLine="0"/>
              <w:jc w:val="right"/>
              <w:rPr>
                <w:rFonts w:eastAsia="Times New Roman"/>
                <w:sz w:val="18"/>
                <w:szCs w:val="18"/>
              </w:rPr>
            </w:pPr>
            <w:r w:rsidRPr="00D6323B">
              <w:rPr>
                <w:rFonts w:eastAsia="Times New Roman"/>
                <w:sz w:val="18"/>
                <w:szCs w:val="18"/>
              </w:rPr>
              <w:t>-109,9</w:t>
            </w:r>
          </w:p>
        </w:tc>
        <w:tc>
          <w:tcPr>
            <w:tcW w:w="709" w:type="dxa"/>
            <w:vAlign w:val="center"/>
          </w:tcPr>
          <w:p w14:paraId="79015C28" w14:textId="77777777" w:rsidR="00D0442A" w:rsidRPr="00337D3A" w:rsidRDefault="00D0442A" w:rsidP="00D0442A">
            <w:pPr>
              <w:spacing w:after="0"/>
              <w:ind w:firstLine="0"/>
              <w:jc w:val="right"/>
              <w:rPr>
                <w:color w:val="000000"/>
                <w:sz w:val="18"/>
                <w:szCs w:val="18"/>
              </w:rPr>
            </w:pPr>
            <w:r w:rsidRPr="00337D3A">
              <w:rPr>
                <w:sz w:val="18"/>
                <w:szCs w:val="18"/>
              </w:rPr>
              <w:t>0,0</w:t>
            </w:r>
          </w:p>
        </w:tc>
        <w:tc>
          <w:tcPr>
            <w:tcW w:w="992" w:type="dxa"/>
            <w:vAlign w:val="center"/>
          </w:tcPr>
          <w:p w14:paraId="4439608B" w14:textId="77777777" w:rsidR="00D0442A" w:rsidRPr="00337D3A" w:rsidRDefault="00D0442A" w:rsidP="00D0442A">
            <w:pPr>
              <w:spacing w:after="0"/>
              <w:ind w:firstLine="0"/>
              <w:jc w:val="right"/>
              <w:rPr>
                <w:rFonts w:eastAsia="Times New Roman"/>
                <w:sz w:val="18"/>
                <w:szCs w:val="18"/>
              </w:rPr>
            </w:pPr>
            <w:r w:rsidRPr="00337D3A">
              <w:rPr>
                <w:rFonts w:eastAsia="Times New Roman"/>
                <w:color w:val="000000"/>
                <w:sz w:val="18"/>
                <w:szCs w:val="18"/>
              </w:rPr>
              <w:t>0,0</w:t>
            </w:r>
          </w:p>
        </w:tc>
      </w:tr>
      <w:tr w:rsidR="00D0442A" w:rsidRPr="00F42440" w14:paraId="6CB50996" w14:textId="77777777" w:rsidTr="00D0442A">
        <w:trPr>
          <w:trHeight w:val="196"/>
          <w:jc w:val="center"/>
        </w:trPr>
        <w:tc>
          <w:tcPr>
            <w:tcW w:w="2689" w:type="dxa"/>
            <w:shd w:val="clear" w:color="auto" w:fill="DEEAF6" w:themeFill="accent1" w:themeFillTint="33"/>
            <w:noWrap/>
            <w:hideMark/>
          </w:tcPr>
          <w:p w14:paraId="0394C53A" w14:textId="77777777" w:rsidR="00D0442A" w:rsidRPr="00E64FC4" w:rsidRDefault="00D0442A" w:rsidP="00D0442A">
            <w:pPr>
              <w:spacing w:after="0"/>
              <w:ind w:firstLine="0"/>
              <w:rPr>
                <w:rFonts w:eastAsia="Times New Roman"/>
                <w:b/>
                <w:bCs/>
                <w:color w:val="000000"/>
                <w:sz w:val="18"/>
                <w:szCs w:val="18"/>
              </w:rPr>
            </w:pPr>
            <w:r w:rsidRPr="00E64FC4">
              <w:rPr>
                <w:rFonts w:eastAsia="Times New Roman"/>
                <w:b/>
                <w:bCs/>
                <w:color w:val="000000"/>
                <w:sz w:val="18"/>
                <w:szCs w:val="18"/>
              </w:rPr>
              <w:t>III Atbalsts aizdevumu un garantiju jomā</w:t>
            </w:r>
          </w:p>
        </w:tc>
        <w:tc>
          <w:tcPr>
            <w:tcW w:w="850" w:type="dxa"/>
            <w:shd w:val="clear" w:color="auto" w:fill="DEEAF6" w:themeFill="accent1" w:themeFillTint="33"/>
            <w:noWrap/>
            <w:vAlign w:val="center"/>
          </w:tcPr>
          <w:p w14:paraId="7D5EFF95"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b/>
                <w:color w:val="000000"/>
                <w:sz w:val="18"/>
                <w:szCs w:val="18"/>
              </w:rPr>
              <w:t>240,7</w:t>
            </w:r>
          </w:p>
        </w:tc>
        <w:tc>
          <w:tcPr>
            <w:tcW w:w="851" w:type="dxa"/>
            <w:shd w:val="clear" w:color="auto" w:fill="DEEAF6" w:themeFill="accent1" w:themeFillTint="33"/>
            <w:noWrap/>
            <w:vAlign w:val="center"/>
          </w:tcPr>
          <w:p w14:paraId="407FFC34" w14:textId="77777777" w:rsidR="00D0442A" w:rsidRPr="004E52DA" w:rsidRDefault="00D0442A" w:rsidP="00D0442A">
            <w:pPr>
              <w:spacing w:after="0"/>
              <w:ind w:firstLine="0"/>
              <w:jc w:val="right"/>
              <w:rPr>
                <w:rFonts w:eastAsia="Times New Roman"/>
                <w:color w:val="000000"/>
                <w:sz w:val="18"/>
                <w:szCs w:val="18"/>
              </w:rPr>
            </w:pPr>
            <w:r w:rsidRPr="004E52DA">
              <w:rPr>
                <w:rFonts w:eastAsia="Times New Roman"/>
                <w:b/>
                <w:color w:val="000000"/>
                <w:sz w:val="18"/>
                <w:szCs w:val="18"/>
              </w:rPr>
              <w:t>-81,8</w:t>
            </w:r>
          </w:p>
        </w:tc>
        <w:tc>
          <w:tcPr>
            <w:tcW w:w="850" w:type="dxa"/>
            <w:shd w:val="clear" w:color="auto" w:fill="DEEAF6" w:themeFill="accent1" w:themeFillTint="33"/>
            <w:noWrap/>
            <w:vAlign w:val="center"/>
          </w:tcPr>
          <w:p w14:paraId="08FB2126" w14:textId="77777777" w:rsidR="00D0442A" w:rsidRPr="00337D3A" w:rsidRDefault="00D0442A" w:rsidP="00D0442A">
            <w:pPr>
              <w:spacing w:after="0"/>
              <w:ind w:firstLine="0"/>
              <w:jc w:val="right"/>
              <w:rPr>
                <w:rFonts w:eastAsia="Times New Roman"/>
                <w:color w:val="000000"/>
                <w:sz w:val="18"/>
                <w:szCs w:val="18"/>
              </w:rPr>
            </w:pPr>
            <w:r w:rsidRPr="00337D3A">
              <w:rPr>
                <w:rFonts w:eastAsia="Times New Roman"/>
                <w:b/>
                <w:color w:val="000000"/>
                <w:sz w:val="18"/>
                <w:szCs w:val="18"/>
              </w:rPr>
              <w:t>683,0</w:t>
            </w:r>
          </w:p>
        </w:tc>
        <w:tc>
          <w:tcPr>
            <w:tcW w:w="1134" w:type="dxa"/>
            <w:shd w:val="clear" w:color="auto" w:fill="DEEAF6" w:themeFill="accent1" w:themeFillTint="33"/>
            <w:noWrap/>
            <w:vAlign w:val="center"/>
          </w:tcPr>
          <w:p w14:paraId="25336282" w14:textId="77777777" w:rsidR="00D0442A" w:rsidRPr="00726E18" w:rsidRDefault="00D0442A" w:rsidP="00D0442A">
            <w:pPr>
              <w:spacing w:after="0"/>
              <w:ind w:firstLine="0"/>
              <w:jc w:val="right"/>
              <w:rPr>
                <w:rFonts w:eastAsia="Times New Roman"/>
                <w:sz w:val="18"/>
                <w:szCs w:val="18"/>
              </w:rPr>
            </w:pPr>
            <w:r w:rsidRPr="00726E18">
              <w:rPr>
                <w:rFonts w:eastAsia="Times New Roman"/>
                <w:b/>
                <w:sz w:val="18"/>
                <w:szCs w:val="18"/>
              </w:rPr>
              <w:t>91,1</w:t>
            </w:r>
          </w:p>
        </w:tc>
        <w:tc>
          <w:tcPr>
            <w:tcW w:w="992" w:type="dxa"/>
            <w:shd w:val="clear" w:color="auto" w:fill="DEEAF6" w:themeFill="accent1" w:themeFillTint="33"/>
            <w:noWrap/>
            <w:vAlign w:val="center"/>
          </w:tcPr>
          <w:p w14:paraId="3F56D571" w14:textId="77777777" w:rsidR="00D0442A" w:rsidRPr="00726E18" w:rsidRDefault="00D0442A" w:rsidP="00D0442A">
            <w:pPr>
              <w:spacing w:after="0"/>
              <w:ind w:firstLine="0"/>
              <w:jc w:val="right"/>
              <w:rPr>
                <w:rFonts w:eastAsia="Times New Roman"/>
                <w:color w:val="000000"/>
                <w:sz w:val="18"/>
                <w:szCs w:val="18"/>
              </w:rPr>
            </w:pPr>
            <w:r w:rsidRPr="00726E18">
              <w:rPr>
                <w:rFonts w:eastAsia="Times New Roman"/>
                <w:b/>
                <w:color w:val="000000"/>
                <w:sz w:val="18"/>
                <w:szCs w:val="18"/>
              </w:rPr>
              <w:t>-111,9</w:t>
            </w:r>
          </w:p>
        </w:tc>
        <w:tc>
          <w:tcPr>
            <w:tcW w:w="709" w:type="dxa"/>
            <w:shd w:val="clear" w:color="auto" w:fill="DEEAF6" w:themeFill="accent1" w:themeFillTint="33"/>
            <w:vAlign w:val="center"/>
          </w:tcPr>
          <w:p w14:paraId="01471D15" w14:textId="77777777" w:rsidR="00D0442A" w:rsidRPr="003B7BA1" w:rsidRDefault="00D0442A" w:rsidP="00D0442A">
            <w:pPr>
              <w:spacing w:after="0"/>
              <w:ind w:firstLine="0"/>
              <w:jc w:val="right"/>
              <w:rPr>
                <w:b/>
                <w:color w:val="000000"/>
                <w:sz w:val="18"/>
                <w:szCs w:val="18"/>
              </w:rPr>
            </w:pPr>
            <w:r w:rsidRPr="003B7BA1">
              <w:rPr>
                <w:b/>
                <w:color w:val="000000"/>
                <w:sz w:val="18"/>
                <w:szCs w:val="18"/>
              </w:rPr>
              <w:t>69,8</w:t>
            </w:r>
          </w:p>
        </w:tc>
        <w:tc>
          <w:tcPr>
            <w:tcW w:w="992" w:type="dxa"/>
            <w:shd w:val="clear" w:color="auto" w:fill="DEEAF6" w:themeFill="accent1" w:themeFillTint="33"/>
            <w:noWrap/>
            <w:vAlign w:val="center"/>
          </w:tcPr>
          <w:p w14:paraId="2033579E" w14:textId="77777777" w:rsidR="00D0442A" w:rsidRPr="003B7BA1" w:rsidRDefault="00D0442A" w:rsidP="00D0442A">
            <w:pPr>
              <w:spacing w:after="0"/>
              <w:ind w:firstLine="0"/>
              <w:jc w:val="right"/>
              <w:rPr>
                <w:rFonts w:eastAsia="Times New Roman"/>
                <w:color w:val="000000"/>
                <w:sz w:val="18"/>
                <w:szCs w:val="18"/>
              </w:rPr>
            </w:pPr>
            <w:r w:rsidRPr="003B7BA1">
              <w:rPr>
                <w:rFonts w:eastAsia="Times New Roman"/>
                <w:b/>
                <w:color w:val="000000"/>
                <w:sz w:val="18"/>
                <w:szCs w:val="18"/>
              </w:rPr>
              <w:t>-28,8</w:t>
            </w:r>
          </w:p>
        </w:tc>
      </w:tr>
      <w:tr w:rsidR="00D0442A" w:rsidRPr="00F42440" w14:paraId="0B30A3D6" w14:textId="77777777" w:rsidTr="00D0442A">
        <w:trPr>
          <w:trHeight w:val="196"/>
          <w:jc w:val="center"/>
        </w:trPr>
        <w:tc>
          <w:tcPr>
            <w:tcW w:w="2689" w:type="dxa"/>
            <w:shd w:val="clear" w:color="auto" w:fill="DEEAF6" w:themeFill="accent1" w:themeFillTint="33"/>
            <w:noWrap/>
            <w:hideMark/>
          </w:tcPr>
          <w:p w14:paraId="783DA5E1" w14:textId="77777777" w:rsidR="00D0442A" w:rsidRPr="00E64FC4" w:rsidRDefault="00D0442A" w:rsidP="00D0442A">
            <w:pPr>
              <w:spacing w:after="0"/>
              <w:ind w:firstLine="0"/>
              <w:rPr>
                <w:rFonts w:eastAsia="Times New Roman"/>
                <w:b/>
                <w:bCs/>
                <w:color w:val="000000"/>
                <w:sz w:val="18"/>
                <w:szCs w:val="18"/>
              </w:rPr>
            </w:pPr>
            <w:r w:rsidRPr="00E64FC4">
              <w:rPr>
                <w:rFonts w:eastAsia="Times New Roman"/>
                <w:b/>
                <w:bCs/>
                <w:color w:val="000000"/>
                <w:sz w:val="18"/>
                <w:szCs w:val="18"/>
              </w:rPr>
              <w:t xml:space="preserve">IV Atbalsts nozarēm, </w:t>
            </w:r>
            <w:r w:rsidRPr="00E64FC4">
              <w:rPr>
                <w:rFonts w:eastAsia="Times New Roman"/>
                <w:color w:val="000000"/>
                <w:sz w:val="18"/>
                <w:szCs w:val="18"/>
              </w:rPr>
              <w:t>tai skaitā</w:t>
            </w:r>
          </w:p>
        </w:tc>
        <w:tc>
          <w:tcPr>
            <w:tcW w:w="850" w:type="dxa"/>
            <w:shd w:val="clear" w:color="auto" w:fill="DEEAF6" w:themeFill="accent1" w:themeFillTint="33"/>
            <w:noWrap/>
            <w:vAlign w:val="center"/>
          </w:tcPr>
          <w:p w14:paraId="70119E00"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b/>
                <w:color w:val="000000"/>
                <w:sz w:val="18"/>
                <w:szCs w:val="18"/>
              </w:rPr>
              <w:t>631,8</w:t>
            </w:r>
          </w:p>
        </w:tc>
        <w:tc>
          <w:tcPr>
            <w:tcW w:w="851" w:type="dxa"/>
            <w:shd w:val="clear" w:color="auto" w:fill="DEEAF6" w:themeFill="accent1" w:themeFillTint="33"/>
            <w:noWrap/>
            <w:vAlign w:val="center"/>
          </w:tcPr>
          <w:p w14:paraId="6EE74A2D" w14:textId="77777777" w:rsidR="00D0442A" w:rsidRPr="00492668" w:rsidRDefault="00D0442A" w:rsidP="00D0442A">
            <w:pPr>
              <w:spacing w:after="0"/>
              <w:ind w:firstLine="0"/>
              <w:jc w:val="right"/>
              <w:rPr>
                <w:rFonts w:eastAsia="Times New Roman"/>
                <w:color w:val="000000"/>
                <w:sz w:val="18"/>
                <w:szCs w:val="18"/>
              </w:rPr>
            </w:pPr>
            <w:r w:rsidRPr="00492668">
              <w:rPr>
                <w:rFonts w:eastAsia="Times New Roman"/>
                <w:b/>
                <w:color w:val="000000"/>
                <w:sz w:val="18"/>
                <w:szCs w:val="18"/>
              </w:rPr>
              <w:t>-622,3</w:t>
            </w:r>
          </w:p>
        </w:tc>
        <w:tc>
          <w:tcPr>
            <w:tcW w:w="850" w:type="dxa"/>
            <w:shd w:val="clear" w:color="auto" w:fill="DEEAF6" w:themeFill="accent1" w:themeFillTint="33"/>
            <w:noWrap/>
            <w:vAlign w:val="center"/>
          </w:tcPr>
          <w:p w14:paraId="3A159B02" w14:textId="77777777" w:rsidR="00D0442A" w:rsidRPr="00492668" w:rsidRDefault="00D0442A" w:rsidP="00D0442A">
            <w:pPr>
              <w:spacing w:after="0"/>
              <w:ind w:firstLine="0"/>
              <w:jc w:val="right"/>
              <w:rPr>
                <w:rFonts w:eastAsia="Times New Roman"/>
                <w:color w:val="000000"/>
                <w:sz w:val="18"/>
                <w:szCs w:val="18"/>
              </w:rPr>
            </w:pPr>
            <w:r w:rsidRPr="00492668">
              <w:rPr>
                <w:rFonts w:eastAsia="Times New Roman"/>
                <w:b/>
                <w:color w:val="000000"/>
                <w:sz w:val="18"/>
                <w:szCs w:val="18"/>
              </w:rPr>
              <w:t>1 825,7</w:t>
            </w:r>
          </w:p>
        </w:tc>
        <w:tc>
          <w:tcPr>
            <w:tcW w:w="1134" w:type="dxa"/>
            <w:shd w:val="clear" w:color="auto" w:fill="DEEAF6" w:themeFill="accent1" w:themeFillTint="33"/>
            <w:noWrap/>
            <w:vAlign w:val="center"/>
          </w:tcPr>
          <w:p w14:paraId="69E85C8A" w14:textId="77777777" w:rsidR="00D0442A" w:rsidRPr="00492668" w:rsidRDefault="00D0442A" w:rsidP="00D0442A">
            <w:pPr>
              <w:spacing w:after="0"/>
              <w:ind w:firstLine="0"/>
              <w:jc w:val="right"/>
              <w:rPr>
                <w:rFonts w:eastAsia="Times New Roman"/>
                <w:sz w:val="18"/>
                <w:szCs w:val="18"/>
              </w:rPr>
            </w:pPr>
            <w:r w:rsidRPr="00492668">
              <w:rPr>
                <w:rFonts w:eastAsia="Times New Roman"/>
                <w:b/>
                <w:sz w:val="18"/>
                <w:szCs w:val="18"/>
              </w:rPr>
              <w:t>1 064,5</w:t>
            </w:r>
          </w:p>
        </w:tc>
        <w:tc>
          <w:tcPr>
            <w:tcW w:w="992" w:type="dxa"/>
            <w:shd w:val="clear" w:color="auto" w:fill="DEEAF6" w:themeFill="accent1" w:themeFillTint="33"/>
            <w:noWrap/>
            <w:vAlign w:val="center"/>
          </w:tcPr>
          <w:p w14:paraId="1232F88C" w14:textId="77777777" w:rsidR="00D0442A" w:rsidRPr="00492668" w:rsidRDefault="00D0442A" w:rsidP="00D0442A">
            <w:pPr>
              <w:spacing w:after="0"/>
              <w:ind w:firstLine="0"/>
              <w:jc w:val="right"/>
              <w:rPr>
                <w:rFonts w:eastAsia="Times New Roman"/>
                <w:color w:val="000000"/>
                <w:sz w:val="18"/>
                <w:szCs w:val="18"/>
              </w:rPr>
            </w:pPr>
            <w:r w:rsidRPr="00492668">
              <w:rPr>
                <w:rFonts w:eastAsia="Times New Roman"/>
                <w:b/>
                <w:color w:val="000000"/>
                <w:sz w:val="18"/>
                <w:szCs w:val="18"/>
              </w:rPr>
              <w:t>-1 510,9</w:t>
            </w:r>
          </w:p>
        </w:tc>
        <w:tc>
          <w:tcPr>
            <w:tcW w:w="709" w:type="dxa"/>
            <w:shd w:val="clear" w:color="auto" w:fill="DEEAF6" w:themeFill="accent1" w:themeFillTint="33"/>
            <w:vAlign w:val="center"/>
          </w:tcPr>
          <w:p w14:paraId="4875C13D" w14:textId="77777777" w:rsidR="00D0442A" w:rsidRPr="00492668" w:rsidRDefault="00D0442A" w:rsidP="00D0442A">
            <w:pPr>
              <w:spacing w:after="0"/>
              <w:ind w:firstLine="0"/>
              <w:jc w:val="right"/>
              <w:rPr>
                <w:b/>
                <w:color w:val="000000"/>
                <w:sz w:val="18"/>
                <w:szCs w:val="18"/>
              </w:rPr>
            </w:pPr>
            <w:r w:rsidRPr="00492668">
              <w:rPr>
                <w:b/>
                <w:color w:val="000000"/>
                <w:sz w:val="18"/>
                <w:szCs w:val="18"/>
              </w:rPr>
              <w:t>224,0</w:t>
            </w:r>
          </w:p>
        </w:tc>
        <w:tc>
          <w:tcPr>
            <w:tcW w:w="992" w:type="dxa"/>
            <w:shd w:val="clear" w:color="auto" w:fill="DEEAF6" w:themeFill="accent1" w:themeFillTint="33"/>
            <w:noWrap/>
            <w:vAlign w:val="center"/>
          </w:tcPr>
          <w:p w14:paraId="68832BB5" w14:textId="77777777" w:rsidR="00D0442A" w:rsidRPr="00492668" w:rsidRDefault="00D0442A" w:rsidP="00D0442A">
            <w:pPr>
              <w:spacing w:after="0"/>
              <w:ind w:firstLine="0"/>
              <w:jc w:val="right"/>
              <w:rPr>
                <w:rFonts w:eastAsia="Times New Roman"/>
                <w:color w:val="000000"/>
                <w:sz w:val="18"/>
                <w:szCs w:val="18"/>
              </w:rPr>
            </w:pPr>
            <w:r w:rsidRPr="00492668">
              <w:rPr>
                <w:rFonts w:eastAsia="Times New Roman"/>
                <w:b/>
                <w:color w:val="000000"/>
                <w:sz w:val="18"/>
                <w:szCs w:val="18"/>
              </w:rPr>
              <w:t>-263,1</w:t>
            </w:r>
          </w:p>
        </w:tc>
      </w:tr>
      <w:tr w:rsidR="00D0442A" w:rsidRPr="00F42440" w14:paraId="6B916C04" w14:textId="77777777" w:rsidTr="00D0442A">
        <w:trPr>
          <w:trHeight w:val="196"/>
          <w:jc w:val="center"/>
        </w:trPr>
        <w:tc>
          <w:tcPr>
            <w:tcW w:w="2689" w:type="dxa"/>
            <w:noWrap/>
            <w:hideMark/>
          </w:tcPr>
          <w:p w14:paraId="6409FD7D" w14:textId="77777777" w:rsidR="00D0442A" w:rsidRPr="00E64FC4" w:rsidRDefault="00D0442A" w:rsidP="00D0442A">
            <w:pPr>
              <w:spacing w:after="0"/>
              <w:ind w:firstLine="0"/>
              <w:rPr>
                <w:rFonts w:eastAsia="Times New Roman"/>
                <w:color w:val="000000"/>
                <w:sz w:val="18"/>
                <w:szCs w:val="18"/>
              </w:rPr>
            </w:pPr>
            <w:r w:rsidRPr="00E64FC4">
              <w:rPr>
                <w:rFonts w:eastAsia="Times New Roman"/>
                <w:color w:val="000000"/>
                <w:sz w:val="18"/>
                <w:szCs w:val="18"/>
              </w:rPr>
              <w:t>Veselības nozarei</w:t>
            </w:r>
            <w:r w:rsidRPr="00E64FC4">
              <w:rPr>
                <w:rFonts w:eastAsia="Times New Roman"/>
                <w:color w:val="000000"/>
                <w:sz w:val="18"/>
                <w:szCs w:val="18"/>
                <w:vertAlign w:val="superscript"/>
              </w:rPr>
              <w:t xml:space="preserve"> </w:t>
            </w:r>
          </w:p>
        </w:tc>
        <w:tc>
          <w:tcPr>
            <w:tcW w:w="850" w:type="dxa"/>
            <w:noWrap/>
            <w:vAlign w:val="center"/>
          </w:tcPr>
          <w:p w14:paraId="6E4E9FD1"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color w:val="000000"/>
                <w:sz w:val="18"/>
                <w:szCs w:val="18"/>
              </w:rPr>
              <w:t>133,1</w:t>
            </w:r>
          </w:p>
        </w:tc>
        <w:tc>
          <w:tcPr>
            <w:tcW w:w="851" w:type="dxa"/>
            <w:vAlign w:val="center"/>
          </w:tcPr>
          <w:p w14:paraId="5955F4FC" w14:textId="77777777" w:rsidR="00D0442A" w:rsidRPr="00442966" w:rsidRDefault="00D0442A" w:rsidP="00D0442A">
            <w:pPr>
              <w:spacing w:after="0"/>
              <w:ind w:firstLine="0"/>
              <w:jc w:val="right"/>
              <w:rPr>
                <w:rFonts w:eastAsia="Times New Roman"/>
                <w:color w:val="000000"/>
                <w:sz w:val="18"/>
                <w:szCs w:val="18"/>
              </w:rPr>
            </w:pPr>
            <w:r w:rsidRPr="00442966">
              <w:rPr>
                <w:rFonts w:eastAsia="Times New Roman"/>
                <w:color w:val="000000"/>
                <w:sz w:val="18"/>
                <w:szCs w:val="18"/>
              </w:rPr>
              <w:t>-123,6</w:t>
            </w:r>
          </w:p>
        </w:tc>
        <w:tc>
          <w:tcPr>
            <w:tcW w:w="850" w:type="dxa"/>
            <w:noWrap/>
            <w:vAlign w:val="center"/>
          </w:tcPr>
          <w:p w14:paraId="51A43C4A" w14:textId="77777777" w:rsidR="00D0442A" w:rsidRPr="00442966" w:rsidRDefault="00D0442A" w:rsidP="00D0442A">
            <w:pPr>
              <w:spacing w:after="0"/>
              <w:ind w:firstLine="0"/>
              <w:jc w:val="right"/>
              <w:rPr>
                <w:rFonts w:eastAsia="Times New Roman"/>
                <w:color w:val="000000"/>
                <w:sz w:val="18"/>
                <w:szCs w:val="18"/>
              </w:rPr>
            </w:pPr>
            <w:r w:rsidRPr="00442966">
              <w:rPr>
                <w:rFonts w:eastAsia="Times New Roman"/>
                <w:color w:val="000000"/>
                <w:sz w:val="18"/>
                <w:szCs w:val="18"/>
              </w:rPr>
              <w:t>721,1</w:t>
            </w:r>
          </w:p>
        </w:tc>
        <w:tc>
          <w:tcPr>
            <w:tcW w:w="1134" w:type="dxa"/>
            <w:noWrap/>
            <w:vAlign w:val="center"/>
          </w:tcPr>
          <w:p w14:paraId="24A9CD6F" w14:textId="77777777" w:rsidR="00D0442A" w:rsidRPr="00442966" w:rsidRDefault="00D0442A" w:rsidP="00D0442A">
            <w:pPr>
              <w:spacing w:after="0"/>
              <w:ind w:firstLine="0"/>
              <w:jc w:val="right"/>
              <w:rPr>
                <w:rFonts w:eastAsia="Times New Roman"/>
                <w:sz w:val="18"/>
                <w:szCs w:val="18"/>
              </w:rPr>
            </w:pPr>
            <w:r w:rsidRPr="00442966">
              <w:rPr>
                <w:rFonts w:eastAsia="Times New Roman"/>
                <w:sz w:val="18"/>
                <w:szCs w:val="18"/>
              </w:rPr>
              <w:t>308,7</w:t>
            </w:r>
          </w:p>
        </w:tc>
        <w:tc>
          <w:tcPr>
            <w:tcW w:w="992" w:type="dxa"/>
            <w:vAlign w:val="center"/>
          </w:tcPr>
          <w:p w14:paraId="213ADA0B" w14:textId="77777777" w:rsidR="00D0442A" w:rsidRPr="00442966" w:rsidRDefault="00D0442A" w:rsidP="00D0442A">
            <w:pPr>
              <w:spacing w:after="0"/>
              <w:ind w:firstLine="0"/>
              <w:jc w:val="right"/>
              <w:rPr>
                <w:rFonts w:eastAsia="Times New Roman"/>
                <w:color w:val="000000"/>
                <w:sz w:val="18"/>
                <w:szCs w:val="18"/>
              </w:rPr>
            </w:pPr>
            <w:r w:rsidRPr="00442966">
              <w:rPr>
                <w:rFonts w:eastAsia="Times New Roman"/>
                <w:color w:val="000000"/>
                <w:sz w:val="18"/>
                <w:szCs w:val="18"/>
              </w:rPr>
              <w:t>-463,8</w:t>
            </w:r>
          </w:p>
        </w:tc>
        <w:tc>
          <w:tcPr>
            <w:tcW w:w="709" w:type="dxa"/>
            <w:vAlign w:val="center"/>
          </w:tcPr>
          <w:p w14:paraId="69CB8CBE" w14:textId="77777777" w:rsidR="00D0442A" w:rsidRPr="00442966" w:rsidRDefault="00D0442A" w:rsidP="00D0442A">
            <w:pPr>
              <w:spacing w:after="0"/>
              <w:ind w:firstLine="0"/>
              <w:jc w:val="right"/>
              <w:rPr>
                <w:color w:val="000000"/>
                <w:sz w:val="18"/>
                <w:szCs w:val="18"/>
              </w:rPr>
            </w:pPr>
            <w:r w:rsidRPr="00442966">
              <w:rPr>
                <w:color w:val="000000"/>
                <w:sz w:val="18"/>
                <w:szCs w:val="18"/>
              </w:rPr>
              <w:t>131,2</w:t>
            </w:r>
          </w:p>
        </w:tc>
        <w:tc>
          <w:tcPr>
            <w:tcW w:w="992" w:type="dxa"/>
            <w:vAlign w:val="center"/>
          </w:tcPr>
          <w:p w14:paraId="40E3506E" w14:textId="77777777" w:rsidR="00D0442A" w:rsidRPr="00442966" w:rsidRDefault="00D0442A" w:rsidP="00D0442A">
            <w:pPr>
              <w:spacing w:after="0"/>
              <w:ind w:firstLine="0"/>
              <w:jc w:val="right"/>
              <w:rPr>
                <w:rFonts w:eastAsia="Times New Roman"/>
                <w:color w:val="000000"/>
                <w:sz w:val="18"/>
                <w:szCs w:val="18"/>
              </w:rPr>
            </w:pPr>
            <w:r w:rsidRPr="00442966">
              <w:rPr>
                <w:rFonts w:eastAsia="Times New Roman"/>
                <w:color w:val="000000"/>
                <w:sz w:val="18"/>
                <w:szCs w:val="18"/>
              </w:rPr>
              <w:t>-170,3</w:t>
            </w:r>
          </w:p>
        </w:tc>
      </w:tr>
      <w:tr w:rsidR="00D0442A" w:rsidRPr="00F42440" w14:paraId="40BA03EB" w14:textId="77777777" w:rsidTr="00D0442A">
        <w:trPr>
          <w:trHeight w:val="196"/>
          <w:jc w:val="center"/>
        </w:trPr>
        <w:tc>
          <w:tcPr>
            <w:tcW w:w="2689" w:type="dxa"/>
            <w:noWrap/>
            <w:hideMark/>
          </w:tcPr>
          <w:p w14:paraId="44E9D069" w14:textId="77777777" w:rsidR="00D0442A" w:rsidRPr="00E64FC4" w:rsidRDefault="00D0442A" w:rsidP="00D0442A">
            <w:pPr>
              <w:spacing w:after="0"/>
              <w:ind w:firstLine="0"/>
              <w:rPr>
                <w:rFonts w:eastAsia="Times New Roman"/>
                <w:color w:val="000000"/>
                <w:sz w:val="18"/>
                <w:szCs w:val="18"/>
              </w:rPr>
            </w:pPr>
            <w:r w:rsidRPr="00E64FC4">
              <w:rPr>
                <w:rFonts w:eastAsia="Times New Roman"/>
                <w:color w:val="000000"/>
                <w:sz w:val="18"/>
                <w:szCs w:val="18"/>
              </w:rPr>
              <w:t>Satiksmes nozarei (t.sk. avio nozarei un autoceļiem)</w:t>
            </w:r>
          </w:p>
        </w:tc>
        <w:tc>
          <w:tcPr>
            <w:tcW w:w="850" w:type="dxa"/>
            <w:noWrap/>
            <w:vAlign w:val="center"/>
          </w:tcPr>
          <w:p w14:paraId="58ED28D4"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color w:val="000000"/>
                <w:sz w:val="18"/>
                <w:szCs w:val="18"/>
              </w:rPr>
              <w:t>408,4</w:t>
            </w:r>
          </w:p>
        </w:tc>
        <w:tc>
          <w:tcPr>
            <w:tcW w:w="851" w:type="dxa"/>
            <w:vAlign w:val="center"/>
          </w:tcPr>
          <w:p w14:paraId="1D44414F" w14:textId="77777777" w:rsidR="00D0442A" w:rsidRPr="004E52DA" w:rsidRDefault="00D0442A" w:rsidP="00D0442A">
            <w:pPr>
              <w:spacing w:after="0"/>
              <w:ind w:firstLine="0"/>
              <w:jc w:val="right"/>
              <w:rPr>
                <w:rFonts w:eastAsia="Times New Roman"/>
                <w:color w:val="000000"/>
                <w:sz w:val="18"/>
                <w:szCs w:val="18"/>
              </w:rPr>
            </w:pPr>
            <w:r w:rsidRPr="004E52DA">
              <w:rPr>
                <w:rFonts w:eastAsia="Times New Roman"/>
                <w:color w:val="000000"/>
                <w:sz w:val="18"/>
                <w:szCs w:val="18"/>
              </w:rPr>
              <w:t>-408,4</w:t>
            </w:r>
          </w:p>
        </w:tc>
        <w:tc>
          <w:tcPr>
            <w:tcW w:w="850" w:type="dxa"/>
            <w:noWrap/>
            <w:vAlign w:val="center"/>
          </w:tcPr>
          <w:p w14:paraId="5E8A2394" w14:textId="77777777" w:rsidR="00D0442A" w:rsidRPr="00442966" w:rsidRDefault="00D0442A" w:rsidP="00D0442A">
            <w:pPr>
              <w:spacing w:after="0"/>
              <w:ind w:firstLine="0"/>
              <w:jc w:val="right"/>
              <w:rPr>
                <w:rFonts w:eastAsia="Times New Roman"/>
                <w:color w:val="000000"/>
                <w:sz w:val="18"/>
                <w:szCs w:val="18"/>
              </w:rPr>
            </w:pPr>
            <w:r w:rsidRPr="00442966">
              <w:rPr>
                <w:rFonts w:eastAsia="Times New Roman"/>
                <w:color w:val="000000"/>
                <w:sz w:val="18"/>
                <w:szCs w:val="18"/>
              </w:rPr>
              <w:t>293,6</w:t>
            </w:r>
          </w:p>
        </w:tc>
        <w:tc>
          <w:tcPr>
            <w:tcW w:w="1134" w:type="dxa"/>
            <w:noWrap/>
            <w:vAlign w:val="center"/>
          </w:tcPr>
          <w:p w14:paraId="7483C139" w14:textId="77777777" w:rsidR="00D0442A" w:rsidRPr="00442966" w:rsidRDefault="00D0442A" w:rsidP="00D0442A">
            <w:pPr>
              <w:spacing w:after="0"/>
              <w:ind w:firstLine="0"/>
              <w:jc w:val="right"/>
              <w:rPr>
                <w:rFonts w:eastAsia="Times New Roman"/>
                <w:sz w:val="18"/>
                <w:szCs w:val="18"/>
              </w:rPr>
            </w:pPr>
            <w:r w:rsidRPr="00442966">
              <w:rPr>
                <w:rFonts w:eastAsia="Times New Roman"/>
                <w:sz w:val="18"/>
                <w:szCs w:val="18"/>
              </w:rPr>
              <w:t>128,9</w:t>
            </w:r>
          </w:p>
        </w:tc>
        <w:tc>
          <w:tcPr>
            <w:tcW w:w="992" w:type="dxa"/>
            <w:vAlign w:val="center"/>
          </w:tcPr>
          <w:p w14:paraId="7D98AD73" w14:textId="77777777" w:rsidR="00D0442A" w:rsidRPr="00442966" w:rsidRDefault="00D0442A" w:rsidP="00D0442A">
            <w:pPr>
              <w:spacing w:after="0"/>
              <w:ind w:firstLine="0"/>
              <w:jc w:val="right"/>
              <w:rPr>
                <w:rFonts w:eastAsia="Times New Roman"/>
                <w:color w:val="000000"/>
                <w:sz w:val="18"/>
                <w:szCs w:val="18"/>
              </w:rPr>
            </w:pPr>
            <w:r w:rsidRPr="00442966">
              <w:rPr>
                <w:rFonts w:eastAsia="Times New Roman"/>
                <w:color w:val="000000"/>
                <w:sz w:val="18"/>
                <w:szCs w:val="18"/>
              </w:rPr>
              <w:t>-293,6</w:t>
            </w:r>
          </w:p>
        </w:tc>
        <w:tc>
          <w:tcPr>
            <w:tcW w:w="709" w:type="dxa"/>
            <w:vAlign w:val="center"/>
          </w:tcPr>
          <w:p w14:paraId="65431DD2" w14:textId="77777777" w:rsidR="00D0442A" w:rsidRPr="00F71377" w:rsidRDefault="00D0442A" w:rsidP="00D0442A">
            <w:pPr>
              <w:spacing w:after="0"/>
              <w:ind w:firstLine="0"/>
              <w:jc w:val="right"/>
              <w:rPr>
                <w:color w:val="000000"/>
                <w:sz w:val="18"/>
                <w:szCs w:val="18"/>
              </w:rPr>
            </w:pPr>
            <w:r w:rsidRPr="00F71377">
              <w:rPr>
                <w:color w:val="000000"/>
                <w:sz w:val="18"/>
                <w:szCs w:val="18"/>
              </w:rPr>
              <w:t>0,0</w:t>
            </w:r>
          </w:p>
        </w:tc>
        <w:tc>
          <w:tcPr>
            <w:tcW w:w="992" w:type="dxa"/>
            <w:vAlign w:val="center"/>
          </w:tcPr>
          <w:p w14:paraId="5ADBE3AB" w14:textId="77777777" w:rsidR="00D0442A" w:rsidRPr="00F71377" w:rsidRDefault="00D0442A" w:rsidP="00D0442A">
            <w:pPr>
              <w:spacing w:after="0"/>
              <w:ind w:firstLine="0"/>
              <w:jc w:val="right"/>
              <w:rPr>
                <w:rFonts w:eastAsia="Times New Roman"/>
                <w:color w:val="000000"/>
                <w:sz w:val="18"/>
                <w:szCs w:val="18"/>
              </w:rPr>
            </w:pPr>
            <w:r w:rsidRPr="00F71377">
              <w:rPr>
                <w:rFonts w:eastAsia="Times New Roman"/>
                <w:color w:val="000000"/>
                <w:sz w:val="18"/>
                <w:szCs w:val="18"/>
              </w:rPr>
              <w:t>0,0</w:t>
            </w:r>
          </w:p>
        </w:tc>
      </w:tr>
      <w:tr w:rsidR="00D0442A" w:rsidRPr="00F42440" w14:paraId="41AC63FA" w14:textId="77777777" w:rsidTr="00D0442A">
        <w:trPr>
          <w:trHeight w:val="196"/>
          <w:jc w:val="center"/>
        </w:trPr>
        <w:tc>
          <w:tcPr>
            <w:tcW w:w="2689" w:type="dxa"/>
            <w:noWrap/>
            <w:hideMark/>
          </w:tcPr>
          <w:p w14:paraId="3B351E52" w14:textId="77777777" w:rsidR="00D0442A" w:rsidRPr="00E64FC4" w:rsidRDefault="00D0442A" w:rsidP="00D0442A">
            <w:pPr>
              <w:spacing w:after="0"/>
              <w:ind w:firstLine="0"/>
              <w:rPr>
                <w:rFonts w:eastAsia="Times New Roman"/>
                <w:color w:val="000000"/>
                <w:sz w:val="18"/>
                <w:szCs w:val="18"/>
              </w:rPr>
            </w:pPr>
            <w:r w:rsidRPr="00E64FC4">
              <w:rPr>
                <w:rFonts w:eastAsia="Times New Roman"/>
                <w:color w:val="000000"/>
                <w:sz w:val="18"/>
                <w:szCs w:val="18"/>
              </w:rPr>
              <w:t>Granti apgrozāmajiem līdzekļiem</w:t>
            </w:r>
          </w:p>
        </w:tc>
        <w:tc>
          <w:tcPr>
            <w:tcW w:w="850" w:type="dxa"/>
            <w:noWrap/>
            <w:vAlign w:val="center"/>
          </w:tcPr>
          <w:p w14:paraId="7FD9025B"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color w:val="000000"/>
                <w:sz w:val="18"/>
                <w:szCs w:val="18"/>
              </w:rPr>
              <w:t>0,0</w:t>
            </w:r>
          </w:p>
        </w:tc>
        <w:tc>
          <w:tcPr>
            <w:tcW w:w="851" w:type="dxa"/>
            <w:vAlign w:val="center"/>
          </w:tcPr>
          <w:p w14:paraId="433C63B4" w14:textId="77777777" w:rsidR="00D0442A" w:rsidRPr="004E52DA" w:rsidRDefault="00D0442A" w:rsidP="00D0442A">
            <w:pPr>
              <w:spacing w:after="0"/>
              <w:ind w:firstLine="0"/>
              <w:jc w:val="right"/>
              <w:rPr>
                <w:rFonts w:eastAsia="Times New Roman"/>
                <w:sz w:val="18"/>
                <w:szCs w:val="18"/>
              </w:rPr>
            </w:pPr>
            <w:r w:rsidRPr="004E52DA">
              <w:rPr>
                <w:rFonts w:eastAsia="Times New Roman"/>
                <w:color w:val="000000"/>
                <w:sz w:val="18"/>
                <w:szCs w:val="18"/>
              </w:rPr>
              <w:t>0,0</w:t>
            </w:r>
          </w:p>
        </w:tc>
        <w:tc>
          <w:tcPr>
            <w:tcW w:w="850" w:type="dxa"/>
            <w:noWrap/>
            <w:vAlign w:val="center"/>
          </w:tcPr>
          <w:p w14:paraId="7EC9D9F6" w14:textId="77777777" w:rsidR="00D0442A" w:rsidRPr="00442966" w:rsidRDefault="00D0442A" w:rsidP="00D0442A">
            <w:pPr>
              <w:spacing w:after="0"/>
              <w:ind w:firstLine="0"/>
              <w:jc w:val="right"/>
              <w:rPr>
                <w:rFonts w:eastAsia="Times New Roman"/>
                <w:color w:val="000000"/>
                <w:sz w:val="18"/>
                <w:szCs w:val="18"/>
              </w:rPr>
            </w:pPr>
            <w:r w:rsidRPr="00442966">
              <w:rPr>
                <w:rFonts w:eastAsia="Times New Roman"/>
                <w:color w:val="000000"/>
                <w:sz w:val="18"/>
                <w:szCs w:val="18"/>
              </w:rPr>
              <w:t>533,8</w:t>
            </w:r>
          </w:p>
        </w:tc>
        <w:tc>
          <w:tcPr>
            <w:tcW w:w="1134" w:type="dxa"/>
            <w:noWrap/>
            <w:vAlign w:val="center"/>
          </w:tcPr>
          <w:p w14:paraId="20BBAFF3" w14:textId="77777777" w:rsidR="00D0442A" w:rsidRPr="00442966" w:rsidRDefault="00D0442A" w:rsidP="00D0442A">
            <w:pPr>
              <w:spacing w:after="0"/>
              <w:ind w:firstLine="0"/>
              <w:jc w:val="right"/>
              <w:rPr>
                <w:rFonts w:eastAsia="Times New Roman"/>
                <w:sz w:val="18"/>
                <w:szCs w:val="18"/>
              </w:rPr>
            </w:pPr>
            <w:r w:rsidRPr="00442966">
              <w:rPr>
                <w:rFonts w:eastAsia="Times New Roman"/>
                <w:sz w:val="18"/>
                <w:szCs w:val="18"/>
              </w:rPr>
              <w:t>501,4</w:t>
            </w:r>
          </w:p>
        </w:tc>
        <w:tc>
          <w:tcPr>
            <w:tcW w:w="992" w:type="dxa"/>
            <w:vAlign w:val="center"/>
          </w:tcPr>
          <w:p w14:paraId="5B59C13C" w14:textId="77777777" w:rsidR="00D0442A" w:rsidRPr="00442966" w:rsidRDefault="00D0442A" w:rsidP="00D0442A">
            <w:pPr>
              <w:spacing w:after="0"/>
              <w:ind w:firstLine="0"/>
              <w:jc w:val="right"/>
              <w:rPr>
                <w:rFonts w:eastAsia="Times New Roman"/>
                <w:sz w:val="18"/>
                <w:szCs w:val="18"/>
              </w:rPr>
            </w:pPr>
            <w:r w:rsidRPr="00442966">
              <w:rPr>
                <w:rFonts w:eastAsia="Times New Roman"/>
                <w:sz w:val="18"/>
                <w:szCs w:val="18"/>
              </w:rPr>
              <w:t>-501,4</w:t>
            </w:r>
          </w:p>
        </w:tc>
        <w:tc>
          <w:tcPr>
            <w:tcW w:w="709" w:type="dxa"/>
            <w:vAlign w:val="center"/>
          </w:tcPr>
          <w:p w14:paraId="1D571156" w14:textId="77777777" w:rsidR="00D0442A" w:rsidRPr="00F71377" w:rsidRDefault="00D0442A" w:rsidP="00D0442A">
            <w:pPr>
              <w:spacing w:after="0"/>
              <w:ind w:firstLine="0"/>
              <w:jc w:val="right"/>
              <w:rPr>
                <w:sz w:val="18"/>
                <w:szCs w:val="18"/>
              </w:rPr>
            </w:pPr>
            <w:r w:rsidRPr="00F71377">
              <w:rPr>
                <w:sz w:val="18"/>
                <w:szCs w:val="18"/>
              </w:rPr>
              <w:t>0,0</w:t>
            </w:r>
          </w:p>
        </w:tc>
        <w:tc>
          <w:tcPr>
            <w:tcW w:w="992" w:type="dxa"/>
            <w:vAlign w:val="center"/>
          </w:tcPr>
          <w:p w14:paraId="3040D15B" w14:textId="77777777" w:rsidR="00D0442A" w:rsidRPr="00F71377" w:rsidRDefault="00D0442A" w:rsidP="00D0442A">
            <w:pPr>
              <w:spacing w:after="0"/>
              <w:ind w:firstLine="0"/>
              <w:jc w:val="right"/>
              <w:rPr>
                <w:rFonts w:eastAsia="Times New Roman"/>
                <w:sz w:val="18"/>
                <w:szCs w:val="18"/>
              </w:rPr>
            </w:pPr>
            <w:r w:rsidRPr="00F71377">
              <w:rPr>
                <w:rFonts w:eastAsia="Times New Roman"/>
                <w:sz w:val="18"/>
                <w:szCs w:val="18"/>
              </w:rPr>
              <w:t>0,0</w:t>
            </w:r>
          </w:p>
        </w:tc>
      </w:tr>
      <w:tr w:rsidR="00D0442A" w:rsidRPr="00F42440" w14:paraId="3CBF604B" w14:textId="77777777" w:rsidTr="00D0442A">
        <w:trPr>
          <w:trHeight w:val="196"/>
          <w:jc w:val="center"/>
        </w:trPr>
        <w:tc>
          <w:tcPr>
            <w:tcW w:w="2689" w:type="dxa"/>
            <w:hideMark/>
          </w:tcPr>
          <w:p w14:paraId="0D845872" w14:textId="77777777" w:rsidR="00D0442A" w:rsidRPr="00E64FC4" w:rsidRDefault="00D0442A" w:rsidP="00D0442A">
            <w:pPr>
              <w:spacing w:after="0"/>
              <w:ind w:firstLine="0"/>
              <w:rPr>
                <w:rFonts w:eastAsia="Times New Roman"/>
                <w:color w:val="000000"/>
                <w:sz w:val="18"/>
                <w:szCs w:val="18"/>
              </w:rPr>
            </w:pPr>
            <w:r w:rsidRPr="00E64FC4">
              <w:rPr>
                <w:rFonts w:eastAsia="Times New Roman"/>
                <w:color w:val="000000"/>
                <w:sz w:val="18"/>
                <w:szCs w:val="18"/>
              </w:rPr>
              <w:t>Zemkopības nozarei</w:t>
            </w:r>
          </w:p>
        </w:tc>
        <w:tc>
          <w:tcPr>
            <w:tcW w:w="850" w:type="dxa"/>
            <w:noWrap/>
            <w:vAlign w:val="center"/>
          </w:tcPr>
          <w:p w14:paraId="2941D319"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color w:val="000000"/>
                <w:sz w:val="18"/>
                <w:szCs w:val="18"/>
              </w:rPr>
              <w:t>37,5</w:t>
            </w:r>
          </w:p>
        </w:tc>
        <w:tc>
          <w:tcPr>
            <w:tcW w:w="851" w:type="dxa"/>
            <w:vAlign w:val="center"/>
          </w:tcPr>
          <w:p w14:paraId="5D4C3D13" w14:textId="77777777" w:rsidR="00D0442A" w:rsidRPr="004E52DA" w:rsidRDefault="00D0442A" w:rsidP="00D0442A">
            <w:pPr>
              <w:spacing w:after="0"/>
              <w:ind w:firstLine="0"/>
              <w:jc w:val="right"/>
              <w:rPr>
                <w:rFonts w:eastAsia="Times New Roman"/>
                <w:color w:val="000000"/>
                <w:sz w:val="18"/>
                <w:szCs w:val="18"/>
              </w:rPr>
            </w:pPr>
            <w:r w:rsidRPr="004E52DA">
              <w:rPr>
                <w:rFonts w:eastAsia="Times New Roman"/>
                <w:color w:val="000000"/>
                <w:sz w:val="18"/>
                <w:szCs w:val="18"/>
              </w:rPr>
              <w:t>-37,5</w:t>
            </w:r>
          </w:p>
        </w:tc>
        <w:tc>
          <w:tcPr>
            <w:tcW w:w="850" w:type="dxa"/>
            <w:noWrap/>
            <w:vAlign w:val="center"/>
          </w:tcPr>
          <w:p w14:paraId="50CFD752" w14:textId="77777777" w:rsidR="00D0442A" w:rsidRPr="00E74F3C" w:rsidRDefault="00D0442A" w:rsidP="00D0442A">
            <w:pPr>
              <w:spacing w:after="0"/>
              <w:ind w:firstLine="0"/>
              <w:jc w:val="right"/>
              <w:rPr>
                <w:rFonts w:eastAsia="Times New Roman"/>
                <w:color w:val="000000"/>
                <w:sz w:val="18"/>
                <w:szCs w:val="18"/>
              </w:rPr>
            </w:pPr>
            <w:r w:rsidRPr="00E74F3C">
              <w:rPr>
                <w:rFonts w:eastAsia="Times New Roman"/>
                <w:color w:val="000000"/>
                <w:sz w:val="18"/>
                <w:szCs w:val="18"/>
              </w:rPr>
              <w:t>45,5</w:t>
            </w:r>
          </w:p>
        </w:tc>
        <w:tc>
          <w:tcPr>
            <w:tcW w:w="1134" w:type="dxa"/>
            <w:noWrap/>
            <w:vAlign w:val="center"/>
          </w:tcPr>
          <w:p w14:paraId="50844153" w14:textId="77777777" w:rsidR="00D0442A" w:rsidRPr="00E74F3C" w:rsidRDefault="00D0442A" w:rsidP="00D0442A">
            <w:pPr>
              <w:spacing w:after="0"/>
              <w:ind w:firstLine="0"/>
              <w:jc w:val="right"/>
              <w:rPr>
                <w:rFonts w:eastAsia="Times New Roman"/>
                <w:sz w:val="18"/>
                <w:szCs w:val="18"/>
              </w:rPr>
            </w:pPr>
            <w:r w:rsidRPr="00E74F3C">
              <w:rPr>
                <w:rFonts w:eastAsia="Times New Roman"/>
                <w:sz w:val="18"/>
                <w:szCs w:val="18"/>
              </w:rPr>
              <w:t>7,6</w:t>
            </w:r>
          </w:p>
        </w:tc>
        <w:tc>
          <w:tcPr>
            <w:tcW w:w="992" w:type="dxa"/>
            <w:vAlign w:val="center"/>
          </w:tcPr>
          <w:p w14:paraId="7CCAF380" w14:textId="77777777" w:rsidR="00D0442A" w:rsidRPr="00E74F3C" w:rsidRDefault="00D0442A" w:rsidP="00D0442A">
            <w:pPr>
              <w:spacing w:after="0"/>
              <w:ind w:firstLine="0"/>
              <w:jc w:val="right"/>
              <w:rPr>
                <w:rFonts w:eastAsia="Times New Roman"/>
                <w:color w:val="000000"/>
                <w:sz w:val="18"/>
                <w:szCs w:val="18"/>
              </w:rPr>
            </w:pPr>
            <w:r w:rsidRPr="00E74F3C">
              <w:rPr>
                <w:rFonts w:eastAsia="Times New Roman"/>
                <w:color w:val="000000"/>
                <w:sz w:val="18"/>
                <w:szCs w:val="18"/>
              </w:rPr>
              <w:t>-45,5</w:t>
            </w:r>
          </w:p>
        </w:tc>
        <w:tc>
          <w:tcPr>
            <w:tcW w:w="709" w:type="dxa"/>
            <w:vAlign w:val="center"/>
          </w:tcPr>
          <w:p w14:paraId="10EC7A5A" w14:textId="77777777" w:rsidR="00D0442A" w:rsidRPr="00F71377" w:rsidRDefault="00D0442A" w:rsidP="00D0442A">
            <w:pPr>
              <w:spacing w:after="0"/>
              <w:ind w:firstLine="0"/>
              <w:jc w:val="right"/>
              <w:rPr>
                <w:color w:val="000000"/>
                <w:sz w:val="18"/>
                <w:szCs w:val="18"/>
              </w:rPr>
            </w:pPr>
            <w:r w:rsidRPr="00F71377">
              <w:rPr>
                <w:color w:val="000000"/>
                <w:sz w:val="18"/>
                <w:szCs w:val="18"/>
              </w:rPr>
              <w:t>0,0</w:t>
            </w:r>
          </w:p>
        </w:tc>
        <w:tc>
          <w:tcPr>
            <w:tcW w:w="992" w:type="dxa"/>
            <w:vAlign w:val="center"/>
          </w:tcPr>
          <w:p w14:paraId="5B1E841E" w14:textId="77777777" w:rsidR="00D0442A" w:rsidRPr="00F71377" w:rsidRDefault="00D0442A" w:rsidP="00D0442A">
            <w:pPr>
              <w:spacing w:after="0"/>
              <w:ind w:firstLine="0"/>
              <w:jc w:val="right"/>
              <w:rPr>
                <w:rFonts w:eastAsia="Times New Roman"/>
                <w:color w:val="000000"/>
                <w:sz w:val="18"/>
                <w:szCs w:val="18"/>
              </w:rPr>
            </w:pPr>
            <w:r w:rsidRPr="00F71377">
              <w:rPr>
                <w:rFonts w:eastAsia="Times New Roman"/>
                <w:color w:val="000000"/>
                <w:sz w:val="18"/>
                <w:szCs w:val="18"/>
              </w:rPr>
              <w:t>0,0</w:t>
            </w:r>
          </w:p>
        </w:tc>
      </w:tr>
      <w:tr w:rsidR="00D0442A" w:rsidRPr="00F42440" w14:paraId="6B105CE9" w14:textId="77777777" w:rsidTr="00D0442A">
        <w:trPr>
          <w:trHeight w:val="196"/>
          <w:jc w:val="center"/>
        </w:trPr>
        <w:tc>
          <w:tcPr>
            <w:tcW w:w="2689" w:type="dxa"/>
            <w:noWrap/>
            <w:hideMark/>
          </w:tcPr>
          <w:p w14:paraId="14DDFE95" w14:textId="77777777" w:rsidR="00D0442A" w:rsidRPr="00E64FC4" w:rsidRDefault="00D0442A" w:rsidP="00D0442A">
            <w:pPr>
              <w:spacing w:after="0"/>
              <w:ind w:firstLine="0"/>
              <w:rPr>
                <w:rFonts w:eastAsia="Times New Roman"/>
                <w:color w:val="000000"/>
                <w:sz w:val="18"/>
                <w:szCs w:val="18"/>
              </w:rPr>
            </w:pPr>
            <w:r w:rsidRPr="00E64FC4">
              <w:rPr>
                <w:rFonts w:eastAsia="Times New Roman"/>
                <w:color w:val="000000"/>
                <w:sz w:val="18"/>
                <w:szCs w:val="18"/>
              </w:rPr>
              <w:t>Kultūras nozarei</w:t>
            </w:r>
          </w:p>
        </w:tc>
        <w:tc>
          <w:tcPr>
            <w:tcW w:w="850" w:type="dxa"/>
            <w:noWrap/>
            <w:vAlign w:val="center"/>
          </w:tcPr>
          <w:p w14:paraId="237C4BBC"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color w:val="000000"/>
                <w:sz w:val="18"/>
                <w:szCs w:val="18"/>
              </w:rPr>
              <w:t>21,1</w:t>
            </w:r>
          </w:p>
        </w:tc>
        <w:tc>
          <w:tcPr>
            <w:tcW w:w="851" w:type="dxa"/>
            <w:vAlign w:val="center"/>
          </w:tcPr>
          <w:p w14:paraId="72722836" w14:textId="77777777" w:rsidR="00D0442A" w:rsidRPr="004E52DA" w:rsidRDefault="00D0442A" w:rsidP="00D0442A">
            <w:pPr>
              <w:spacing w:after="0"/>
              <w:ind w:firstLine="0"/>
              <w:jc w:val="right"/>
              <w:rPr>
                <w:rFonts w:eastAsia="Times New Roman"/>
                <w:color w:val="000000"/>
                <w:sz w:val="18"/>
                <w:szCs w:val="18"/>
              </w:rPr>
            </w:pPr>
            <w:r w:rsidRPr="004E52DA">
              <w:rPr>
                <w:rFonts w:eastAsia="Times New Roman"/>
                <w:color w:val="000000"/>
                <w:sz w:val="18"/>
                <w:szCs w:val="18"/>
              </w:rPr>
              <w:t>-21,1</w:t>
            </w:r>
          </w:p>
        </w:tc>
        <w:tc>
          <w:tcPr>
            <w:tcW w:w="850" w:type="dxa"/>
            <w:noWrap/>
            <w:vAlign w:val="center"/>
          </w:tcPr>
          <w:p w14:paraId="207D934F" w14:textId="77777777" w:rsidR="00D0442A" w:rsidRPr="00E74F3C" w:rsidRDefault="00D0442A" w:rsidP="00D0442A">
            <w:pPr>
              <w:spacing w:after="0"/>
              <w:ind w:firstLine="0"/>
              <w:jc w:val="right"/>
              <w:rPr>
                <w:rFonts w:eastAsia="Times New Roman"/>
                <w:color w:val="000000"/>
                <w:sz w:val="18"/>
                <w:szCs w:val="18"/>
              </w:rPr>
            </w:pPr>
            <w:r w:rsidRPr="00E74F3C">
              <w:rPr>
                <w:rFonts w:eastAsia="Times New Roman"/>
                <w:color w:val="000000"/>
                <w:sz w:val="18"/>
                <w:szCs w:val="18"/>
              </w:rPr>
              <w:t>37,3</w:t>
            </w:r>
          </w:p>
        </w:tc>
        <w:tc>
          <w:tcPr>
            <w:tcW w:w="1134" w:type="dxa"/>
            <w:noWrap/>
            <w:vAlign w:val="center"/>
          </w:tcPr>
          <w:p w14:paraId="0C890290" w14:textId="77777777" w:rsidR="00D0442A" w:rsidRPr="00E74F3C" w:rsidRDefault="00D0442A" w:rsidP="00D0442A">
            <w:pPr>
              <w:spacing w:after="0"/>
              <w:ind w:firstLine="0"/>
              <w:jc w:val="right"/>
              <w:rPr>
                <w:rFonts w:eastAsia="Times New Roman"/>
                <w:sz w:val="18"/>
                <w:szCs w:val="18"/>
              </w:rPr>
            </w:pPr>
            <w:r w:rsidRPr="00E74F3C">
              <w:rPr>
                <w:rFonts w:eastAsia="Times New Roman"/>
                <w:sz w:val="18"/>
                <w:szCs w:val="18"/>
              </w:rPr>
              <w:t>24,0</w:t>
            </w:r>
          </w:p>
        </w:tc>
        <w:tc>
          <w:tcPr>
            <w:tcW w:w="992" w:type="dxa"/>
            <w:vAlign w:val="center"/>
          </w:tcPr>
          <w:p w14:paraId="7F33FF03" w14:textId="77777777" w:rsidR="00D0442A" w:rsidRPr="00E74F3C" w:rsidRDefault="00D0442A" w:rsidP="00D0442A">
            <w:pPr>
              <w:spacing w:after="0"/>
              <w:ind w:firstLine="0"/>
              <w:jc w:val="right"/>
              <w:rPr>
                <w:rFonts w:eastAsia="Times New Roman"/>
                <w:color w:val="000000"/>
                <w:sz w:val="18"/>
                <w:szCs w:val="18"/>
              </w:rPr>
            </w:pPr>
            <w:r w:rsidRPr="00E74F3C">
              <w:rPr>
                <w:rFonts w:eastAsia="Times New Roman"/>
                <w:color w:val="000000"/>
                <w:sz w:val="18"/>
                <w:szCs w:val="18"/>
              </w:rPr>
              <w:t>-35,2</w:t>
            </w:r>
          </w:p>
        </w:tc>
        <w:tc>
          <w:tcPr>
            <w:tcW w:w="709" w:type="dxa"/>
            <w:vAlign w:val="center"/>
          </w:tcPr>
          <w:p w14:paraId="08CB18D8" w14:textId="77777777" w:rsidR="00D0442A" w:rsidRPr="00F71377" w:rsidRDefault="00D0442A" w:rsidP="00D0442A">
            <w:pPr>
              <w:spacing w:after="0"/>
              <w:ind w:firstLine="0"/>
              <w:jc w:val="right"/>
              <w:rPr>
                <w:color w:val="000000"/>
                <w:sz w:val="18"/>
                <w:szCs w:val="18"/>
              </w:rPr>
            </w:pPr>
            <w:r w:rsidRPr="00F71377">
              <w:rPr>
                <w:color w:val="000000"/>
                <w:sz w:val="18"/>
                <w:szCs w:val="18"/>
              </w:rPr>
              <w:t>0,0</w:t>
            </w:r>
          </w:p>
        </w:tc>
        <w:tc>
          <w:tcPr>
            <w:tcW w:w="992" w:type="dxa"/>
            <w:vAlign w:val="center"/>
          </w:tcPr>
          <w:p w14:paraId="7284C898" w14:textId="77777777" w:rsidR="00D0442A" w:rsidRPr="00F71377" w:rsidRDefault="00D0442A" w:rsidP="00D0442A">
            <w:pPr>
              <w:spacing w:after="0"/>
              <w:ind w:firstLine="0"/>
              <w:jc w:val="right"/>
              <w:rPr>
                <w:rFonts w:eastAsia="Times New Roman"/>
                <w:color w:val="000000"/>
                <w:sz w:val="18"/>
                <w:szCs w:val="18"/>
              </w:rPr>
            </w:pPr>
            <w:r w:rsidRPr="00F71377">
              <w:rPr>
                <w:rFonts w:eastAsia="Times New Roman"/>
                <w:color w:val="000000"/>
                <w:sz w:val="18"/>
                <w:szCs w:val="18"/>
              </w:rPr>
              <w:t>0,0</w:t>
            </w:r>
          </w:p>
        </w:tc>
      </w:tr>
      <w:tr w:rsidR="00D0442A" w:rsidRPr="00F42440" w14:paraId="5B90FF13" w14:textId="77777777" w:rsidTr="00D0442A">
        <w:trPr>
          <w:trHeight w:val="196"/>
          <w:jc w:val="center"/>
        </w:trPr>
        <w:tc>
          <w:tcPr>
            <w:tcW w:w="2689" w:type="dxa"/>
            <w:hideMark/>
          </w:tcPr>
          <w:p w14:paraId="6DC953D9" w14:textId="77777777" w:rsidR="00D0442A" w:rsidRPr="00E64FC4" w:rsidRDefault="00D0442A" w:rsidP="00D0442A">
            <w:pPr>
              <w:spacing w:after="0"/>
              <w:ind w:firstLine="0"/>
              <w:rPr>
                <w:rFonts w:eastAsia="Times New Roman"/>
                <w:color w:val="000000"/>
                <w:sz w:val="18"/>
                <w:szCs w:val="18"/>
              </w:rPr>
            </w:pPr>
            <w:r w:rsidRPr="00E64FC4">
              <w:rPr>
                <w:rFonts w:eastAsia="Times New Roman"/>
                <w:color w:val="000000"/>
                <w:sz w:val="18"/>
                <w:szCs w:val="18"/>
              </w:rPr>
              <w:t>Izglītībai un zinātnei (t.sk. sportam un attālinātajām mācībām)</w:t>
            </w:r>
          </w:p>
        </w:tc>
        <w:tc>
          <w:tcPr>
            <w:tcW w:w="850" w:type="dxa"/>
            <w:noWrap/>
            <w:vAlign w:val="center"/>
          </w:tcPr>
          <w:p w14:paraId="5FA299C0"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color w:val="000000"/>
                <w:sz w:val="18"/>
                <w:szCs w:val="18"/>
              </w:rPr>
              <w:t>22,1</w:t>
            </w:r>
          </w:p>
        </w:tc>
        <w:tc>
          <w:tcPr>
            <w:tcW w:w="851" w:type="dxa"/>
            <w:vAlign w:val="center"/>
          </w:tcPr>
          <w:p w14:paraId="7BF14692" w14:textId="77777777" w:rsidR="00D0442A" w:rsidRPr="004E52DA" w:rsidRDefault="00D0442A" w:rsidP="00D0442A">
            <w:pPr>
              <w:spacing w:after="0"/>
              <w:ind w:firstLine="0"/>
              <w:jc w:val="right"/>
              <w:rPr>
                <w:rFonts w:eastAsia="Times New Roman"/>
                <w:color w:val="000000"/>
                <w:sz w:val="18"/>
                <w:szCs w:val="18"/>
              </w:rPr>
            </w:pPr>
            <w:r w:rsidRPr="004E52DA">
              <w:rPr>
                <w:rFonts w:eastAsia="Times New Roman"/>
                <w:color w:val="000000"/>
                <w:sz w:val="18"/>
                <w:szCs w:val="18"/>
              </w:rPr>
              <w:t>-22,1</w:t>
            </w:r>
          </w:p>
        </w:tc>
        <w:tc>
          <w:tcPr>
            <w:tcW w:w="850" w:type="dxa"/>
            <w:noWrap/>
            <w:vAlign w:val="center"/>
          </w:tcPr>
          <w:p w14:paraId="722D377D" w14:textId="77777777" w:rsidR="00D0442A" w:rsidRPr="00A35930" w:rsidRDefault="00D0442A" w:rsidP="00D0442A">
            <w:pPr>
              <w:spacing w:after="0"/>
              <w:ind w:firstLine="0"/>
              <w:jc w:val="right"/>
              <w:rPr>
                <w:rFonts w:eastAsia="Times New Roman"/>
                <w:color w:val="000000"/>
                <w:sz w:val="18"/>
                <w:szCs w:val="18"/>
              </w:rPr>
            </w:pPr>
            <w:r w:rsidRPr="00A35930">
              <w:rPr>
                <w:rFonts w:eastAsia="Times New Roman"/>
                <w:color w:val="000000"/>
                <w:sz w:val="18"/>
                <w:szCs w:val="18"/>
              </w:rPr>
              <w:t>53,2</w:t>
            </w:r>
          </w:p>
        </w:tc>
        <w:tc>
          <w:tcPr>
            <w:tcW w:w="1134" w:type="dxa"/>
            <w:noWrap/>
            <w:vAlign w:val="center"/>
          </w:tcPr>
          <w:p w14:paraId="4BB69857" w14:textId="77777777" w:rsidR="00D0442A" w:rsidRPr="00A35930" w:rsidRDefault="00D0442A" w:rsidP="00D0442A">
            <w:pPr>
              <w:spacing w:after="0"/>
              <w:ind w:firstLine="0"/>
              <w:jc w:val="right"/>
              <w:rPr>
                <w:rFonts w:eastAsia="Times New Roman"/>
                <w:sz w:val="18"/>
                <w:szCs w:val="18"/>
              </w:rPr>
            </w:pPr>
            <w:r w:rsidRPr="00A35930">
              <w:rPr>
                <w:rFonts w:eastAsia="Times New Roman"/>
                <w:sz w:val="18"/>
                <w:szCs w:val="18"/>
              </w:rPr>
              <w:t>31,7</w:t>
            </w:r>
          </w:p>
        </w:tc>
        <w:tc>
          <w:tcPr>
            <w:tcW w:w="992" w:type="dxa"/>
            <w:vAlign w:val="center"/>
          </w:tcPr>
          <w:p w14:paraId="36FF2B08" w14:textId="77777777" w:rsidR="00D0442A" w:rsidRPr="00A35930" w:rsidRDefault="00D0442A" w:rsidP="00D0442A">
            <w:pPr>
              <w:spacing w:after="0"/>
              <w:ind w:firstLine="0"/>
              <w:jc w:val="right"/>
              <w:rPr>
                <w:rFonts w:eastAsia="Times New Roman"/>
                <w:color w:val="000000"/>
                <w:sz w:val="18"/>
                <w:szCs w:val="18"/>
              </w:rPr>
            </w:pPr>
            <w:r w:rsidRPr="00A35930">
              <w:rPr>
                <w:rFonts w:eastAsia="Times New Roman"/>
                <w:color w:val="000000"/>
                <w:sz w:val="18"/>
                <w:szCs w:val="18"/>
              </w:rPr>
              <w:t>-49,5</w:t>
            </w:r>
          </w:p>
        </w:tc>
        <w:tc>
          <w:tcPr>
            <w:tcW w:w="709" w:type="dxa"/>
            <w:vAlign w:val="center"/>
          </w:tcPr>
          <w:p w14:paraId="76229B2F" w14:textId="77777777" w:rsidR="00D0442A" w:rsidRPr="00F71377" w:rsidRDefault="00D0442A" w:rsidP="00D0442A">
            <w:pPr>
              <w:spacing w:after="0"/>
              <w:ind w:firstLine="0"/>
              <w:jc w:val="right"/>
              <w:rPr>
                <w:color w:val="000000"/>
                <w:sz w:val="18"/>
                <w:szCs w:val="18"/>
              </w:rPr>
            </w:pPr>
            <w:r w:rsidRPr="00F71377">
              <w:rPr>
                <w:color w:val="000000"/>
                <w:sz w:val="18"/>
                <w:szCs w:val="18"/>
              </w:rPr>
              <w:t>0,0</w:t>
            </w:r>
          </w:p>
        </w:tc>
        <w:tc>
          <w:tcPr>
            <w:tcW w:w="992" w:type="dxa"/>
            <w:vAlign w:val="center"/>
          </w:tcPr>
          <w:p w14:paraId="28A84CA4" w14:textId="77777777" w:rsidR="00D0442A" w:rsidRPr="00F71377" w:rsidRDefault="00D0442A" w:rsidP="00D0442A">
            <w:pPr>
              <w:spacing w:after="0"/>
              <w:ind w:firstLine="0"/>
              <w:jc w:val="right"/>
              <w:rPr>
                <w:rFonts w:eastAsia="Times New Roman"/>
                <w:color w:val="000000"/>
                <w:sz w:val="18"/>
                <w:szCs w:val="18"/>
              </w:rPr>
            </w:pPr>
            <w:r w:rsidRPr="00F71377">
              <w:rPr>
                <w:rFonts w:eastAsia="Times New Roman"/>
                <w:color w:val="000000"/>
                <w:sz w:val="18"/>
                <w:szCs w:val="18"/>
              </w:rPr>
              <w:t>0,0</w:t>
            </w:r>
          </w:p>
        </w:tc>
      </w:tr>
      <w:tr w:rsidR="00D0442A" w:rsidRPr="00F42440" w14:paraId="0F519980" w14:textId="77777777" w:rsidTr="00D0442A">
        <w:trPr>
          <w:trHeight w:val="205"/>
          <w:jc w:val="center"/>
        </w:trPr>
        <w:tc>
          <w:tcPr>
            <w:tcW w:w="2689" w:type="dxa"/>
            <w:hideMark/>
          </w:tcPr>
          <w:p w14:paraId="64967163" w14:textId="77777777" w:rsidR="00D0442A" w:rsidRPr="00E64FC4" w:rsidRDefault="00D0442A" w:rsidP="00D0442A">
            <w:pPr>
              <w:spacing w:after="0"/>
              <w:ind w:firstLine="0"/>
              <w:rPr>
                <w:rFonts w:eastAsia="Times New Roman"/>
                <w:color w:val="000000"/>
                <w:sz w:val="18"/>
                <w:szCs w:val="18"/>
              </w:rPr>
            </w:pPr>
            <w:r w:rsidRPr="00E64FC4">
              <w:rPr>
                <w:rFonts w:eastAsia="Times New Roman"/>
                <w:color w:val="000000"/>
                <w:sz w:val="18"/>
                <w:szCs w:val="18"/>
              </w:rPr>
              <w:t>Augstas gatavības projekti (bez autoceļiem)</w:t>
            </w:r>
          </w:p>
        </w:tc>
        <w:tc>
          <w:tcPr>
            <w:tcW w:w="850" w:type="dxa"/>
            <w:noWrap/>
            <w:vAlign w:val="center"/>
          </w:tcPr>
          <w:p w14:paraId="7A88DBF9" w14:textId="77777777" w:rsidR="00D0442A" w:rsidRPr="00DB24D5" w:rsidRDefault="00D0442A" w:rsidP="00D0442A">
            <w:pPr>
              <w:spacing w:after="0"/>
              <w:ind w:firstLine="0"/>
              <w:jc w:val="right"/>
              <w:rPr>
                <w:rFonts w:eastAsia="Times New Roman"/>
                <w:color w:val="000000"/>
                <w:sz w:val="18"/>
                <w:szCs w:val="18"/>
              </w:rPr>
            </w:pPr>
            <w:r w:rsidRPr="00DB24D5">
              <w:rPr>
                <w:rFonts w:eastAsia="Times New Roman"/>
                <w:color w:val="000000"/>
                <w:sz w:val="18"/>
                <w:szCs w:val="18"/>
              </w:rPr>
              <w:t>0,0</w:t>
            </w:r>
          </w:p>
        </w:tc>
        <w:tc>
          <w:tcPr>
            <w:tcW w:w="851" w:type="dxa"/>
            <w:vAlign w:val="center"/>
          </w:tcPr>
          <w:p w14:paraId="6F6BC6B5" w14:textId="77777777" w:rsidR="00D0442A" w:rsidRPr="004E52DA" w:rsidRDefault="00D0442A" w:rsidP="00D0442A">
            <w:pPr>
              <w:spacing w:after="0"/>
              <w:ind w:firstLine="0"/>
              <w:jc w:val="right"/>
              <w:rPr>
                <w:rFonts w:eastAsia="Times New Roman"/>
                <w:color w:val="000000"/>
                <w:sz w:val="18"/>
                <w:szCs w:val="18"/>
              </w:rPr>
            </w:pPr>
            <w:r w:rsidRPr="004E52DA">
              <w:rPr>
                <w:rFonts w:eastAsia="Times New Roman"/>
                <w:color w:val="000000"/>
                <w:sz w:val="18"/>
                <w:szCs w:val="18"/>
              </w:rPr>
              <w:t>0,0</w:t>
            </w:r>
          </w:p>
        </w:tc>
        <w:tc>
          <w:tcPr>
            <w:tcW w:w="850" w:type="dxa"/>
            <w:noWrap/>
            <w:vAlign w:val="center"/>
          </w:tcPr>
          <w:p w14:paraId="14B2F349" w14:textId="77777777" w:rsidR="00D0442A" w:rsidRPr="00A35930" w:rsidRDefault="00D0442A" w:rsidP="00D0442A">
            <w:pPr>
              <w:spacing w:after="0"/>
              <w:ind w:firstLine="0"/>
              <w:jc w:val="right"/>
              <w:rPr>
                <w:rFonts w:eastAsia="Times New Roman"/>
                <w:color w:val="000000"/>
                <w:sz w:val="18"/>
                <w:szCs w:val="18"/>
              </w:rPr>
            </w:pPr>
            <w:r w:rsidRPr="00A35930">
              <w:rPr>
                <w:rFonts w:eastAsia="Times New Roman"/>
                <w:color w:val="000000"/>
                <w:sz w:val="18"/>
                <w:szCs w:val="18"/>
              </w:rPr>
              <w:t>55,7</w:t>
            </w:r>
          </w:p>
        </w:tc>
        <w:tc>
          <w:tcPr>
            <w:tcW w:w="1134" w:type="dxa"/>
            <w:noWrap/>
            <w:vAlign w:val="center"/>
          </w:tcPr>
          <w:p w14:paraId="302BEFCB" w14:textId="77777777" w:rsidR="00D0442A" w:rsidRPr="00A35930" w:rsidRDefault="00D0442A" w:rsidP="00D0442A">
            <w:pPr>
              <w:spacing w:after="0"/>
              <w:ind w:firstLine="0"/>
              <w:jc w:val="right"/>
              <w:rPr>
                <w:rFonts w:eastAsia="Times New Roman"/>
                <w:sz w:val="18"/>
                <w:szCs w:val="18"/>
              </w:rPr>
            </w:pPr>
            <w:r w:rsidRPr="00A35930">
              <w:rPr>
                <w:rFonts w:eastAsia="Times New Roman"/>
                <w:sz w:val="18"/>
                <w:szCs w:val="18"/>
              </w:rPr>
              <w:t>33,7</w:t>
            </w:r>
          </w:p>
        </w:tc>
        <w:tc>
          <w:tcPr>
            <w:tcW w:w="992" w:type="dxa"/>
            <w:vAlign w:val="center"/>
          </w:tcPr>
          <w:p w14:paraId="209B0209" w14:textId="77777777" w:rsidR="00D0442A" w:rsidRPr="00A35930" w:rsidRDefault="00D0442A" w:rsidP="00D0442A">
            <w:pPr>
              <w:spacing w:after="0"/>
              <w:ind w:firstLine="0"/>
              <w:jc w:val="right"/>
              <w:rPr>
                <w:rFonts w:eastAsia="Times New Roman"/>
                <w:color w:val="000000"/>
                <w:sz w:val="18"/>
                <w:szCs w:val="18"/>
              </w:rPr>
            </w:pPr>
            <w:r w:rsidRPr="00A35930">
              <w:rPr>
                <w:rFonts w:eastAsia="Times New Roman"/>
                <w:color w:val="000000"/>
                <w:sz w:val="18"/>
                <w:szCs w:val="18"/>
              </w:rPr>
              <w:t>-38,4</w:t>
            </w:r>
          </w:p>
        </w:tc>
        <w:tc>
          <w:tcPr>
            <w:tcW w:w="709" w:type="dxa"/>
            <w:vAlign w:val="center"/>
          </w:tcPr>
          <w:p w14:paraId="75A9CB17" w14:textId="77777777" w:rsidR="00D0442A" w:rsidRPr="00F71377" w:rsidRDefault="00D0442A" w:rsidP="00D0442A">
            <w:pPr>
              <w:spacing w:after="0"/>
              <w:ind w:firstLine="0"/>
              <w:jc w:val="right"/>
              <w:rPr>
                <w:color w:val="000000"/>
                <w:sz w:val="18"/>
                <w:szCs w:val="18"/>
              </w:rPr>
            </w:pPr>
            <w:r w:rsidRPr="00F71377">
              <w:rPr>
                <w:color w:val="000000"/>
                <w:sz w:val="18"/>
                <w:szCs w:val="18"/>
              </w:rPr>
              <w:t>92,6</w:t>
            </w:r>
          </w:p>
        </w:tc>
        <w:tc>
          <w:tcPr>
            <w:tcW w:w="992" w:type="dxa"/>
            <w:vAlign w:val="center"/>
          </w:tcPr>
          <w:p w14:paraId="0DE11790" w14:textId="77777777" w:rsidR="00D0442A" w:rsidRPr="00F71377" w:rsidRDefault="00D0442A" w:rsidP="00D0442A">
            <w:pPr>
              <w:spacing w:after="0"/>
              <w:ind w:firstLine="0"/>
              <w:jc w:val="right"/>
              <w:rPr>
                <w:rFonts w:eastAsia="Times New Roman"/>
                <w:color w:val="000000"/>
                <w:sz w:val="18"/>
                <w:szCs w:val="18"/>
              </w:rPr>
            </w:pPr>
            <w:r w:rsidRPr="00F71377">
              <w:rPr>
                <w:rFonts w:eastAsia="Times New Roman"/>
                <w:color w:val="000000"/>
                <w:sz w:val="18"/>
                <w:szCs w:val="18"/>
              </w:rPr>
              <w:t>-92,6</w:t>
            </w:r>
          </w:p>
        </w:tc>
      </w:tr>
      <w:tr w:rsidR="00D0442A" w:rsidRPr="00F42440" w14:paraId="5D4C9DAB" w14:textId="77777777" w:rsidTr="00D0442A">
        <w:trPr>
          <w:trHeight w:val="205"/>
          <w:jc w:val="center"/>
        </w:trPr>
        <w:tc>
          <w:tcPr>
            <w:tcW w:w="2689" w:type="dxa"/>
            <w:shd w:val="clear" w:color="auto" w:fill="DEEAF6" w:themeFill="accent1" w:themeFillTint="33"/>
            <w:noWrap/>
            <w:hideMark/>
          </w:tcPr>
          <w:p w14:paraId="487A8117" w14:textId="6255646E" w:rsidR="00D0442A" w:rsidRPr="00E64FC4" w:rsidRDefault="0090051F" w:rsidP="00D0442A">
            <w:pPr>
              <w:spacing w:after="0"/>
              <w:ind w:firstLine="0"/>
              <w:rPr>
                <w:rFonts w:eastAsia="Times New Roman"/>
                <w:b/>
                <w:bCs/>
                <w:color w:val="000000"/>
                <w:sz w:val="18"/>
                <w:szCs w:val="18"/>
              </w:rPr>
            </w:pPr>
            <w:r>
              <w:rPr>
                <w:rFonts w:eastAsia="Times New Roman"/>
                <w:b/>
                <w:bCs/>
                <w:color w:val="000000"/>
                <w:sz w:val="18"/>
                <w:szCs w:val="18"/>
              </w:rPr>
              <w:t>V Eiropas Savienības</w:t>
            </w:r>
            <w:r w:rsidR="00D0442A" w:rsidRPr="00E64FC4">
              <w:rPr>
                <w:rFonts w:eastAsia="Times New Roman"/>
                <w:b/>
                <w:bCs/>
                <w:color w:val="000000"/>
                <w:sz w:val="18"/>
                <w:szCs w:val="18"/>
              </w:rPr>
              <w:t xml:space="preserve"> fondu finansējuma atbalsts</w:t>
            </w:r>
          </w:p>
        </w:tc>
        <w:tc>
          <w:tcPr>
            <w:tcW w:w="850" w:type="dxa"/>
            <w:shd w:val="clear" w:color="auto" w:fill="DEEAF6" w:themeFill="accent1" w:themeFillTint="33"/>
            <w:noWrap/>
            <w:vAlign w:val="center"/>
          </w:tcPr>
          <w:p w14:paraId="1EB73509" w14:textId="77777777" w:rsidR="00D0442A" w:rsidRPr="00DB24D5" w:rsidRDefault="00D0442A" w:rsidP="00D0442A">
            <w:pPr>
              <w:spacing w:after="0"/>
              <w:ind w:firstLine="0"/>
              <w:jc w:val="right"/>
              <w:rPr>
                <w:rFonts w:eastAsia="Times New Roman"/>
                <w:sz w:val="18"/>
                <w:szCs w:val="18"/>
              </w:rPr>
            </w:pPr>
            <w:r w:rsidRPr="00DB24D5">
              <w:rPr>
                <w:rFonts w:eastAsia="Times New Roman"/>
                <w:b/>
                <w:sz w:val="18"/>
                <w:szCs w:val="18"/>
              </w:rPr>
              <w:t>27,3</w:t>
            </w:r>
          </w:p>
        </w:tc>
        <w:tc>
          <w:tcPr>
            <w:tcW w:w="851" w:type="dxa"/>
            <w:shd w:val="clear" w:color="auto" w:fill="DEEAF6" w:themeFill="accent1" w:themeFillTint="33"/>
            <w:noWrap/>
            <w:vAlign w:val="center"/>
          </w:tcPr>
          <w:p w14:paraId="757A6066" w14:textId="77777777" w:rsidR="00D0442A" w:rsidRPr="004E52DA" w:rsidRDefault="00D0442A" w:rsidP="00D0442A">
            <w:pPr>
              <w:spacing w:after="0"/>
              <w:ind w:firstLine="0"/>
              <w:jc w:val="right"/>
              <w:rPr>
                <w:rFonts w:eastAsia="Times New Roman"/>
                <w:color w:val="000000"/>
                <w:sz w:val="18"/>
                <w:szCs w:val="18"/>
              </w:rPr>
            </w:pPr>
            <w:r w:rsidRPr="004E52DA">
              <w:rPr>
                <w:rFonts w:eastAsia="Times New Roman"/>
                <w:b/>
                <w:color w:val="000000"/>
                <w:sz w:val="18"/>
                <w:szCs w:val="18"/>
              </w:rPr>
              <w:t>0,0</w:t>
            </w:r>
          </w:p>
        </w:tc>
        <w:tc>
          <w:tcPr>
            <w:tcW w:w="850" w:type="dxa"/>
            <w:shd w:val="clear" w:color="auto" w:fill="DEEAF6" w:themeFill="accent1" w:themeFillTint="33"/>
            <w:noWrap/>
            <w:vAlign w:val="center"/>
          </w:tcPr>
          <w:p w14:paraId="72D129DB" w14:textId="77777777" w:rsidR="00D0442A" w:rsidRPr="00E64FC4" w:rsidRDefault="00D0442A" w:rsidP="00D0442A">
            <w:pPr>
              <w:spacing w:after="0"/>
              <w:ind w:firstLine="0"/>
              <w:jc w:val="right"/>
              <w:rPr>
                <w:rFonts w:eastAsia="Times New Roman"/>
                <w:color w:val="000000"/>
                <w:sz w:val="18"/>
                <w:szCs w:val="18"/>
                <w:highlight w:val="yellow"/>
              </w:rPr>
            </w:pPr>
            <w:r w:rsidRPr="004E52DA">
              <w:rPr>
                <w:rFonts w:eastAsia="Times New Roman"/>
                <w:b/>
                <w:color w:val="000000"/>
                <w:sz w:val="18"/>
                <w:szCs w:val="18"/>
              </w:rPr>
              <w:t>89,9</w:t>
            </w:r>
          </w:p>
        </w:tc>
        <w:tc>
          <w:tcPr>
            <w:tcW w:w="1134" w:type="dxa"/>
            <w:shd w:val="clear" w:color="auto" w:fill="DEEAF6" w:themeFill="accent1" w:themeFillTint="33"/>
            <w:noWrap/>
            <w:vAlign w:val="center"/>
          </w:tcPr>
          <w:p w14:paraId="5D3F99B0" w14:textId="77777777" w:rsidR="00D0442A" w:rsidRPr="004E52DA" w:rsidRDefault="00D0442A" w:rsidP="00D0442A">
            <w:pPr>
              <w:spacing w:after="0"/>
              <w:ind w:firstLine="0"/>
              <w:jc w:val="right"/>
              <w:rPr>
                <w:rFonts w:eastAsia="Times New Roman"/>
                <w:sz w:val="18"/>
                <w:szCs w:val="18"/>
              </w:rPr>
            </w:pPr>
            <w:r w:rsidRPr="004E52DA">
              <w:rPr>
                <w:rFonts w:eastAsia="Times New Roman"/>
                <w:b/>
                <w:sz w:val="18"/>
                <w:szCs w:val="18"/>
              </w:rPr>
              <w:t>29,3</w:t>
            </w:r>
          </w:p>
        </w:tc>
        <w:tc>
          <w:tcPr>
            <w:tcW w:w="992" w:type="dxa"/>
            <w:shd w:val="clear" w:color="auto" w:fill="DEEAF6" w:themeFill="accent1" w:themeFillTint="33"/>
            <w:noWrap/>
            <w:vAlign w:val="center"/>
          </w:tcPr>
          <w:p w14:paraId="6BF7DAC3" w14:textId="77777777" w:rsidR="00D0442A" w:rsidRPr="004E52DA" w:rsidRDefault="00D0442A" w:rsidP="00D0442A">
            <w:pPr>
              <w:spacing w:after="0"/>
              <w:ind w:firstLine="0"/>
              <w:jc w:val="right"/>
              <w:rPr>
                <w:rFonts w:eastAsia="Times New Roman"/>
                <w:color w:val="000000"/>
                <w:sz w:val="18"/>
                <w:szCs w:val="18"/>
              </w:rPr>
            </w:pPr>
            <w:r w:rsidRPr="004E52DA">
              <w:rPr>
                <w:rFonts w:eastAsia="Times New Roman"/>
                <w:b/>
                <w:color w:val="000000"/>
                <w:sz w:val="18"/>
                <w:szCs w:val="18"/>
              </w:rPr>
              <w:t>-8,6</w:t>
            </w:r>
          </w:p>
        </w:tc>
        <w:tc>
          <w:tcPr>
            <w:tcW w:w="709" w:type="dxa"/>
            <w:shd w:val="clear" w:color="auto" w:fill="DEEAF6" w:themeFill="accent1" w:themeFillTint="33"/>
            <w:vAlign w:val="center"/>
          </w:tcPr>
          <w:p w14:paraId="1E906546" w14:textId="77777777" w:rsidR="00D0442A" w:rsidRPr="004E52DA" w:rsidRDefault="00D0442A" w:rsidP="00D0442A">
            <w:pPr>
              <w:spacing w:after="0"/>
              <w:ind w:firstLine="0"/>
              <w:jc w:val="right"/>
              <w:rPr>
                <w:b/>
                <w:color w:val="000000"/>
                <w:sz w:val="18"/>
                <w:szCs w:val="18"/>
              </w:rPr>
            </w:pPr>
            <w:r w:rsidRPr="004E52DA">
              <w:rPr>
                <w:b/>
                <w:color w:val="000000"/>
                <w:sz w:val="18"/>
                <w:szCs w:val="18"/>
              </w:rPr>
              <w:t>203,9</w:t>
            </w:r>
          </w:p>
        </w:tc>
        <w:tc>
          <w:tcPr>
            <w:tcW w:w="992" w:type="dxa"/>
            <w:shd w:val="clear" w:color="auto" w:fill="DEEAF6" w:themeFill="accent1" w:themeFillTint="33"/>
            <w:noWrap/>
            <w:vAlign w:val="center"/>
          </w:tcPr>
          <w:p w14:paraId="248A00C7" w14:textId="77777777" w:rsidR="00D0442A" w:rsidRPr="004E52DA" w:rsidRDefault="00D0442A" w:rsidP="00D0442A">
            <w:pPr>
              <w:spacing w:after="0"/>
              <w:ind w:firstLine="0"/>
              <w:jc w:val="right"/>
              <w:rPr>
                <w:rFonts w:eastAsia="Times New Roman"/>
                <w:color w:val="000000"/>
                <w:sz w:val="18"/>
                <w:szCs w:val="18"/>
              </w:rPr>
            </w:pPr>
            <w:r w:rsidRPr="004E52DA">
              <w:rPr>
                <w:rFonts w:eastAsia="Times New Roman"/>
                <w:b/>
                <w:color w:val="000000"/>
                <w:sz w:val="18"/>
                <w:szCs w:val="18"/>
              </w:rPr>
              <w:t>-6,9</w:t>
            </w:r>
          </w:p>
        </w:tc>
      </w:tr>
    </w:tbl>
    <w:p w14:paraId="5F499EFB" w14:textId="2514CEE7" w:rsidR="00D0442A" w:rsidRPr="00EB7E11" w:rsidRDefault="00D0442A" w:rsidP="00DB2540">
      <w:pPr>
        <w:spacing w:before="240" w:after="0"/>
        <w:rPr>
          <w:noProof/>
          <w:color w:val="000000" w:themeColor="text1"/>
          <w:szCs w:val="24"/>
        </w:rPr>
      </w:pPr>
      <w:r w:rsidRPr="00E61D2E">
        <w:rPr>
          <w:color w:val="000000" w:themeColor="text1"/>
          <w:szCs w:val="24"/>
        </w:rPr>
        <w:t xml:space="preserve">Līdz šā gada </w:t>
      </w:r>
      <w:r>
        <w:rPr>
          <w:color w:val="000000" w:themeColor="text1"/>
          <w:szCs w:val="24"/>
        </w:rPr>
        <w:t>30</w:t>
      </w:r>
      <w:r w:rsidRPr="00E61D2E">
        <w:rPr>
          <w:color w:val="000000" w:themeColor="text1"/>
          <w:szCs w:val="24"/>
        </w:rPr>
        <w:t>.</w:t>
      </w:r>
      <w:r>
        <w:rPr>
          <w:color w:val="000000" w:themeColor="text1"/>
          <w:szCs w:val="24"/>
        </w:rPr>
        <w:t> </w:t>
      </w:r>
      <w:r w:rsidRPr="00E61D2E">
        <w:rPr>
          <w:color w:val="000000" w:themeColor="text1"/>
          <w:szCs w:val="24"/>
        </w:rPr>
        <w:t>septembrim faktiski i</w:t>
      </w:r>
      <w:r>
        <w:rPr>
          <w:color w:val="000000" w:themeColor="text1"/>
          <w:szCs w:val="24"/>
        </w:rPr>
        <w:t>zsniegtā</w:t>
      </w:r>
      <w:r w:rsidRPr="00E61D2E">
        <w:rPr>
          <w:color w:val="000000" w:themeColor="text1"/>
          <w:szCs w:val="24"/>
        </w:rPr>
        <w:t xml:space="preserve"> atbalsta apmērs sasniedzis 1,7</w:t>
      </w:r>
      <w:r>
        <w:rPr>
          <w:color w:val="000000" w:themeColor="text1"/>
          <w:szCs w:val="24"/>
        </w:rPr>
        <w:t>5</w:t>
      </w:r>
      <w:r w:rsidR="00DB2540">
        <w:rPr>
          <w:color w:val="000000" w:themeColor="text1"/>
          <w:szCs w:val="24"/>
        </w:rPr>
        <w:t> mljrd. </w:t>
      </w:r>
      <w:r w:rsidRPr="00E61D2E">
        <w:rPr>
          <w:i/>
          <w:noProof/>
          <w:color w:val="000000" w:themeColor="text1"/>
          <w:szCs w:val="24"/>
        </w:rPr>
        <w:t>euro</w:t>
      </w:r>
      <w:r w:rsidRPr="00E61D2E">
        <w:rPr>
          <w:noProof/>
          <w:color w:val="000000" w:themeColor="text1"/>
          <w:szCs w:val="24"/>
        </w:rPr>
        <w:t>. Martā un aprīlī veikta vienreizēju pabalstu izmaksa ģimenēm ar bērniem (375,8 tūkst. maksājumu), kā arī senioriem un personām ar invaliditāti (549,4 tūkst. maksājumu). Dīkstāves pabalstus Valsts ieņēmumu dienests 2021.</w:t>
      </w:r>
      <w:r>
        <w:rPr>
          <w:noProof/>
          <w:color w:val="000000" w:themeColor="text1"/>
          <w:szCs w:val="24"/>
        </w:rPr>
        <w:t> </w:t>
      </w:r>
      <w:r w:rsidR="00DB2540">
        <w:rPr>
          <w:noProof/>
          <w:color w:val="000000" w:themeColor="text1"/>
          <w:szCs w:val="24"/>
        </w:rPr>
        <w:t>gadā izmaksājis 292 tūkst. reižu jeb 76,3 tūkst.</w:t>
      </w:r>
      <w:r w:rsidRPr="00E61D2E">
        <w:rPr>
          <w:noProof/>
          <w:color w:val="000000" w:themeColor="text1"/>
          <w:szCs w:val="24"/>
        </w:rPr>
        <w:t xml:space="preserve"> personu, bet algu s</w:t>
      </w:r>
      <w:r w:rsidR="00DB2540">
        <w:rPr>
          <w:noProof/>
          <w:color w:val="000000" w:themeColor="text1"/>
          <w:szCs w:val="24"/>
        </w:rPr>
        <w:t>ubsīdijas 71,5 tūkst. reižu jeb 28,3 tūkst.</w:t>
      </w:r>
      <w:r w:rsidRPr="00E61D2E">
        <w:rPr>
          <w:noProof/>
          <w:color w:val="000000" w:themeColor="text1"/>
          <w:szCs w:val="24"/>
        </w:rPr>
        <w:t xml:space="preserve"> personu. Ļoti nozīmīgu apmēru izdevumos veido grantu</w:t>
      </w:r>
      <w:r w:rsidRPr="00E61D2E">
        <w:rPr>
          <w:color w:val="000000" w:themeColor="text1"/>
          <w:szCs w:val="24"/>
        </w:rPr>
        <w:t xml:space="preserve"> apgrozāmajiem līdzekļiem izmaksas, ka</w:t>
      </w:r>
      <w:r w:rsidR="0090051F">
        <w:rPr>
          <w:color w:val="000000" w:themeColor="text1"/>
          <w:szCs w:val="24"/>
        </w:rPr>
        <w:t>s šogad izmaksātas 40,3 tūkst. reižu jeb 11 tūkst.</w:t>
      </w:r>
      <w:r w:rsidRPr="00E61D2E">
        <w:rPr>
          <w:color w:val="000000" w:themeColor="text1"/>
          <w:szCs w:val="24"/>
        </w:rPr>
        <w:t xml:space="preserve"> saņēmēju. </w:t>
      </w:r>
      <w:r>
        <w:rPr>
          <w:color w:val="000000" w:themeColor="text1"/>
          <w:szCs w:val="24"/>
        </w:rPr>
        <w:t xml:space="preserve">Neskatoties, ka </w:t>
      </w:r>
      <w:r w:rsidRPr="00E61D2E">
        <w:rPr>
          <w:color w:val="000000" w:themeColor="text1"/>
          <w:szCs w:val="24"/>
        </w:rPr>
        <w:t>30. jūnij</w:t>
      </w:r>
      <w:r>
        <w:rPr>
          <w:color w:val="000000" w:themeColor="text1"/>
          <w:szCs w:val="24"/>
        </w:rPr>
        <w:t>ā</w:t>
      </w:r>
      <w:r w:rsidRPr="00E61D2E">
        <w:rPr>
          <w:color w:val="000000" w:themeColor="text1"/>
          <w:szCs w:val="24"/>
        </w:rPr>
        <w:t xml:space="preserve"> </w:t>
      </w:r>
      <w:r>
        <w:rPr>
          <w:color w:val="000000" w:themeColor="text1"/>
          <w:szCs w:val="24"/>
        </w:rPr>
        <w:t xml:space="preserve">pamatā </w:t>
      </w:r>
      <w:r w:rsidRPr="00E61D2E">
        <w:rPr>
          <w:color w:val="000000" w:themeColor="text1"/>
          <w:szCs w:val="24"/>
        </w:rPr>
        <w:t>dažādu pabalstu izmaksa</w:t>
      </w:r>
      <w:r w:rsidRPr="001568C4">
        <w:rPr>
          <w:color w:val="000000" w:themeColor="text1"/>
          <w:szCs w:val="24"/>
        </w:rPr>
        <w:t xml:space="preserve"> </w:t>
      </w:r>
      <w:r w:rsidRPr="00E61D2E">
        <w:rPr>
          <w:color w:val="000000" w:themeColor="text1"/>
          <w:szCs w:val="24"/>
        </w:rPr>
        <w:t>noslēdz</w:t>
      </w:r>
      <w:r>
        <w:rPr>
          <w:color w:val="000000" w:themeColor="text1"/>
          <w:szCs w:val="24"/>
        </w:rPr>
        <w:t>ās</w:t>
      </w:r>
      <w:r w:rsidRPr="00E61D2E">
        <w:rPr>
          <w:color w:val="000000" w:themeColor="text1"/>
          <w:szCs w:val="24"/>
        </w:rPr>
        <w:t xml:space="preserve">, </w:t>
      </w:r>
      <w:r>
        <w:rPr>
          <w:color w:val="000000" w:themeColor="text1"/>
          <w:szCs w:val="24"/>
        </w:rPr>
        <w:t>paredzams, ka gada</w:t>
      </w:r>
      <w:r w:rsidRPr="00E61D2E">
        <w:rPr>
          <w:color w:val="000000" w:themeColor="text1"/>
          <w:szCs w:val="24"/>
        </w:rPr>
        <w:t xml:space="preserve"> otrajā pus</w:t>
      </w:r>
      <w:r>
        <w:rPr>
          <w:color w:val="000000" w:themeColor="text1"/>
          <w:szCs w:val="24"/>
        </w:rPr>
        <w:t>ē</w:t>
      </w:r>
      <w:r w:rsidRPr="00E61D2E">
        <w:rPr>
          <w:color w:val="000000" w:themeColor="text1"/>
          <w:szCs w:val="24"/>
        </w:rPr>
        <w:t xml:space="preserve"> </w:t>
      </w:r>
      <w:r w:rsidRPr="00E61D2E">
        <w:t xml:space="preserve">izmaksas joprojām turpināsies veselības nozares Covid-19 vajadzību finansēšanai, autoceļu atjaunošanai, zemkopības, kultūras, kā arī citām nozarēm, kam tika </w:t>
      </w:r>
      <w:r w:rsidRPr="00B43A5C">
        <w:t>piešķirts finansējums no budžeta programmas “Līdzekļi neparedzētiem gadījumiem”</w:t>
      </w:r>
      <w:r w:rsidRPr="00B43A5C">
        <w:rPr>
          <w:color w:val="000000" w:themeColor="text1"/>
          <w:szCs w:val="24"/>
        </w:rPr>
        <w:t>.</w:t>
      </w:r>
      <w:r>
        <w:rPr>
          <w:noProof/>
          <w:color w:val="000000" w:themeColor="text1"/>
          <w:szCs w:val="24"/>
        </w:rPr>
        <w:t xml:space="preserve"> </w:t>
      </w:r>
    </w:p>
    <w:p w14:paraId="28F24931" w14:textId="5E8FB22D" w:rsidR="005D361F" w:rsidRPr="0090051F" w:rsidRDefault="00D0442A" w:rsidP="0090051F">
      <w:pPr>
        <w:spacing w:before="120"/>
        <w:rPr>
          <w:color w:val="000000"/>
          <w:szCs w:val="28"/>
        </w:rPr>
      </w:pPr>
      <w:r w:rsidRPr="00B43A5C">
        <w:rPr>
          <w:noProof/>
          <w:color w:val="000000" w:themeColor="text1"/>
          <w:szCs w:val="24"/>
        </w:rPr>
        <w:lastRenderedPageBreak/>
        <w:t xml:space="preserve">Aktualizējot vispārējās valdības budžeta bilances vidējam termiņam, tika ņemta vērā apstiprinātā atbalsta negatīvā ietekme uz budžeta bilanci. 2020. gadā novērtētā ietekme uz vispārējās valdības budžeta </w:t>
      </w:r>
      <w:r>
        <w:rPr>
          <w:noProof/>
          <w:color w:val="000000" w:themeColor="text1"/>
          <w:szCs w:val="24"/>
        </w:rPr>
        <w:t>deficītu</w:t>
      </w:r>
      <w:r w:rsidRPr="00B43A5C">
        <w:rPr>
          <w:noProof/>
          <w:color w:val="000000" w:themeColor="text1"/>
          <w:szCs w:val="24"/>
        </w:rPr>
        <w:t xml:space="preserve"> </w:t>
      </w:r>
      <w:r w:rsidR="00DB2540">
        <w:rPr>
          <w:noProof/>
          <w:color w:val="000000" w:themeColor="text1"/>
          <w:szCs w:val="24"/>
        </w:rPr>
        <w:t>veidoja 1,0 mljrd.</w:t>
      </w:r>
      <w:r w:rsidRPr="00FB0360">
        <w:rPr>
          <w:noProof/>
          <w:color w:val="000000" w:themeColor="text1"/>
          <w:szCs w:val="24"/>
        </w:rPr>
        <w:t xml:space="preserve"> </w:t>
      </w:r>
      <w:r w:rsidRPr="00FB0360">
        <w:rPr>
          <w:i/>
          <w:noProof/>
          <w:color w:val="000000" w:themeColor="text1"/>
          <w:szCs w:val="24"/>
        </w:rPr>
        <w:t>euro</w:t>
      </w:r>
      <w:r w:rsidRPr="00FB0360">
        <w:rPr>
          <w:noProof/>
          <w:color w:val="000000" w:themeColor="text1"/>
          <w:szCs w:val="24"/>
        </w:rPr>
        <w:t xml:space="preserve"> jeb 3,3% no </w:t>
      </w:r>
      <w:r w:rsidR="0090051F">
        <w:rPr>
          <w:noProof/>
        </w:rPr>
        <w:t>iekšzemes kopprodukta</w:t>
      </w:r>
      <w:r w:rsidRPr="00FB0360">
        <w:rPr>
          <w:noProof/>
          <w:color w:val="000000" w:themeColor="text1"/>
          <w:szCs w:val="24"/>
        </w:rPr>
        <w:t xml:space="preserve">. 2021. gadā sagaidāms, ka ietekme </w:t>
      </w:r>
      <w:r w:rsidR="00DB2540">
        <w:rPr>
          <w:noProof/>
          <w:color w:val="000000" w:themeColor="text1"/>
          <w:szCs w:val="24"/>
        </w:rPr>
        <w:t>palielināsies līdz 2,2 mljrd.</w:t>
      </w:r>
      <w:r w:rsidRPr="00FB0360">
        <w:rPr>
          <w:noProof/>
          <w:color w:val="000000" w:themeColor="text1"/>
          <w:szCs w:val="24"/>
        </w:rPr>
        <w:t xml:space="preserve"> </w:t>
      </w:r>
      <w:r w:rsidRPr="009152FC">
        <w:rPr>
          <w:i/>
          <w:noProof/>
          <w:color w:val="000000" w:themeColor="text1"/>
          <w:szCs w:val="24"/>
        </w:rPr>
        <w:t>euro</w:t>
      </w:r>
      <w:r w:rsidRPr="00FB0360">
        <w:rPr>
          <w:noProof/>
          <w:color w:val="000000" w:themeColor="text1"/>
          <w:szCs w:val="24"/>
        </w:rPr>
        <w:t xml:space="preserve"> jeb 6,9% no </w:t>
      </w:r>
      <w:r w:rsidR="0090051F">
        <w:rPr>
          <w:noProof/>
        </w:rPr>
        <w:t>iekšzemes kopprodukta</w:t>
      </w:r>
      <w:r w:rsidRPr="00FB0360">
        <w:rPr>
          <w:noProof/>
          <w:color w:val="000000" w:themeColor="text1"/>
          <w:szCs w:val="24"/>
        </w:rPr>
        <w:t xml:space="preserve">. Savukārt 2022. gadam ietekme uz </w:t>
      </w:r>
      <w:r>
        <w:rPr>
          <w:noProof/>
          <w:color w:val="000000" w:themeColor="text1"/>
          <w:szCs w:val="24"/>
        </w:rPr>
        <w:t>deficītu</w:t>
      </w:r>
      <w:r w:rsidRPr="00FB0360">
        <w:rPr>
          <w:noProof/>
          <w:color w:val="000000" w:themeColor="text1"/>
          <w:szCs w:val="24"/>
        </w:rPr>
        <w:t xml:space="preserve"> tiek vērtēta būti</w:t>
      </w:r>
      <w:r w:rsidR="00DB2540">
        <w:rPr>
          <w:noProof/>
          <w:color w:val="000000" w:themeColor="text1"/>
          <w:szCs w:val="24"/>
        </w:rPr>
        <w:t>ski zemākā apmērā – 0,3 mljrd.</w:t>
      </w:r>
      <w:r w:rsidRPr="00FB0360">
        <w:rPr>
          <w:noProof/>
          <w:color w:val="000000" w:themeColor="text1"/>
          <w:szCs w:val="24"/>
        </w:rPr>
        <w:t xml:space="preserve"> </w:t>
      </w:r>
      <w:r w:rsidRPr="00FB0360">
        <w:rPr>
          <w:i/>
          <w:noProof/>
          <w:color w:val="000000" w:themeColor="text1"/>
          <w:szCs w:val="24"/>
        </w:rPr>
        <w:t>euro</w:t>
      </w:r>
      <w:r w:rsidRPr="00FB0360">
        <w:rPr>
          <w:noProof/>
          <w:color w:val="000000" w:themeColor="text1"/>
          <w:szCs w:val="24"/>
        </w:rPr>
        <w:t xml:space="preserve"> jeb 0,8% no </w:t>
      </w:r>
      <w:r w:rsidR="0090051F">
        <w:rPr>
          <w:noProof/>
        </w:rPr>
        <w:t>iekšzemes kopprodukta</w:t>
      </w:r>
      <w:r w:rsidRPr="00FB0360">
        <w:rPr>
          <w:noProof/>
          <w:color w:val="000000" w:themeColor="text1"/>
          <w:szCs w:val="24"/>
        </w:rPr>
        <w:t>, galvenokārt turpinot realizēt</w:t>
      </w:r>
      <w:r w:rsidRPr="00B43A5C">
        <w:rPr>
          <w:noProof/>
          <w:color w:val="000000" w:themeColor="text1"/>
          <w:szCs w:val="24"/>
        </w:rPr>
        <w:t xml:space="preserve"> augstas gatavības investīciju projektus, kas tiks uzsākti šogad, </w:t>
      </w:r>
      <w:r>
        <w:rPr>
          <w:noProof/>
          <w:color w:val="000000" w:themeColor="text1"/>
          <w:szCs w:val="24"/>
        </w:rPr>
        <w:t>finansējot</w:t>
      </w:r>
      <w:r w:rsidRPr="00B43A5C">
        <w:rPr>
          <w:noProof/>
          <w:color w:val="000000" w:themeColor="text1"/>
          <w:szCs w:val="24"/>
        </w:rPr>
        <w:t xml:space="preserve"> Covid-19 vakcīnu iegādi un </w:t>
      </w:r>
      <w:r>
        <w:rPr>
          <w:noProof/>
          <w:color w:val="000000" w:themeColor="text1"/>
          <w:szCs w:val="24"/>
        </w:rPr>
        <w:t xml:space="preserve">turpinot </w:t>
      </w:r>
      <w:r w:rsidRPr="00B43A5C">
        <w:rPr>
          <w:noProof/>
          <w:color w:val="000000" w:themeColor="text1"/>
          <w:szCs w:val="24"/>
        </w:rPr>
        <w:t>ALTUM</w:t>
      </w:r>
      <w:r>
        <w:rPr>
          <w:noProof/>
          <w:color w:val="000000" w:themeColor="text1"/>
          <w:szCs w:val="24"/>
        </w:rPr>
        <w:t xml:space="preserve"> programmas. </w:t>
      </w:r>
    </w:p>
    <w:p w14:paraId="406C13F2" w14:textId="345015AC" w:rsidR="003F3FCD" w:rsidRPr="00E17E3F" w:rsidRDefault="005D361F" w:rsidP="00D0442A">
      <w:pPr>
        <w:pStyle w:val="Heading3"/>
        <w:numPr>
          <w:ilvl w:val="0"/>
          <w:numId w:val="0"/>
        </w:numPr>
      </w:pPr>
      <w:bookmarkStart w:id="55" w:name="_Toc84756415"/>
      <w:r>
        <w:t>2.2.4.</w:t>
      </w:r>
      <w:r w:rsidR="006C030A">
        <w:t xml:space="preserve"> </w:t>
      </w:r>
      <w:r w:rsidR="000548A5" w:rsidRPr="00E17E3F">
        <w:t xml:space="preserve">Budžeta prognožu salīdzinājums ar aktuālajām </w:t>
      </w:r>
      <w:r w:rsidR="0090051F">
        <w:t>Eiropas Komisijas</w:t>
      </w:r>
      <w:r w:rsidR="000548A5" w:rsidRPr="00E17E3F">
        <w:t xml:space="preserve"> prognozēm</w:t>
      </w:r>
      <w:bookmarkEnd w:id="55"/>
    </w:p>
    <w:p w14:paraId="34F99088" w14:textId="6B61E479" w:rsidR="00D0442A" w:rsidRPr="008C66D1" w:rsidRDefault="0090051F" w:rsidP="00D0442A">
      <w:pPr>
        <w:pStyle w:val="funkcijas"/>
        <w:ind w:firstLine="709"/>
        <w:rPr>
          <w:rFonts w:eastAsia="Calibri"/>
          <w:szCs w:val="28"/>
          <w:u w:val="none"/>
        </w:rPr>
      </w:pPr>
      <w:r>
        <w:rPr>
          <w:rFonts w:eastAsia="Calibri"/>
          <w:szCs w:val="28"/>
          <w:u w:val="none"/>
        </w:rPr>
        <w:t>Salīdzinot Finanšu ministrijas</w:t>
      </w:r>
      <w:r w:rsidR="00D0442A" w:rsidRPr="00B2100A">
        <w:rPr>
          <w:rFonts w:eastAsia="Calibri"/>
          <w:szCs w:val="28"/>
          <w:u w:val="none"/>
        </w:rPr>
        <w:t xml:space="preserve"> sagatavotās vispārējās valdības bu</w:t>
      </w:r>
      <w:r>
        <w:rPr>
          <w:rFonts w:eastAsia="Calibri"/>
          <w:szCs w:val="28"/>
          <w:u w:val="none"/>
        </w:rPr>
        <w:t>džeta prognozes ar aktuālajām Eiropas Komisijas</w:t>
      </w:r>
      <w:r w:rsidR="00D0442A" w:rsidRPr="00B2100A">
        <w:rPr>
          <w:rFonts w:eastAsia="Calibri"/>
          <w:szCs w:val="28"/>
          <w:u w:val="none"/>
        </w:rPr>
        <w:t xml:space="preserve"> prognozēm, ir būtiski ņemt vērā to izstrādes laiku. Paskaidrojumu sag</w:t>
      </w:r>
      <w:r>
        <w:rPr>
          <w:rFonts w:eastAsia="Calibri"/>
          <w:szCs w:val="28"/>
          <w:u w:val="none"/>
        </w:rPr>
        <w:t>atavošanas brīdī ir pieejamas Eiropas Komisijas</w:t>
      </w:r>
      <w:r w:rsidR="00D0442A" w:rsidRPr="00B2100A">
        <w:rPr>
          <w:rFonts w:eastAsia="Calibri"/>
          <w:szCs w:val="28"/>
          <w:u w:val="none"/>
        </w:rPr>
        <w:t xml:space="preserve"> fiskālās prognozes, kas tika publicētas 202</w:t>
      </w:r>
      <w:r w:rsidR="00D0442A">
        <w:rPr>
          <w:rFonts w:eastAsia="Calibri"/>
          <w:szCs w:val="28"/>
          <w:u w:val="none"/>
        </w:rPr>
        <w:t>1</w:t>
      </w:r>
      <w:r w:rsidR="00D0442A" w:rsidRPr="00B2100A">
        <w:rPr>
          <w:rFonts w:eastAsia="Calibri"/>
          <w:szCs w:val="28"/>
          <w:u w:val="none"/>
        </w:rPr>
        <w:t xml:space="preserve">. gada maijā. </w:t>
      </w:r>
      <w:r>
        <w:rPr>
          <w:rFonts w:eastAsia="Calibri"/>
          <w:szCs w:val="28"/>
          <w:u w:val="none"/>
        </w:rPr>
        <w:t>Finanšu ministrijas</w:t>
      </w:r>
      <w:r w:rsidR="00D0442A" w:rsidRPr="008C66D1">
        <w:rPr>
          <w:rFonts w:eastAsia="Calibri"/>
          <w:szCs w:val="28"/>
          <w:u w:val="none"/>
        </w:rPr>
        <w:t xml:space="preserve"> gadījumā 202</w:t>
      </w:r>
      <w:r w:rsidR="00D0442A">
        <w:rPr>
          <w:rFonts w:eastAsia="Calibri"/>
          <w:szCs w:val="28"/>
          <w:u w:val="none"/>
        </w:rPr>
        <w:t>1</w:t>
      </w:r>
      <w:r w:rsidR="00D0442A" w:rsidRPr="008C66D1">
        <w:rPr>
          <w:rFonts w:eastAsia="Calibri"/>
          <w:szCs w:val="28"/>
          <w:u w:val="none"/>
        </w:rPr>
        <w:t>. gada budžeta deficīta novērtējumā ti</w:t>
      </w:r>
      <w:r>
        <w:rPr>
          <w:rFonts w:eastAsia="Calibri"/>
          <w:szCs w:val="28"/>
          <w:u w:val="none"/>
        </w:rPr>
        <w:t xml:space="preserve">ka ņemta vērā aktuālākā </w:t>
      </w:r>
      <w:r w:rsidRPr="0090051F">
        <w:rPr>
          <w:rFonts w:eastAsia="Calibri"/>
          <w:szCs w:val="28"/>
          <w:u w:val="none"/>
        </w:rPr>
        <w:t>iekšzemes kopprodukta</w:t>
      </w:r>
      <w:r w:rsidR="00D0442A" w:rsidRPr="008C66D1">
        <w:rPr>
          <w:rFonts w:eastAsia="Calibri"/>
          <w:szCs w:val="28"/>
          <w:u w:val="none"/>
        </w:rPr>
        <w:t xml:space="preserve"> prognoze, kas izstrādāta šā gada jūnijā un līdz </w:t>
      </w:r>
      <w:r w:rsidR="00D0442A">
        <w:rPr>
          <w:rFonts w:eastAsia="Calibri"/>
          <w:szCs w:val="28"/>
          <w:u w:val="none"/>
        </w:rPr>
        <w:t>3</w:t>
      </w:r>
      <w:r w:rsidR="00D0442A" w:rsidRPr="008C66D1">
        <w:rPr>
          <w:rFonts w:eastAsia="Calibri"/>
          <w:szCs w:val="28"/>
          <w:u w:val="none"/>
        </w:rPr>
        <w:t>. </w:t>
      </w:r>
      <w:r w:rsidR="00D0442A">
        <w:rPr>
          <w:rFonts w:eastAsia="Calibri"/>
          <w:szCs w:val="28"/>
          <w:u w:val="none"/>
        </w:rPr>
        <w:t>oktobrim</w:t>
      </w:r>
      <w:r w:rsidR="00D0442A" w:rsidRPr="008C66D1">
        <w:rPr>
          <w:rFonts w:eastAsia="Calibri"/>
          <w:szCs w:val="28"/>
          <w:u w:val="none"/>
        </w:rPr>
        <w:t xml:space="preserve"> apkopotā informācija par Covid-19 atbalsta pasākumu fiskālo ietekmi. </w:t>
      </w:r>
      <w:r w:rsidR="00D0442A">
        <w:rPr>
          <w:rFonts w:eastAsia="Calibri"/>
          <w:szCs w:val="28"/>
          <w:u w:val="none"/>
        </w:rPr>
        <w:t>Savukārt</w:t>
      </w:r>
      <w:r w:rsidR="00D0442A" w:rsidRPr="008C66D1">
        <w:rPr>
          <w:rFonts w:eastAsia="Calibri"/>
          <w:szCs w:val="28"/>
          <w:u w:val="none"/>
        </w:rPr>
        <w:t>, gatavojot budžetu 202</w:t>
      </w:r>
      <w:r w:rsidR="00D0442A">
        <w:rPr>
          <w:rFonts w:eastAsia="Calibri"/>
          <w:szCs w:val="28"/>
          <w:u w:val="none"/>
        </w:rPr>
        <w:t>2</w:t>
      </w:r>
      <w:r w:rsidR="00D0442A" w:rsidRPr="008C66D1">
        <w:rPr>
          <w:rFonts w:eastAsia="Calibri"/>
          <w:szCs w:val="28"/>
          <w:u w:val="none"/>
        </w:rPr>
        <w:t xml:space="preserve">. gadam, ieņēmumu un izdevumu prognozes ir aktualizētas, ņemot vērā valdības pieņemtos lēmumus līdz šā gada oktobrim. </w:t>
      </w:r>
      <w:r>
        <w:rPr>
          <w:rFonts w:eastAsia="Calibri"/>
          <w:szCs w:val="28"/>
          <w:u w:val="none"/>
        </w:rPr>
        <w:t>Gan Finanšu ministrijas, gan Eiropas Komisijas</w:t>
      </w:r>
      <w:r w:rsidR="00D0442A">
        <w:rPr>
          <w:rFonts w:eastAsia="Calibri"/>
          <w:szCs w:val="28"/>
          <w:u w:val="none"/>
        </w:rPr>
        <w:t xml:space="preserve"> p</w:t>
      </w:r>
      <w:r w:rsidR="00D0442A" w:rsidRPr="00B2100A">
        <w:rPr>
          <w:rFonts w:eastAsia="Calibri"/>
          <w:szCs w:val="28"/>
          <w:u w:val="none"/>
        </w:rPr>
        <w:t xml:space="preserve">rognozes </w:t>
      </w:r>
      <w:r w:rsidR="00D0442A">
        <w:rPr>
          <w:rFonts w:eastAsia="Calibri"/>
          <w:szCs w:val="28"/>
          <w:u w:val="none"/>
        </w:rPr>
        <w:t>joprojām tika gatavotas</w:t>
      </w:r>
      <w:r w:rsidR="00D0442A" w:rsidRPr="00B2100A">
        <w:rPr>
          <w:rFonts w:eastAsia="Calibri"/>
          <w:szCs w:val="28"/>
          <w:u w:val="none"/>
        </w:rPr>
        <w:t xml:space="preserve"> augstas nenoteiktības apstākļos, </w:t>
      </w:r>
      <w:r w:rsidR="00D0442A">
        <w:rPr>
          <w:rFonts w:eastAsia="Calibri"/>
          <w:szCs w:val="28"/>
          <w:u w:val="none"/>
        </w:rPr>
        <w:t>pastāvot bažām par trešo</w:t>
      </w:r>
      <w:r w:rsidR="00D0442A" w:rsidRPr="00B2100A">
        <w:rPr>
          <w:rFonts w:eastAsia="Calibri"/>
          <w:szCs w:val="28"/>
          <w:u w:val="none"/>
        </w:rPr>
        <w:t xml:space="preserve"> Covid-19 </w:t>
      </w:r>
      <w:r w:rsidR="00D0442A">
        <w:rPr>
          <w:rFonts w:eastAsia="Calibri"/>
          <w:szCs w:val="28"/>
          <w:u w:val="none"/>
        </w:rPr>
        <w:t>vilni, ekonomiskās aktivitātes ierobežošanu un papildus atbalsta nepieciešamību, kā arī neskaidrībai par vakcinācijas plāna izpildi.</w:t>
      </w:r>
    </w:p>
    <w:p w14:paraId="652A8B3E" w14:textId="2CEA3308" w:rsidR="00D0442A" w:rsidRPr="0090051F" w:rsidRDefault="00D0442A" w:rsidP="0090051F">
      <w:pPr>
        <w:keepNext/>
        <w:spacing w:before="120"/>
        <w:ind w:firstLine="357"/>
        <w:jc w:val="right"/>
        <w:rPr>
          <w:i/>
          <w:szCs w:val="24"/>
        </w:rPr>
      </w:pPr>
      <w:r w:rsidRPr="0090051F">
        <w:rPr>
          <w:b/>
          <w:i/>
          <w:szCs w:val="24"/>
        </w:rPr>
        <w:t xml:space="preserve">2.11. tabula. </w:t>
      </w:r>
      <w:r w:rsidR="0090051F" w:rsidRPr="0090051F">
        <w:rPr>
          <w:b/>
          <w:i/>
          <w:szCs w:val="24"/>
        </w:rPr>
        <w:t>Finanšu ministrija</w:t>
      </w:r>
      <w:r w:rsidRPr="0090051F">
        <w:rPr>
          <w:b/>
          <w:i/>
          <w:szCs w:val="24"/>
        </w:rPr>
        <w:t xml:space="preserve"> budže</w:t>
      </w:r>
      <w:r w:rsidR="0090051F" w:rsidRPr="0090051F">
        <w:rPr>
          <w:b/>
          <w:i/>
          <w:szCs w:val="24"/>
        </w:rPr>
        <w:t>ta prognozes salīdzinājums ar Eiropas Komisijas</w:t>
      </w:r>
      <w:r w:rsidRPr="0090051F">
        <w:rPr>
          <w:b/>
          <w:i/>
          <w:szCs w:val="24"/>
        </w:rPr>
        <w:t xml:space="preserve"> prognozi, % no </w:t>
      </w:r>
      <w:r w:rsidR="0090051F" w:rsidRPr="0090051F">
        <w:rPr>
          <w:b/>
          <w:i/>
          <w:szCs w:val="24"/>
        </w:rPr>
        <w:t>iekšzemes kopprodukta</w:t>
      </w:r>
    </w:p>
    <w:tbl>
      <w:tblPr>
        <w:tblW w:w="8588" w:type="dxa"/>
        <w:jc w:val="center"/>
        <w:tblLook w:val="04A0" w:firstRow="1" w:lastRow="0" w:firstColumn="1" w:lastColumn="0" w:noHBand="0" w:noVBand="1"/>
      </w:tblPr>
      <w:tblGrid>
        <w:gridCol w:w="2972"/>
        <w:gridCol w:w="936"/>
        <w:gridCol w:w="936"/>
        <w:gridCol w:w="936"/>
        <w:gridCol w:w="936"/>
        <w:gridCol w:w="936"/>
        <w:gridCol w:w="936"/>
      </w:tblGrid>
      <w:tr w:rsidR="00D0442A" w:rsidRPr="00842D51" w14:paraId="67D32254" w14:textId="77777777" w:rsidTr="00D0442A">
        <w:trPr>
          <w:trHeight w:val="244"/>
          <w:jc w:val="center"/>
        </w:trPr>
        <w:tc>
          <w:tcPr>
            <w:tcW w:w="297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2C2CC18F" w14:textId="77777777" w:rsidR="00D0442A" w:rsidRPr="001F7603" w:rsidRDefault="00D0442A" w:rsidP="00D0442A">
            <w:pPr>
              <w:spacing w:after="0"/>
              <w:ind w:firstLine="360"/>
              <w:jc w:val="center"/>
              <w:rPr>
                <w:color w:val="000000"/>
                <w:sz w:val="18"/>
                <w:szCs w:val="18"/>
              </w:rPr>
            </w:pPr>
          </w:p>
        </w:tc>
        <w:tc>
          <w:tcPr>
            <w:tcW w:w="1872" w:type="dxa"/>
            <w:gridSpan w:val="2"/>
            <w:tcBorders>
              <w:top w:val="single" w:sz="4" w:space="0" w:color="auto"/>
              <w:left w:val="single" w:sz="4" w:space="0" w:color="auto"/>
              <w:bottom w:val="single" w:sz="4" w:space="0" w:color="auto"/>
              <w:right w:val="double" w:sz="4" w:space="0" w:color="auto"/>
            </w:tcBorders>
            <w:shd w:val="clear" w:color="auto" w:fill="9CC2E5" w:themeFill="accent1" w:themeFillTint="99"/>
            <w:noWrap/>
            <w:hideMark/>
          </w:tcPr>
          <w:p w14:paraId="4C0A6457" w14:textId="23000DB6" w:rsidR="00D0442A" w:rsidRPr="001F7603" w:rsidRDefault="0090051F" w:rsidP="00D0442A">
            <w:pPr>
              <w:spacing w:after="0"/>
              <w:ind w:firstLine="360"/>
              <w:jc w:val="center"/>
              <w:rPr>
                <w:b/>
                <w:bCs/>
                <w:sz w:val="18"/>
                <w:szCs w:val="18"/>
              </w:rPr>
            </w:pPr>
            <w:r>
              <w:rPr>
                <w:b/>
                <w:bCs/>
                <w:sz w:val="18"/>
                <w:szCs w:val="18"/>
              </w:rPr>
              <w:t>Latvija</w:t>
            </w:r>
          </w:p>
        </w:tc>
        <w:tc>
          <w:tcPr>
            <w:tcW w:w="1872" w:type="dxa"/>
            <w:gridSpan w:val="2"/>
            <w:tcBorders>
              <w:top w:val="single" w:sz="4" w:space="0" w:color="auto"/>
              <w:left w:val="double" w:sz="4" w:space="0" w:color="auto"/>
              <w:bottom w:val="single" w:sz="4" w:space="0" w:color="auto"/>
              <w:right w:val="double" w:sz="4" w:space="0" w:color="auto"/>
            </w:tcBorders>
            <w:shd w:val="clear" w:color="auto" w:fill="9CC2E5" w:themeFill="accent1" w:themeFillTint="99"/>
          </w:tcPr>
          <w:p w14:paraId="45B82BD5" w14:textId="303602F1" w:rsidR="00D0442A" w:rsidRPr="001F7603" w:rsidRDefault="0090051F" w:rsidP="0090051F">
            <w:pPr>
              <w:spacing w:after="0"/>
              <w:ind w:firstLine="0"/>
              <w:jc w:val="center"/>
              <w:rPr>
                <w:b/>
                <w:bCs/>
                <w:sz w:val="18"/>
                <w:szCs w:val="18"/>
              </w:rPr>
            </w:pPr>
            <w:r>
              <w:rPr>
                <w:b/>
                <w:bCs/>
                <w:sz w:val="18"/>
                <w:szCs w:val="18"/>
              </w:rPr>
              <w:t>Eiropas Komisija</w:t>
            </w:r>
            <w:r w:rsidR="00D0442A" w:rsidRPr="001F7603">
              <w:rPr>
                <w:b/>
                <w:bCs/>
                <w:sz w:val="18"/>
                <w:szCs w:val="18"/>
              </w:rPr>
              <w:br/>
            </w:r>
            <w:r w:rsidR="00D0442A" w:rsidRPr="001F7603">
              <w:rPr>
                <w:bCs/>
                <w:sz w:val="18"/>
                <w:szCs w:val="18"/>
              </w:rPr>
              <w:t>(pavasaris 202</w:t>
            </w:r>
            <w:r w:rsidR="00D0442A">
              <w:rPr>
                <w:bCs/>
                <w:sz w:val="18"/>
                <w:szCs w:val="18"/>
              </w:rPr>
              <w:t>1</w:t>
            </w:r>
            <w:r w:rsidR="00D0442A" w:rsidRPr="001F7603">
              <w:rPr>
                <w:bCs/>
                <w:sz w:val="18"/>
                <w:szCs w:val="18"/>
              </w:rPr>
              <w:t>)</w:t>
            </w:r>
            <w:r w:rsidR="00D0442A">
              <w:rPr>
                <w:rStyle w:val="FootnoteReference"/>
                <w:bCs/>
                <w:sz w:val="18"/>
                <w:szCs w:val="18"/>
              </w:rPr>
              <w:footnoteReference w:id="16"/>
            </w:r>
          </w:p>
        </w:tc>
        <w:tc>
          <w:tcPr>
            <w:tcW w:w="1872" w:type="dxa"/>
            <w:gridSpan w:val="2"/>
            <w:tcBorders>
              <w:top w:val="single" w:sz="4" w:space="0" w:color="auto"/>
              <w:left w:val="double" w:sz="4" w:space="0" w:color="auto"/>
              <w:bottom w:val="single" w:sz="4" w:space="0" w:color="auto"/>
              <w:right w:val="single" w:sz="4" w:space="0" w:color="auto"/>
            </w:tcBorders>
            <w:shd w:val="clear" w:color="auto" w:fill="9CC2E5" w:themeFill="accent1" w:themeFillTint="99"/>
          </w:tcPr>
          <w:p w14:paraId="45765622" w14:textId="77777777" w:rsidR="00D0442A" w:rsidRPr="001F7603" w:rsidRDefault="00D0442A" w:rsidP="0090051F">
            <w:pPr>
              <w:spacing w:after="0"/>
              <w:ind w:firstLine="0"/>
              <w:jc w:val="center"/>
              <w:rPr>
                <w:b/>
                <w:bCs/>
                <w:sz w:val="18"/>
                <w:szCs w:val="18"/>
              </w:rPr>
            </w:pPr>
            <w:r w:rsidRPr="001F7603">
              <w:rPr>
                <w:b/>
                <w:bCs/>
                <w:sz w:val="18"/>
                <w:szCs w:val="18"/>
              </w:rPr>
              <w:t>Starpība</w:t>
            </w:r>
            <w:r w:rsidRPr="001F7603">
              <w:rPr>
                <w:b/>
                <w:bCs/>
                <w:sz w:val="18"/>
                <w:szCs w:val="18"/>
              </w:rPr>
              <w:br/>
            </w:r>
            <w:r w:rsidRPr="001F7603">
              <w:rPr>
                <w:bCs/>
                <w:sz w:val="18"/>
                <w:szCs w:val="18"/>
              </w:rPr>
              <w:t>(procentpunktos)</w:t>
            </w:r>
          </w:p>
        </w:tc>
      </w:tr>
      <w:tr w:rsidR="00D0442A" w:rsidRPr="00842D51" w14:paraId="095F4209" w14:textId="77777777" w:rsidTr="00D0442A">
        <w:trPr>
          <w:trHeight w:val="244"/>
          <w:jc w:val="center"/>
        </w:trPr>
        <w:tc>
          <w:tcPr>
            <w:tcW w:w="297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tcPr>
          <w:p w14:paraId="29D8D166" w14:textId="77777777" w:rsidR="00D0442A" w:rsidRPr="001F7603" w:rsidRDefault="00D0442A" w:rsidP="00D0442A">
            <w:pPr>
              <w:spacing w:after="0"/>
              <w:ind w:firstLine="360"/>
              <w:jc w:val="left"/>
              <w:rPr>
                <w:color w:val="000000"/>
                <w:sz w:val="18"/>
                <w:szCs w:val="18"/>
              </w:rPr>
            </w:pPr>
          </w:p>
        </w:tc>
        <w:tc>
          <w:tcPr>
            <w:tcW w:w="936"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tcPr>
          <w:p w14:paraId="7DE60A92" w14:textId="77777777" w:rsidR="00D0442A" w:rsidRPr="001F7603" w:rsidRDefault="00D0442A" w:rsidP="00D0442A">
            <w:pPr>
              <w:spacing w:after="0"/>
              <w:ind w:firstLine="360"/>
              <w:jc w:val="center"/>
              <w:rPr>
                <w:b/>
                <w:bCs/>
                <w:sz w:val="18"/>
                <w:szCs w:val="18"/>
              </w:rPr>
            </w:pPr>
            <w:r w:rsidRPr="001F7603">
              <w:rPr>
                <w:b/>
                <w:bCs/>
                <w:sz w:val="18"/>
                <w:szCs w:val="18"/>
              </w:rPr>
              <w:t>202</w:t>
            </w:r>
            <w:r>
              <w:rPr>
                <w:b/>
                <w:bCs/>
                <w:sz w:val="18"/>
                <w:szCs w:val="18"/>
              </w:rPr>
              <w:t>1</w:t>
            </w:r>
          </w:p>
        </w:tc>
        <w:tc>
          <w:tcPr>
            <w:tcW w:w="936" w:type="dxa"/>
            <w:tcBorders>
              <w:top w:val="single" w:sz="4" w:space="0" w:color="auto"/>
              <w:left w:val="nil"/>
              <w:bottom w:val="single" w:sz="4" w:space="0" w:color="auto"/>
              <w:right w:val="double" w:sz="4" w:space="0" w:color="auto"/>
            </w:tcBorders>
            <w:shd w:val="clear" w:color="auto" w:fill="9CC2E5" w:themeFill="accent1" w:themeFillTint="99"/>
          </w:tcPr>
          <w:p w14:paraId="7D307F0B" w14:textId="77777777" w:rsidR="00D0442A" w:rsidRPr="001F7603" w:rsidRDefault="00D0442A" w:rsidP="00D0442A">
            <w:pPr>
              <w:spacing w:after="0"/>
              <w:ind w:firstLine="360"/>
              <w:jc w:val="center"/>
              <w:rPr>
                <w:b/>
                <w:bCs/>
                <w:sz w:val="18"/>
                <w:szCs w:val="18"/>
              </w:rPr>
            </w:pPr>
            <w:r w:rsidRPr="001F7603">
              <w:rPr>
                <w:b/>
                <w:bCs/>
                <w:sz w:val="18"/>
                <w:szCs w:val="18"/>
              </w:rPr>
              <w:t>202</w:t>
            </w:r>
            <w:r>
              <w:rPr>
                <w:b/>
                <w:bCs/>
                <w:sz w:val="18"/>
                <w:szCs w:val="18"/>
              </w:rPr>
              <w:t>2</w:t>
            </w:r>
          </w:p>
        </w:tc>
        <w:tc>
          <w:tcPr>
            <w:tcW w:w="936" w:type="dxa"/>
            <w:tcBorders>
              <w:top w:val="single" w:sz="4" w:space="0" w:color="auto"/>
              <w:left w:val="double" w:sz="4" w:space="0" w:color="auto"/>
              <w:bottom w:val="single" w:sz="4" w:space="0" w:color="auto"/>
              <w:right w:val="single" w:sz="4" w:space="0" w:color="auto"/>
            </w:tcBorders>
            <w:shd w:val="clear" w:color="auto" w:fill="9CC2E5" w:themeFill="accent1" w:themeFillTint="99"/>
          </w:tcPr>
          <w:p w14:paraId="4886BA83" w14:textId="77777777" w:rsidR="00D0442A" w:rsidRPr="001F7603" w:rsidRDefault="00D0442A" w:rsidP="00D0442A">
            <w:pPr>
              <w:spacing w:after="0"/>
              <w:ind w:firstLine="360"/>
              <w:jc w:val="center"/>
              <w:rPr>
                <w:b/>
                <w:bCs/>
                <w:sz w:val="18"/>
                <w:szCs w:val="18"/>
              </w:rPr>
            </w:pPr>
            <w:r w:rsidRPr="001F7603">
              <w:rPr>
                <w:b/>
                <w:bCs/>
                <w:sz w:val="18"/>
                <w:szCs w:val="18"/>
              </w:rPr>
              <w:t>202</w:t>
            </w:r>
            <w:r>
              <w:rPr>
                <w:b/>
                <w:bCs/>
                <w:sz w:val="18"/>
                <w:szCs w:val="18"/>
              </w:rPr>
              <w:t>1</w:t>
            </w:r>
          </w:p>
        </w:tc>
        <w:tc>
          <w:tcPr>
            <w:tcW w:w="936" w:type="dxa"/>
            <w:tcBorders>
              <w:top w:val="single" w:sz="4" w:space="0" w:color="auto"/>
              <w:left w:val="single" w:sz="4" w:space="0" w:color="auto"/>
              <w:bottom w:val="single" w:sz="4" w:space="0" w:color="auto"/>
              <w:right w:val="double" w:sz="4" w:space="0" w:color="auto"/>
            </w:tcBorders>
            <w:shd w:val="clear" w:color="auto" w:fill="9CC2E5" w:themeFill="accent1" w:themeFillTint="99"/>
            <w:noWrap/>
          </w:tcPr>
          <w:p w14:paraId="73AE149F" w14:textId="77777777" w:rsidR="00D0442A" w:rsidRPr="001F7603" w:rsidRDefault="00D0442A" w:rsidP="00D0442A">
            <w:pPr>
              <w:spacing w:after="0"/>
              <w:ind w:firstLine="360"/>
              <w:jc w:val="center"/>
              <w:rPr>
                <w:b/>
                <w:bCs/>
                <w:sz w:val="18"/>
                <w:szCs w:val="18"/>
              </w:rPr>
            </w:pPr>
            <w:r w:rsidRPr="001F7603">
              <w:rPr>
                <w:b/>
                <w:bCs/>
                <w:sz w:val="18"/>
                <w:szCs w:val="18"/>
              </w:rPr>
              <w:t>202</w:t>
            </w:r>
            <w:r>
              <w:rPr>
                <w:b/>
                <w:bCs/>
                <w:sz w:val="18"/>
                <w:szCs w:val="18"/>
              </w:rPr>
              <w:t>2</w:t>
            </w:r>
          </w:p>
        </w:tc>
        <w:tc>
          <w:tcPr>
            <w:tcW w:w="936" w:type="dxa"/>
            <w:tcBorders>
              <w:top w:val="single" w:sz="4" w:space="0" w:color="auto"/>
              <w:left w:val="double" w:sz="4" w:space="0" w:color="auto"/>
              <w:bottom w:val="single" w:sz="4" w:space="0" w:color="auto"/>
              <w:right w:val="single" w:sz="4" w:space="0" w:color="auto"/>
            </w:tcBorders>
            <w:shd w:val="clear" w:color="auto" w:fill="9CC2E5" w:themeFill="accent1" w:themeFillTint="99"/>
          </w:tcPr>
          <w:p w14:paraId="7859FA37" w14:textId="77777777" w:rsidR="00D0442A" w:rsidRPr="001F7603" w:rsidRDefault="00D0442A" w:rsidP="00D0442A">
            <w:pPr>
              <w:spacing w:after="0"/>
              <w:ind w:firstLine="360"/>
              <w:jc w:val="center"/>
              <w:rPr>
                <w:b/>
                <w:bCs/>
                <w:sz w:val="18"/>
                <w:szCs w:val="18"/>
              </w:rPr>
            </w:pPr>
            <w:r w:rsidRPr="001F7603">
              <w:rPr>
                <w:b/>
                <w:bCs/>
                <w:sz w:val="18"/>
                <w:szCs w:val="18"/>
              </w:rPr>
              <w:t>202</w:t>
            </w:r>
            <w:r>
              <w:rPr>
                <w:b/>
                <w:bCs/>
                <w:sz w:val="18"/>
                <w:szCs w:val="18"/>
              </w:rPr>
              <w:t>1</w:t>
            </w:r>
          </w:p>
        </w:tc>
        <w:tc>
          <w:tcPr>
            <w:tcW w:w="936"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tcPr>
          <w:p w14:paraId="2EE103E5" w14:textId="77777777" w:rsidR="00D0442A" w:rsidRPr="001F7603" w:rsidRDefault="00D0442A" w:rsidP="00D0442A">
            <w:pPr>
              <w:spacing w:after="0"/>
              <w:ind w:firstLine="360"/>
              <w:jc w:val="center"/>
              <w:rPr>
                <w:b/>
                <w:bCs/>
                <w:sz w:val="18"/>
                <w:szCs w:val="18"/>
              </w:rPr>
            </w:pPr>
            <w:r w:rsidRPr="001F7603">
              <w:rPr>
                <w:b/>
                <w:bCs/>
                <w:sz w:val="18"/>
                <w:szCs w:val="18"/>
              </w:rPr>
              <w:t>202</w:t>
            </w:r>
            <w:r>
              <w:rPr>
                <w:b/>
                <w:bCs/>
                <w:sz w:val="18"/>
                <w:szCs w:val="18"/>
              </w:rPr>
              <w:t>2</w:t>
            </w:r>
          </w:p>
        </w:tc>
      </w:tr>
      <w:tr w:rsidR="00D0442A" w:rsidRPr="00842D51" w14:paraId="1F720B75" w14:textId="77777777" w:rsidTr="00D0442A">
        <w:trPr>
          <w:trHeight w:val="165"/>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4FE94" w14:textId="77777777" w:rsidR="00D0442A" w:rsidRPr="001F7603" w:rsidRDefault="00D0442A" w:rsidP="00D0442A">
            <w:pPr>
              <w:spacing w:after="0"/>
              <w:ind w:firstLine="0"/>
              <w:jc w:val="left"/>
              <w:rPr>
                <w:b/>
                <w:bCs/>
                <w:sz w:val="18"/>
                <w:szCs w:val="18"/>
              </w:rPr>
            </w:pPr>
            <w:r w:rsidRPr="001F7603">
              <w:rPr>
                <w:b/>
                <w:bCs/>
                <w:sz w:val="18"/>
                <w:szCs w:val="18"/>
              </w:rPr>
              <w:t>Vispārējās valdības budžeta bilance</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74D27" w14:textId="77777777" w:rsidR="00D0442A" w:rsidRPr="00AB08BB" w:rsidRDefault="00D0442A" w:rsidP="00D0442A">
            <w:pPr>
              <w:spacing w:after="0"/>
              <w:ind w:firstLine="360"/>
              <w:jc w:val="right"/>
              <w:rPr>
                <w:b/>
                <w:sz w:val="18"/>
                <w:szCs w:val="18"/>
                <w:highlight w:val="yellow"/>
              </w:rPr>
            </w:pPr>
            <w:r>
              <w:rPr>
                <w:b/>
                <w:bCs/>
                <w:color w:val="000000"/>
                <w:sz w:val="18"/>
                <w:szCs w:val="18"/>
              </w:rPr>
              <w:t>-9,3</w:t>
            </w:r>
          </w:p>
        </w:tc>
        <w:tc>
          <w:tcPr>
            <w:tcW w:w="936" w:type="dxa"/>
            <w:tcBorders>
              <w:top w:val="single" w:sz="4" w:space="0" w:color="auto"/>
              <w:left w:val="nil"/>
              <w:bottom w:val="single" w:sz="4" w:space="0" w:color="auto"/>
              <w:right w:val="double" w:sz="4" w:space="0" w:color="auto"/>
            </w:tcBorders>
            <w:shd w:val="clear" w:color="auto" w:fill="auto"/>
            <w:vAlign w:val="center"/>
          </w:tcPr>
          <w:p w14:paraId="3D37C5C2" w14:textId="77777777" w:rsidR="00D0442A" w:rsidRPr="00AB08BB" w:rsidRDefault="00D0442A" w:rsidP="00D0442A">
            <w:pPr>
              <w:spacing w:after="0"/>
              <w:ind w:firstLine="360"/>
              <w:jc w:val="right"/>
              <w:rPr>
                <w:b/>
                <w:sz w:val="18"/>
                <w:szCs w:val="18"/>
                <w:highlight w:val="yellow"/>
              </w:rPr>
            </w:pPr>
            <w:r>
              <w:rPr>
                <w:b/>
                <w:bCs/>
                <w:color w:val="000000"/>
                <w:sz w:val="18"/>
                <w:szCs w:val="18"/>
              </w:rPr>
              <w:t>-4,8</w:t>
            </w:r>
          </w:p>
        </w:tc>
        <w:tc>
          <w:tcPr>
            <w:tcW w:w="936" w:type="dxa"/>
            <w:tcBorders>
              <w:top w:val="single" w:sz="4" w:space="0" w:color="auto"/>
              <w:left w:val="double" w:sz="4" w:space="0" w:color="auto"/>
              <w:bottom w:val="single" w:sz="4" w:space="0" w:color="auto"/>
              <w:right w:val="single" w:sz="4" w:space="0" w:color="auto"/>
            </w:tcBorders>
            <w:shd w:val="clear" w:color="auto" w:fill="auto"/>
            <w:vAlign w:val="center"/>
          </w:tcPr>
          <w:p w14:paraId="1FAA6F3B" w14:textId="77777777" w:rsidR="00D0442A" w:rsidRPr="001F7603" w:rsidRDefault="00D0442A" w:rsidP="00D0442A">
            <w:pPr>
              <w:spacing w:after="0"/>
              <w:ind w:firstLine="360"/>
              <w:jc w:val="right"/>
              <w:rPr>
                <w:b/>
                <w:sz w:val="18"/>
                <w:szCs w:val="18"/>
              </w:rPr>
            </w:pPr>
            <w:r>
              <w:rPr>
                <w:b/>
                <w:bCs/>
                <w:color w:val="000000"/>
                <w:sz w:val="18"/>
                <w:szCs w:val="18"/>
              </w:rPr>
              <w:t>-7,3</w:t>
            </w:r>
          </w:p>
        </w:tc>
        <w:tc>
          <w:tcPr>
            <w:tcW w:w="936"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6879F669" w14:textId="77777777" w:rsidR="00D0442A" w:rsidRPr="001F7603" w:rsidRDefault="00D0442A" w:rsidP="00D0442A">
            <w:pPr>
              <w:spacing w:after="0"/>
              <w:ind w:firstLine="360"/>
              <w:jc w:val="right"/>
              <w:rPr>
                <w:b/>
                <w:sz w:val="18"/>
                <w:szCs w:val="18"/>
              </w:rPr>
            </w:pPr>
            <w:r>
              <w:rPr>
                <w:b/>
                <w:bCs/>
                <w:color w:val="000000"/>
                <w:sz w:val="18"/>
                <w:szCs w:val="18"/>
              </w:rPr>
              <w:t>-2,0</w:t>
            </w:r>
          </w:p>
        </w:tc>
        <w:tc>
          <w:tcPr>
            <w:tcW w:w="936" w:type="dxa"/>
            <w:tcBorders>
              <w:top w:val="single" w:sz="4" w:space="0" w:color="auto"/>
              <w:left w:val="double" w:sz="4" w:space="0" w:color="auto"/>
              <w:bottom w:val="single" w:sz="4" w:space="0" w:color="auto"/>
              <w:right w:val="single" w:sz="4" w:space="0" w:color="auto"/>
            </w:tcBorders>
            <w:shd w:val="clear" w:color="auto" w:fill="auto"/>
            <w:vAlign w:val="center"/>
          </w:tcPr>
          <w:p w14:paraId="29EEFB07" w14:textId="77777777" w:rsidR="00D0442A" w:rsidRPr="001F7603" w:rsidRDefault="00D0442A" w:rsidP="00D0442A">
            <w:pPr>
              <w:spacing w:after="0"/>
              <w:ind w:firstLine="360"/>
              <w:jc w:val="right"/>
              <w:rPr>
                <w:b/>
                <w:bCs/>
                <w:color w:val="000000"/>
                <w:sz w:val="18"/>
                <w:szCs w:val="18"/>
              </w:rPr>
            </w:pPr>
            <w:r>
              <w:rPr>
                <w:b/>
                <w:bCs/>
                <w:color w:val="000000"/>
                <w:sz w:val="18"/>
                <w:szCs w:val="18"/>
              </w:rPr>
              <w:t>2,0</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11010" w14:textId="77777777" w:rsidR="00D0442A" w:rsidRPr="001F7603" w:rsidRDefault="00D0442A" w:rsidP="00D0442A">
            <w:pPr>
              <w:spacing w:after="0"/>
              <w:ind w:firstLine="360"/>
              <w:jc w:val="right"/>
              <w:rPr>
                <w:b/>
                <w:bCs/>
                <w:color w:val="000000"/>
                <w:sz w:val="18"/>
                <w:szCs w:val="18"/>
              </w:rPr>
            </w:pPr>
            <w:r>
              <w:rPr>
                <w:b/>
                <w:bCs/>
                <w:color w:val="000000"/>
                <w:sz w:val="18"/>
                <w:szCs w:val="18"/>
              </w:rPr>
              <w:t>2,8</w:t>
            </w:r>
          </w:p>
        </w:tc>
      </w:tr>
      <w:tr w:rsidR="00D0442A" w:rsidRPr="00842D51" w14:paraId="101E82AF" w14:textId="77777777" w:rsidTr="00D0442A">
        <w:trPr>
          <w:trHeight w:val="64"/>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E5294" w14:textId="77777777" w:rsidR="00D0442A" w:rsidRPr="001F7603" w:rsidRDefault="00D0442A" w:rsidP="00D0442A">
            <w:pPr>
              <w:spacing w:after="0"/>
              <w:ind w:firstLine="0"/>
              <w:rPr>
                <w:b/>
                <w:sz w:val="18"/>
                <w:szCs w:val="18"/>
              </w:rPr>
            </w:pPr>
            <w:r w:rsidRPr="001F7603">
              <w:rPr>
                <w:b/>
                <w:sz w:val="18"/>
                <w:szCs w:val="18"/>
              </w:rPr>
              <w:t>Ieņēmumi</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22F81F" w14:textId="77777777" w:rsidR="00D0442A" w:rsidRPr="00AB08BB" w:rsidRDefault="00D0442A" w:rsidP="00D0442A">
            <w:pPr>
              <w:spacing w:after="0"/>
              <w:ind w:firstLine="360"/>
              <w:jc w:val="right"/>
              <w:rPr>
                <w:b/>
                <w:sz w:val="18"/>
                <w:szCs w:val="18"/>
                <w:highlight w:val="yellow"/>
              </w:rPr>
            </w:pPr>
            <w:r>
              <w:rPr>
                <w:b/>
                <w:bCs/>
                <w:color w:val="000000"/>
                <w:sz w:val="18"/>
                <w:szCs w:val="18"/>
              </w:rPr>
              <w:t>38,5</w:t>
            </w:r>
          </w:p>
        </w:tc>
        <w:tc>
          <w:tcPr>
            <w:tcW w:w="936" w:type="dxa"/>
            <w:tcBorders>
              <w:top w:val="single" w:sz="4" w:space="0" w:color="auto"/>
              <w:left w:val="nil"/>
              <w:bottom w:val="single" w:sz="4" w:space="0" w:color="auto"/>
              <w:right w:val="double" w:sz="4" w:space="0" w:color="auto"/>
            </w:tcBorders>
            <w:shd w:val="clear" w:color="auto" w:fill="auto"/>
            <w:vAlign w:val="center"/>
          </w:tcPr>
          <w:p w14:paraId="11957696" w14:textId="77777777" w:rsidR="00D0442A" w:rsidRPr="00AB08BB" w:rsidRDefault="00D0442A" w:rsidP="00D0442A">
            <w:pPr>
              <w:spacing w:after="0"/>
              <w:ind w:firstLine="360"/>
              <w:jc w:val="right"/>
              <w:rPr>
                <w:b/>
                <w:sz w:val="18"/>
                <w:szCs w:val="18"/>
                <w:highlight w:val="yellow"/>
              </w:rPr>
            </w:pPr>
            <w:r>
              <w:rPr>
                <w:b/>
                <w:bCs/>
                <w:color w:val="000000"/>
                <w:sz w:val="18"/>
                <w:szCs w:val="18"/>
              </w:rPr>
              <w:t>38,8</w:t>
            </w:r>
          </w:p>
        </w:tc>
        <w:tc>
          <w:tcPr>
            <w:tcW w:w="936" w:type="dxa"/>
            <w:tcBorders>
              <w:top w:val="single" w:sz="4" w:space="0" w:color="auto"/>
              <w:left w:val="double" w:sz="4" w:space="0" w:color="auto"/>
              <w:bottom w:val="single" w:sz="4" w:space="0" w:color="auto"/>
              <w:right w:val="single" w:sz="4" w:space="0" w:color="auto"/>
            </w:tcBorders>
            <w:vAlign w:val="center"/>
          </w:tcPr>
          <w:p w14:paraId="2DF30A3F" w14:textId="77777777" w:rsidR="00D0442A" w:rsidRPr="001F7603" w:rsidRDefault="00D0442A" w:rsidP="00D0442A">
            <w:pPr>
              <w:spacing w:after="0"/>
              <w:ind w:firstLine="360"/>
              <w:jc w:val="right"/>
              <w:rPr>
                <w:b/>
                <w:sz w:val="18"/>
                <w:szCs w:val="18"/>
              </w:rPr>
            </w:pPr>
            <w:r>
              <w:rPr>
                <w:b/>
                <w:bCs/>
                <w:color w:val="000000"/>
                <w:sz w:val="18"/>
                <w:szCs w:val="18"/>
              </w:rPr>
              <w:t>39,6</w:t>
            </w:r>
          </w:p>
        </w:tc>
        <w:tc>
          <w:tcPr>
            <w:tcW w:w="93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FDCDDBD" w14:textId="77777777" w:rsidR="00D0442A" w:rsidRPr="001F7603" w:rsidRDefault="00D0442A" w:rsidP="00D0442A">
            <w:pPr>
              <w:spacing w:after="0"/>
              <w:ind w:firstLine="360"/>
              <w:jc w:val="right"/>
              <w:rPr>
                <w:b/>
                <w:sz w:val="18"/>
                <w:szCs w:val="18"/>
              </w:rPr>
            </w:pPr>
            <w:r>
              <w:rPr>
                <w:b/>
                <w:bCs/>
                <w:color w:val="000000"/>
                <w:sz w:val="18"/>
                <w:szCs w:val="18"/>
              </w:rPr>
              <w:t>39,7</w:t>
            </w:r>
          </w:p>
        </w:tc>
        <w:tc>
          <w:tcPr>
            <w:tcW w:w="936" w:type="dxa"/>
            <w:tcBorders>
              <w:top w:val="single" w:sz="4" w:space="0" w:color="auto"/>
              <w:left w:val="double" w:sz="4" w:space="0" w:color="auto"/>
              <w:bottom w:val="single" w:sz="4" w:space="0" w:color="auto"/>
              <w:right w:val="single" w:sz="4" w:space="0" w:color="auto"/>
            </w:tcBorders>
            <w:vAlign w:val="center"/>
          </w:tcPr>
          <w:p w14:paraId="3733871C" w14:textId="77777777" w:rsidR="00D0442A" w:rsidRPr="001F7603" w:rsidRDefault="00D0442A" w:rsidP="00D0442A">
            <w:pPr>
              <w:spacing w:after="0"/>
              <w:ind w:firstLine="360"/>
              <w:jc w:val="right"/>
              <w:rPr>
                <w:b/>
                <w:bCs/>
                <w:color w:val="000000"/>
                <w:sz w:val="18"/>
                <w:szCs w:val="18"/>
              </w:rPr>
            </w:pPr>
            <w:r>
              <w:rPr>
                <w:b/>
                <w:bCs/>
                <w:color w:val="000000"/>
                <w:sz w:val="18"/>
                <w:szCs w:val="18"/>
              </w:rPr>
              <w:t>1,1</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302C8" w14:textId="77777777" w:rsidR="00D0442A" w:rsidRPr="001F7603" w:rsidRDefault="00D0442A" w:rsidP="00D0442A">
            <w:pPr>
              <w:spacing w:after="0"/>
              <w:ind w:firstLine="360"/>
              <w:jc w:val="right"/>
              <w:rPr>
                <w:b/>
                <w:bCs/>
                <w:color w:val="000000"/>
                <w:sz w:val="18"/>
                <w:szCs w:val="18"/>
              </w:rPr>
            </w:pPr>
            <w:r>
              <w:rPr>
                <w:b/>
                <w:bCs/>
                <w:color w:val="000000"/>
                <w:sz w:val="18"/>
                <w:szCs w:val="18"/>
              </w:rPr>
              <w:t>0,9</w:t>
            </w:r>
          </w:p>
        </w:tc>
      </w:tr>
      <w:tr w:rsidR="00D0442A" w:rsidRPr="00842D51" w14:paraId="30D70DF7" w14:textId="77777777" w:rsidTr="00D0442A">
        <w:trPr>
          <w:trHeight w:val="70"/>
          <w:jc w:val="center"/>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7D8826BF" w14:textId="77777777" w:rsidR="00D0442A" w:rsidRPr="001F7603" w:rsidRDefault="00D0442A" w:rsidP="00D0442A">
            <w:pPr>
              <w:spacing w:after="0"/>
              <w:ind w:firstLine="360"/>
              <w:rPr>
                <w:sz w:val="18"/>
                <w:szCs w:val="18"/>
              </w:rPr>
            </w:pPr>
            <w:r w:rsidRPr="001F7603">
              <w:rPr>
                <w:sz w:val="18"/>
                <w:szCs w:val="18"/>
              </w:rPr>
              <w:t>Nodokļu ieņēmumi</w:t>
            </w:r>
            <w:r w:rsidRPr="00A7167A">
              <w:rPr>
                <w:rStyle w:val="FootnoteReference"/>
                <w:sz w:val="18"/>
                <w:szCs w:val="18"/>
              </w:rPr>
              <w:footnoteReference w:id="17"/>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36FE9" w14:textId="77777777" w:rsidR="00D0442A" w:rsidRPr="00AB08BB" w:rsidRDefault="00D0442A" w:rsidP="00D0442A">
            <w:pPr>
              <w:spacing w:after="0"/>
              <w:ind w:firstLine="360"/>
              <w:jc w:val="right"/>
              <w:rPr>
                <w:sz w:val="18"/>
                <w:szCs w:val="18"/>
                <w:highlight w:val="yellow"/>
              </w:rPr>
            </w:pPr>
            <w:r>
              <w:rPr>
                <w:color w:val="000000"/>
                <w:sz w:val="18"/>
                <w:szCs w:val="18"/>
              </w:rPr>
              <w:t>31,4</w:t>
            </w:r>
          </w:p>
        </w:tc>
        <w:tc>
          <w:tcPr>
            <w:tcW w:w="936" w:type="dxa"/>
            <w:tcBorders>
              <w:top w:val="single" w:sz="4" w:space="0" w:color="auto"/>
              <w:left w:val="nil"/>
              <w:bottom w:val="single" w:sz="4" w:space="0" w:color="auto"/>
              <w:right w:val="double" w:sz="4" w:space="0" w:color="auto"/>
            </w:tcBorders>
            <w:shd w:val="clear" w:color="auto" w:fill="auto"/>
            <w:vAlign w:val="center"/>
          </w:tcPr>
          <w:p w14:paraId="152927AC" w14:textId="77777777" w:rsidR="00D0442A" w:rsidRPr="00AB08BB" w:rsidRDefault="00D0442A" w:rsidP="00D0442A">
            <w:pPr>
              <w:spacing w:after="0"/>
              <w:ind w:firstLine="360"/>
              <w:jc w:val="right"/>
              <w:rPr>
                <w:sz w:val="18"/>
                <w:szCs w:val="18"/>
                <w:highlight w:val="yellow"/>
              </w:rPr>
            </w:pPr>
            <w:r>
              <w:rPr>
                <w:color w:val="000000"/>
                <w:sz w:val="18"/>
                <w:szCs w:val="18"/>
              </w:rPr>
              <w:t>30,8</w:t>
            </w:r>
          </w:p>
        </w:tc>
        <w:tc>
          <w:tcPr>
            <w:tcW w:w="936" w:type="dxa"/>
            <w:tcBorders>
              <w:top w:val="single" w:sz="4" w:space="0" w:color="auto"/>
              <w:left w:val="double" w:sz="4" w:space="0" w:color="auto"/>
              <w:bottom w:val="single" w:sz="4" w:space="0" w:color="auto"/>
              <w:right w:val="single" w:sz="4" w:space="0" w:color="auto"/>
            </w:tcBorders>
            <w:vAlign w:val="center"/>
          </w:tcPr>
          <w:p w14:paraId="66E3A5DB" w14:textId="77777777" w:rsidR="00D0442A" w:rsidRPr="001F7603" w:rsidRDefault="00D0442A" w:rsidP="00D0442A">
            <w:pPr>
              <w:spacing w:after="0"/>
              <w:ind w:firstLine="360"/>
              <w:jc w:val="right"/>
              <w:rPr>
                <w:sz w:val="18"/>
                <w:szCs w:val="18"/>
              </w:rPr>
            </w:pPr>
            <w:r>
              <w:rPr>
                <w:color w:val="000000"/>
                <w:sz w:val="18"/>
                <w:szCs w:val="18"/>
              </w:rPr>
              <w:t>31,7</w:t>
            </w:r>
          </w:p>
        </w:tc>
        <w:tc>
          <w:tcPr>
            <w:tcW w:w="93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465EC17D" w14:textId="77777777" w:rsidR="00D0442A" w:rsidRPr="001F7603" w:rsidRDefault="00D0442A" w:rsidP="00D0442A">
            <w:pPr>
              <w:spacing w:after="0"/>
              <w:ind w:firstLine="360"/>
              <w:jc w:val="right"/>
              <w:rPr>
                <w:sz w:val="18"/>
                <w:szCs w:val="18"/>
              </w:rPr>
            </w:pPr>
            <w:r>
              <w:rPr>
                <w:color w:val="000000"/>
                <w:sz w:val="18"/>
                <w:szCs w:val="18"/>
              </w:rPr>
              <w:t>31,6</w:t>
            </w:r>
          </w:p>
        </w:tc>
        <w:tc>
          <w:tcPr>
            <w:tcW w:w="936" w:type="dxa"/>
            <w:tcBorders>
              <w:top w:val="single" w:sz="4" w:space="0" w:color="auto"/>
              <w:left w:val="double" w:sz="4" w:space="0" w:color="auto"/>
              <w:bottom w:val="single" w:sz="4" w:space="0" w:color="auto"/>
              <w:right w:val="single" w:sz="4" w:space="0" w:color="auto"/>
            </w:tcBorders>
            <w:vAlign w:val="center"/>
          </w:tcPr>
          <w:p w14:paraId="3C31A6B6" w14:textId="77777777" w:rsidR="00D0442A" w:rsidRPr="001F7603" w:rsidRDefault="00D0442A" w:rsidP="00D0442A">
            <w:pPr>
              <w:spacing w:after="0"/>
              <w:ind w:firstLine="360"/>
              <w:jc w:val="right"/>
              <w:rPr>
                <w:bCs/>
                <w:color w:val="000000"/>
                <w:sz w:val="18"/>
                <w:szCs w:val="18"/>
              </w:rPr>
            </w:pPr>
            <w:r>
              <w:rPr>
                <w:color w:val="000000"/>
                <w:sz w:val="18"/>
                <w:szCs w:val="18"/>
              </w:rPr>
              <w:t>0,3</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566D6" w14:textId="77777777" w:rsidR="00D0442A" w:rsidRPr="001F7603" w:rsidRDefault="00D0442A" w:rsidP="00D0442A">
            <w:pPr>
              <w:spacing w:after="0"/>
              <w:ind w:firstLine="360"/>
              <w:jc w:val="right"/>
              <w:rPr>
                <w:bCs/>
                <w:color w:val="000000"/>
                <w:sz w:val="18"/>
                <w:szCs w:val="18"/>
              </w:rPr>
            </w:pPr>
            <w:r>
              <w:rPr>
                <w:color w:val="000000"/>
                <w:sz w:val="18"/>
                <w:szCs w:val="18"/>
              </w:rPr>
              <w:t>0,8</w:t>
            </w:r>
          </w:p>
        </w:tc>
      </w:tr>
      <w:tr w:rsidR="00D0442A" w:rsidRPr="00842D51" w14:paraId="2BE7563C" w14:textId="77777777" w:rsidTr="00D0442A">
        <w:trPr>
          <w:trHeight w:val="70"/>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14:paraId="453F77A0" w14:textId="77777777" w:rsidR="00D0442A" w:rsidRPr="00AB08BB" w:rsidRDefault="00D0442A" w:rsidP="00D0442A">
            <w:pPr>
              <w:spacing w:after="0"/>
              <w:ind w:left="457" w:firstLine="360"/>
              <w:jc w:val="left"/>
              <w:rPr>
                <w:i/>
                <w:iCs/>
                <w:sz w:val="18"/>
                <w:szCs w:val="18"/>
              </w:rPr>
            </w:pPr>
            <w:r w:rsidRPr="00AB08BB">
              <w:rPr>
                <w:i/>
                <w:iCs/>
                <w:sz w:val="18"/>
                <w:szCs w:val="18"/>
              </w:rPr>
              <w:t>Ražošanas un importa nodokļi</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DD0620" w14:textId="77777777" w:rsidR="00D0442A" w:rsidRPr="00AB08BB" w:rsidRDefault="00D0442A" w:rsidP="00D0442A">
            <w:pPr>
              <w:spacing w:after="0"/>
              <w:ind w:firstLine="360"/>
              <w:jc w:val="right"/>
              <w:rPr>
                <w:color w:val="000000"/>
                <w:sz w:val="18"/>
                <w:szCs w:val="18"/>
                <w:highlight w:val="yellow"/>
              </w:rPr>
            </w:pPr>
            <w:r>
              <w:rPr>
                <w:i/>
                <w:iCs/>
                <w:color w:val="000000"/>
                <w:sz w:val="18"/>
                <w:szCs w:val="18"/>
              </w:rPr>
              <w:t>14,4</w:t>
            </w:r>
          </w:p>
        </w:tc>
        <w:tc>
          <w:tcPr>
            <w:tcW w:w="936" w:type="dxa"/>
            <w:tcBorders>
              <w:top w:val="single" w:sz="4" w:space="0" w:color="auto"/>
              <w:left w:val="nil"/>
              <w:bottom w:val="single" w:sz="4" w:space="0" w:color="auto"/>
              <w:right w:val="double" w:sz="4" w:space="0" w:color="auto"/>
            </w:tcBorders>
            <w:shd w:val="clear" w:color="auto" w:fill="auto"/>
            <w:vAlign w:val="center"/>
          </w:tcPr>
          <w:p w14:paraId="7040BAA9" w14:textId="77777777" w:rsidR="00D0442A" w:rsidRPr="00AB08BB" w:rsidRDefault="00D0442A" w:rsidP="00D0442A">
            <w:pPr>
              <w:spacing w:after="0"/>
              <w:ind w:firstLine="360"/>
              <w:jc w:val="right"/>
              <w:rPr>
                <w:color w:val="000000"/>
                <w:sz w:val="18"/>
                <w:szCs w:val="18"/>
                <w:highlight w:val="yellow"/>
              </w:rPr>
            </w:pPr>
            <w:r>
              <w:rPr>
                <w:i/>
                <w:iCs/>
                <w:color w:val="000000"/>
                <w:sz w:val="18"/>
                <w:szCs w:val="18"/>
              </w:rPr>
              <w:t>14,1</w:t>
            </w:r>
          </w:p>
        </w:tc>
        <w:tc>
          <w:tcPr>
            <w:tcW w:w="936" w:type="dxa"/>
            <w:tcBorders>
              <w:top w:val="single" w:sz="4" w:space="0" w:color="auto"/>
              <w:left w:val="double" w:sz="4" w:space="0" w:color="auto"/>
              <w:bottom w:val="single" w:sz="4" w:space="0" w:color="auto"/>
              <w:right w:val="single" w:sz="4" w:space="0" w:color="auto"/>
            </w:tcBorders>
            <w:vAlign w:val="center"/>
          </w:tcPr>
          <w:p w14:paraId="7E45D8B5" w14:textId="77777777" w:rsidR="00D0442A" w:rsidRDefault="00D0442A" w:rsidP="00D0442A">
            <w:pPr>
              <w:spacing w:after="0"/>
              <w:ind w:firstLine="360"/>
              <w:jc w:val="right"/>
              <w:rPr>
                <w:color w:val="000000"/>
                <w:sz w:val="18"/>
                <w:szCs w:val="18"/>
              </w:rPr>
            </w:pPr>
            <w:r>
              <w:rPr>
                <w:i/>
                <w:iCs/>
                <w:color w:val="000000"/>
                <w:sz w:val="18"/>
                <w:szCs w:val="18"/>
              </w:rPr>
              <w:t>14,4</w:t>
            </w:r>
          </w:p>
        </w:tc>
        <w:tc>
          <w:tcPr>
            <w:tcW w:w="93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8978692" w14:textId="77777777" w:rsidR="00D0442A" w:rsidRDefault="00D0442A" w:rsidP="00D0442A">
            <w:pPr>
              <w:spacing w:after="0"/>
              <w:ind w:firstLine="360"/>
              <w:jc w:val="right"/>
              <w:rPr>
                <w:color w:val="000000"/>
                <w:sz w:val="18"/>
                <w:szCs w:val="18"/>
              </w:rPr>
            </w:pPr>
            <w:r>
              <w:rPr>
                <w:i/>
                <w:iCs/>
                <w:color w:val="000000"/>
                <w:sz w:val="18"/>
                <w:szCs w:val="18"/>
              </w:rPr>
              <w:t>14,3</w:t>
            </w:r>
          </w:p>
        </w:tc>
        <w:tc>
          <w:tcPr>
            <w:tcW w:w="936" w:type="dxa"/>
            <w:tcBorders>
              <w:top w:val="single" w:sz="4" w:space="0" w:color="auto"/>
              <w:left w:val="double" w:sz="4" w:space="0" w:color="auto"/>
              <w:bottom w:val="single" w:sz="4" w:space="0" w:color="auto"/>
              <w:right w:val="single" w:sz="4" w:space="0" w:color="auto"/>
            </w:tcBorders>
            <w:vAlign w:val="center"/>
          </w:tcPr>
          <w:p w14:paraId="481281C1" w14:textId="77777777" w:rsidR="00D0442A" w:rsidRDefault="00D0442A" w:rsidP="00D0442A">
            <w:pPr>
              <w:spacing w:after="0"/>
              <w:ind w:firstLine="360"/>
              <w:jc w:val="right"/>
              <w:rPr>
                <w:color w:val="000000"/>
                <w:sz w:val="18"/>
                <w:szCs w:val="18"/>
              </w:rPr>
            </w:pPr>
            <w:r>
              <w:rPr>
                <w:i/>
                <w:iCs/>
                <w:color w:val="000000"/>
                <w:sz w:val="18"/>
                <w:szCs w:val="18"/>
              </w:rPr>
              <w:t>0,0</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8A67A" w14:textId="77777777" w:rsidR="00D0442A" w:rsidRDefault="00D0442A" w:rsidP="00D0442A">
            <w:pPr>
              <w:spacing w:after="0"/>
              <w:ind w:firstLine="360"/>
              <w:jc w:val="right"/>
              <w:rPr>
                <w:color w:val="000000"/>
                <w:sz w:val="18"/>
                <w:szCs w:val="18"/>
              </w:rPr>
            </w:pPr>
            <w:r>
              <w:rPr>
                <w:i/>
                <w:iCs/>
                <w:color w:val="000000"/>
                <w:sz w:val="18"/>
                <w:szCs w:val="18"/>
              </w:rPr>
              <w:t>0,2</w:t>
            </w:r>
          </w:p>
        </w:tc>
      </w:tr>
      <w:tr w:rsidR="00D0442A" w:rsidRPr="00842D51" w14:paraId="58ED5029" w14:textId="77777777" w:rsidTr="00D0442A">
        <w:trPr>
          <w:trHeight w:val="70"/>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14:paraId="64E41350" w14:textId="77777777" w:rsidR="00D0442A" w:rsidRPr="00AB08BB" w:rsidRDefault="00D0442A" w:rsidP="00D0442A">
            <w:pPr>
              <w:spacing w:after="0"/>
              <w:ind w:left="457" w:firstLine="360"/>
              <w:jc w:val="left"/>
              <w:rPr>
                <w:i/>
                <w:iCs/>
                <w:sz w:val="18"/>
                <w:szCs w:val="18"/>
              </w:rPr>
            </w:pPr>
            <w:r w:rsidRPr="00AB08BB">
              <w:rPr>
                <w:i/>
                <w:iCs/>
                <w:color w:val="000000"/>
                <w:sz w:val="18"/>
                <w:szCs w:val="18"/>
              </w:rPr>
              <w:t>Ienākuma un mantas kārtējie nodokļi</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5C3E6" w14:textId="77777777" w:rsidR="00D0442A" w:rsidRPr="00AB08BB" w:rsidRDefault="00D0442A" w:rsidP="00D0442A">
            <w:pPr>
              <w:spacing w:after="0"/>
              <w:ind w:firstLine="360"/>
              <w:jc w:val="right"/>
              <w:rPr>
                <w:color w:val="000000"/>
                <w:sz w:val="18"/>
                <w:szCs w:val="18"/>
                <w:highlight w:val="yellow"/>
              </w:rPr>
            </w:pPr>
            <w:r>
              <w:rPr>
                <w:i/>
                <w:iCs/>
                <w:color w:val="000000"/>
                <w:sz w:val="18"/>
                <w:szCs w:val="18"/>
              </w:rPr>
              <w:t>6,9</w:t>
            </w:r>
          </w:p>
        </w:tc>
        <w:tc>
          <w:tcPr>
            <w:tcW w:w="936" w:type="dxa"/>
            <w:tcBorders>
              <w:top w:val="single" w:sz="4" w:space="0" w:color="auto"/>
              <w:left w:val="nil"/>
              <w:bottom w:val="single" w:sz="4" w:space="0" w:color="auto"/>
              <w:right w:val="double" w:sz="4" w:space="0" w:color="auto"/>
            </w:tcBorders>
            <w:shd w:val="clear" w:color="auto" w:fill="auto"/>
            <w:vAlign w:val="center"/>
          </w:tcPr>
          <w:p w14:paraId="69F90E3E" w14:textId="77777777" w:rsidR="00D0442A" w:rsidRPr="00AB08BB" w:rsidRDefault="00D0442A" w:rsidP="00D0442A">
            <w:pPr>
              <w:spacing w:after="0"/>
              <w:ind w:firstLine="360"/>
              <w:jc w:val="right"/>
              <w:rPr>
                <w:color w:val="000000"/>
                <w:sz w:val="18"/>
                <w:szCs w:val="18"/>
                <w:highlight w:val="yellow"/>
              </w:rPr>
            </w:pPr>
            <w:r>
              <w:rPr>
                <w:i/>
                <w:iCs/>
                <w:color w:val="000000"/>
                <w:sz w:val="18"/>
                <w:szCs w:val="18"/>
              </w:rPr>
              <w:t>6,7</w:t>
            </w:r>
          </w:p>
        </w:tc>
        <w:tc>
          <w:tcPr>
            <w:tcW w:w="936" w:type="dxa"/>
            <w:tcBorders>
              <w:top w:val="single" w:sz="4" w:space="0" w:color="auto"/>
              <w:left w:val="double" w:sz="4" w:space="0" w:color="auto"/>
              <w:bottom w:val="single" w:sz="4" w:space="0" w:color="auto"/>
              <w:right w:val="single" w:sz="4" w:space="0" w:color="auto"/>
            </w:tcBorders>
            <w:vAlign w:val="center"/>
          </w:tcPr>
          <w:p w14:paraId="12A44980" w14:textId="77777777" w:rsidR="00D0442A" w:rsidRDefault="00D0442A" w:rsidP="00D0442A">
            <w:pPr>
              <w:spacing w:after="0"/>
              <w:ind w:firstLine="360"/>
              <w:jc w:val="right"/>
              <w:rPr>
                <w:color w:val="000000"/>
                <w:sz w:val="18"/>
                <w:szCs w:val="18"/>
              </w:rPr>
            </w:pPr>
            <w:r>
              <w:rPr>
                <w:i/>
                <w:iCs/>
                <w:color w:val="000000"/>
                <w:sz w:val="18"/>
                <w:szCs w:val="18"/>
              </w:rPr>
              <w:t>7,1</w:t>
            </w:r>
          </w:p>
        </w:tc>
        <w:tc>
          <w:tcPr>
            <w:tcW w:w="93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43A47955" w14:textId="77777777" w:rsidR="00D0442A" w:rsidRDefault="00D0442A" w:rsidP="00D0442A">
            <w:pPr>
              <w:spacing w:after="0"/>
              <w:ind w:firstLine="360"/>
              <w:jc w:val="right"/>
              <w:rPr>
                <w:color w:val="000000"/>
                <w:sz w:val="18"/>
                <w:szCs w:val="18"/>
              </w:rPr>
            </w:pPr>
            <w:r>
              <w:rPr>
                <w:i/>
                <w:iCs/>
                <w:color w:val="000000"/>
                <w:sz w:val="18"/>
                <w:szCs w:val="18"/>
              </w:rPr>
              <w:t>7,1</w:t>
            </w:r>
          </w:p>
        </w:tc>
        <w:tc>
          <w:tcPr>
            <w:tcW w:w="936" w:type="dxa"/>
            <w:tcBorders>
              <w:top w:val="single" w:sz="4" w:space="0" w:color="auto"/>
              <w:left w:val="double" w:sz="4" w:space="0" w:color="auto"/>
              <w:bottom w:val="single" w:sz="4" w:space="0" w:color="auto"/>
              <w:right w:val="single" w:sz="4" w:space="0" w:color="auto"/>
            </w:tcBorders>
            <w:vAlign w:val="center"/>
          </w:tcPr>
          <w:p w14:paraId="17CF96CF" w14:textId="77777777" w:rsidR="00D0442A" w:rsidRDefault="00D0442A" w:rsidP="00D0442A">
            <w:pPr>
              <w:spacing w:after="0"/>
              <w:ind w:firstLine="360"/>
              <w:jc w:val="right"/>
              <w:rPr>
                <w:color w:val="000000"/>
                <w:sz w:val="18"/>
                <w:szCs w:val="18"/>
              </w:rPr>
            </w:pPr>
            <w:r>
              <w:rPr>
                <w:i/>
                <w:iCs/>
                <w:color w:val="000000"/>
                <w:sz w:val="18"/>
                <w:szCs w:val="18"/>
              </w:rPr>
              <w:t>0,2</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95061" w14:textId="77777777" w:rsidR="00D0442A" w:rsidRDefault="00D0442A" w:rsidP="00D0442A">
            <w:pPr>
              <w:spacing w:after="0"/>
              <w:ind w:firstLine="360"/>
              <w:jc w:val="right"/>
              <w:rPr>
                <w:color w:val="000000"/>
                <w:sz w:val="18"/>
                <w:szCs w:val="18"/>
              </w:rPr>
            </w:pPr>
            <w:r>
              <w:rPr>
                <w:i/>
                <w:iCs/>
                <w:color w:val="000000"/>
                <w:sz w:val="18"/>
                <w:szCs w:val="18"/>
              </w:rPr>
              <w:t>0,4</w:t>
            </w:r>
          </w:p>
        </w:tc>
      </w:tr>
      <w:tr w:rsidR="00D0442A" w:rsidRPr="00842D51" w14:paraId="332138BC" w14:textId="77777777" w:rsidTr="00D0442A">
        <w:trPr>
          <w:trHeight w:val="70"/>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14:paraId="23291435" w14:textId="77777777" w:rsidR="00D0442A" w:rsidRPr="00AB08BB" w:rsidRDefault="00D0442A" w:rsidP="00D0442A">
            <w:pPr>
              <w:spacing w:after="0"/>
              <w:ind w:left="457" w:firstLine="360"/>
              <w:jc w:val="left"/>
              <w:rPr>
                <w:i/>
                <w:iCs/>
                <w:sz w:val="18"/>
                <w:szCs w:val="18"/>
              </w:rPr>
            </w:pPr>
            <w:r w:rsidRPr="00AB08BB">
              <w:rPr>
                <w:i/>
                <w:iCs/>
                <w:color w:val="000000"/>
                <w:sz w:val="18"/>
                <w:szCs w:val="18"/>
              </w:rPr>
              <w:t>Neto sociālās iemaksas</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F8EA86" w14:textId="77777777" w:rsidR="00D0442A" w:rsidRPr="00AB08BB" w:rsidRDefault="00D0442A" w:rsidP="00D0442A">
            <w:pPr>
              <w:spacing w:after="0"/>
              <w:ind w:firstLine="360"/>
              <w:jc w:val="right"/>
              <w:rPr>
                <w:color w:val="000000"/>
                <w:sz w:val="18"/>
                <w:szCs w:val="18"/>
                <w:highlight w:val="yellow"/>
              </w:rPr>
            </w:pPr>
            <w:r>
              <w:rPr>
                <w:i/>
                <w:iCs/>
                <w:color w:val="000000"/>
                <w:sz w:val="18"/>
                <w:szCs w:val="18"/>
              </w:rPr>
              <w:t>10,1</w:t>
            </w:r>
          </w:p>
        </w:tc>
        <w:tc>
          <w:tcPr>
            <w:tcW w:w="936" w:type="dxa"/>
            <w:tcBorders>
              <w:top w:val="single" w:sz="4" w:space="0" w:color="auto"/>
              <w:left w:val="nil"/>
              <w:bottom w:val="single" w:sz="4" w:space="0" w:color="auto"/>
              <w:right w:val="double" w:sz="4" w:space="0" w:color="auto"/>
            </w:tcBorders>
            <w:shd w:val="clear" w:color="auto" w:fill="auto"/>
            <w:vAlign w:val="center"/>
          </w:tcPr>
          <w:p w14:paraId="5D4A1C80" w14:textId="77777777" w:rsidR="00D0442A" w:rsidRPr="00AB08BB" w:rsidRDefault="00D0442A" w:rsidP="00D0442A">
            <w:pPr>
              <w:spacing w:after="0"/>
              <w:ind w:firstLine="360"/>
              <w:jc w:val="right"/>
              <w:rPr>
                <w:color w:val="000000"/>
                <w:sz w:val="18"/>
                <w:szCs w:val="18"/>
                <w:highlight w:val="yellow"/>
              </w:rPr>
            </w:pPr>
            <w:r>
              <w:rPr>
                <w:i/>
                <w:iCs/>
                <w:color w:val="000000"/>
                <w:sz w:val="18"/>
                <w:szCs w:val="18"/>
              </w:rPr>
              <w:t>10,0</w:t>
            </w:r>
          </w:p>
        </w:tc>
        <w:tc>
          <w:tcPr>
            <w:tcW w:w="936" w:type="dxa"/>
            <w:tcBorders>
              <w:top w:val="single" w:sz="4" w:space="0" w:color="auto"/>
              <w:left w:val="double" w:sz="4" w:space="0" w:color="auto"/>
              <w:bottom w:val="single" w:sz="4" w:space="0" w:color="auto"/>
              <w:right w:val="single" w:sz="4" w:space="0" w:color="auto"/>
            </w:tcBorders>
            <w:vAlign w:val="center"/>
          </w:tcPr>
          <w:p w14:paraId="7F344438" w14:textId="77777777" w:rsidR="00D0442A" w:rsidRDefault="00D0442A" w:rsidP="00D0442A">
            <w:pPr>
              <w:spacing w:after="0"/>
              <w:ind w:firstLine="360"/>
              <w:jc w:val="right"/>
              <w:rPr>
                <w:color w:val="000000"/>
                <w:sz w:val="18"/>
                <w:szCs w:val="18"/>
              </w:rPr>
            </w:pPr>
            <w:r>
              <w:rPr>
                <w:i/>
                <w:iCs/>
                <w:color w:val="000000"/>
                <w:sz w:val="18"/>
                <w:szCs w:val="18"/>
              </w:rPr>
              <w:t>10,2</w:t>
            </w:r>
          </w:p>
        </w:tc>
        <w:tc>
          <w:tcPr>
            <w:tcW w:w="93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132A23DD" w14:textId="77777777" w:rsidR="00D0442A" w:rsidRDefault="00D0442A" w:rsidP="00D0442A">
            <w:pPr>
              <w:spacing w:after="0"/>
              <w:ind w:firstLine="360"/>
              <w:jc w:val="right"/>
              <w:rPr>
                <w:color w:val="000000"/>
                <w:sz w:val="18"/>
                <w:szCs w:val="18"/>
              </w:rPr>
            </w:pPr>
            <w:r>
              <w:rPr>
                <w:i/>
                <w:iCs/>
                <w:color w:val="000000"/>
                <w:sz w:val="18"/>
                <w:szCs w:val="18"/>
              </w:rPr>
              <w:t>10,2</w:t>
            </w:r>
          </w:p>
        </w:tc>
        <w:tc>
          <w:tcPr>
            <w:tcW w:w="936" w:type="dxa"/>
            <w:tcBorders>
              <w:top w:val="single" w:sz="4" w:space="0" w:color="auto"/>
              <w:left w:val="double" w:sz="4" w:space="0" w:color="auto"/>
              <w:bottom w:val="single" w:sz="4" w:space="0" w:color="auto"/>
              <w:right w:val="single" w:sz="4" w:space="0" w:color="auto"/>
            </w:tcBorders>
            <w:vAlign w:val="center"/>
          </w:tcPr>
          <w:p w14:paraId="52AE9127" w14:textId="77777777" w:rsidR="00D0442A" w:rsidRDefault="00D0442A" w:rsidP="00D0442A">
            <w:pPr>
              <w:spacing w:after="0"/>
              <w:ind w:firstLine="360"/>
              <w:jc w:val="right"/>
              <w:rPr>
                <w:color w:val="000000"/>
                <w:sz w:val="18"/>
                <w:szCs w:val="18"/>
              </w:rPr>
            </w:pPr>
            <w:r>
              <w:rPr>
                <w:i/>
                <w:iCs/>
                <w:color w:val="000000"/>
                <w:sz w:val="18"/>
                <w:szCs w:val="18"/>
              </w:rPr>
              <w:t>0,1</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036408" w14:textId="77777777" w:rsidR="00D0442A" w:rsidRDefault="00D0442A" w:rsidP="00D0442A">
            <w:pPr>
              <w:spacing w:after="0"/>
              <w:ind w:firstLine="360"/>
              <w:jc w:val="right"/>
              <w:rPr>
                <w:color w:val="000000"/>
                <w:sz w:val="18"/>
                <w:szCs w:val="18"/>
              </w:rPr>
            </w:pPr>
            <w:r>
              <w:rPr>
                <w:i/>
                <w:iCs/>
                <w:color w:val="000000"/>
                <w:sz w:val="18"/>
                <w:szCs w:val="18"/>
              </w:rPr>
              <w:t>0,2</w:t>
            </w:r>
          </w:p>
        </w:tc>
      </w:tr>
      <w:tr w:rsidR="00D0442A" w:rsidRPr="00842D51" w14:paraId="25D35A7F" w14:textId="77777777" w:rsidTr="00D0442A">
        <w:trPr>
          <w:trHeight w:val="70"/>
          <w:jc w:val="center"/>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1C8A561F" w14:textId="105A2FCE" w:rsidR="00D0442A" w:rsidRPr="001F7603" w:rsidRDefault="0090051F" w:rsidP="00D0442A">
            <w:pPr>
              <w:spacing w:after="0"/>
              <w:ind w:firstLine="360"/>
              <w:rPr>
                <w:sz w:val="18"/>
                <w:szCs w:val="18"/>
              </w:rPr>
            </w:pPr>
            <w:r>
              <w:rPr>
                <w:sz w:val="18"/>
                <w:szCs w:val="18"/>
              </w:rPr>
              <w:t>Pārējie ieņēmumi</w:t>
            </w:r>
          </w:p>
        </w:tc>
        <w:tc>
          <w:tcPr>
            <w:tcW w:w="936" w:type="dxa"/>
            <w:tcBorders>
              <w:top w:val="nil"/>
              <w:left w:val="single" w:sz="4" w:space="0" w:color="auto"/>
              <w:bottom w:val="single" w:sz="4" w:space="0" w:color="auto"/>
              <w:right w:val="single" w:sz="4" w:space="0" w:color="auto"/>
            </w:tcBorders>
            <w:shd w:val="clear" w:color="auto" w:fill="auto"/>
            <w:noWrap/>
            <w:vAlign w:val="center"/>
          </w:tcPr>
          <w:p w14:paraId="0216A43B" w14:textId="77777777" w:rsidR="00D0442A" w:rsidRPr="00AB08BB" w:rsidRDefault="00D0442A" w:rsidP="00D0442A">
            <w:pPr>
              <w:spacing w:after="0"/>
              <w:ind w:firstLine="360"/>
              <w:jc w:val="right"/>
              <w:rPr>
                <w:sz w:val="18"/>
                <w:szCs w:val="18"/>
                <w:highlight w:val="yellow"/>
              </w:rPr>
            </w:pPr>
            <w:r>
              <w:rPr>
                <w:color w:val="000000"/>
                <w:sz w:val="18"/>
                <w:szCs w:val="18"/>
              </w:rPr>
              <w:t>7,1</w:t>
            </w:r>
          </w:p>
        </w:tc>
        <w:tc>
          <w:tcPr>
            <w:tcW w:w="936" w:type="dxa"/>
            <w:tcBorders>
              <w:top w:val="single" w:sz="4" w:space="0" w:color="auto"/>
              <w:left w:val="nil"/>
              <w:bottom w:val="single" w:sz="4" w:space="0" w:color="auto"/>
              <w:right w:val="double" w:sz="4" w:space="0" w:color="auto"/>
            </w:tcBorders>
            <w:shd w:val="clear" w:color="auto" w:fill="auto"/>
            <w:vAlign w:val="center"/>
          </w:tcPr>
          <w:p w14:paraId="39A70B0E" w14:textId="77777777" w:rsidR="00D0442A" w:rsidRPr="00AB08BB" w:rsidRDefault="00D0442A" w:rsidP="00D0442A">
            <w:pPr>
              <w:spacing w:after="0"/>
              <w:ind w:firstLine="360"/>
              <w:jc w:val="right"/>
              <w:rPr>
                <w:sz w:val="18"/>
                <w:szCs w:val="18"/>
                <w:highlight w:val="yellow"/>
              </w:rPr>
            </w:pPr>
            <w:r>
              <w:rPr>
                <w:color w:val="000000"/>
                <w:sz w:val="18"/>
                <w:szCs w:val="18"/>
              </w:rPr>
              <w:t>8,0</w:t>
            </w:r>
          </w:p>
        </w:tc>
        <w:tc>
          <w:tcPr>
            <w:tcW w:w="936" w:type="dxa"/>
            <w:tcBorders>
              <w:top w:val="single" w:sz="4" w:space="0" w:color="auto"/>
              <w:left w:val="double" w:sz="4" w:space="0" w:color="auto"/>
              <w:bottom w:val="single" w:sz="4" w:space="0" w:color="auto"/>
              <w:right w:val="single" w:sz="4" w:space="0" w:color="auto"/>
            </w:tcBorders>
            <w:vAlign w:val="center"/>
          </w:tcPr>
          <w:p w14:paraId="585FE497" w14:textId="77777777" w:rsidR="00D0442A" w:rsidRPr="001F7603" w:rsidRDefault="00D0442A" w:rsidP="00D0442A">
            <w:pPr>
              <w:spacing w:after="0"/>
              <w:ind w:firstLine="360"/>
              <w:jc w:val="right"/>
              <w:rPr>
                <w:sz w:val="18"/>
                <w:szCs w:val="18"/>
              </w:rPr>
            </w:pPr>
            <w:r>
              <w:rPr>
                <w:color w:val="000000"/>
                <w:sz w:val="18"/>
                <w:szCs w:val="18"/>
              </w:rPr>
              <w:t>7,8</w:t>
            </w:r>
          </w:p>
        </w:tc>
        <w:tc>
          <w:tcPr>
            <w:tcW w:w="93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1D150CA" w14:textId="77777777" w:rsidR="00D0442A" w:rsidRPr="001F7603" w:rsidRDefault="00D0442A" w:rsidP="00D0442A">
            <w:pPr>
              <w:spacing w:after="0"/>
              <w:ind w:firstLine="360"/>
              <w:jc w:val="right"/>
              <w:rPr>
                <w:sz w:val="18"/>
                <w:szCs w:val="18"/>
              </w:rPr>
            </w:pPr>
            <w:r>
              <w:rPr>
                <w:color w:val="000000"/>
                <w:sz w:val="18"/>
                <w:szCs w:val="18"/>
              </w:rPr>
              <w:t>8,1</w:t>
            </w:r>
          </w:p>
        </w:tc>
        <w:tc>
          <w:tcPr>
            <w:tcW w:w="936" w:type="dxa"/>
            <w:tcBorders>
              <w:top w:val="single" w:sz="4" w:space="0" w:color="auto"/>
              <w:left w:val="double" w:sz="4" w:space="0" w:color="auto"/>
              <w:bottom w:val="single" w:sz="4" w:space="0" w:color="auto"/>
              <w:right w:val="single" w:sz="4" w:space="0" w:color="auto"/>
            </w:tcBorders>
            <w:vAlign w:val="center"/>
          </w:tcPr>
          <w:p w14:paraId="061550B8" w14:textId="77777777" w:rsidR="00D0442A" w:rsidRPr="001F7603" w:rsidRDefault="00D0442A" w:rsidP="00D0442A">
            <w:pPr>
              <w:spacing w:after="0"/>
              <w:ind w:firstLine="360"/>
              <w:jc w:val="right"/>
              <w:rPr>
                <w:bCs/>
                <w:color w:val="000000"/>
                <w:sz w:val="18"/>
                <w:szCs w:val="18"/>
              </w:rPr>
            </w:pPr>
            <w:r>
              <w:rPr>
                <w:color w:val="000000"/>
                <w:sz w:val="18"/>
                <w:szCs w:val="18"/>
              </w:rPr>
              <w:t>0,7</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C655B8" w14:textId="77777777" w:rsidR="00D0442A" w:rsidRPr="001F7603" w:rsidRDefault="00D0442A" w:rsidP="00D0442A">
            <w:pPr>
              <w:spacing w:after="0"/>
              <w:ind w:firstLine="360"/>
              <w:jc w:val="right"/>
              <w:rPr>
                <w:bCs/>
                <w:color w:val="000000"/>
                <w:sz w:val="18"/>
                <w:szCs w:val="18"/>
              </w:rPr>
            </w:pPr>
            <w:r>
              <w:rPr>
                <w:color w:val="000000"/>
                <w:sz w:val="18"/>
                <w:szCs w:val="18"/>
              </w:rPr>
              <w:t>0,1</w:t>
            </w:r>
          </w:p>
        </w:tc>
      </w:tr>
      <w:tr w:rsidR="00D0442A" w:rsidRPr="00842D51" w14:paraId="7EC48AA5" w14:textId="77777777" w:rsidTr="00D0442A">
        <w:trPr>
          <w:trHeight w:val="64"/>
          <w:jc w:val="center"/>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38438E48" w14:textId="77777777" w:rsidR="00D0442A" w:rsidRPr="001F7603" w:rsidRDefault="00D0442A" w:rsidP="00D0442A">
            <w:pPr>
              <w:spacing w:after="0"/>
              <w:ind w:firstLine="0"/>
              <w:rPr>
                <w:b/>
                <w:sz w:val="18"/>
                <w:szCs w:val="18"/>
              </w:rPr>
            </w:pPr>
            <w:r w:rsidRPr="001F7603">
              <w:rPr>
                <w:b/>
                <w:sz w:val="18"/>
                <w:szCs w:val="18"/>
              </w:rPr>
              <w:t>Izdevumi</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63953" w14:textId="77777777" w:rsidR="00D0442A" w:rsidRPr="00AB08BB" w:rsidRDefault="00D0442A" w:rsidP="00D0442A">
            <w:pPr>
              <w:spacing w:after="0"/>
              <w:ind w:firstLine="360"/>
              <w:jc w:val="right"/>
              <w:rPr>
                <w:b/>
                <w:sz w:val="18"/>
                <w:szCs w:val="18"/>
                <w:highlight w:val="yellow"/>
              </w:rPr>
            </w:pPr>
            <w:r>
              <w:rPr>
                <w:b/>
                <w:bCs/>
                <w:color w:val="000000"/>
                <w:sz w:val="18"/>
                <w:szCs w:val="18"/>
              </w:rPr>
              <w:t>47,8</w:t>
            </w:r>
          </w:p>
        </w:tc>
        <w:tc>
          <w:tcPr>
            <w:tcW w:w="936" w:type="dxa"/>
            <w:tcBorders>
              <w:top w:val="single" w:sz="4" w:space="0" w:color="auto"/>
              <w:left w:val="nil"/>
              <w:bottom w:val="single" w:sz="4" w:space="0" w:color="auto"/>
              <w:right w:val="double" w:sz="4" w:space="0" w:color="auto"/>
            </w:tcBorders>
            <w:shd w:val="clear" w:color="auto" w:fill="auto"/>
            <w:vAlign w:val="center"/>
          </w:tcPr>
          <w:p w14:paraId="73C1DE78" w14:textId="77777777" w:rsidR="00D0442A" w:rsidRPr="00AB08BB" w:rsidRDefault="00D0442A" w:rsidP="00D0442A">
            <w:pPr>
              <w:spacing w:after="0"/>
              <w:ind w:firstLine="360"/>
              <w:jc w:val="right"/>
              <w:rPr>
                <w:b/>
                <w:sz w:val="18"/>
                <w:szCs w:val="18"/>
                <w:highlight w:val="yellow"/>
              </w:rPr>
            </w:pPr>
            <w:r>
              <w:rPr>
                <w:b/>
                <w:bCs/>
                <w:color w:val="000000"/>
                <w:sz w:val="18"/>
                <w:szCs w:val="18"/>
              </w:rPr>
              <w:t>43,6</w:t>
            </w:r>
          </w:p>
        </w:tc>
        <w:tc>
          <w:tcPr>
            <w:tcW w:w="936" w:type="dxa"/>
            <w:tcBorders>
              <w:top w:val="single" w:sz="4" w:space="0" w:color="auto"/>
              <w:left w:val="double" w:sz="4" w:space="0" w:color="auto"/>
              <w:bottom w:val="single" w:sz="4" w:space="0" w:color="auto"/>
              <w:right w:val="single" w:sz="4" w:space="0" w:color="auto"/>
            </w:tcBorders>
            <w:vAlign w:val="center"/>
          </w:tcPr>
          <w:p w14:paraId="6F80A012" w14:textId="77777777" w:rsidR="00D0442A" w:rsidRPr="001F7603" w:rsidRDefault="00D0442A" w:rsidP="00D0442A">
            <w:pPr>
              <w:spacing w:after="0"/>
              <w:ind w:firstLine="360"/>
              <w:jc w:val="right"/>
              <w:rPr>
                <w:b/>
                <w:sz w:val="18"/>
                <w:szCs w:val="18"/>
              </w:rPr>
            </w:pPr>
            <w:r>
              <w:rPr>
                <w:b/>
                <w:bCs/>
                <w:color w:val="000000"/>
                <w:sz w:val="18"/>
                <w:szCs w:val="18"/>
              </w:rPr>
              <w:t>46,9</w:t>
            </w:r>
          </w:p>
        </w:tc>
        <w:tc>
          <w:tcPr>
            <w:tcW w:w="93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3489C3C2" w14:textId="77777777" w:rsidR="00D0442A" w:rsidRPr="001F7603" w:rsidRDefault="00D0442A" w:rsidP="00D0442A">
            <w:pPr>
              <w:spacing w:after="0"/>
              <w:ind w:firstLine="360"/>
              <w:jc w:val="right"/>
              <w:rPr>
                <w:b/>
                <w:sz w:val="18"/>
                <w:szCs w:val="18"/>
              </w:rPr>
            </w:pPr>
            <w:r>
              <w:rPr>
                <w:b/>
                <w:bCs/>
                <w:color w:val="000000"/>
                <w:sz w:val="18"/>
                <w:szCs w:val="18"/>
              </w:rPr>
              <w:t>41,7</w:t>
            </w:r>
          </w:p>
        </w:tc>
        <w:tc>
          <w:tcPr>
            <w:tcW w:w="936" w:type="dxa"/>
            <w:tcBorders>
              <w:top w:val="single" w:sz="4" w:space="0" w:color="auto"/>
              <w:left w:val="double" w:sz="4" w:space="0" w:color="auto"/>
              <w:bottom w:val="single" w:sz="4" w:space="0" w:color="auto"/>
              <w:right w:val="single" w:sz="4" w:space="0" w:color="auto"/>
            </w:tcBorders>
            <w:vAlign w:val="center"/>
          </w:tcPr>
          <w:p w14:paraId="2427AEA3" w14:textId="77777777" w:rsidR="00D0442A" w:rsidRPr="001F7603" w:rsidRDefault="00D0442A" w:rsidP="00D0442A">
            <w:pPr>
              <w:spacing w:after="0"/>
              <w:ind w:firstLine="360"/>
              <w:jc w:val="right"/>
              <w:rPr>
                <w:b/>
                <w:bCs/>
                <w:color w:val="000000"/>
                <w:sz w:val="18"/>
                <w:szCs w:val="18"/>
              </w:rPr>
            </w:pPr>
            <w:r>
              <w:rPr>
                <w:b/>
                <w:bCs/>
                <w:color w:val="000000"/>
                <w:sz w:val="18"/>
                <w:szCs w:val="18"/>
              </w:rPr>
              <w:t>-0,9</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36FCB" w14:textId="77777777" w:rsidR="00D0442A" w:rsidRPr="001F7603" w:rsidRDefault="00D0442A" w:rsidP="00D0442A">
            <w:pPr>
              <w:spacing w:after="0"/>
              <w:ind w:firstLine="360"/>
              <w:jc w:val="right"/>
              <w:rPr>
                <w:b/>
                <w:bCs/>
                <w:color w:val="000000"/>
                <w:sz w:val="18"/>
                <w:szCs w:val="18"/>
              </w:rPr>
            </w:pPr>
            <w:r>
              <w:rPr>
                <w:b/>
                <w:bCs/>
                <w:color w:val="000000"/>
                <w:sz w:val="18"/>
                <w:szCs w:val="18"/>
              </w:rPr>
              <w:t>-1,9</w:t>
            </w:r>
          </w:p>
        </w:tc>
      </w:tr>
      <w:tr w:rsidR="00D0442A" w:rsidRPr="00842D51" w14:paraId="0B14545E" w14:textId="77777777" w:rsidTr="00D0442A">
        <w:trPr>
          <w:trHeight w:val="70"/>
          <w:jc w:val="center"/>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5507DC38" w14:textId="77777777" w:rsidR="00D0442A" w:rsidRPr="001F7603" w:rsidRDefault="00D0442A" w:rsidP="00D0442A">
            <w:pPr>
              <w:spacing w:after="0"/>
              <w:ind w:firstLine="360"/>
              <w:rPr>
                <w:sz w:val="18"/>
                <w:szCs w:val="18"/>
              </w:rPr>
            </w:pPr>
            <w:r w:rsidRPr="001F7603">
              <w:rPr>
                <w:sz w:val="18"/>
                <w:szCs w:val="18"/>
              </w:rPr>
              <w:t>Atlīdzība</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828FC" w14:textId="77777777" w:rsidR="00D0442A" w:rsidRPr="00AB08BB" w:rsidRDefault="00D0442A" w:rsidP="00D0442A">
            <w:pPr>
              <w:spacing w:after="0"/>
              <w:ind w:firstLine="360"/>
              <w:jc w:val="right"/>
              <w:rPr>
                <w:sz w:val="18"/>
                <w:szCs w:val="18"/>
                <w:highlight w:val="yellow"/>
              </w:rPr>
            </w:pPr>
            <w:r>
              <w:rPr>
                <w:color w:val="000000"/>
                <w:sz w:val="18"/>
                <w:szCs w:val="18"/>
              </w:rPr>
              <w:t>11,6</w:t>
            </w:r>
          </w:p>
        </w:tc>
        <w:tc>
          <w:tcPr>
            <w:tcW w:w="936" w:type="dxa"/>
            <w:tcBorders>
              <w:top w:val="single" w:sz="4" w:space="0" w:color="auto"/>
              <w:left w:val="nil"/>
              <w:bottom w:val="single" w:sz="4" w:space="0" w:color="auto"/>
              <w:right w:val="double" w:sz="4" w:space="0" w:color="auto"/>
            </w:tcBorders>
            <w:shd w:val="clear" w:color="auto" w:fill="auto"/>
            <w:vAlign w:val="center"/>
          </w:tcPr>
          <w:p w14:paraId="4D6920D1" w14:textId="77777777" w:rsidR="00D0442A" w:rsidRPr="00AB08BB" w:rsidRDefault="00D0442A" w:rsidP="00D0442A">
            <w:pPr>
              <w:spacing w:after="0"/>
              <w:ind w:firstLine="360"/>
              <w:jc w:val="right"/>
              <w:rPr>
                <w:sz w:val="18"/>
                <w:szCs w:val="18"/>
                <w:highlight w:val="yellow"/>
              </w:rPr>
            </w:pPr>
            <w:r>
              <w:rPr>
                <w:color w:val="000000"/>
                <w:sz w:val="18"/>
                <w:szCs w:val="18"/>
              </w:rPr>
              <w:t>11,1</w:t>
            </w:r>
          </w:p>
        </w:tc>
        <w:tc>
          <w:tcPr>
            <w:tcW w:w="936" w:type="dxa"/>
            <w:tcBorders>
              <w:top w:val="single" w:sz="4" w:space="0" w:color="auto"/>
              <w:left w:val="double" w:sz="4" w:space="0" w:color="auto"/>
              <w:bottom w:val="single" w:sz="4" w:space="0" w:color="auto"/>
              <w:right w:val="single" w:sz="4" w:space="0" w:color="auto"/>
            </w:tcBorders>
            <w:vAlign w:val="center"/>
          </w:tcPr>
          <w:p w14:paraId="551CC086" w14:textId="77777777" w:rsidR="00D0442A" w:rsidRPr="001F7603" w:rsidRDefault="00D0442A" w:rsidP="00D0442A">
            <w:pPr>
              <w:spacing w:after="0"/>
              <w:ind w:firstLine="360"/>
              <w:jc w:val="right"/>
              <w:rPr>
                <w:sz w:val="18"/>
                <w:szCs w:val="18"/>
              </w:rPr>
            </w:pPr>
            <w:r>
              <w:rPr>
                <w:color w:val="000000"/>
                <w:sz w:val="18"/>
                <w:szCs w:val="18"/>
              </w:rPr>
              <w:t>12,3</w:t>
            </w:r>
          </w:p>
        </w:tc>
        <w:tc>
          <w:tcPr>
            <w:tcW w:w="93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4B12C346" w14:textId="77777777" w:rsidR="00D0442A" w:rsidRPr="001F7603" w:rsidRDefault="00D0442A" w:rsidP="00D0442A">
            <w:pPr>
              <w:spacing w:after="0"/>
              <w:ind w:firstLine="360"/>
              <w:jc w:val="right"/>
              <w:rPr>
                <w:sz w:val="18"/>
                <w:szCs w:val="18"/>
              </w:rPr>
            </w:pPr>
            <w:r>
              <w:rPr>
                <w:color w:val="000000"/>
                <w:sz w:val="18"/>
                <w:szCs w:val="18"/>
              </w:rPr>
              <w:t>11,4</w:t>
            </w:r>
          </w:p>
        </w:tc>
        <w:tc>
          <w:tcPr>
            <w:tcW w:w="936" w:type="dxa"/>
            <w:tcBorders>
              <w:top w:val="single" w:sz="4" w:space="0" w:color="auto"/>
              <w:left w:val="double" w:sz="4" w:space="0" w:color="auto"/>
              <w:bottom w:val="single" w:sz="4" w:space="0" w:color="auto"/>
              <w:right w:val="single" w:sz="4" w:space="0" w:color="auto"/>
            </w:tcBorders>
            <w:vAlign w:val="center"/>
          </w:tcPr>
          <w:p w14:paraId="29DA322B" w14:textId="77777777" w:rsidR="00D0442A" w:rsidRPr="001F7603" w:rsidRDefault="00D0442A" w:rsidP="00D0442A">
            <w:pPr>
              <w:spacing w:after="0"/>
              <w:ind w:firstLine="360"/>
              <w:jc w:val="right"/>
              <w:rPr>
                <w:bCs/>
                <w:color w:val="000000"/>
                <w:sz w:val="18"/>
                <w:szCs w:val="18"/>
              </w:rPr>
            </w:pPr>
            <w:r>
              <w:rPr>
                <w:color w:val="000000"/>
                <w:sz w:val="18"/>
                <w:szCs w:val="18"/>
              </w:rPr>
              <w:t>0,7</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C35804" w14:textId="77777777" w:rsidR="00D0442A" w:rsidRPr="001F7603" w:rsidRDefault="00D0442A" w:rsidP="00D0442A">
            <w:pPr>
              <w:spacing w:after="0"/>
              <w:ind w:firstLine="360"/>
              <w:jc w:val="right"/>
              <w:rPr>
                <w:bCs/>
                <w:color w:val="000000"/>
                <w:sz w:val="18"/>
                <w:szCs w:val="18"/>
              </w:rPr>
            </w:pPr>
            <w:r>
              <w:rPr>
                <w:color w:val="000000"/>
                <w:sz w:val="18"/>
                <w:szCs w:val="18"/>
              </w:rPr>
              <w:t>0,3</w:t>
            </w:r>
          </w:p>
        </w:tc>
      </w:tr>
      <w:tr w:rsidR="00D0442A" w:rsidRPr="00842D51" w14:paraId="21E2D4E4" w14:textId="77777777" w:rsidTr="00D0442A">
        <w:trPr>
          <w:trHeight w:val="70"/>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14:paraId="25F5557E" w14:textId="77777777" w:rsidR="00D0442A" w:rsidRPr="001F7603" w:rsidRDefault="00D0442A" w:rsidP="00D0442A">
            <w:pPr>
              <w:spacing w:after="0"/>
              <w:ind w:firstLine="360"/>
              <w:rPr>
                <w:sz w:val="18"/>
                <w:szCs w:val="18"/>
              </w:rPr>
            </w:pPr>
            <w:r w:rsidRPr="001F7603">
              <w:rPr>
                <w:sz w:val="18"/>
                <w:szCs w:val="18"/>
              </w:rPr>
              <w:t>Starppatēriņš</w:t>
            </w:r>
          </w:p>
        </w:tc>
        <w:tc>
          <w:tcPr>
            <w:tcW w:w="936" w:type="dxa"/>
            <w:tcBorders>
              <w:top w:val="nil"/>
              <w:left w:val="single" w:sz="4" w:space="0" w:color="auto"/>
              <w:bottom w:val="single" w:sz="4" w:space="0" w:color="auto"/>
              <w:right w:val="single" w:sz="4" w:space="0" w:color="auto"/>
            </w:tcBorders>
            <w:shd w:val="clear" w:color="auto" w:fill="auto"/>
            <w:noWrap/>
            <w:vAlign w:val="center"/>
          </w:tcPr>
          <w:p w14:paraId="4FDD9738" w14:textId="77777777" w:rsidR="00D0442A" w:rsidRPr="00AB08BB" w:rsidRDefault="00D0442A" w:rsidP="00D0442A">
            <w:pPr>
              <w:spacing w:after="0"/>
              <w:ind w:firstLine="360"/>
              <w:jc w:val="right"/>
              <w:rPr>
                <w:sz w:val="18"/>
                <w:szCs w:val="18"/>
                <w:highlight w:val="yellow"/>
              </w:rPr>
            </w:pPr>
            <w:r>
              <w:rPr>
                <w:color w:val="000000"/>
                <w:sz w:val="18"/>
                <w:szCs w:val="18"/>
              </w:rPr>
              <w:t>6,6</w:t>
            </w:r>
          </w:p>
        </w:tc>
        <w:tc>
          <w:tcPr>
            <w:tcW w:w="936" w:type="dxa"/>
            <w:tcBorders>
              <w:top w:val="single" w:sz="4" w:space="0" w:color="auto"/>
              <w:left w:val="nil"/>
              <w:bottom w:val="single" w:sz="4" w:space="0" w:color="auto"/>
              <w:right w:val="double" w:sz="4" w:space="0" w:color="auto"/>
            </w:tcBorders>
            <w:shd w:val="clear" w:color="auto" w:fill="auto"/>
            <w:vAlign w:val="center"/>
          </w:tcPr>
          <w:p w14:paraId="02FF0E06" w14:textId="77777777" w:rsidR="00D0442A" w:rsidRPr="00AB08BB" w:rsidRDefault="00D0442A" w:rsidP="00D0442A">
            <w:pPr>
              <w:spacing w:after="0"/>
              <w:ind w:firstLine="360"/>
              <w:jc w:val="right"/>
              <w:rPr>
                <w:sz w:val="18"/>
                <w:szCs w:val="18"/>
                <w:highlight w:val="yellow"/>
              </w:rPr>
            </w:pPr>
            <w:r>
              <w:rPr>
                <w:color w:val="000000"/>
                <w:sz w:val="18"/>
                <w:szCs w:val="18"/>
              </w:rPr>
              <w:t>6,3</w:t>
            </w:r>
          </w:p>
        </w:tc>
        <w:tc>
          <w:tcPr>
            <w:tcW w:w="936" w:type="dxa"/>
            <w:tcBorders>
              <w:top w:val="single" w:sz="4" w:space="0" w:color="auto"/>
              <w:left w:val="double" w:sz="4" w:space="0" w:color="auto"/>
              <w:bottom w:val="single" w:sz="4" w:space="0" w:color="auto"/>
              <w:right w:val="single" w:sz="4" w:space="0" w:color="auto"/>
            </w:tcBorders>
            <w:vAlign w:val="center"/>
          </w:tcPr>
          <w:p w14:paraId="0DC9A505" w14:textId="77777777" w:rsidR="00D0442A" w:rsidRPr="001F7603" w:rsidRDefault="00D0442A" w:rsidP="00D0442A">
            <w:pPr>
              <w:spacing w:after="0"/>
              <w:ind w:firstLine="360"/>
              <w:jc w:val="right"/>
              <w:rPr>
                <w:sz w:val="18"/>
                <w:szCs w:val="18"/>
              </w:rPr>
            </w:pPr>
            <w:r>
              <w:rPr>
                <w:color w:val="000000"/>
                <w:sz w:val="18"/>
                <w:szCs w:val="18"/>
              </w:rPr>
              <w:t>6,7</w:t>
            </w:r>
          </w:p>
        </w:tc>
        <w:tc>
          <w:tcPr>
            <w:tcW w:w="93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0BCC6413" w14:textId="77777777" w:rsidR="00D0442A" w:rsidRPr="001F7603" w:rsidRDefault="00D0442A" w:rsidP="00D0442A">
            <w:pPr>
              <w:spacing w:after="0"/>
              <w:ind w:firstLine="360"/>
              <w:jc w:val="right"/>
              <w:rPr>
                <w:sz w:val="18"/>
                <w:szCs w:val="18"/>
              </w:rPr>
            </w:pPr>
            <w:r>
              <w:rPr>
                <w:color w:val="000000"/>
                <w:sz w:val="18"/>
                <w:szCs w:val="18"/>
              </w:rPr>
              <w:t>5,6</w:t>
            </w:r>
          </w:p>
        </w:tc>
        <w:tc>
          <w:tcPr>
            <w:tcW w:w="936" w:type="dxa"/>
            <w:tcBorders>
              <w:top w:val="single" w:sz="4" w:space="0" w:color="auto"/>
              <w:left w:val="double" w:sz="4" w:space="0" w:color="auto"/>
              <w:bottom w:val="single" w:sz="4" w:space="0" w:color="auto"/>
              <w:right w:val="single" w:sz="4" w:space="0" w:color="auto"/>
            </w:tcBorders>
            <w:vAlign w:val="center"/>
          </w:tcPr>
          <w:p w14:paraId="3B27DA4F" w14:textId="77777777" w:rsidR="00D0442A" w:rsidRPr="001F7603" w:rsidRDefault="00D0442A" w:rsidP="00D0442A">
            <w:pPr>
              <w:spacing w:after="0"/>
              <w:ind w:firstLine="360"/>
              <w:jc w:val="right"/>
              <w:rPr>
                <w:bCs/>
                <w:color w:val="000000"/>
                <w:sz w:val="18"/>
                <w:szCs w:val="18"/>
              </w:rPr>
            </w:pPr>
            <w:r>
              <w:rPr>
                <w:color w:val="000000"/>
                <w:sz w:val="18"/>
                <w:szCs w:val="18"/>
              </w:rPr>
              <w:t>0,1</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EE564" w14:textId="77777777" w:rsidR="00D0442A" w:rsidRPr="001F7603" w:rsidRDefault="00D0442A" w:rsidP="00D0442A">
            <w:pPr>
              <w:spacing w:after="0"/>
              <w:ind w:firstLine="360"/>
              <w:jc w:val="right"/>
              <w:rPr>
                <w:bCs/>
                <w:color w:val="000000"/>
                <w:sz w:val="18"/>
                <w:szCs w:val="18"/>
              </w:rPr>
            </w:pPr>
            <w:r>
              <w:rPr>
                <w:color w:val="000000"/>
                <w:sz w:val="18"/>
                <w:szCs w:val="18"/>
              </w:rPr>
              <w:t>-0,7</w:t>
            </w:r>
          </w:p>
        </w:tc>
      </w:tr>
      <w:tr w:rsidR="00D0442A" w:rsidRPr="00842D51" w14:paraId="3D388B6A" w14:textId="77777777" w:rsidTr="00D0442A">
        <w:trPr>
          <w:trHeight w:val="70"/>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14:paraId="160E0513" w14:textId="77777777" w:rsidR="00D0442A" w:rsidRPr="001F7603" w:rsidRDefault="00D0442A" w:rsidP="00D0442A">
            <w:pPr>
              <w:spacing w:after="0"/>
              <w:ind w:firstLine="360"/>
              <w:rPr>
                <w:sz w:val="18"/>
                <w:szCs w:val="18"/>
              </w:rPr>
            </w:pPr>
            <w:r w:rsidRPr="001F7603">
              <w:rPr>
                <w:sz w:val="18"/>
                <w:szCs w:val="18"/>
              </w:rPr>
              <w:t>Sociālie maksājumi</w:t>
            </w:r>
          </w:p>
        </w:tc>
        <w:tc>
          <w:tcPr>
            <w:tcW w:w="936" w:type="dxa"/>
            <w:tcBorders>
              <w:top w:val="nil"/>
              <w:left w:val="single" w:sz="4" w:space="0" w:color="auto"/>
              <w:bottom w:val="single" w:sz="4" w:space="0" w:color="auto"/>
              <w:right w:val="single" w:sz="4" w:space="0" w:color="auto"/>
            </w:tcBorders>
            <w:shd w:val="clear" w:color="auto" w:fill="auto"/>
            <w:noWrap/>
            <w:vAlign w:val="center"/>
          </w:tcPr>
          <w:p w14:paraId="32E57701" w14:textId="77777777" w:rsidR="00D0442A" w:rsidRPr="00AB08BB" w:rsidRDefault="00D0442A" w:rsidP="00D0442A">
            <w:pPr>
              <w:spacing w:after="0"/>
              <w:ind w:firstLine="360"/>
              <w:jc w:val="right"/>
              <w:rPr>
                <w:sz w:val="18"/>
                <w:szCs w:val="18"/>
                <w:highlight w:val="yellow"/>
              </w:rPr>
            </w:pPr>
            <w:r>
              <w:rPr>
                <w:color w:val="000000"/>
                <w:sz w:val="18"/>
                <w:szCs w:val="18"/>
              </w:rPr>
              <w:t>14,4</w:t>
            </w:r>
          </w:p>
        </w:tc>
        <w:tc>
          <w:tcPr>
            <w:tcW w:w="936" w:type="dxa"/>
            <w:tcBorders>
              <w:top w:val="single" w:sz="4" w:space="0" w:color="auto"/>
              <w:left w:val="nil"/>
              <w:bottom w:val="single" w:sz="4" w:space="0" w:color="auto"/>
              <w:right w:val="double" w:sz="4" w:space="0" w:color="auto"/>
            </w:tcBorders>
            <w:shd w:val="clear" w:color="auto" w:fill="auto"/>
            <w:vAlign w:val="center"/>
          </w:tcPr>
          <w:p w14:paraId="281337AF" w14:textId="77777777" w:rsidR="00D0442A" w:rsidRPr="00AB08BB" w:rsidRDefault="00D0442A" w:rsidP="00D0442A">
            <w:pPr>
              <w:spacing w:after="0"/>
              <w:ind w:firstLine="360"/>
              <w:jc w:val="right"/>
              <w:rPr>
                <w:sz w:val="18"/>
                <w:szCs w:val="18"/>
                <w:highlight w:val="yellow"/>
              </w:rPr>
            </w:pPr>
            <w:r>
              <w:rPr>
                <w:color w:val="000000"/>
                <w:sz w:val="18"/>
                <w:szCs w:val="18"/>
              </w:rPr>
              <w:t>13,3</w:t>
            </w:r>
          </w:p>
        </w:tc>
        <w:tc>
          <w:tcPr>
            <w:tcW w:w="936" w:type="dxa"/>
            <w:tcBorders>
              <w:top w:val="single" w:sz="4" w:space="0" w:color="auto"/>
              <w:left w:val="double" w:sz="4" w:space="0" w:color="auto"/>
              <w:bottom w:val="single" w:sz="4" w:space="0" w:color="auto"/>
              <w:right w:val="single" w:sz="4" w:space="0" w:color="auto"/>
            </w:tcBorders>
            <w:vAlign w:val="center"/>
          </w:tcPr>
          <w:p w14:paraId="044BF1A5" w14:textId="77777777" w:rsidR="00D0442A" w:rsidRPr="001F7603" w:rsidRDefault="00D0442A" w:rsidP="00D0442A">
            <w:pPr>
              <w:spacing w:after="0"/>
              <w:ind w:firstLine="360"/>
              <w:jc w:val="right"/>
              <w:rPr>
                <w:sz w:val="18"/>
                <w:szCs w:val="18"/>
              </w:rPr>
            </w:pPr>
            <w:r>
              <w:rPr>
                <w:color w:val="000000"/>
                <w:sz w:val="18"/>
                <w:szCs w:val="18"/>
              </w:rPr>
              <w:t>13,4</w:t>
            </w:r>
          </w:p>
        </w:tc>
        <w:tc>
          <w:tcPr>
            <w:tcW w:w="93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081FBD7" w14:textId="77777777" w:rsidR="00D0442A" w:rsidRPr="001F7603" w:rsidRDefault="00D0442A" w:rsidP="00D0442A">
            <w:pPr>
              <w:spacing w:after="0"/>
              <w:ind w:firstLine="360"/>
              <w:jc w:val="right"/>
              <w:rPr>
                <w:sz w:val="18"/>
                <w:szCs w:val="18"/>
              </w:rPr>
            </w:pPr>
            <w:r>
              <w:rPr>
                <w:color w:val="000000"/>
                <w:sz w:val="18"/>
                <w:szCs w:val="18"/>
              </w:rPr>
              <w:t>12,4</w:t>
            </w:r>
          </w:p>
        </w:tc>
        <w:tc>
          <w:tcPr>
            <w:tcW w:w="936" w:type="dxa"/>
            <w:tcBorders>
              <w:top w:val="single" w:sz="4" w:space="0" w:color="auto"/>
              <w:left w:val="double" w:sz="4" w:space="0" w:color="auto"/>
              <w:bottom w:val="single" w:sz="4" w:space="0" w:color="auto"/>
              <w:right w:val="single" w:sz="4" w:space="0" w:color="auto"/>
            </w:tcBorders>
            <w:vAlign w:val="center"/>
          </w:tcPr>
          <w:p w14:paraId="45A74A16" w14:textId="77777777" w:rsidR="00D0442A" w:rsidRPr="001F7603" w:rsidRDefault="00D0442A" w:rsidP="00D0442A">
            <w:pPr>
              <w:spacing w:after="0"/>
              <w:ind w:firstLine="360"/>
              <w:jc w:val="right"/>
              <w:rPr>
                <w:bCs/>
                <w:color w:val="000000"/>
                <w:sz w:val="18"/>
                <w:szCs w:val="18"/>
              </w:rPr>
            </w:pPr>
            <w:r>
              <w:rPr>
                <w:color w:val="000000"/>
                <w:sz w:val="18"/>
                <w:szCs w:val="18"/>
              </w:rPr>
              <w:t>-1,0</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205E2" w14:textId="77777777" w:rsidR="00D0442A" w:rsidRPr="001F7603" w:rsidRDefault="00D0442A" w:rsidP="00D0442A">
            <w:pPr>
              <w:spacing w:after="0"/>
              <w:ind w:firstLine="360"/>
              <w:jc w:val="right"/>
              <w:rPr>
                <w:bCs/>
                <w:color w:val="000000"/>
                <w:sz w:val="18"/>
                <w:szCs w:val="18"/>
              </w:rPr>
            </w:pPr>
            <w:r>
              <w:rPr>
                <w:color w:val="000000"/>
                <w:sz w:val="18"/>
                <w:szCs w:val="18"/>
              </w:rPr>
              <w:t>-0,9</w:t>
            </w:r>
          </w:p>
        </w:tc>
      </w:tr>
      <w:tr w:rsidR="00D0442A" w:rsidRPr="00842D51" w14:paraId="10E6DB52" w14:textId="77777777" w:rsidTr="00D0442A">
        <w:trPr>
          <w:trHeight w:val="70"/>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14:paraId="3D4932F5" w14:textId="77777777" w:rsidR="00D0442A" w:rsidRPr="001F7603" w:rsidRDefault="00D0442A" w:rsidP="00D0442A">
            <w:pPr>
              <w:spacing w:after="0"/>
              <w:ind w:firstLine="360"/>
              <w:rPr>
                <w:sz w:val="18"/>
                <w:szCs w:val="18"/>
              </w:rPr>
            </w:pPr>
            <w:r w:rsidRPr="001F7603">
              <w:rPr>
                <w:sz w:val="18"/>
                <w:szCs w:val="18"/>
              </w:rPr>
              <w:t>Procentu izdevumi</w:t>
            </w:r>
          </w:p>
        </w:tc>
        <w:tc>
          <w:tcPr>
            <w:tcW w:w="936" w:type="dxa"/>
            <w:tcBorders>
              <w:top w:val="nil"/>
              <w:left w:val="single" w:sz="4" w:space="0" w:color="auto"/>
              <w:bottom w:val="single" w:sz="4" w:space="0" w:color="auto"/>
              <w:right w:val="single" w:sz="4" w:space="0" w:color="auto"/>
            </w:tcBorders>
            <w:shd w:val="clear" w:color="auto" w:fill="auto"/>
            <w:noWrap/>
            <w:vAlign w:val="center"/>
          </w:tcPr>
          <w:p w14:paraId="3C34A57D" w14:textId="77777777" w:rsidR="00D0442A" w:rsidRPr="00AB08BB" w:rsidRDefault="00D0442A" w:rsidP="00D0442A">
            <w:pPr>
              <w:spacing w:after="0"/>
              <w:ind w:firstLine="360"/>
              <w:jc w:val="right"/>
              <w:rPr>
                <w:sz w:val="18"/>
                <w:szCs w:val="18"/>
                <w:highlight w:val="yellow"/>
              </w:rPr>
            </w:pPr>
            <w:r>
              <w:rPr>
                <w:color w:val="000000"/>
                <w:sz w:val="18"/>
                <w:szCs w:val="18"/>
              </w:rPr>
              <w:t>0,7</w:t>
            </w:r>
          </w:p>
        </w:tc>
        <w:tc>
          <w:tcPr>
            <w:tcW w:w="936" w:type="dxa"/>
            <w:tcBorders>
              <w:top w:val="single" w:sz="4" w:space="0" w:color="auto"/>
              <w:left w:val="nil"/>
              <w:bottom w:val="single" w:sz="4" w:space="0" w:color="auto"/>
              <w:right w:val="double" w:sz="4" w:space="0" w:color="auto"/>
            </w:tcBorders>
            <w:shd w:val="clear" w:color="auto" w:fill="auto"/>
            <w:vAlign w:val="center"/>
          </w:tcPr>
          <w:p w14:paraId="4ABD8700" w14:textId="77777777" w:rsidR="00D0442A" w:rsidRPr="00AB08BB" w:rsidRDefault="00D0442A" w:rsidP="00D0442A">
            <w:pPr>
              <w:spacing w:after="0"/>
              <w:ind w:firstLine="360"/>
              <w:jc w:val="right"/>
              <w:rPr>
                <w:sz w:val="18"/>
                <w:szCs w:val="18"/>
                <w:highlight w:val="yellow"/>
              </w:rPr>
            </w:pPr>
            <w:r>
              <w:rPr>
                <w:color w:val="000000"/>
                <w:sz w:val="18"/>
                <w:szCs w:val="18"/>
              </w:rPr>
              <w:t>0,6</w:t>
            </w:r>
          </w:p>
        </w:tc>
        <w:tc>
          <w:tcPr>
            <w:tcW w:w="936" w:type="dxa"/>
            <w:tcBorders>
              <w:top w:val="single" w:sz="4" w:space="0" w:color="auto"/>
              <w:left w:val="double" w:sz="4" w:space="0" w:color="auto"/>
              <w:bottom w:val="single" w:sz="4" w:space="0" w:color="auto"/>
              <w:right w:val="single" w:sz="4" w:space="0" w:color="auto"/>
            </w:tcBorders>
            <w:vAlign w:val="center"/>
          </w:tcPr>
          <w:p w14:paraId="63F0D5A0" w14:textId="77777777" w:rsidR="00D0442A" w:rsidRPr="001F7603" w:rsidRDefault="00D0442A" w:rsidP="00D0442A">
            <w:pPr>
              <w:spacing w:after="0"/>
              <w:ind w:firstLine="360"/>
              <w:jc w:val="right"/>
              <w:rPr>
                <w:sz w:val="18"/>
                <w:szCs w:val="18"/>
              </w:rPr>
            </w:pPr>
            <w:r>
              <w:rPr>
                <w:color w:val="000000"/>
                <w:sz w:val="18"/>
                <w:szCs w:val="18"/>
              </w:rPr>
              <w:t>0,6</w:t>
            </w:r>
          </w:p>
        </w:tc>
        <w:tc>
          <w:tcPr>
            <w:tcW w:w="93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29405808" w14:textId="77777777" w:rsidR="00D0442A" w:rsidRPr="001F7603" w:rsidRDefault="00D0442A" w:rsidP="00D0442A">
            <w:pPr>
              <w:spacing w:after="0"/>
              <w:ind w:firstLine="360"/>
              <w:jc w:val="right"/>
              <w:rPr>
                <w:sz w:val="18"/>
                <w:szCs w:val="18"/>
              </w:rPr>
            </w:pPr>
            <w:r>
              <w:rPr>
                <w:color w:val="000000"/>
                <w:sz w:val="18"/>
                <w:szCs w:val="18"/>
              </w:rPr>
              <w:t>0,6</w:t>
            </w:r>
          </w:p>
        </w:tc>
        <w:tc>
          <w:tcPr>
            <w:tcW w:w="936" w:type="dxa"/>
            <w:tcBorders>
              <w:top w:val="single" w:sz="4" w:space="0" w:color="auto"/>
              <w:left w:val="double" w:sz="4" w:space="0" w:color="auto"/>
              <w:bottom w:val="single" w:sz="4" w:space="0" w:color="auto"/>
              <w:right w:val="single" w:sz="4" w:space="0" w:color="auto"/>
            </w:tcBorders>
            <w:vAlign w:val="center"/>
          </w:tcPr>
          <w:p w14:paraId="247DFCE1" w14:textId="77777777" w:rsidR="00D0442A" w:rsidRPr="001F7603" w:rsidRDefault="00D0442A" w:rsidP="00D0442A">
            <w:pPr>
              <w:spacing w:after="0"/>
              <w:ind w:firstLine="360"/>
              <w:jc w:val="right"/>
              <w:rPr>
                <w:bCs/>
                <w:color w:val="000000"/>
                <w:sz w:val="18"/>
                <w:szCs w:val="18"/>
              </w:rPr>
            </w:pPr>
            <w:r>
              <w:rPr>
                <w:color w:val="000000"/>
                <w:sz w:val="18"/>
                <w:szCs w:val="18"/>
              </w:rPr>
              <w:t>-0,1</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B12A4" w14:textId="77777777" w:rsidR="00D0442A" w:rsidRPr="001F7603" w:rsidRDefault="00D0442A" w:rsidP="00D0442A">
            <w:pPr>
              <w:spacing w:after="0"/>
              <w:ind w:firstLine="360"/>
              <w:jc w:val="right"/>
              <w:rPr>
                <w:bCs/>
                <w:color w:val="000000"/>
                <w:sz w:val="18"/>
                <w:szCs w:val="18"/>
              </w:rPr>
            </w:pPr>
            <w:r>
              <w:rPr>
                <w:color w:val="000000"/>
                <w:sz w:val="18"/>
                <w:szCs w:val="18"/>
              </w:rPr>
              <w:t>0,0</w:t>
            </w:r>
          </w:p>
        </w:tc>
      </w:tr>
      <w:tr w:rsidR="00D0442A" w:rsidRPr="00842D51" w14:paraId="392D089B" w14:textId="77777777" w:rsidTr="00D0442A">
        <w:trPr>
          <w:trHeight w:val="70"/>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14:paraId="0378A60B" w14:textId="77777777" w:rsidR="00D0442A" w:rsidRPr="001F7603" w:rsidRDefault="00D0442A" w:rsidP="00D0442A">
            <w:pPr>
              <w:spacing w:after="0"/>
              <w:ind w:firstLine="360"/>
              <w:rPr>
                <w:sz w:val="18"/>
                <w:szCs w:val="18"/>
              </w:rPr>
            </w:pPr>
            <w:r w:rsidRPr="001F7603">
              <w:rPr>
                <w:sz w:val="18"/>
                <w:szCs w:val="18"/>
              </w:rPr>
              <w:t>Subsīdijas</w:t>
            </w:r>
          </w:p>
        </w:tc>
        <w:tc>
          <w:tcPr>
            <w:tcW w:w="936" w:type="dxa"/>
            <w:tcBorders>
              <w:top w:val="nil"/>
              <w:left w:val="single" w:sz="4" w:space="0" w:color="auto"/>
              <w:bottom w:val="single" w:sz="4" w:space="0" w:color="auto"/>
              <w:right w:val="single" w:sz="4" w:space="0" w:color="auto"/>
            </w:tcBorders>
            <w:shd w:val="clear" w:color="auto" w:fill="auto"/>
            <w:noWrap/>
            <w:vAlign w:val="center"/>
          </w:tcPr>
          <w:p w14:paraId="4686B1E3" w14:textId="77777777" w:rsidR="00D0442A" w:rsidRPr="00AB08BB" w:rsidRDefault="00D0442A" w:rsidP="00D0442A">
            <w:pPr>
              <w:spacing w:after="0"/>
              <w:ind w:firstLine="360"/>
              <w:jc w:val="right"/>
              <w:rPr>
                <w:sz w:val="18"/>
                <w:szCs w:val="18"/>
                <w:highlight w:val="yellow"/>
              </w:rPr>
            </w:pPr>
            <w:r>
              <w:rPr>
                <w:color w:val="000000"/>
                <w:sz w:val="18"/>
                <w:szCs w:val="18"/>
              </w:rPr>
              <w:t>1,2</w:t>
            </w:r>
          </w:p>
        </w:tc>
        <w:tc>
          <w:tcPr>
            <w:tcW w:w="936" w:type="dxa"/>
            <w:tcBorders>
              <w:top w:val="single" w:sz="4" w:space="0" w:color="auto"/>
              <w:left w:val="nil"/>
              <w:bottom w:val="single" w:sz="4" w:space="0" w:color="auto"/>
              <w:right w:val="double" w:sz="4" w:space="0" w:color="auto"/>
            </w:tcBorders>
            <w:shd w:val="clear" w:color="auto" w:fill="auto"/>
            <w:vAlign w:val="center"/>
          </w:tcPr>
          <w:p w14:paraId="38632CA7" w14:textId="77777777" w:rsidR="00D0442A" w:rsidRPr="00AB08BB" w:rsidRDefault="00D0442A" w:rsidP="00D0442A">
            <w:pPr>
              <w:spacing w:after="0"/>
              <w:ind w:firstLine="360"/>
              <w:jc w:val="right"/>
              <w:rPr>
                <w:sz w:val="18"/>
                <w:szCs w:val="18"/>
                <w:highlight w:val="yellow"/>
              </w:rPr>
            </w:pPr>
            <w:r>
              <w:rPr>
                <w:color w:val="000000"/>
                <w:sz w:val="18"/>
                <w:szCs w:val="18"/>
              </w:rPr>
              <w:t>0,9</w:t>
            </w:r>
          </w:p>
        </w:tc>
        <w:tc>
          <w:tcPr>
            <w:tcW w:w="936" w:type="dxa"/>
            <w:tcBorders>
              <w:top w:val="single" w:sz="4" w:space="0" w:color="auto"/>
              <w:left w:val="double" w:sz="4" w:space="0" w:color="auto"/>
              <w:bottom w:val="single" w:sz="4" w:space="0" w:color="auto"/>
              <w:right w:val="single" w:sz="4" w:space="0" w:color="auto"/>
            </w:tcBorders>
            <w:vAlign w:val="center"/>
          </w:tcPr>
          <w:p w14:paraId="4FB4DEAE" w14:textId="77777777" w:rsidR="00D0442A" w:rsidRPr="001F7603" w:rsidRDefault="00D0442A" w:rsidP="00D0442A">
            <w:pPr>
              <w:spacing w:after="0"/>
              <w:ind w:firstLine="360"/>
              <w:jc w:val="right"/>
              <w:rPr>
                <w:sz w:val="18"/>
                <w:szCs w:val="18"/>
              </w:rPr>
            </w:pPr>
            <w:r>
              <w:rPr>
                <w:color w:val="000000"/>
                <w:sz w:val="18"/>
                <w:szCs w:val="18"/>
              </w:rPr>
              <w:t>1,4</w:t>
            </w:r>
          </w:p>
        </w:tc>
        <w:tc>
          <w:tcPr>
            <w:tcW w:w="93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68CF9525" w14:textId="77777777" w:rsidR="00D0442A" w:rsidRPr="001F7603" w:rsidRDefault="00D0442A" w:rsidP="00D0442A">
            <w:pPr>
              <w:spacing w:after="0"/>
              <w:ind w:firstLine="360"/>
              <w:jc w:val="right"/>
              <w:rPr>
                <w:sz w:val="18"/>
                <w:szCs w:val="18"/>
              </w:rPr>
            </w:pPr>
            <w:r>
              <w:rPr>
                <w:color w:val="000000"/>
                <w:sz w:val="18"/>
                <w:szCs w:val="18"/>
              </w:rPr>
              <w:t>1,2</w:t>
            </w:r>
          </w:p>
        </w:tc>
        <w:tc>
          <w:tcPr>
            <w:tcW w:w="936" w:type="dxa"/>
            <w:tcBorders>
              <w:top w:val="single" w:sz="4" w:space="0" w:color="auto"/>
              <w:left w:val="double" w:sz="4" w:space="0" w:color="auto"/>
              <w:bottom w:val="single" w:sz="4" w:space="0" w:color="auto"/>
              <w:right w:val="single" w:sz="4" w:space="0" w:color="auto"/>
            </w:tcBorders>
            <w:vAlign w:val="center"/>
          </w:tcPr>
          <w:p w14:paraId="7E99A7C5" w14:textId="77777777" w:rsidR="00D0442A" w:rsidRPr="001F7603" w:rsidRDefault="00D0442A" w:rsidP="00D0442A">
            <w:pPr>
              <w:spacing w:after="0"/>
              <w:ind w:firstLine="360"/>
              <w:jc w:val="right"/>
              <w:rPr>
                <w:bCs/>
                <w:color w:val="000000"/>
                <w:sz w:val="18"/>
                <w:szCs w:val="18"/>
              </w:rPr>
            </w:pPr>
            <w:r>
              <w:rPr>
                <w:color w:val="000000"/>
                <w:sz w:val="18"/>
                <w:szCs w:val="18"/>
              </w:rPr>
              <w:t>0,2</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63004" w14:textId="77777777" w:rsidR="00D0442A" w:rsidRPr="001F7603" w:rsidRDefault="00D0442A" w:rsidP="00D0442A">
            <w:pPr>
              <w:spacing w:after="0"/>
              <w:ind w:firstLine="360"/>
              <w:jc w:val="right"/>
              <w:rPr>
                <w:bCs/>
                <w:color w:val="000000"/>
                <w:sz w:val="18"/>
                <w:szCs w:val="18"/>
              </w:rPr>
            </w:pPr>
            <w:r>
              <w:rPr>
                <w:color w:val="000000"/>
                <w:sz w:val="18"/>
                <w:szCs w:val="18"/>
              </w:rPr>
              <w:t>0,3</w:t>
            </w:r>
          </w:p>
        </w:tc>
      </w:tr>
      <w:tr w:rsidR="00D0442A" w:rsidRPr="00842D51" w14:paraId="4F18B4A6" w14:textId="77777777" w:rsidTr="00D0442A">
        <w:trPr>
          <w:trHeight w:val="7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00584" w14:textId="77777777" w:rsidR="00D0442A" w:rsidRPr="001F7603" w:rsidRDefault="00D0442A" w:rsidP="00D0442A">
            <w:pPr>
              <w:spacing w:after="0"/>
              <w:ind w:firstLine="360"/>
              <w:jc w:val="left"/>
              <w:rPr>
                <w:sz w:val="18"/>
                <w:szCs w:val="18"/>
              </w:rPr>
            </w:pPr>
            <w:r w:rsidRPr="001F7603">
              <w:rPr>
                <w:sz w:val="18"/>
                <w:szCs w:val="18"/>
              </w:rPr>
              <w:t>Bruto pamatkapitāla veidošana</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D05F4F" w14:textId="77777777" w:rsidR="00D0442A" w:rsidRPr="00AB08BB" w:rsidRDefault="00D0442A" w:rsidP="00D0442A">
            <w:pPr>
              <w:spacing w:after="0"/>
              <w:ind w:firstLine="360"/>
              <w:jc w:val="right"/>
              <w:rPr>
                <w:sz w:val="18"/>
                <w:szCs w:val="18"/>
                <w:highlight w:val="yellow"/>
              </w:rPr>
            </w:pPr>
            <w:r>
              <w:rPr>
                <w:color w:val="000000"/>
                <w:sz w:val="18"/>
                <w:szCs w:val="18"/>
              </w:rPr>
              <w:t>5,5</w:t>
            </w:r>
          </w:p>
        </w:tc>
        <w:tc>
          <w:tcPr>
            <w:tcW w:w="936" w:type="dxa"/>
            <w:tcBorders>
              <w:top w:val="single" w:sz="4" w:space="0" w:color="auto"/>
              <w:left w:val="nil"/>
              <w:bottom w:val="single" w:sz="4" w:space="0" w:color="auto"/>
              <w:right w:val="double" w:sz="4" w:space="0" w:color="auto"/>
            </w:tcBorders>
            <w:shd w:val="clear" w:color="auto" w:fill="auto"/>
            <w:vAlign w:val="center"/>
          </w:tcPr>
          <w:p w14:paraId="4AE5490B" w14:textId="77777777" w:rsidR="00D0442A" w:rsidRPr="00AB08BB" w:rsidRDefault="00D0442A" w:rsidP="00D0442A">
            <w:pPr>
              <w:spacing w:after="0"/>
              <w:ind w:firstLine="360"/>
              <w:jc w:val="right"/>
              <w:rPr>
                <w:sz w:val="18"/>
                <w:szCs w:val="18"/>
                <w:highlight w:val="yellow"/>
              </w:rPr>
            </w:pPr>
            <w:r>
              <w:rPr>
                <w:color w:val="000000"/>
                <w:sz w:val="18"/>
                <w:szCs w:val="18"/>
              </w:rPr>
              <w:t>6,5</w:t>
            </w:r>
          </w:p>
        </w:tc>
        <w:tc>
          <w:tcPr>
            <w:tcW w:w="936" w:type="dxa"/>
            <w:tcBorders>
              <w:top w:val="single" w:sz="4" w:space="0" w:color="auto"/>
              <w:left w:val="double" w:sz="4" w:space="0" w:color="auto"/>
              <w:bottom w:val="single" w:sz="4" w:space="0" w:color="auto"/>
              <w:right w:val="single" w:sz="4" w:space="0" w:color="auto"/>
            </w:tcBorders>
            <w:vAlign w:val="center"/>
          </w:tcPr>
          <w:p w14:paraId="593001D6" w14:textId="77777777" w:rsidR="00D0442A" w:rsidRPr="001F7603" w:rsidRDefault="00D0442A" w:rsidP="00D0442A">
            <w:pPr>
              <w:spacing w:after="0"/>
              <w:ind w:firstLine="360"/>
              <w:jc w:val="right"/>
              <w:rPr>
                <w:sz w:val="18"/>
                <w:szCs w:val="18"/>
              </w:rPr>
            </w:pPr>
            <w:r>
              <w:rPr>
                <w:color w:val="000000"/>
                <w:sz w:val="18"/>
                <w:szCs w:val="18"/>
              </w:rPr>
              <w:t>6,2</w:t>
            </w:r>
          </w:p>
        </w:tc>
        <w:tc>
          <w:tcPr>
            <w:tcW w:w="93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21C35C97" w14:textId="77777777" w:rsidR="00D0442A" w:rsidRPr="001F7603" w:rsidRDefault="00D0442A" w:rsidP="00D0442A">
            <w:pPr>
              <w:spacing w:after="0"/>
              <w:ind w:firstLine="360"/>
              <w:jc w:val="right"/>
              <w:rPr>
                <w:sz w:val="18"/>
                <w:szCs w:val="18"/>
              </w:rPr>
            </w:pPr>
            <w:r>
              <w:rPr>
                <w:color w:val="000000"/>
                <w:sz w:val="18"/>
                <w:szCs w:val="18"/>
              </w:rPr>
              <w:t>6,1</w:t>
            </w:r>
          </w:p>
        </w:tc>
        <w:tc>
          <w:tcPr>
            <w:tcW w:w="936" w:type="dxa"/>
            <w:tcBorders>
              <w:top w:val="single" w:sz="4" w:space="0" w:color="auto"/>
              <w:left w:val="double" w:sz="4" w:space="0" w:color="auto"/>
              <w:bottom w:val="single" w:sz="4" w:space="0" w:color="auto"/>
              <w:right w:val="single" w:sz="4" w:space="0" w:color="auto"/>
            </w:tcBorders>
            <w:vAlign w:val="center"/>
          </w:tcPr>
          <w:p w14:paraId="5EC3CB45" w14:textId="77777777" w:rsidR="00D0442A" w:rsidRPr="001F7603" w:rsidRDefault="00D0442A" w:rsidP="00D0442A">
            <w:pPr>
              <w:spacing w:after="0"/>
              <w:ind w:firstLine="360"/>
              <w:jc w:val="right"/>
              <w:rPr>
                <w:bCs/>
                <w:color w:val="000000"/>
                <w:sz w:val="18"/>
                <w:szCs w:val="18"/>
              </w:rPr>
            </w:pPr>
            <w:r>
              <w:rPr>
                <w:color w:val="000000"/>
                <w:sz w:val="18"/>
                <w:szCs w:val="18"/>
              </w:rPr>
              <w:t>0,7</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9FBAC" w14:textId="77777777" w:rsidR="00D0442A" w:rsidRPr="001F7603" w:rsidRDefault="00D0442A" w:rsidP="00D0442A">
            <w:pPr>
              <w:spacing w:after="0"/>
              <w:ind w:firstLine="360"/>
              <w:jc w:val="right"/>
              <w:rPr>
                <w:bCs/>
                <w:color w:val="000000"/>
                <w:sz w:val="18"/>
                <w:szCs w:val="18"/>
              </w:rPr>
            </w:pPr>
            <w:r>
              <w:rPr>
                <w:color w:val="000000"/>
                <w:sz w:val="18"/>
                <w:szCs w:val="18"/>
              </w:rPr>
              <w:t>-0,4</w:t>
            </w:r>
          </w:p>
        </w:tc>
      </w:tr>
      <w:tr w:rsidR="00D0442A" w:rsidRPr="00842D51" w14:paraId="54B9865C" w14:textId="77777777" w:rsidTr="00D0442A">
        <w:trPr>
          <w:trHeight w:val="7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722DE" w14:textId="77777777" w:rsidR="00D0442A" w:rsidRPr="001F7603" w:rsidRDefault="00D0442A" w:rsidP="00D0442A">
            <w:pPr>
              <w:spacing w:after="0"/>
              <w:ind w:firstLine="360"/>
              <w:rPr>
                <w:sz w:val="18"/>
                <w:szCs w:val="18"/>
              </w:rPr>
            </w:pPr>
            <w:r w:rsidRPr="001F7603">
              <w:rPr>
                <w:sz w:val="18"/>
                <w:szCs w:val="18"/>
              </w:rPr>
              <w:t>Pārējie izdevumi</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15AF7" w14:textId="77777777" w:rsidR="00D0442A" w:rsidRPr="00AB08BB" w:rsidRDefault="00D0442A" w:rsidP="00D0442A">
            <w:pPr>
              <w:spacing w:after="0"/>
              <w:ind w:firstLine="360"/>
              <w:jc w:val="right"/>
              <w:rPr>
                <w:sz w:val="18"/>
                <w:szCs w:val="18"/>
                <w:highlight w:val="yellow"/>
              </w:rPr>
            </w:pPr>
            <w:r>
              <w:rPr>
                <w:color w:val="000000"/>
                <w:sz w:val="18"/>
                <w:szCs w:val="18"/>
              </w:rPr>
              <w:t>7,8</w:t>
            </w:r>
          </w:p>
        </w:tc>
        <w:tc>
          <w:tcPr>
            <w:tcW w:w="936" w:type="dxa"/>
            <w:tcBorders>
              <w:top w:val="single" w:sz="4" w:space="0" w:color="auto"/>
              <w:left w:val="nil"/>
              <w:bottom w:val="single" w:sz="4" w:space="0" w:color="auto"/>
              <w:right w:val="double" w:sz="4" w:space="0" w:color="auto"/>
            </w:tcBorders>
            <w:shd w:val="clear" w:color="auto" w:fill="auto"/>
            <w:vAlign w:val="center"/>
          </w:tcPr>
          <w:p w14:paraId="72EB9809" w14:textId="77777777" w:rsidR="00D0442A" w:rsidRPr="00AB08BB" w:rsidRDefault="00D0442A" w:rsidP="00D0442A">
            <w:pPr>
              <w:spacing w:after="0"/>
              <w:ind w:firstLine="360"/>
              <w:jc w:val="right"/>
              <w:rPr>
                <w:sz w:val="18"/>
                <w:szCs w:val="18"/>
                <w:highlight w:val="yellow"/>
              </w:rPr>
            </w:pPr>
            <w:r>
              <w:rPr>
                <w:color w:val="000000"/>
                <w:sz w:val="18"/>
                <w:szCs w:val="18"/>
              </w:rPr>
              <w:t>4,8</w:t>
            </w:r>
          </w:p>
        </w:tc>
        <w:tc>
          <w:tcPr>
            <w:tcW w:w="936" w:type="dxa"/>
            <w:tcBorders>
              <w:top w:val="single" w:sz="4" w:space="0" w:color="auto"/>
              <w:left w:val="double" w:sz="4" w:space="0" w:color="auto"/>
              <w:bottom w:val="single" w:sz="4" w:space="0" w:color="auto"/>
              <w:right w:val="single" w:sz="4" w:space="0" w:color="auto"/>
            </w:tcBorders>
            <w:vAlign w:val="center"/>
          </w:tcPr>
          <w:p w14:paraId="53348E19" w14:textId="77777777" w:rsidR="00D0442A" w:rsidRPr="001F7603" w:rsidRDefault="00D0442A" w:rsidP="00D0442A">
            <w:pPr>
              <w:spacing w:after="0"/>
              <w:ind w:firstLine="360"/>
              <w:jc w:val="right"/>
              <w:rPr>
                <w:sz w:val="18"/>
                <w:szCs w:val="18"/>
              </w:rPr>
            </w:pPr>
            <w:r>
              <w:rPr>
                <w:color w:val="000000"/>
                <w:sz w:val="18"/>
                <w:szCs w:val="18"/>
              </w:rPr>
              <w:t>6,3</w:t>
            </w:r>
          </w:p>
        </w:tc>
        <w:tc>
          <w:tcPr>
            <w:tcW w:w="93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223C469A" w14:textId="77777777" w:rsidR="00D0442A" w:rsidRPr="001F7603" w:rsidRDefault="00D0442A" w:rsidP="00D0442A">
            <w:pPr>
              <w:spacing w:after="0"/>
              <w:ind w:firstLine="360"/>
              <w:jc w:val="right"/>
              <w:rPr>
                <w:sz w:val="18"/>
                <w:szCs w:val="18"/>
              </w:rPr>
            </w:pPr>
            <w:r>
              <w:rPr>
                <w:color w:val="000000"/>
                <w:sz w:val="18"/>
                <w:szCs w:val="18"/>
              </w:rPr>
              <w:t>4,4</w:t>
            </w:r>
          </w:p>
        </w:tc>
        <w:tc>
          <w:tcPr>
            <w:tcW w:w="936" w:type="dxa"/>
            <w:tcBorders>
              <w:top w:val="single" w:sz="4" w:space="0" w:color="auto"/>
              <w:left w:val="double" w:sz="4" w:space="0" w:color="auto"/>
              <w:bottom w:val="single" w:sz="4" w:space="0" w:color="auto"/>
              <w:right w:val="single" w:sz="4" w:space="0" w:color="auto"/>
            </w:tcBorders>
            <w:vAlign w:val="center"/>
          </w:tcPr>
          <w:p w14:paraId="7D6D3C89" w14:textId="77777777" w:rsidR="00D0442A" w:rsidRPr="001F7603" w:rsidRDefault="00D0442A" w:rsidP="00D0442A">
            <w:pPr>
              <w:spacing w:after="0"/>
              <w:ind w:firstLine="360"/>
              <w:jc w:val="right"/>
              <w:rPr>
                <w:bCs/>
                <w:color w:val="000000"/>
                <w:sz w:val="18"/>
                <w:szCs w:val="18"/>
              </w:rPr>
            </w:pPr>
            <w:r>
              <w:rPr>
                <w:color w:val="000000"/>
                <w:sz w:val="18"/>
                <w:szCs w:val="18"/>
              </w:rPr>
              <w:t>-1,5</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8559E" w14:textId="77777777" w:rsidR="00D0442A" w:rsidRPr="001F7603" w:rsidRDefault="00D0442A" w:rsidP="00D0442A">
            <w:pPr>
              <w:spacing w:after="0"/>
              <w:ind w:firstLine="360"/>
              <w:jc w:val="right"/>
              <w:rPr>
                <w:bCs/>
                <w:color w:val="000000"/>
                <w:sz w:val="18"/>
                <w:szCs w:val="18"/>
              </w:rPr>
            </w:pPr>
            <w:r>
              <w:rPr>
                <w:color w:val="000000"/>
                <w:sz w:val="18"/>
                <w:szCs w:val="18"/>
              </w:rPr>
              <w:t>-0,4</w:t>
            </w:r>
          </w:p>
        </w:tc>
      </w:tr>
    </w:tbl>
    <w:p w14:paraId="6C6449D7" w14:textId="77777777" w:rsidR="00D0442A" w:rsidRDefault="00D0442A" w:rsidP="00D0442A">
      <w:pPr>
        <w:pStyle w:val="funkcijas"/>
        <w:spacing w:after="0"/>
        <w:ind w:firstLine="360"/>
        <w:rPr>
          <w:rFonts w:eastAsia="Calibri"/>
          <w:u w:val="none"/>
        </w:rPr>
      </w:pPr>
    </w:p>
    <w:p w14:paraId="5E71B5D0" w14:textId="44E68F5F" w:rsidR="00D0442A" w:rsidRPr="008C66D1" w:rsidRDefault="00D0442A" w:rsidP="00D0442A">
      <w:pPr>
        <w:pStyle w:val="funkcijas"/>
        <w:ind w:firstLine="709"/>
        <w:rPr>
          <w:rFonts w:eastAsia="Calibri"/>
          <w:szCs w:val="28"/>
          <w:u w:val="none"/>
        </w:rPr>
      </w:pPr>
      <w:r w:rsidRPr="008C66D1">
        <w:rPr>
          <w:rFonts w:eastAsia="Calibri"/>
          <w:szCs w:val="28"/>
          <w:u w:val="none"/>
        </w:rPr>
        <w:t>Atbilstoši 202</w:t>
      </w:r>
      <w:r>
        <w:rPr>
          <w:rFonts w:eastAsia="Calibri"/>
          <w:szCs w:val="28"/>
          <w:u w:val="none"/>
        </w:rPr>
        <w:t>1</w:t>
      </w:r>
      <w:r w:rsidR="0090051F">
        <w:rPr>
          <w:rFonts w:eastAsia="Calibri"/>
          <w:szCs w:val="28"/>
          <w:u w:val="none"/>
        </w:rPr>
        <w:t>. gada pavasara prognozēm Eiropas Komisijas</w:t>
      </w:r>
      <w:r w:rsidRPr="008C66D1">
        <w:rPr>
          <w:rFonts w:eastAsia="Calibri"/>
          <w:szCs w:val="28"/>
          <w:u w:val="none"/>
        </w:rPr>
        <w:t xml:space="preserve"> prognozē, ka Latvijas vispārējās valdības budžeta deficīts 202</w:t>
      </w:r>
      <w:r>
        <w:rPr>
          <w:rFonts w:eastAsia="Calibri"/>
          <w:szCs w:val="28"/>
          <w:u w:val="none"/>
        </w:rPr>
        <w:t>1</w:t>
      </w:r>
      <w:r w:rsidRPr="008C66D1">
        <w:rPr>
          <w:rFonts w:eastAsia="Calibri"/>
          <w:szCs w:val="28"/>
          <w:u w:val="none"/>
        </w:rPr>
        <w:t xml:space="preserve">. gadā būs 7,3% no </w:t>
      </w:r>
      <w:r w:rsidR="0090051F" w:rsidRPr="0090051F">
        <w:rPr>
          <w:rFonts w:eastAsia="Calibri"/>
          <w:szCs w:val="28"/>
          <w:u w:val="none"/>
        </w:rPr>
        <w:t>iekšzemes kopprodukta</w:t>
      </w:r>
      <w:r w:rsidRPr="008C66D1">
        <w:rPr>
          <w:rFonts w:eastAsia="Calibri"/>
          <w:szCs w:val="28"/>
          <w:u w:val="none"/>
        </w:rPr>
        <w:t xml:space="preserve"> un </w:t>
      </w:r>
      <w:r w:rsidRPr="008C66D1">
        <w:rPr>
          <w:rFonts w:eastAsia="Calibri"/>
          <w:szCs w:val="28"/>
          <w:u w:val="none"/>
        </w:rPr>
        <w:lastRenderedPageBreak/>
        <w:t>202</w:t>
      </w:r>
      <w:r>
        <w:rPr>
          <w:rFonts w:eastAsia="Calibri"/>
          <w:szCs w:val="28"/>
          <w:u w:val="none"/>
        </w:rPr>
        <w:t>2</w:t>
      </w:r>
      <w:r w:rsidRPr="008C66D1">
        <w:rPr>
          <w:rFonts w:eastAsia="Calibri"/>
          <w:szCs w:val="28"/>
          <w:u w:val="none"/>
        </w:rPr>
        <w:t xml:space="preserve">. gadā būs </w:t>
      </w:r>
      <w:r>
        <w:rPr>
          <w:rFonts w:eastAsia="Calibri"/>
          <w:szCs w:val="28"/>
          <w:u w:val="none"/>
        </w:rPr>
        <w:t>2</w:t>
      </w:r>
      <w:r w:rsidRPr="008C66D1">
        <w:rPr>
          <w:rFonts w:eastAsia="Calibri"/>
          <w:szCs w:val="28"/>
          <w:u w:val="none"/>
        </w:rPr>
        <w:t>,</w:t>
      </w:r>
      <w:r>
        <w:rPr>
          <w:rFonts w:eastAsia="Calibri"/>
          <w:szCs w:val="28"/>
          <w:u w:val="none"/>
        </w:rPr>
        <w:t>0</w:t>
      </w:r>
      <w:r w:rsidRPr="008C66D1">
        <w:rPr>
          <w:rFonts w:eastAsia="Calibri"/>
          <w:szCs w:val="28"/>
          <w:u w:val="none"/>
        </w:rPr>
        <w:t xml:space="preserve">% no </w:t>
      </w:r>
      <w:r w:rsidR="0090051F" w:rsidRPr="0090051F">
        <w:rPr>
          <w:rFonts w:eastAsia="Calibri"/>
          <w:szCs w:val="28"/>
          <w:u w:val="none"/>
        </w:rPr>
        <w:t>iekšzemes kopprodukta</w:t>
      </w:r>
      <w:r w:rsidRPr="008C66D1">
        <w:rPr>
          <w:rFonts w:eastAsia="Calibri"/>
          <w:szCs w:val="28"/>
          <w:u w:val="none"/>
        </w:rPr>
        <w:t>, kas</w:t>
      </w:r>
      <w:r w:rsidR="0090051F">
        <w:rPr>
          <w:rFonts w:eastAsia="Calibri"/>
          <w:szCs w:val="28"/>
          <w:u w:val="none"/>
        </w:rPr>
        <w:t xml:space="preserve"> ir zemāks nekā Finanšu ministrijas</w:t>
      </w:r>
      <w:r>
        <w:rPr>
          <w:rFonts w:eastAsia="Calibri"/>
          <w:szCs w:val="28"/>
          <w:u w:val="none"/>
        </w:rPr>
        <w:t xml:space="preserve"> prognozētais deficīts. </w:t>
      </w:r>
      <w:r w:rsidR="0090051F">
        <w:rPr>
          <w:rFonts w:eastAsia="Calibri"/>
          <w:szCs w:val="28"/>
          <w:u w:val="none"/>
        </w:rPr>
        <w:t>To, iespējams, nosaka tas, ka Eiropas Komisijas</w:t>
      </w:r>
      <w:r>
        <w:rPr>
          <w:rFonts w:eastAsia="Calibri"/>
          <w:szCs w:val="28"/>
          <w:u w:val="none"/>
        </w:rPr>
        <w:t xml:space="preserve"> prognozes izstrādes brīdī nebija iespējams ņemt vērā aktuālāko informāciju par valdības lēmumiem attiecībā uz papildus finansējumu Covid-19 atbalstam gan 2</w:t>
      </w:r>
      <w:r w:rsidR="0090051F">
        <w:rPr>
          <w:rFonts w:eastAsia="Calibri"/>
          <w:szCs w:val="28"/>
          <w:u w:val="none"/>
        </w:rPr>
        <w:t>021., gan 2022. gadam, kā arī Eiropas Komsijas</w:t>
      </w:r>
      <w:r>
        <w:rPr>
          <w:rFonts w:eastAsia="Calibri"/>
          <w:szCs w:val="28"/>
          <w:u w:val="none"/>
        </w:rPr>
        <w:t xml:space="preserve"> prognozē nav iekļauti aktuālākie valdības lēmumi attiecībā uz papildus finansējumu atlīdzībai un investīcijām. G</w:t>
      </w:r>
      <w:r w:rsidR="0090051F">
        <w:rPr>
          <w:rFonts w:eastAsia="Calibri"/>
          <w:szCs w:val="28"/>
          <w:u w:val="none"/>
        </w:rPr>
        <w:t>an Finanšu ministrijas, gan Eiropas Komisijas</w:t>
      </w:r>
      <w:r w:rsidRPr="008C66D1">
        <w:rPr>
          <w:rFonts w:eastAsia="Calibri"/>
          <w:szCs w:val="28"/>
          <w:u w:val="none"/>
        </w:rPr>
        <w:t xml:space="preserve"> prognozē, ka deficīts 202</w:t>
      </w:r>
      <w:r>
        <w:rPr>
          <w:rFonts w:eastAsia="Calibri"/>
          <w:szCs w:val="28"/>
          <w:u w:val="none"/>
        </w:rPr>
        <w:t>2</w:t>
      </w:r>
      <w:r w:rsidRPr="008C66D1">
        <w:rPr>
          <w:rFonts w:eastAsia="Calibri"/>
          <w:szCs w:val="28"/>
          <w:u w:val="none"/>
        </w:rPr>
        <w:t>. gadā</w:t>
      </w:r>
      <w:r w:rsidRPr="00323882">
        <w:rPr>
          <w:rFonts w:eastAsia="Calibri"/>
          <w:szCs w:val="28"/>
          <w:u w:val="none"/>
        </w:rPr>
        <w:t xml:space="preserve"> </w:t>
      </w:r>
      <w:r w:rsidRPr="008C66D1">
        <w:rPr>
          <w:rFonts w:eastAsia="Calibri"/>
          <w:szCs w:val="28"/>
          <w:u w:val="none"/>
        </w:rPr>
        <w:t>salīdzinājumā ar 202</w:t>
      </w:r>
      <w:r>
        <w:rPr>
          <w:rFonts w:eastAsia="Calibri"/>
          <w:szCs w:val="28"/>
          <w:u w:val="none"/>
        </w:rPr>
        <w:t>1</w:t>
      </w:r>
      <w:r w:rsidRPr="008C66D1">
        <w:rPr>
          <w:rFonts w:eastAsia="Calibri"/>
          <w:szCs w:val="28"/>
          <w:u w:val="none"/>
        </w:rPr>
        <w:t xml:space="preserve">. gadu samazināsies, </w:t>
      </w:r>
      <w:r>
        <w:rPr>
          <w:rFonts w:eastAsia="Calibri"/>
          <w:szCs w:val="28"/>
          <w:u w:val="none"/>
        </w:rPr>
        <w:t>jo, uzlabojoties epidemioloģiskajai situācijai un</w:t>
      </w:r>
      <w:r w:rsidRPr="008C66D1">
        <w:rPr>
          <w:rFonts w:eastAsia="Calibri"/>
          <w:szCs w:val="28"/>
          <w:u w:val="none"/>
        </w:rPr>
        <w:t xml:space="preserve"> </w:t>
      </w:r>
      <w:r>
        <w:rPr>
          <w:rFonts w:eastAsia="Calibri"/>
          <w:szCs w:val="28"/>
          <w:u w:val="none"/>
        </w:rPr>
        <w:t>kāpjot</w:t>
      </w:r>
      <w:r w:rsidRPr="008C66D1">
        <w:rPr>
          <w:rFonts w:eastAsia="Calibri"/>
          <w:szCs w:val="28"/>
          <w:u w:val="none"/>
        </w:rPr>
        <w:t xml:space="preserve"> ekonomikas </w:t>
      </w:r>
      <w:r>
        <w:rPr>
          <w:rFonts w:eastAsia="Calibri"/>
          <w:szCs w:val="28"/>
          <w:u w:val="none"/>
        </w:rPr>
        <w:t xml:space="preserve">pieauguma tempam, tik apjomīgs atbalsts </w:t>
      </w:r>
      <w:r w:rsidRPr="008C66D1">
        <w:rPr>
          <w:rFonts w:eastAsia="Calibri"/>
          <w:szCs w:val="28"/>
          <w:u w:val="none"/>
        </w:rPr>
        <w:t>Covid-19 krīzes</w:t>
      </w:r>
      <w:r>
        <w:rPr>
          <w:rFonts w:eastAsia="Calibri"/>
          <w:szCs w:val="28"/>
          <w:u w:val="none"/>
        </w:rPr>
        <w:t xml:space="preserve"> mazināšanai kā iepriekšējos gados vairs nebūs nepieciešams. </w:t>
      </w:r>
      <w:r w:rsidRPr="008C66D1">
        <w:rPr>
          <w:rFonts w:eastAsia="Calibri"/>
          <w:szCs w:val="28"/>
          <w:u w:val="none"/>
        </w:rPr>
        <w:t xml:space="preserve"> </w:t>
      </w:r>
    </w:p>
    <w:p w14:paraId="0D45F82B" w14:textId="47945FAC" w:rsidR="003F3FCD" w:rsidRDefault="003F3FCD" w:rsidP="00DB2540">
      <w:pPr>
        <w:widowControl w:val="0"/>
        <w:ind w:firstLine="0"/>
        <w:rPr>
          <w:rFonts w:eastAsia="Times New Roman" w:cs="Times New Roman"/>
        </w:rPr>
      </w:pPr>
    </w:p>
    <w:p w14:paraId="463E3DE3" w14:textId="5BC0E66B" w:rsidR="003F3FCD" w:rsidRPr="007A565C" w:rsidRDefault="000548A5" w:rsidP="00DB2540">
      <w:pPr>
        <w:pStyle w:val="Heading2"/>
        <w:spacing w:before="0"/>
        <w:jc w:val="center"/>
        <w:rPr>
          <w:rFonts w:eastAsia="Times New Roman" w:cs="Times New Roman"/>
          <w:szCs w:val="32"/>
        </w:rPr>
      </w:pPr>
      <w:bookmarkStart w:id="56" w:name="_Toc84756416"/>
      <w:r w:rsidRPr="007A565C">
        <w:rPr>
          <w:rFonts w:eastAsia="Times New Roman" w:cs="Times New Roman"/>
          <w:szCs w:val="32"/>
        </w:rPr>
        <w:t>2.3. Vidēja termiņa budžeta prioritārie attīstības virzieni</w:t>
      </w:r>
      <w:bookmarkEnd w:id="56"/>
    </w:p>
    <w:p w14:paraId="5CD90701" w14:textId="7C0679E6" w:rsidR="003F3FCD" w:rsidRPr="007A565C" w:rsidRDefault="000548A5" w:rsidP="00DB2540">
      <w:pPr>
        <w:pStyle w:val="Heading3"/>
        <w:numPr>
          <w:ilvl w:val="0"/>
          <w:numId w:val="0"/>
        </w:numPr>
      </w:pPr>
      <w:bookmarkStart w:id="57" w:name="_Toc84756417"/>
      <w:r w:rsidRPr="007A565C">
        <w:t>2.3.1. Politikas pasākumi vidēja termiņa budžeta prioritāro attīstības virzienu īstenošanā</w:t>
      </w:r>
      <w:bookmarkEnd w:id="57"/>
    </w:p>
    <w:p w14:paraId="1CA0425C" w14:textId="141E1C53" w:rsidR="00B13F77" w:rsidRPr="00B13F77" w:rsidRDefault="00B13F77" w:rsidP="00B13F77">
      <w:pPr>
        <w:widowControl w:val="0"/>
        <w:jc w:val="center"/>
        <w:rPr>
          <w:rFonts w:eastAsia="Times New Roman" w:cs="Times New Roman"/>
        </w:rPr>
      </w:pPr>
      <w:r w:rsidRPr="00B13F77">
        <w:rPr>
          <w:rFonts w:eastAsia="Times New Roman" w:cs="Times New Roman"/>
          <w:b/>
        </w:rPr>
        <w:t>Iedzīvotāju ienākumu nevienlīdzības mazināšana</w:t>
      </w:r>
    </w:p>
    <w:p w14:paraId="6D6A88B4" w14:textId="31DF2953" w:rsidR="00B13F77" w:rsidRPr="00B13F77" w:rsidRDefault="00B13F77" w:rsidP="00B13F77">
      <w:pPr>
        <w:widowControl w:val="0"/>
        <w:rPr>
          <w:rFonts w:eastAsia="Times New Roman" w:cs="Times New Roman"/>
        </w:rPr>
      </w:pPr>
      <w:r w:rsidRPr="00B13F77">
        <w:rPr>
          <w:rFonts w:eastAsia="Times New Roman" w:cs="Times New Roman"/>
        </w:rPr>
        <w:t xml:space="preserve">Ienākumu nevienlīdzības mazināšana ir viens no svarīgākajiem valsts uzdevumiem un tā ir bijusi prioritāte jau vairākos vidēja termiņa budžeta ietvara likumos. 2022.-2024. gada periodā tā ir kļuvusi vēl aktuālāka, jo Covid-19 krīze ienākumu nevienlīdzību ir </w:t>
      </w:r>
      <w:r w:rsidR="001574CE">
        <w:rPr>
          <w:rFonts w:eastAsia="Times New Roman" w:cs="Times New Roman"/>
        </w:rPr>
        <w:t>vēl vairāk palielinājusi. Covid</w:t>
      </w:r>
      <w:r w:rsidRPr="00B13F77">
        <w:rPr>
          <w:rFonts w:eastAsia="Times New Roman" w:cs="Times New Roman"/>
        </w:rPr>
        <w:t>-19 ierobežojumi ir vairāk skārušas tās nozares (piem. ēdināšana, viesmīlība un tirdzniecība), kur ir liels īpatsvars ar darbinie</w:t>
      </w:r>
      <w:r w:rsidR="001574CE">
        <w:rPr>
          <w:rFonts w:eastAsia="Times New Roman" w:cs="Times New Roman"/>
        </w:rPr>
        <w:t>kiem ar relatīvi zemu atalgojumu</w:t>
      </w:r>
      <w:r w:rsidRPr="00B13F77">
        <w:rPr>
          <w:rFonts w:eastAsia="Times New Roman" w:cs="Times New Roman"/>
        </w:rPr>
        <w:t xml:space="preserve">. Savukārt, tādas </w:t>
      </w:r>
      <w:r w:rsidR="001574CE">
        <w:rPr>
          <w:rFonts w:eastAsia="Times New Roman" w:cs="Times New Roman"/>
        </w:rPr>
        <w:t>nozares (piem. informācijas tehnoloģiju</w:t>
      </w:r>
      <w:r w:rsidRPr="00B13F77">
        <w:rPr>
          <w:rFonts w:eastAsia="Times New Roman" w:cs="Times New Roman"/>
        </w:rPr>
        <w:t xml:space="preserve"> uzņēmumi), kur ir liels īpatsvars ar darbiniekiem ar relatīvi augstu atalgojumu, ir piedzīvojušas izaugsmi. </w:t>
      </w:r>
    </w:p>
    <w:p w14:paraId="6C952E05" w14:textId="2D3C01AF" w:rsidR="00B13F77" w:rsidRPr="00B13F77" w:rsidRDefault="00B13F77" w:rsidP="001574CE">
      <w:pPr>
        <w:widowControl w:val="0"/>
        <w:rPr>
          <w:rFonts w:ascii="Calibri" w:eastAsia="Calibri" w:hAnsi="Calibri" w:cs="Calibri"/>
          <w:sz w:val="22"/>
        </w:rPr>
      </w:pPr>
      <w:r w:rsidRPr="00B13F77">
        <w:rPr>
          <w:rFonts w:eastAsia="Times New Roman" w:cs="Times New Roman"/>
        </w:rPr>
        <w:t>Iedzīvotāju dzīves kvalitāti nosaka, gan absolūtie rādītāji, gan relatīvie rādītāji - vidējā iedzīvotāju dzīves kvalitāti un dzīves kvalitātes atšķirības iedzīvotājiem ar atšķirīgu ieņēmumu lielumu. Būtisks rādītājs, vērtējot</w:t>
      </w:r>
      <w:r w:rsidR="001574CE">
        <w:rPr>
          <w:rFonts w:eastAsia="Times New Roman" w:cs="Times New Roman"/>
        </w:rPr>
        <w:t xml:space="preserve"> vidējo dzīves kvalitāti, ir iekšzemes kopprodukta</w:t>
      </w:r>
      <w:r w:rsidRPr="00B13F77">
        <w:rPr>
          <w:rFonts w:eastAsia="Times New Roman" w:cs="Times New Roman"/>
        </w:rPr>
        <w:t xml:space="preserve"> apjoms uz vienu iedzīvotāju, kas Latvijai saskaņā ar </w:t>
      </w:r>
      <w:r w:rsidRPr="00B13F77">
        <w:rPr>
          <w:rFonts w:eastAsia="Times New Roman" w:cs="Times New Roman"/>
          <w:i/>
        </w:rPr>
        <w:t>Eurostat</w:t>
      </w:r>
      <w:r w:rsidR="001574CE">
        <w:rPr>
          <w:rFonts w:eastAsia="Times New Roman" w:cs="Times New Roman"/>
        </w:rPr>
        <w:t xml:space="preserve"> datiem ir sestais zemākais Eiropas Savienībā (iekšzemes kopprodukts</w:t>
      </w:r>
      <w:r w:rsidRPr="00B13F77">
        <w:rPr>
          <w:rFonts w:eastAsia="Times New Roman" w:cs="Times New Roman"/>
        </w:rPr>
        <w:t xml:space="preserve"> uz vienu iedzīvotāju pēc PPS (</w:t>
      </w:r>
      <w:r w:rsidR="001574CE">
        <w:rPr>
          <w:rFonts w:eastAsia="Times New Roman" w:cs="Times New Roman"/>
        </w:rPr>
        <w:t>pirktspējas paritātes) 2020. gadā)</w:t>
      </w:r>
      <w:r w:rsidRPr="00B13F77">
        <w:rPr>
          <w:rFonts w:eastAsia="Times New Roman" w:cs="Times New Roman"/>
        </w:rPr>
        <w:t xml:space="preserve">. Savukārt, </w:t>
      </w:r>
      <w:r w:rsidRPr="00B13F77">
        <w:rPr>
          <w:rFonts w:eastAsia="Times New Roman" w:cs="Times New Roman"/>
          <w:i/>
        </w:rPr>
        <w:t xml:space="preserve">Džinī </w:t>
      </w:r>
      <w:r w:rsidRPr="00B13F77">
        <w:rPr>
          <w:rFonts w:eastAsia="Times New Roman" w:cs="Times New Roman"/>
        </w:rPr>
        <w:t>koeficients, kas raksturo ieņēmumu nevienlīdzību, Lat</w:t>
      </w:r>
      <w:r w:rsidR="001574CE">
        <w:rPr>
          <w:rFonts w:eastAsia="Times New Roman" w:cs="Times New Roman"/>
        </w:rPr>
        <w:t>vijā ir viens no augstākajiem Eiropas Savienībā</w:t>
      </w:r>
      <w:r w:rsidRPr="00B13F77">
        <w:rPr>
          <w:rFonts w:eastAsia="Times New Roman" w:cs="Times New Roman"/>
        </w:rPr>
        <w:t xml:space="preserve">, pēc 2019. gada </w:t>
      </w:r>
      <w:r w:rsidRPr="00B13F77">
        <w:rPr>
          <w:rFonts w:eastAsia="Times New Roman" w:cs="Times New Roman"/>
          <w:i/>
        </w:rPr>
        <w:t>Euro</w:t>
      </w:r>
      <w:r w:rsidRPr="00B13F77">
        <w:rPr>
          <w:rFonts w:eastAsia="Times New Roman" w:cs="Times New Roman"/>
        </w:rPr>
        <w:t xml:space="preserve">stat datiem apsteidzot vienīgi Lietuvu un Bulgāriju. </w:t>
      </w:r>
    </w:p>
    <w:p w14:paraId="2AC107BF" w14:textId="7935F4AD" w:rsidR="00B13F77" w:rsidRDefault="00B13F77" w:rsidP="00B03690">
      <w:pPr>
        <w:widowControl w:val="0"/>
        <w:rPr>
          <w:rFonts w:eastAsia="Times New Roman" w:cs="Times New Roman"/>
          <w:szCs w:val="24"/>
        </w:rPr>
      </w:pPr>
      <w:r w:rsidRPr="00B13F77">
        <w:rPr>
          <w:rFonts w:eastAsia="Times New Roman" w:cs="Times New Roman"/>
        </w:rPr>
        <w:t xml:space="preserve">Likumprojekts “Par vidēja termiņa budžeta ietvaru 2022., 2023. un 2024. gadam” paredz būtisku iedzīvotāju ienākumu diferencētā neapliekamā minimuma palielinājumi no 300 (330) </w:t>
      </w:r>
      <w:r w:rsidRPr="00B13F77">
        <w:rPr>
          <w:rFonts w:eastAsia="Times New Roman" w:cs="Times New Roman"/>
          <w:i/>
        </w:rPr>
        <w:t>euro</w:t>
      </w:r>
      <w:r w:rsidRPr="00B13F77">
        <w:rPr>
          <w:rFonts w:eastAsia="Times New Roman" w:cs="Times New Roman"/>
        </w:rPr>
        <w:t xml:space="preserve"> uz 500 </w:t>
      </w:r>
      <w:r w:rsidRPr="00B13F77">
        <w:rPr>
          <w:rFonts w:eastAsia="Times New Roman" w:cs="Times New Roman"/>
          <w:i/>
        </w:rPr>
        <w:t>euro</w:t>
      </w:r>
      <w:r w:rsidRPr="00B13F77">
        <w:rPr>
          <w:rFonts w:eastAsia="Times New Roman" w:cs="Times New Roman"/>
        </w:rPr>
        <w:t>.</w:t>
      </w:r>
      <w:r w:rsidR="00B03690">
        <w:rPr>
          <w:rFonts w:eastAsia="Times New Roman" w:cs="Times New Roman"/>
        </w:rPr>
        <w:t xml:space="preserve"> </w:t>
      </w:r>
      <w:bookmarkStart w:id="58" w:name="_Hlk83906163"/>
      <w:r w:rsidR="00B03690" w:rsidRPr="00B13F77">
        <w:rPr>
          <w:rFonts w:eastAsia="Times New Roman" w:cs="Times New Roman"/>
          <w:szCs w:val="24"/>
        </w:rPr>
        <w:t>Likumprojektā “Par vidēja termiņa budžeta ietvaru 2022., 2023. un 2024. gadam”</w:t>
      </w:r>
      <w:bookmarkEnd w:id="58"/>
      <w:r w:rsidR="00B03690" w:rsidRPr="00B13F77">
        <w:rPr>
          <w:rFonts w:eastAsia="Times New Roman" w:cs="Times New Roman"/>
          <w:szCs w:val="24"/>
        </w:rPr>
        <w:t xml:space="preserve"> šai reformai ir paredzēti 93,8 milj. </w:t>
      </w:r>
      <w:r w:rsidR="00B03690" w:rsidRPr="00B13F77">
        <w:rPr>
          <w:rFonts w:eastAsia="Times New Roman" w:cs="Times New Roman"/>
          <w:i/>
          <w:szCs w:val="24"/>
        </w:rPr>
        <w:t>euro</w:t>
      </w:r>
      <w:r w:rsidR="00B03690" w:rsidRPr="00B13F77">
        <w:rPr>
          <w:rFonts w:eastAsia="Times New Roman" w:cs="Times New Roman"/>
          <w:szCs w:val="24"/>
        </w:rPr>
        <w:t xml:space="preserve"> 2022.</w:t>
      </w:r>
      <w:r w:rsidR="00B03690">
        <w:rPr>
          <w:rFonts w:eastAsia="Times New Roman" w:cs="Times New Roman"/>
          <w:szCs w:val="24"/>
        </w:rPr>
        <w:t xml:space="preserve"> </w:t>
      </w:r>
      <w:r w:rsidR="00B03690" w:rsidRPr="00B13F77">
        <w:rPr>
          <w:rFonts w:eastAsia="Times New Roman" w:cs="Times New Roman"/>
          <w:szCs w:val="24"/>
        </w:rPr>
        <w:t xml:space="preserve">gadā un 152,8 milj. </w:t>
      </w:r>
      <w:r w:rsidR="00B03690" w:rsidRPr="00B03690">
        <w:rPr>
          <w:rFonts w:eastAsia="Times New Roman" w:cs="Times New Roman"/>
          <w:i/>
          <w:szCs w:val="24"/>
        </w:rPr>
        <w:t>euro</w:t>
      </w:r>
      <w:r w:rsidR="00B03690">
        <w:rPr>
          <w:rFonts w:eastAsia="Times New Roman" w:cs="Times New Roman"/>
          <w:szCs w:val="24"/>
        </w:rPr>
        <w:t xml:space="preserve"> turpmākajos gados.</w:t>
      </w:r>
    </w:p>
    <w:p w14:paraId="25F88CC8" w14:textId="10364850" w:rsidR="00DB2540" w:rsidRDefault="00DB2540" w:rsidP="00B03690">
      <w:pPr>
        <w:widowControl w:val="0"/>
        <w:rPr>
          <w:rFonts w:eastAsia="Times New Roman" w:cs="Times New Roman"/>
          <w:szCs w:val="24"/>
        </w:rPr>
      </w:pPr>
    </w:p>
    <w:p w14:paraId="0D80CD14" w14:textId="77F6EA97" w:rsidR="00DB2540" w:rsidRDefault="00DB2540" w:rsidP="00B03690">
      <w:pPr>
        <w:widowControl w:val="0"/>
        <w:rPr>
          <w:rFonts w:eastAsia="Times New Roman" w:cs="Times New Roman"/>
          <w:szCs w:val="24"/>
        </w:rPr>
      </w:pPr>
    </w:p>
    <w:p w14:paraId="569287EF" w14:textId="08ECFEE4" w:rsidR="00DB2540" w:rsidRDefault="00DB2540" w:rsidP="00B03690">
      <w:pPr>
        <w:widowControl w:val="0"/>
        <w:rPr>
          <w:rFonts w:eastAsia="Times New Roman" w:cs="Times New Roman"/>
          <w:szCs w:val="24"/>
        </w:rPr>
      </w:pPr>
    </w:p>
    <w:p w14:paraId="06FB38C3" w14:textId="5D67BB0B" w:rsidR="00DB2540" w:rsidRDefault="00DB2540" w:rsidP="00B03690">
      <w:pPr>
        <w:widowControl w:val="0"/>
        <w:rPr>
          <w:rFonts w:eastAsia="Times New Roman" w:cs="Times New Roman"/>
          <w:szCs w:val="24"/>
        </w:rPr>
      </w:pPr>
    </w:p>
    <w:p w14:paraId="6F7F85C3" w14:textId="77777777" w:rsidR="00DB2540" w:rsidRPr="00B03690" w:rsidRDefault="00DB2540" w:rsidP="00B03690">
      <w:pPr>
        <w:widowControl w:val="0"/>
        <w:rPr>
          <w:rFonts w:eastAsia="Times New Roman" w:cs="Times New Roman"/>
          <w:szCs w:val="24"/>
        </w:rPr>
      </w:pPr>
    </w:p>
    <w:p w14:paraId="4A52F95C" w14:textId="15557AFE" w:rsidR="00B13F77" w:rsidRPr="00B13F77" w:rsidRDefault="00D0442A" w:rsidP="001574CE">
      <w:pPr>
        <w:ind w:left="1985" w:firstLine="0"/>
        <w:jc w:val="right"/>
        <w:rPr>
          <w:rFonts w:eastAsiaTheme="minorHAnsi" w:cs="Times New Roman"/>
          <w:bCs/>
          <w:i/>
          <w:iCs/>
          <w:lang w:eastAsia="en-US"/>
        </w:rPr>
      </w:pPr>
      <w:r>
        <w:rPr>
          <w:rFonts w:eastAsiaTheme="minorHAnsi" w:cs="Times New Roman"/>
          <w:b/>
          <w:bCs/>
          <w:i/>
          <w:iCs/>
          <w:szCs w:val="24"/>
          <w:lang w:eastAsia="en-US"/>
        </w:rPr>
        <w:lastRenderedPageBreak/>
        <w:t>2.12</w:t>
      </w:r>
      <w:r w:rsidR="00B13F77" w:rsidRPr="00B13F77">
        <w:rPr>
          <w:rFonts w:eastAsiaTheme="minorHAnsi" w:cs="Times New Roman"/>
          <w:b/>
          <w:bCs/>
          <w:i/>
          <w:iCs/>
          <w:szCs w:val="24"/>
          <w:lang w:eastAsia="en-US"/>
        </w:rPr>
        <w:t>. tabula. Neapliekamā minimuma un pensionāru nepaliekamā minimuma izmaiņas 2022.</w:t>
      </w:r>
      <w:r w:rsidR="001574CE">
        <w:rPr>
          <w:rFonts w:eastAsiaTheme="minorHAnsi" w:cs="Times New Roman"/>
          <w:b/>
          <w:bCs/>
          <w:i/>
          <w:iCs/>
          <w:szCs w:val="24"/>
          <w:lang w:eastAsia="en-US"/>
        </w:rPr>
        <w:t xml:space="preserve"> </w:t>
      </w:r>
      <w:r w:rsidR="00B13F77" w:rsidRPr="00B13F77">
        <w:rPr>
          <w:rFonts w:eastAsiaTheme="minorHAnsi" w:cs="Times New Roman"/>
          <w:b/>
          <w:bCs/>
          <w:i/>
          <w:iCs/>
          <w:szCs w:val="24"/>
          <w:lang w:eastAsia="en-US"/>
        </w:rPr>
        <w:t xml:space="preserve">gadā </w:t>
      </w:r>
    </w:p>
    <w:tbl>
      <w:tblPr>
        <w:tblW w:w="8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4"/>
        <w:gridCol w:w="1813"/>
        <w:gridCol w:w="1366"/>
        <w:gridCol w:w="1508"/>
        <w:gridCol w:w="11"/>
      </w:tblGrid>
      <w:tr w:rsidR="00B13F77" w:rsidRPr="00B13F77" w14:paraId="07F41B8C" w14:textId="77777777" w:rsidTr="00DB2540">
        <w:trPr>
          <w:trHeight w:val="455"/>
          <w:jc w:val="center"/>
        </w:trPr>
        <w:tc>
          <w:tcPr>
            <w:tcW w:w="3954" w:type="dxa"/>
            <w:vMerge w:val="restart"/>
            <w:shd w:val="clear" w:color="auto" w:fill="9CC2E5" w:themeFill="accent1" w:themeFillTint="99"/>
            <w:vAlign w:val="center"/>
          </w:tcPr>
          <w:p w14:paraId="6C35297E" w14:textId="77777777" w:rsidR="00B13F77" w:rsidRPr="00B13F77" w:rsidRDefault="00B13F77" w:rsidP="00B13F77">
            <w:pPr>
              <w:ind w:firstLine="0"/>
              <w:contextualSpacing/>
              <w:jc w:val="center"/>
              <w:rPr>
                <w:rFonts w:eastAsiaTheme="minorHAnsi" w:cs="Times New Roman"/>
                <w:b/>
                <w:bCs/>
                <w:sz w:val="20"/>
                <w:szCs w:val="20"/>
                <w:lang w:eastAsia="en-US"/>
              </w:rPr>
            </w:pPr>
            <w:r w:rsidRPr="00B13F77">
              <w:rPr>
                <w:rFonts w:eastAsiaTheme="minorHAnsi" w:cs="Times New Roman"/>
                <w:b/>
                <w:bCs/>
                <w:sz w:val="20"/>
                <w:szCs w:val="20"/>
                <w:lang w:eastAsia="en-US"/>
              </w:rPr>
              <w:t>Parametri</w:t>
            </w:r>
          </w:p>
        </w:tc>
        <w:tc>
          <w:tcPr>
            <w:tcW w:w="1813" w:type="dxa"/>
            <w:vMerge w:val="restart"/>
            <w:shd w:val="clear" w:color="auto" w:fill="9CC2E5" w:themeFill="accent1" w:themeFillTint="99"/>
            <w:vAlign w:val="center"/>
          </w:tcPr>
          <w:p w14:paraId="4E85B644" w14:textId="77777777" w:rsidR="00B13F77" w:rsidRPr="00B13F77" w:rsidRDefault="00B13F77" w:rsidP="00B13F77">
            <w:pPr>
              <w:ind w:firstLine="0"/>
              <w:contextualSpacing/>
              <w:jc w:val="center"/>
              <w:rPr>
                <w:rFonts w:eastAsia="Times New Roman" w:cs="Times New Roman"/>
                <w:b/>
                <w:bCs/>
                <w:sz w:val="20"/>
                <w:szCs w:val="20"/>
              </w:rPr>
            </w:pPr>
            <w:r w:rsidRPr="00B13F77">
              <w:rPr>
                <w:rFonts w:eastAsia="Times New Roman" w:cs="Times New Roman"/>
                <w:b/>
                <w:bCs/>
                <w:sz w:val="20"/>
                <w:szCs w:val="20"/>
              </w:rPr>
              <w:t>2021</w:t>
            </w:r>
          </w:p>
        </w:tc>
        <w:tc>
          <w:tcPr>
            <w:tcW w:w="2885" w:type="dxa"/>
            <w:gridSpan w:val="3"/>
            <w:shd w:val="clear" w:color="auto" w:fill="9CC2E5" w:themeFill="accent1" w:themeFillTint="99"/>
            <w:noWrap/>
            <w:vAlign w:val="center"/>
          </w:tcPr>
          <w:p w14:paraId="7AAE3354" w14:textId="77777777" w:rsidR="00B13F77" w:rsidRPr="00B13F77" w:rsidRDefault="00B13F77" w:rsidP="00B13F77">
            <w:pPr>
              <w:ind w:firstLine="0"/>
              <w:contextualSpacing/>
              <w:jc w:val="center"/>
              <w:rPr>
                <w:rFonts w:eastAsia="Times New Roman" w:cs="Times New Roman"/>
                <w:b/>
                <w:bCs/>
                <w:sz w:val="20"/>
                <w:szCs w:val="20"/>
              </w:rPr>
            </w:pPr>
            <w:r w:rsidRPr="00B13F77">
              <w:rPr>
                <w:rFonts w:eastAsia="Times New Roman" w:cs="Times New Roman"/>
                <w:b/>
                <w:bCs/>
                <w:sz w:val="20"/>
                <w:szCs w:val="20"/>
              </w:rPr>
              <w:t>2022</w:t>
            </w:r>
          </w:p>
        </w:tc>
      </w:tr>
      <w:tr w:rsidR="00B13F77" w:rsidRPr="00B13F77" w14:paraId="44EAB2CD" w14:textId="77777777" w:rsidTr="00DB2540">
        <w:trPr>
          <w:gridAfter w:val="1"/>
          <w:wAfter w:w="11" w:type="dxa"/>
          <w:trHeight w:val="284"/>
          <w:jc w:val="center"/>
        </w:trPr>
        <w:tc>
          <w:tcPr>
            <w:tcW w:w="3954" w:type="dxa"/>
            <w:vMerge/>
            <w:shd w:val="clear" w:color="auto" w:fill="9CC2E5" w:themeFill="accent1" w:themeFillTint="99"/>
            <w:vAlign w:val="center"/>
          </w:tcPr>
          <w:p w14:paraId="3AD1916B" w14:textId="77777777" w:rsidR="00B13F77" w:rsidRPr="00B13F77" w:rsidRDefault="00B13F77" w:rsidP="00B13F77">
            <w:pPr>
              <w:ind w:firstLine="0"/>
              <w:contextualSpacing/>
              <w:jc w:val="center"/>
              <w:rPr>
                <w:rFonts w:eastAsia="Times New Roman" w:cs="Times New Roman"/>
                <w:b/>
                <w:bCs/>
                <w:sz w:val="20"/>
                <w:szCs w:val="20"/>
              </w:rPr>
            </w:pPr>
          </w:p>
        </w:tc>
        <w:tc>
          <w:tcPr>
            <w:tcW w:w="1813" w:type="dxa"/>
            <w:vMerge/>
            <w:shd w:val="clear" w:color="auto" w:fill="9CC2E5" w:themeFill="accent1" w:themeFillTint="99"/>
            <w:vAlign w:val="center"/>
          </w:tcPr>
          <w:p w14:paraId="14C47B42" w14:textId="77777777" w:rsidR="00B13F77" w:rsidRPr="00B13F77" w:rsidRDefault="00B13F77" w:rsidP="00B13F77">
            <w:pPr>
              <w:ind w:firstLine="0"/>
              <w:contextualSpacing/>
              <w:jc w:val="center"/>
              <w:rPr>
                <w:rFonts w:eastAsia="Times New Roman" w:cs="Times New Roman"/>
                <w:b/>
                <w:bCs/>
                <w:sz w:val="20"/>
                <w:szCs w:val="20"/>
              </w:rPr>
            </w:pPr>
          </w:p>
        </w:tc>
        <w:tc>
          <w:tcPr>
            <w:tcW w:w="1366" w:type="dxa"/>
            <w:shd w:val="clear" w:color="auto" w:fill="9CC2E5" w:themeFill="accent1" w:themeFillTint="99"/>
            <w:noWrap/>
            <w:vAlign w:val="center"/>
            <w:hideMark/>
          </w:tcPr>
          <w:p w14:paraId="50B94E18" w14:textId="77777777" w:rsidR="00B13F77" w:rsidRPr="00B13F77" w:rsidRDefault="00B13F77" w:rsidP="00B13F77">
            <w:pPr>
              <w:ind w:firstLine="0"/>
              <w:contextualSpacing/>
              <w:jc w:val="center"/>
              <w:rPr>
                <w:rFonts w:eastAsia="Times New Roman" w:cs="Times New Roman"/>
                <w:b/>
                <w:bCs/>
                <w:sz w:val="20"/>
                <w:szCs w:val="20"/>
              </w:rPr>
            </w:pPr>
            <w:r w:rsidRPr="00B13F77">
              <w:rPr>
                <w:rFonts w:eastAsia="Times New Roman" w:cs="Times New Roman"/>
                <w:b/>
                <w:bCs/>
                <w:sz w:val="20"/>
                <w:szCs w:val="20"/>
              </w:rPr>
              <w:t>No 01.01.</w:t>
            </w:r>
          </w:p>
        </w:tc>
        <w:tc>
          <w:tcPr>
            <w:tcW w:w="1508" w:type="dxa"/>
            <w:shd w:val="clear" w:color="auto" w:fill="9CC2E5" w:themeFill="accent1" w:themeFillTint="99"/>
          </w:tcPr>
          <w:p w14:paraId="6FF5D49E" w14:textId="77777777" w:rsidR="00B13F77" w:rsidRPr="00B13F77" w:rsidRDefault="00B13F77" w:rsidP="00B13F77">
            <w:pPr>
              <w:ind w:firstLine="0"/>
              <w:contextualSpacing/>
              <w:jc w:val="center"/>
              <w:rPr>
                <w:rFonts w:eastAsia="Times New Roman" w:cs="Times New Roman"/>
                <w:b/>
                <w:bCs/>
                <w:sz w:val="20"/>
                <w:szCs w:val="20"/>
              </w:rPr>
            </w:pPr>
            <w:r w:rsidRPr="00B13F77">
              <w:rPr>
                <w:rFonts w:eastAsia="Times New Roman" w:cs="Times New Roman"/>
                <w:b/>
                <w:bCs/>
                <w:sz w:val="20"/>
                <w:szCs w:val="20"/>
              </w:rPr>
              <w:t>No 01.07.</w:t>
            </w:r>
          </w:p>
        </w:tc>
      </w:tr>
      <w:tr w:rsidR="00B13F77" w:rsidRPr="00B13F77" w14:paraId="3F4D523B" w14:textId="77777777" w:rsidTr="00DB2540">
        <w:trPr>
          <w:gridAfter w:val="1"/>
          <w:wAfter w:w="11" w:type="dxa"/>
          <w:trHeight w:val="168"/>
          <w:jc w:val="center"/>
        </w:trPr>
        <w:tc>
          <w:tcPr>
            <w:tcW w:w="3954" w:type="dxa"/>
            <w:shd w:val="clear" w:color="auto" w:fill="auto"/>
            <w:vAlign w:val="center"/>
          </w:tcPr>
          <w:p w14:paraId="7ADA309F" w14:textId="0998F2DC" w:rsidR="00B13F77" w:rsidRPr="00B13F77" w:rsidRDefault="00B13F77" w:rsidP="00B13F77">
            <w:pPr>
              <w:ind w:firstLine="0"/>
              <w:contextualSpacing/>
              <w:rPr>
                <w:rFonts w:eastAsiaTheme="minorHAnsi" w:cs="Times New Roman"/>
                <w:b/>
                <w:bCs/>
                <w:color w:val="000000"/>
                <w:sz w:val="20"/>
                <w:szCs w:val="20"/>
                <w:lang w:eastAsia="en-US"/>
              </w:rPr>
            </w:pPr>
            <w:r w:rsidRPr="00B13F77">
              <w:rPr>
                <w:rFonts w:eastAsia="Times New Roman" w:cs="Times New Roman"/>
                <w:b/>
                <w:bCs/>
                <w:color w:val="000000"/>
                <w:sz w:val="20"/>
                <w:szCs w:val="20"/>
              </w:rPr>
              <w:t>Diferencēt</w:t>
            </w:r>
            <w:r w:rsidR="008F5DAC">
              <w:rPr>
                <w:rFonts w:eastAsia="Times New Roman" w:cs="Times New Roman"/>
                <w:b/>
                <w:bCs/>
                <w:color w:val="000000"/>
                <w:sz w:val="20"/>
                <w:szCs w:val="20"/>
              </w:rPr>
              <w:t>ais neapliekamais minimums</w:t>
            </w:r>
            <w:r w:rsidRPr="00B13F77">
              <w:rPr>
                <w:rFonts w:eastAsia="Times New Roman" w:cs="Times New Roman"/>
                <w:b/>
                <w:bCs/>
                <w:color w:val="000000"/>
                <w:sz w:val="20"/>
                <w:szCs w:val="20"/>
              </w:rPr>
              <w:t xml:space="preserve">, </w:t>
            </w:r>
            <w:r w:rsidR="001574CE">
              <w:rPr>
                <w:rFonts w:eastAsia="Times New Roman" w:cs="Times New Roman"/>
                <w:bCs/>
                <w:i/>
                <w:color w:val="000000"/>
                <w:sz w:val="20"/>
                <w:szCs w:val="20"/>
              </w:rPr>
              <w:t xml:space="preserve">euro </w:t>
            </w:r>
            <w:r w:rsidRPr="00B13F77">
              <w:rPr>
                <w:rFonts w:eastAsia="Times New Roman" w:cs="Times New Roman"/>
                <w:bCs/>
                <w:i/>
                <w:color w:val="000000"/>
                <w:sz w:val="20"/>
                <w:szCs w:val="20"/>
              </w:rPr>
              <w:t>mēnesī</w:t>
            </w:r>
          </w:p>
        </w:tc>
        <w:tc>
          <w:tcPr>
            <w:tcW w:w="1813" w:type="dxa"/>
            <w:shd w:val="clear" w:color="auto" w:fill="auto"/>
            <w:vAlign w:val="center"/>
          </w:tcPr>
          <w:p w14:paraId="1F882EE9" w14:textId="77777777" w:rsidR="00B13F77" w:rsidRPr="00B13F77" w:rsidRDefault="00B13F77" w:rsidP="00B13F77">
            <w:pPr>
              <w:ind w:firstLine="0"/>
              <w:contextualSpacing/>
              <w:jc w:val="center"/>
              <w:rPr>
                <w:rFonts w:eastAsia="Times New Roman" w:cs="Times New Roman"/>
                <w:b/>
                <w:bCs/>
                <w:sz w:val="20"/>
                <w:szCs w:val="20"/>
              </w:rPr>
            </w:pPr>
            <w:r w:rsidRPr="00B13F77">
              <w:rPr>
                <w:rFonts w:eastAsia="Times New Roman" w:cs="Times New Roman"/>
                <w:b/>
                <w:bCs/>
                <w:sz w:val="20"/>
                <w:szCs w:val="20"/>
              </w:rPr>
              <w:t>300</w:t>
            </w:r>
          </w:p>
        </w:tc>
        <w:tc>
          <w:tcPr>
            <w:tcW w:w="1366" w:type="dxa"/>
            <w:shd w:val="clear" w:color="auto" w:fill="auto"/>
            <w:noWrap/>
            <w:vAlign w:val="center"/>
          </w:tcPr>
          <w:p w14:paraId="467C70E5" w14:textId="77777777" w:rsidR="00B13F77" w:rsidRPr="001574CE" w:rsidRDefault="00B13F77" w:rsidP="00B13F77">
            <w:pPr>
              <w:ind w:firstLine="0"/>
              <w:contextualSpacing/>
              <w:jc w:val="center"/>
              <w:rPr>
                <w:rFonts w:eastAsia="Times New Roman" w:cs="Times New Roman"/>
                <w:b/>
                <w:bCs/>
                <w:sz w:val="20"/>
                <w:szCs w:val="20"/>
              </w:rPr>
            </w:pPr>
            <w:r w:rsidRPr="001574CE">
              <w:rPr>
                <w:rFonts w:eastAsia="Times New Roman" w:cs="Times New Roman"/>
                <w:b/>
                <w:bCs/>
                <w:sz w:val="20"/>
                <w:szCs w:val="20"/>
              </w:rPr>
              <w:t>350</w:t>
            </w:r>
          </w:p>
        </w:tc>
        <w:tc>
          <w:tcPr>
            <w:tcW w:w="1508" w:type="dxa"/>
            <w:shd w:val="clear" w:color="auto" w:fill="auto"/>
            <w:vAlign w:val="center"/>
          </w:tcPr>
          <w:p w14:paraId="2F03C946" w14:textId="77777777" w:rsidR="00B13F77" w:rsidRPr="001574CE" w:rsidRDefault="00B13F77" w:rsidP="00B13F77">
            <w:pPr>
              <w:ind w:firstLine="0"/>
              <w:jc w:val="center"/>
              <w:rPr>
                <w:rFonts w:eastAsia="Times New Roman" w:cs="Times New Roman"/>
                <w:b/>
                <w:bCs/>
                <w:sz w:val="20"/>
                <w:szCs w:val="20"/>
              </w:rPr>
            </w:pPr>
            <w:r w:rsidRPr="001574CE">
              <w:rPr>
                <w:rFonts w:eastAsia="Times New Roman" w:cs="Times New Roman"/>
                <w:b/>
                <w:bCs/>
                <w:sz w:val="20"/>
                <w:szCs w:val="20"/>
              </w:rPr>
              <w:t>500</w:t>
            </w:r>
          </w:p>
        </w:tc>
      </w:tr>
      <w:tr w:rsidR="00B13F77" w:rsidRPr="00B13F77" w14:paraId="198BAA96" w14:textId="77777777" w:rsidTr="00DB2540">
        <w:trPr>
          <w:trHeight w:val="168"/>
          <w:jc w:val="center"/>
        </w:trPr>
        <w:tc>
          <w:tcPr>
            <w:tcW w:w="3954" w:type="dxa"/>
            <w:shd w:val="clear" w:color="auto" w:fill="auto"/>
            <w:vAlign w:val="center"/>
          </w:tcPr>
          <w:p w14:paraId="14586612" w14:textId="109CE631" w:rsidR="00B13F77" w:rsidRPr="00B13F77" w:rsidRDefault="001574CE" w:rsidP="001574CE">
            <w:pPr>
              <w:ind w:left="311" w:firstLine="0"/>
              <w:contextualSpacing/>
              <w:rPr>
                <w:rFonts w:eastAsiaTheme="minorHAnsi" w:cs="Times New Roman"/>
                <w:b/>
                <w:bCs/>
                <w:color w:val="000000"/>
                <w:sz w:val="20"/>
                <w:szCs w:val="20"/>
                <w:lang w:eastAsia="en-US"/>
              </w:rPr>
            </w:pPr>
            <w:r>
              <w:rPr>
                <w:rFonts w:eastAsiaTheme="minorHAnsi" w:cs="Times New Roman"/>
                <w:i/>
                <w:sz w:val="20"/>
                <w:szCs w:val="20"/>
                <w:lang w:eastAsia="en-US"/>
              </w:rPr>
              <w:t>ienākums, līdz kuram neapliekamais minimums</w:t>
            </w:r>
            <w:r w:rsidR="00B13F77" w:rsidRPr="00B13F77">
              <w:rPr>
                <w:rFonts w:eastAsiaTheme="minorHAnsi" w:cs="Times New Roman"/>
                <w:i/>
                <w:sz w:val="20"/>
                <w:szCs w:val="20"/>
                <w:lang w:eastAsia="en-US"/>
              </w:rPr>
              <w:t xml:space="preserve"> tiek  piemērots pilnā apmērā, </w:t>
            </w:r>
            <w:r>
              <w:rPr>
                <w:rFonts w:eastAsiaTheme="minorHAnsi" w:cs="Times New Roman"/>
                <w:i/>
                <w:sz w:val="20"/>
                <w:szCs w:val="20"/>
                <w:lang w:eastAsia="en-US"/>
              </w:rPr>
              <w:t>euro</w:t>
            </w:r>
            <w:r w:rsidR="00B13F77" w:rsidRPr="00B13F77">
              <w:rPr>
                <w:rFonts w:eastAsiaTheme="minorHAnsi" w:cs="Times New Roman"/>
                <w:i/>
                <w:sz w:val="20"/>
                <w:szCs w:val="20"/>
                <w:lang w:eastAsia="en-US"/>
              </w:rPr>
              <w:t xml:space="preserve"> mēnesī</w:t>
            </w:r>
          </w:p>
        </w:tc>
        <w:tc>
          <w:tcPr>
            <w:tcW w:w="1813" w:type="dxa"/>
            <w:shd w:val="clear" w:color="auto" w:fill="auto"/>
            <w:vAlign w:val="center"/>
          </w:tcPr>
          <w:p w14:paraId="1E5082B4" w14:textId="77777777" w:rsidR="00B13F77" w:rsidRPr="00B13F77" w:rsidRDefault="00B13F77" w:rsidP="00B13F77">
            <w:pPr>
              <w:ind w:firstLine="0"/>
              <w:contextualSpacing/>
              <w:jc w:val="center"/>
              <w:rPr>
                <w:rFonts w:eastAsia="Times New Roman" w:cs="Times New Roman"/>
                <w:b/>
                <w:bCs/>
                <w:sz w:val="20"/>
                <w:szCs w:val="20"/>
              </w:rPr>
            </w:pPr>
            <w:r w:rsidRPr="00B13F77">
              <w:rPr>
                <w:rFonts w:eastAsia="Times New Roman" w:cs="Times New Roman"/>
                <w:bCs/>
                <w:sz w:val="20"/>
                <w:szCs w:val="20"/>
              </w:rPr>
              <w:t>500</w:t>
            </w:r>
          </w:p>
        </w:tc>
        <w:tc>
          <w:tcPr>
            <w:tcW w:w="2885" w:type="dxa"/>
            <w:gridSpan w:val="3"/>
            <w:shd w:val="clear" w:color="auto" w:fill="auto"/>
            <w:noWrap/>
            <w:vAlign w:val="center"/>
          </w:tcPr>
          <w:p w14:paraId="11B2F5C8" w14:textId="77777777" w:rsidR="00B13F77" w:rsidRPr="001574CE" w:rsidRDefault="00B13F77" w:rsidP="00B13F77">
            <w:pPr>
              <w:ind w:firstLine="0"/>
              <w:contextualSpacing/>
              <w:jc w:val="center"/>
              <w:rPr>
                <w:rFonts w:eastAsia="Times New Roman" w:cs="Times New Roman"/>
                <w:b/>
                <w:bCs/>
                <w:sz w:val="20"/>
                <w:szCs w:val="20"/>
              </w:rPr>
            </w:pPr>
            <w:r w:rsidRPr="001574CE">
              <w:rPr>
                <w:rFonts w:eastAsia="Times New Roman" w:cs="Times New Roman"/>
                <w:bCs/>
                <w:sz w:val="20"/>
                <w:szCs w:val="20"/>
              </w:rPr>
              <w:t>500</w:t>
            </w:r>
          </w:p>
        </w:tc>
      </w:tr>
      <w:tr w:rsidR="00B13F77" w:rsidRPr="00B13F77" w14:paraId="31E8BAE9" w14:textId="77777777" w:rsidTr="00DB2540">
        <w:trPr>
          <w:trHeight w:val="455"/>
          <w:jc w:val="center"/>
        </w:trPr>
        <w:tc>
          <w:tcPr>
            <w:tcW w:w="3954" w:type="dxa"/>
            <w:shd w:val="clear" w:color="auto" w:fill="auto"/>
            <w:vAlign w:val="center"/>
          </w:tcPr>
          <w:p w14:paraId="1E1C076C" w14:textId="6FDDD9A8" w:rsidR="00B13F77" w:rsidRPr="00B13F77" w:rsidRDefault="00B13F77" w:rsidP="001574CE">
            <w:pPr>
              <w:ind w:left="311" w:firstLine="0"/>
              <w:contextualSpacing/>
              <w:rPr>
                <w:rFonts w:eastAsiaTheme="minorHAnsi" w:cs="Times New Roman"/>
                <w:i/>
                <w:sz w:val="20"/>
                <w:szCs w:val="20"/>
                <w:lang w:eastAsia="en-US"/>
              </w:rPr>
            </w:pPr>
            <w:r w:rsidRPr="00B13F77">
              <w:rPr>
                <w:rFonts w:eastAsiaTheme="minorHAnsi" w:cs="Times New Roman"/>
                <w:i/>
                <w:sz w:val="20"/>
                <w:szCs w:val="20"/>
                <w:lang w:eastAsia="en-US"/>
              </w:rPr>
              <w:t xml:space="preserve">ienākums, virs kura </w:t>
            </w:r>
            <w:r w:rsidR="001574CE">
              <w:rPr>
                <w:rFonts w:eastAsiaTheme="minorHAnsi" w:cs="Times New Roman"/>
                <w:i/>
                <w:sz w:val="20"/>
                <w:szCs w:val="20"/>
                <w:lang w:eastAsia="en-US"/>
              </w:rPr>
              <w:t>neapliekamais netiek  piemērots, euro</w:t>
            </w:r>
            <w:r w:rsidRPr="00B13F77">
              <w:rPr>
                <w:rFonts w:eastAsiaTheme="minorHAnsi" w:cs="Times New Roman"/>
                <w:i/>
                <w:sz w:val="20"/>
                <w:szCs w:val="20"/>
                <w:lang w:eastAsia="en-US"/>
              </w:rPr>
              <w:t xml:space="preserve"> mēnesī</w:t>
            </w:r>
          </w:p>
        </w:tc>
        <w:tc>
          <w:tcPr>
            <w:tcW w:w="1813" w:type="dxa"/>
            <w:shd w:val="clear" w:color="auto" w:fill="auto"/>
            <w:vAlign w:val="center"/>
          </w:tcPr>
          <w:p w14:paraId="3455864A" w14:textId="77777777" w:rsidR="00B13F77" w:rsidRPr="00B13F77" w:rsidRDefault="00B13F77" w:rsidP="001574CE">
            <w:pPr>
              <w:ind w:firstLine="24"/>
              <w:contextualSpacing/>
              <w:jc w:val="center"/>
              <w:rPr>
                <w:rFonts w:eastAsia="Times New Roman" w:cs="Times New Roman"/>
                <w:bCs/>
                <w:sz w:val="20"/>
                <w:szCs w:val="20"/>
              </w:rPr>
            </w:pPr>
            <w:r w:rsidRPr="00B13F77">
              <w:rPr>
                <w:rFonts w:eastAsia="Times New Roman" w:cs="Times New Roman"/>
                <w:bCs/>
                <w:sz w:val="20"/>
                <w:szCs w:val="20"/>
              </w:rPr>
              <w:t>1 800</w:t>
            </w:r>
          </w:p>
        </w:tc>
        <w:tc>
          <w:tcPr>
            <w:tcW w:w="2885" w:type="dxa"/>
            <w:gridSpan w:val="3"/>
            <w:shd w:val="clear" w:color="auto" w:fill="auto"/>
            <w:noWrap/>
            <w:vAlign w:val="center"/>
          </w:tcPr>
          <w:p w14:paraId="500D865F" w14:textId="77777777" w:rsidR="00B13F77" w:rsidRPr="001574CE" w:rsidRDefault="00B13F77" w:rsidP="001574CE">
            <w:pPr>
              <w:ind w:firstLine="0"/>
              <w:contextualSpacing/>
              <w:jc w:val="center"/>
              <w:rPr>
                <w:rFonts w:eastAsia="Times New Roman" w:cs="Times New Roman"/>
                <w:b/>
                <w:bCs/>
                <w:sz w:val="20"/>
                <w:szCs w:val="20"/>
              </w:rPr>
            </w:pPr>
            <w:r w:rsidRPr="001574CE">
              <w:rPr>
                <w:rFonts w:eastAsia="Times New Roman" w:cs="Times New Roman"/>
                <w:bCs/>
                <w:sz w:val="20"/>
                <w:szCs w:val="20"/>
              </w:rPr>
              <w:t>1 800</w:t>
            </w:r>
          </w:p>
        </w:tc>
      </w:tr>
      <w:tr w:rsidR="00B13F77" w:rsidRPr="00B13F77" w14:paraId="2EE2E61D" w14:textId="77777777" w:rsidTr="00DB2540">
        <w:trPr>
          <w:gridAfter w:val="1"/>
          <w:wAfter w:w="11" w:type="dxa"/>
          <w:trHeight w:val="168"/>
          <w:jc w:val="center"/>
        </w:trPr>
        <w:tc>
          <w:tcPr>
            <w:tcW w:w="3954" w:type="dxa"/>
            <w:shd w:val="clear" w:color="auto" w:fill="auto"/>
            <w:vAlign w:val="center"/>
          </w:tcPr>
          <w:p w14:paraId="485752A9" w14:textId="700B1B95" w:rsidR="00B13F77" w:rsidRPr="00B13F77" w:rsidRDefault="00B13F77" w:rsidP="00B13F77">
            <w:pPr>
              <w:ind w:firstLine="0"/>
              <w:contextualSpacing/>
              <w:rPr>
                <w:rFonts w:eastAsiaTheme="minorHAnsi" w:cs="Times New Roman"/>
                <w:b/>
                <w:bCs/>
                <w:color w:val="000000"/>
                <w:sz w:val="20"/>
                <w:szCs w:val="20"/>
                <w:lang w:eastAsia="en-US"/>
              </w:rPr>
            </w:pPr>
            <w:r w:rsidRPr="00B13F77">
              <w:rPr>
                <w:rFonts w:eastAsiaTheme="minorHAnsi" w:cs="Times New Roman"/>
                <w:b/>
                <w:sz w:val="20"/>
                <w:szCs w:val="20"/>
                <w:lang w:eastAsia="en-US"/>
              </w:rPr>
              <w:t>Pensionāra neaplie</w:t>
            </w:r>
            <w:r w:rsidR="001574CE">
              <w:rPr>
                <w:rFonts w:eastAsiaTheme="minorHAnsi" w:cs="Times New Roman"/>
                <w:b/>
                <w:sz w:val="20"/>
                <w:szCs w:val="20"/>
                <w:lang w:eastAsia="en-US"/>
              </w:rPr>
              <w:t>kamais minimums</w:t>
            </w:r>
            <w:r w:rsidRPr="00B13F77">
              <w:rPr>
                <w:rFonts w:eastAsia="Times New Roman" w:cs="Times New Roman"/>
                <w:b/>
                <w:bCs/>
                <w:sz w:val="20"/>
                <w:szCs w:val="20"/>
              </w:rPr>
              <w:t xml:space="preserve">, </w:t>
            </w:r>
            <w:r w:rsidR="001574CE">
              <w:rPr>
                <w:rFonts w:eastAsia="Times New Roman" w:cs="Times New Roman"/>
                <w:i/>
                <w:iCs/>
                <w:sz w:val="20"/>
                <w:szCs w:val="20"/>
              </w:rPr>
              <w:t>euro</w:t>
            </w:r>
            <w:r w:rsidRPr="00B13F77">
              <w:rPr>
                <w:rFonts w:eastAsia="Times New Roman" w:cs="Times New Roman"/>
                <w:i/>
                <w:iCs/>
                <w:sz w:val="20"/>
                <w:szCs w:val="20"/>
              </w:rPr>
              <w:t xml:space="preserve"> </w:t>
            </w:r>
            <w:r w:rsidRPr="00B13F77">
              <w:rPr>
                <w:rFonts w:eastAsia="Times New Roman" w:cs="Times New Roman"/>
                <w:i/>
                <w:sz w:val="20"/>
                <w:szCs w:val="20"/>
              </w:rPr>
              <w:t>mēnesī</w:t>
            </w:r>
          </w:p>
        </w:tc>
        <w:tc>
          <w:tcPr>
            <w:tcW w:w="1813" w:type="dxa"/>
            <w:shd w:val="clear" w:color="auto" w:fill="auto"/>
            <w:vAlign w:val="center"/>
          </w:tcPr>
          <w:p w14:paraId="590B0B50" w14:textId="77777777" w:rsidR="00B13F77" w:rsidRPr="00B13F77" w:rsidRDefault="00B13F77" w:rsidP="001574CE">
            <w:pPr>
              <w:ind w:firstLine="24"/>
              <w:contextualSpacing/>
              <w:jc w:val="center"/>
              <w:rPr>
                <w:rFonts w:eastAsia="Times New Roman" w:cs="Times New Roman"/>
                <w:b/>
                <w:bCs/>
                <w:sz w:val="20"/>
                <w:szCs w:val="20"/>
              </w:rPr>
            </w:pPr>
            <w:r w:rsidRPr="00B13F77">
              <w:rPr>
                <w:rFonts w:eastAsiaTheme="minorHAnsi" w:cs="Times New Roman"/>
                <w:b/>
                <w:sz w:val="20"/>
                <w:szCs w:val="20"/>
                <w:lang w:eastAsia="en-US"/>
              </w:rPr>
              <w:t>330</w:t>
            </w:r>
          </w:p>
        </w:tc>
        <w:tc>
          <w:tcPr>
            <w:tcW w:w="1366" w:type="dxa"/>
            <w:shd w:val="clear" w:color="auto" w:fill="auto"/>
            <w:noWrap/>
            <w:vAlign w:val="center"/>
          </w:tcPr>
          <w:p w14:paraId="17BDE7D0" w14:textId="77777777" w:rsidR="00B13F77" w:rsidRPr="001574CE" w:rsidRDefault="00B13F77" w:rsidP="001574CE">
            <w:pPr>
              <w:ind w:firstLine="24"/>
              <w:contextualSpacing/>
              <w:jc w:val="center"/>
              <w:rPr>
                <w:rFonts w:eastAsia="Times New Roman" w:cs="Times New Roman"/>
                <w:b/>
                <w:bCs/>
                <w:sz w:val="20"/>
                <w:szCs w:val="20"/>
              </w:rPr>
            </w:pPr>
            <w:r w:rsidRPr="001574CE">
              <w:rPr>
                <w:rFonts w:eastAsia="Times New Roman" w:cs="Times New Roman"/>
                <w:b/>
                <w:bCs/>
                <w:sz w:val="20"/>
                <w:szCs w:val="20"/>
              </w:rPr>
              <w:t>350</w:t>
            </w:r>
          </w:p>
        </w:tc>
        <w:tc>
          <w:tcPr>
            <w:tcW w:w="1508" w:type="dxa"/>
            <w:shd w:val="clear" w:color="auto" w:fill="auto"/>
            <w:vAlign w:val="center"/>
          </w:tcPr>
          <w:p w14:paraId="6B72D1AE" w14:textId="77777777" w:rsidR="00B13F77" w:rsidRPr="001574CE" w:rsidRDefault="00B13F77" w:rsidP="001574CE">
            <w:pPr>
              <w:ind w:firstLine="24"/>
              <w:jc w:val="center"/>
              <w:rPr>
                <w:rFonts w:eastAsiaTheme="minorHAnsi" w:cs="Times New Roman"/>
                <w:b/>
                <w:bCs/>
                <w:sz w:val="20"/>
                <w:szCs w:val="20"/>
                <w:lang w:eastAsia="en-US"/>
              </w:rPr>
            </w:pPr>
            <w:r w:rsidRPr="001574CE">
              <w:rPr>
                <w:rFonts w:eastAsiaTheme="minorHAnsi" w:cs="Times New Roman"/>
                <w:b/>
                <w:bCs/>
                <w:sz w:val="20"/>
                <w:szCs w:val="20"/>
                <w:lang w:eastAsia="en-US"/>
              </w:rPr>
              <w:t>500</w:t>
            </w:r>
          </w:p>
        </w:tc>
      </w:tr>
    </w:tbl>
    <w:p w14:paraId="51A2C193" w14:textId="77777777" w:rsidR="00B13F77" w:rsidRPr="00B13F77" w:rsidRDefault="00B13F77" w:rsidP="00B13F77">
      <w:pPr>
        <w:widowControl w:val="0"/>
        <w:rPr>
          <w:rFonts w:eastAsia="Times New Roman" w:cs="Times New Roman"/>
          <w:sz w:val="28"/>
        </w:rPr>
      </w:pPr>
    </w:p>
    <w:p w14:paraId="077E244C" w14:textId="3F282F1D" w:rsidR="00B13F77" w:rsidRPr="00B13F77" w:rsidRDefault="00B13F77" w:rsidP="00B03690">
      <w:pPr>
        <w:widowControl w:val="0"/>
        <w:rPr>
          <w:rFonts w:eastAsia="Times New Roman" w:cs="Times New Roman"/>
          <w:szCs w:val="24"/>
        </w:rPr>
      </w:pPr>
      <w:r w:rsidRPr="00B13F77">
        <w:rPr>
          <w:rFonts w:eastAsia="Times New Roman" w:cs="Times New Roman"/>
          <w:szCs w:val="24"/>
        </w:rPr>
        <w:t>Iedzīvotāju ienākumu nevienlīdzību samazina arī 2021. gadā īstenotā ģimenes valsts atbalsta reforma, kas stāj</w:t>
      </w:r>
      <w:r w:rsidR="00B03690">
        <w:rPr>
          <w:rFonts w:eastAsia="Times New Roman" w:cs="Times New Roman"/>
          <w:szCs w:val="24"/>
        </w:rPr>
        <w:t xml:space="preserve">as spēkā 2022. gada 1. janvārī. </w:t>
      </w:r>
      <w:r w:rsidRPr="00B13F77">
        <w:rPr>
          <w:rFonts w:eastAsia="Times New Roman" w:cs="Times New Roman"/>
          <w:szCs w:val="24"/>
        </w:rPr>
        <w:t>Viens no tās mērķiem ir mazināt ienākumu nevienlīdzības risku ģimenēm ar bērniem, panākot, lai bērna ienākšana ģimenē būtiski nemazinātu ienākumu līmeni uz vienu ģimenes locekli. Valdības deklarācijas 100.</w:t>
      </w:r>
      <w:r w:rsidR="00B03690">
        <w:rPr>
          <w:rFonts w:eastAsia="Times New Roman" w:cs="Times New Roman"/>
          <w:szCs w:val="24"/>
        </w:rPr>
        <w:t> </w:t>
      </w:r>
      <w:r w:rsidRPr="00B13F77">
        <w:rPr>
          <w:rFonts w:eastAsia="Times New Roman" w:cs="Times New Roman"/>
          <w:szCs w:val="24"/>
        </w:rPr>
        <w:t>punkts paredz pārskatīt ģimenes valsts pabalsta sistēmu, lai pabalsta apmērs būtu atkarīgs nevis no tā, kurš pēc kārtas bērns ir ģimenē, bet no faktiski audzināmo bērnu skaita, būtiski paaugstinot atbalsta intensitāti, sākot ar diviem bērniem ģimenē.</w:t>
      </w:r>
    </w:p>
    <w:p w14:paraId="674B6078" w14:textId="16C7EA6B" w:rsidR="00B13F77" w:rsidRPr="00B13F77" w:rsidRDefault="00B13F77" w:rsidP="00B13F77">
      <w:pPr>
        <w:widowControl w:val="0"/>
        <w:rPr>
          <w:rFonts w:eastAsia="Times New Roman" w:cs="Times New Roman"/>
          <w:szCs w:val="24"/>
        </w:rPr>
      </w:pPr>
      <w:r w:rsidRPr="00B13F77">
        <w:rPr>
          <w:rFonts w:eastAsia="Times New Roman" w:cs="Times New Roman"/>
          <w:szCs w:val="24"/>
        </w:rPr>
        <w:t>Refo</w:t>
      </w:r>
      <w:r>
        <w:rPr>
          <w:rFonts w:eastAsia="Times New Roman" w:cs="Times New Roman"/>
          <w:szCs w:val="24"/>
        </w:rPr>
        <w:t>rma paredz šādu pabalstu apmēru:</w:t>
      </w:r>
    </w:p>
    <w:p w14:paraId="51C0CB50" w14:textId="456ED3DC" w:rsidR="00B13F77" w:rsidRPr="00B13F77" w:rsidRDefault="00B03690" w:rsidP="00F70213">
      <w:pPr>
        <w:pStyle w:val="ListParagraph"/>
        <w:widowControl w:val="0"/>
        <w:numPr>
          <w:ilvl w:val="0"/>
          <w:numId w:val="11"/>
        </w:numPr>
        <w:spacing w:after="0"/>
        <w:rPr>
          <w:rFonts w:eastAsia="Times New Roman" w:cs="Times New Roman"/>
          <w:szCs w:val="24"/>
        </w:rPr>
      </w:pPr>
      <w:r>
        <w:rPr>
          <w:rFonts w:eastAsia="Times New Roman" w:cs="Times New Roman"/>
          <w:szCs w:val="24"/>
        </w:rPr>
        <w:t xml:space="preserve">par 1 bērnu 25 </w:t>
      </w:r>
      <w:r w:rsidRPr="00B03690">
        <w:rPr>
          <w:rFonts w:eastAsia="Times New Roman" w:cs="Times New Roman"/>
          <w:i/>
          <w:szCs w:val="24"/>
        </w:rPr>
        <w:t>euro</w:t>
      </w:r>
      <w:r w:rsidR="00B13F77" w:rsidRPr="00B13F77">
        <w:rPr>
          <w:rFonts w:eastAsia="Times New Roman" w:cs="Times New Roman"/>
          <w:szCs w:val="24"/>
        </w:rPr>
        <w:t xml:space="preserve"> mēnesī;</w:t>
      </w:r>
    </w:p>
    <w:p w14:paraId="6C448F3B" w14:textId="21D32F24" w:rsidR="00B13F77" w:rsidRPr="00B13F77" w:rsidRDefault="00B13F77" w:rsidP="00F70213">
      <w:pPr>
        <w:pStyle w:val="ListParagraph"/>
        <w:widowControl w:val="0"/>
        <w:numPr>
          <w:ilvl w:val="0"/>
          <w:numId w:val="11"/>
        </w:numPr>
        <w:spacing w:after="0"/>
        <w:rPr>
          <w:rFonts w:eastAsia="Times New Roman" w:cs="Times New Roman"/>
          <w:szCs w:val="24"/>
        </w:rPr>
      </w:pPr>
      <w:r w:rsidRPr="00B13F77">
        <w:rPr>
          <w:rFonts w:eastAsia="Times New Roman" w:cs="Times New Roman"/>
          <w:szCs w:val="24"/>
        </w:rPr>
        <w:t xml:space="preserve">par 2 bērniem 100 </w:t>
      </w:r>
      <w:r w:rsidR="00B03690" w:rsidRPr="00B03690">
        <w:rPr>
          <w:rFonts w:eastAsia="Times New Roman" w:cs="Times New Roman"/>
          <w:i/>
          <w:szCs w:val="24"/>
        </w:rPr>
        <w:t>euro</w:t>
      </w:r>
      <w:r w:rsidRPr="00B13F77">
        <w:rPr>
          <w:rFonts w:eastAsia="Times New Roman" w:cs="Times New Roman"/>
          <w:szCs w:val="24"/>
        </w:rPr>
        <w:t xml:space="preserve"> mēnesī (50 </w:t>
      </w:r>
      <w:r w:rsidR="00B03690" w:rsidRPr="00B03690">
        <w:rPr>
          <w:rFonts w:eastAsia="Times New Roman" w:cs="Times New Roman"/>
          <w:i/>
          <w:szCs w:val="24"/>
        </w:rPr>
        <w:t>euro</w:t>
      </w:r>
      <w:r w:rsidRPr="00B13F77">
        <w:rPr>
          <w:rFonts w:eastAsia="Times New Roman" w:cs="Times New Roman"/>
          <w:szCs w:val="24"/>
        </w:rPr>
        <w:t xml:space="preserve"> par katru bērnu);</w:t>
      </w:r>
    </w:p>
    <w:p w14:paraId="1D37BC1A" w14:textId="537758D8" w:rsidR="00B13F77" w:rsidRPr="00B13F77" w:rsidRDefault="00B13F77" w:rsidP="00F70213">
      <w:pPr>
        <w:pStyle w:val="ListParagraph"/>
        <w:widowControl w:val="0"/>
        <w:numPr>
          <w:ilvl w:val="0"/>
          <w:numId w:val="11"/>
        </w:numPr>
        <w:spacing w:after="0"/>
        <w:rPr>
          <w:rFonts w:eastAsia="Times New Roman" w:cs="Times New Roman"/>
          <w:szCs w:val="24"/>
        </w:rPr>
      </w:pPr>
      <w:r w:rsidRPr="00B13F77">
        <w:rPr>
          <w:rFonts w:eastAsia="Times New Roman" w:cs="Times New Roman"/>
          <w:szCs w:val="24"/>
        </w:rPr>
        <w:t xml:space="preserve">par 3 bērniem 225 </w:t>
      </w:r>
      <w:r w:rsidR="00B03690" w:rsidRPr="00B03690">
        <w:rPr>
          <w:rFonts w:eastAsia="Times New Roman" w:cs="Times New Roman"/>
          <w:i/>
          <w:szCs w:val="24"/>
        </w:rPr>
        <w:t>euro</w:t>
      </w:r>
      <w:r w:rsidRPr="00B13F77">
        <w:rPr>
          <w:rFonts w:eastAsia="Times New Roman" w:cs="Times New Roman"/>
          <w:szCs w:val="24"/>
        </w:rPr>
        <w:t xml:space="preserve"> mēnesī (75 </w:t>
      </w:r>
      <w:r w:rsidR="00B03690" w:rsidRPr="00B03690">
        <w:rPr>
          <w:rFonts w:eastAsia="Times New Roman" w:cs="Times New Roman"/>
          <w:i/>
          <w:szCs w:val="24"/>
        </w:rPr>
        <w:t>euro</w:t>
      </w:r>
      <w:r w:rsidRPr="00B13F77">
        <w:rPr>
          <w:rFonts w:eastAsia="Times New Roman" w:cs="Times New Roman"/>
          <w:szCs w:val="24"/>
        </w:rPr>
        <w:t xml:space="preserve"> par katru bērnu);</w:t>
      </w:r>
    </w:p>
    <w:p w14:paraId="44809EF0" w14:textId="211435B4" w:rsidR="00B13F77" w:rsidRPr="00B13F77" w:rsidRDefault="00B13F77" w:rsidP="00F70213">
      <w:pPr>
        <w:pStyle w:val="ListParagraph"/>
        <w:widowControl w:val="0"/>
        <w:numPr>
          <w:ilvl w:val="0"/>
          <w:numId w:val="11"/>
        </w:numPr>
        <w:spacing w:before="120"/>
        <w:ind w:left="1434" w:hanging="357"/>
        <w:rPr>
          <w:rFonts w:eastAsia="Times New Roman" w:cs="Times New Roman"/>
          <w:bCs/>
          <w:szCs w:val="24"/>
        </w:rPr>
      </w:pPr>
      <w:r w:rsidRPr="00B13F77">
        <w:rPr>
          <w:rFonts w:eastAsia="Times New Roman" w:cs="Times New Roman"/>
          <w:szCs w:val="24"/>
        </w:rPr>
        <w:t xml:space="preserve">par 4 un vairāk bērniem līdz 20 gadu vecumam 100 </w:t>
      </w:r>
      <w:r w:rsidR="00B03690" w:rsidRPr="00B03690">
        <w:rPr>
          <w:rFonts w:eastAsia="Times New Roman" w:cs="Times New Roman"/>
          <w:i/>
          <w:szCs w:val="24"/>
        </w:rPr>
        <w:t>euro</w:t>
      </w:r>
      <w:r w:rsidRPr="00B13F77">
        <w:rPr>
          <w:rFonts w:eastAsia="Times New Roman" w:cs="Times New Roman"/>
          <w:szCs w:val="24"/>
        </w:rPr>
        <w:t xml:space="preserve"> mēnesī par katru bērnu.  </w:t>
      </w:r>
    </w:p>
    <w:p w14:paraId="22A887F4" w14:textId="3B2F0FFD" w:rsidR="00B13F77" w:rsidRPr="00B03690" w:rsidRDefault="00B13F77" w:rsidP="00B03690">
      <w:pPr>
        <w:widowControl w:val="0"/>
        <w:rPr>
          <w:rFonts w:eastAsia="Times New Roman" w:cs="Times New Roman"/>
          <w:szCs w:val="24"/>
        </w:rPr>
      </w:pPr>
      <w:r w:rsidRPr="00B13F77">
        <w:rPr>
          <w:rFonts w:eastAsia="Times New Roman" w:cs="Times New Roman"/>
          <w:szCs w:val="24"/>
        </w:rPr>
        <w:t xml:space="preserve">Likumprojektā “Par vidēja termiņa budžeta ietvaru 2022., 2023. un 2024. gadam” šai reformai ir paredzēti 91,0 milj. </w:t>
      </w:r>
      <w:r w:rsidRPr="00B03690">
        <w:rPr>
          <w:rFonts w:eastAsia="Times New Roman" w:cs="Times New Roman"/>
          <w:i/>
          <w:szCs w:val="24"/>
        </w:rPr>
        <w:t>euro</w:t>
      </w:r>
      <w:r w:rsidRPr="00B13F77">
        <w:rPr>
          <w:rFonts w:eastAsia="Times New Roman" w:cs="Times New Roman"/>
          <w:szCs w:val="24"/>
        </w:rPr>
        <w:t xml:space="preserve"> 2022.gadā un 90,9 milj. </w:t>
      </w:r>
      <w:r w:rsidRPr="00B03690">
        <w:rPr>
          <w:rFonts w:eastAsia="Times New Roman" w:cs="Times New Roman"/>
          <w:i/>
          <w:szCs w:val="24"/>
        </w:rPr>
        <w:t>euro</w:t>
      </w:r>
      <w:r w:rsidRPr="00B13F77">
        <w:rPr>
          <w:rFonts w:eastAsia="Times New Roman" w:cs="Times New Roman"/>
          <w:szCs w:val="24"/>
        </w:rPr>
        <w:t xml:space="preserve"> turpmākajos gados. Šis finansējums jau tika iekļauts budžeta b</w:t>
      </w:r>
      <w:r w:rsidR="00B03690">
        <w:rPr>
          <w:rFonts w:eastAsia="Times New Roman" w:cs="Times New Roman"/>
          <w:szCs w:val="24"/>
        </w:rPr>
        <w:t xml:space="preserve">āzē. </w:t>
      </w:r>
    </w:p>
    <w:p w14:paraId="0845E71C" w14:textId="1EAE6013" w:rsidR="00B13F77" w:rsidRPr="00B13F77" w:rsidRDefault="00B13F77" w:rsidP="00B03690">
      <w:pPr>
        <w:widowControl w:val="0"/>
        <w:spacing w:before="240" w:after="240"/>
        <w:jc w:val="center"/>
        <w:rPr>
          <w:rFonts w:eastAsia="Times New Roman" w:cs="Times New Roman"/>
          <w:b/>
          <w:szCs w:val="24"/>
        </w:rPr>
      </w:pPr>
      <w:r w:rsidRPr="00B13F77">
        <w:rPr>
          <w:rFonts w:eastAsia="Times New Roman" w:cs="Times New Roman"/>
          <w:b/>
          <w:szCs w:val="24"/>
        </w:rPr>
        <w:t>Valsts cilvēkkapitāla palielināšana</w:t>
      </w:r>
      <w:bookmarkStart w:id="59" w:name="_Hlk83804472"/>
    </w:p>
    <w:p w14:paraId="656F4514" w14:textId="5E4857E5" w:rsidR="00B13F77" w:rsidRPr="00B03690" w:rsidRDefault="00B13F77" w:rsidP="00B03690">
      <w:pPr>
        <w:widowControl w:val="0"/>
        <w:rPr>
          <w:rFonts w:eastAsia="Times New Roman" w:cs="Times New Roman"/>
          <w:szCs w:val="24"/>
        </w:rPr>
      </w:pPr>
      <w:r w:rsidRPr="00B13F77">
        <w:rPr>
          <w:rFonts w:eastAsia="Times New Roman" w:cs="Times New Roman"/>
          <w:szCs w:val="24"/>
        </w:rPr>
        <w:t>Šī vidēja termiņa budžeta ietvara likumprojekta prioritāte ir veselības, iekšlietu un izglītības nozares cilvēkkapitāla kapacitātes saglabāšana un stiprināšana, palielinot publisko finansējumu ārstniecības personu, amatpersonu ar speciālajām dienesta pakāpēm un pedagogu atalgojumu</w:t>
      </w:r>
      <w:bookmarkEnd w:id="59"/>
      <w:r w:rsidRPr="00B13F77">
        <w:rPr>
          <w:rFonts w:eastAsia="Times New Roman" w:cs="Times New Roman"/>
          <w:szCs w:val="24"/>
        </w:rPr>
        <w:t>. Jāatzīmē, ka līdzās tiem apsvērumiem, kas saistīti ar šajās nozarēs strādājošo kapac</w:t>
      </w:r>
      <w:r w:rsidR="00B03690">
        <w:rPr>
          <w:rFonts w:eastAsia="Times New Roman" w:cs="Times New Roman"/>
          <w:szCs w:val="24"/>
        </w:rPr>
        <w:t>itātes ietekmi uz potenciālo iekšzemes kopproduktu</w:t>
      </w:r>
      <w:r w:rsidRPr="00B13F77">
        <w:rPr>
          <w:rFonts w:eastAsia="Times New Roman" w:cs="Times New Roman"/>
          <w:szCs w:val="24"/>
        </w:rPr>
        <w:t>, 2022.-2024.</w:t>
      </w:r>
      <w:r w:rsidR="00B03690">
        <w:rPr>
          <w:rFonts w:eastAsia="Times New Roman" w:cs="Times New Roman"/>
          <w:szCs w:val="24"/>
        </w:rPr>
        <w:t xml:space="preserve"> </w:t>
      </w:r>
      <w:r w:rsidRPr="00B13F77">
        <w:rPr>
          <w:rFonts w:eastAsia="Times New Roman" w:cs="Times New Roman"/>
          <w:szCs w:val="24"/>
        </w:rPr>
        <w:t>gada periodā atalgojuma pieaugumam publiskajā sektorā ir nozīme arī kontekstā ar prognozēto pa</w:t>
      </w:r>
      <w:r w:rsidR="00B03690">
        <w:rPr>
          <w:rFonts w:eastAsia="Times New Roman" w:cs="Times New Roman"/>
          <w:szCs w:val="24"/>
        </w:rPr>
        <w:t xml:space="preserve">tēriņa cenu indeksa pieaugumu. </w:t>
      </w:r>
    </w:p>
    <w:p w14:paraId="129E39B8" w14:textId="06A602EC" w:rsidR="00B13F77" w:rsidRPr="00B13F77" w:rsidRDefault="00B13F77" w:rsidP="00B03690">
      <w:pPr>
        <w:widowControl w:val="0"/>
        <w:spacing w:before="240" w:after="240"/>
        <w:jc w:val="center"/>
        <w:rPr>
          <w:rFonts w:eastAsia="Times New Roman" w:cs="Times New Roman"/>
          <w:b/>
          <w:szCs w:val="24"/>
        </w:rPr>
      </w:pPr>
      <w:r w:rsidRPr="00B13F77">
        <w:rPr>
          <w:rFonts w:eastAsia="Times New Roman" w:cs="Times New Roman"/>
          <w:b/>
          <w:szCs w:val="24"/>
        </w:rPr>
        <w:t>Valsts cilvēkkapitāla palielināšana veselības aprūpe</w:t>
      </w:r>
      <w:r>
        <w:rPr>
          <w:rFonts w:eastAsia="Times New Roman" w:cs="Times New Roman"/>
          <w:b/>
          <w:szCs w:val="24"/>
        </w:rPr>
        <w:t>s nozarē</w:t>
      </w:r>
    </w:p>
    <w:p w14:paraId="6C062113" w14:textId="3F1125B2" w:rsidR="00B13F77" w:rsidRPr="00B13F77" w:rsidRDefault="00B13F77" w:rsidP="00B13F77">
      <w:pPr>
        <w:widowControl w:val="0"/>
        <w:rPr>
          <w:rFonts w:eastAsia="Times New Roman" w:cs="Times New Roman"/>
          <w:szCs w:val="24"/>
        </w:rPr>
      </w:pPr>
      <w:r w:rsidRPr="00B13F77">
        <w:rPr>
          <w:rFonts w:eastAsia="Times New Roman" w:cs="Times New Roman"/>
          <w:szCs w:val="24"/>
        </w:rPr>
        <w:t xml:space="preserve">Dzīves kvalitātes uzlabošana ir iespējama, nodrošinot ekonomikas strauju izaugsmi ilgtermiņā, jeb relatīvi augstu potenciālā </w:t>
      </w:r>
      <w:r w:rsidR="00B03690">
        <w:rPr>
          <w:rFonts w:eastAsia="Times New Roman" w:cs="Times New Roman"/>
          <w:szCs w:val="24"/>
        </w:rPr>
        <w:t>iekšzemes kopprodukta</w:t>
      </w:r>
      <w:r w:rsidRPr="00B13F77">
        <w:rPr>
          <w:rFonts w:eastAsia="Times New Roman" w:cs="Times New Roman"/>
          <w:szCs w:val="24"/>
        </w:rPr>
        <w:t xml:space="preserve"> pieaugumu. Nelabvēlīgo demogrāfijas tendenču kontekstā darbaspēka komponentes ieguldījums kopējā potenciālā </w:t>
      </w:r>
      <w:r w:rsidR="00B03690">
        <w:rPr>
          <w:rFonts w:eastAsia="Times New Roman" w:cs="Times New Roman"/>
          <w:szCs w:val="24"/>
        </w:rPr>
        <w:t>iekšzemes kopprodukta</w:t>
      </w:r>
      <w:r w:rsidRPr="00B13F77">
        <w:rPr>
          <w:rFonts w:eastAsia="Times New Roman" w:cs="Times New Roman"/>
          <w:szCs w:val="24"/>
        </w:rPr>
        <w:t xml:space="preserve"> pieaugumā būs tuvs nullei. Šādos apstākļos darbaspēka komponentes </w:t>
      </w:r>
      <w:r w:rsidRPr="00B13F77">
        <w:rPr>
          <w:rFonts w:eastAsia="Times New Roman" w:cs="Times New Roman"/>
          <w:szCs w:val="24"/>
        </w:rPr>
        <w:lastRenderedPageBreak/>
        <w:t xml:space="preserve">ieguldījumu var palielināt, mazinot laiku, ko darbspējīgā vecuma iedzīvotāji atrodas ārpus darba slimības dēļ. Sabiedrības veselības stiprināšana, nodrošinot kvalitatīvākus un pieejamākus veselības aprūpes pasākumus, tiešā veidā ietekmē potenciālā </w:t>
      </w:r>
      <w:r w:rsidR="00B03690">
        <w:rPr>
          <w:rFonts w:eastAsia="Times New Roman" w:cs="Times New Roman"/>
          <w:szCs w:val="24"/>
        </w:rPr>
        <w:t>iekšzemes kopprodukta</w:t>
      </w:r>
      <w:r w:rsidRPr="00B13F77">
        <w:rPr>
          <w:rFonts w:eastAsia="Times New Roman" w:cs="Times New Roman"/>
          <w:szCs w:val="24"/>
        </w:rPr>
        <w:t xml:space="preserve"> izaugsmi un līdz ar to ir viens no rādītājiem valsts cilvēkkapitālā. Jāatzīmē arī, ka kvalitatīvāka un pieejamāka veselības aprūpe tiešā veidā pozitīvi ietekmē fiskālās politikas vispārējo mērķi – iedzīvotāju dzīves kvalitāti. Līdz ar to publisko finanšu ieguldījumi veselības aprūpē gan tiešā veidā uzlabo iedzīvotāju dzīves kvalitāti, gan rada priekšnosacījumus ekonomikas izaugsmei, kas, savukārt, nodrošina uzlabotās dzīves kvalitātes ilgtspēju. </w:t>
      </w:r>
    </w:p>
    <w:p w14:paraId="3DFC752A" w14:textId="27CEB8FD" w:rsidR="00B13F77" w:rsidRPr="00B13F77" w:rsidRDefault="00B13F77" w:rsidP="00B13F77">
      <w:pPr>
        <w:widowControl w:val="0"/>
        <w:rPr>
          <w:rFonts w:eastAsia="Times New Roman" w:cs="Times New Roman"/>
          <w:szCs w:val="24"/>
        </w:rPr>
      </w:pPr>
      <w:r w:rsidRPr="00B13F77">
        <w:rPr>
          <w:rFonts w:eastAsia="Times New Roman" w:cs="Times New Roman"/>
          <w:szCs w:val="24"/>
        </w:rPr>
        <w:t>Veselības nozarē strādājošo atalgojuma palielināšana ir bijusi prioritāte iepriekšējos vidēja termiņa budžeta ietvara likumos un saglabājas kā prioritāte arī šajā vidēja termiņa budže</w:t>
      </w:r>
      <w:r w:rsidR="00B03690">
        <w:rPr>
          <w:rFonts w:eastAsia="Times New Roman" w:cs="Times New Roman"/>
          <w:szCs w:val="24"/>
        </w:rPr>
        <w:t>ta ietvara likumprojektā. Covid-</w:t>
      </w:r>
      <w:r w:rsidRPr="00B13F77">
        <w:rPr>
          <w:rFonts w:eastAsia="Times New Roman" w:cs="Times New Roman"/>
          <w:szCs w:val="24"/>
        </w:rPr>
        <w:t xml:space="preserve">19 pandēmija ir radījusi papildus fizisko un garīgo slodzi ārstniecības personālam, kā arī pieprasījumu pēc šīs profesijas cilvēkiem ārvalstīs. Lai mazinātu ārstniecības personāla aizplūšanas risku un nodrošinātu darba apstākļiem atbilstošu atalgojumu par vienas slodzes darbu, valstī tiek turpināta ārstniecības personāla atalgojuma palielināšana.        </w:t>
      </w:r>
    </w:p>
    <w:p w14:paraId="19279098" w14:textId="51A50A26" w:rsidR="00B13F77" w:rsidRPr="00B13F77" w:rsidRDefault="00B13F77" w:rsidP="00B13F77">
      <w:pPr>
        <w:widowControl w:val="0"/>
        <w:rPr>
          <w:rFonts w:eastAsia="Calibri" w:cs="Times New Roman"/>
          <w:szCs w:val="24"/>
        </w:rPr>
      </w:pPr>
      <w:bookmarkStart w:id="60" w:name="_Hlk83807597"/>
      <w:bookmarkStart w:id="61" w:name="_Hlk83806785"/>
      <w:r w:rsidRPr="00B13F77">
        <w:rPr>
          <w:rFonts w:eastAsia="Times New Roman" w:cs="Times New Roman"/>
          <w:szCs w:val="24"/>
        </w:rPr>
        <w:t>Šajā vidēja termiņa budžeta i</w:t>
      </w:r>
      <w:r w:rsidR="00B03690">
        <w:rPr>
          <w:rFonts w:eastAsia="Times New Roman" w:cs="Times New Roman"/>
          <w:szCs w:val="24"/>
        </w:rPr>
        <w:t>etvara likumprojektā viens no Ministru kabineta</w:t>
      </w:r>
      <w:r w:rsidRPr="00B13F77">
        <w:rPr>
          <w:rFonts w:eastAsia="Times New Roman" w:cs="Times New Roman"/>
          <w:szCs w:val="24"/>
        </w:rPr>
        <w:t xml:space="preserve"> lēmumiem vidējā termiņā ietver 40,6 milj. </w:t>
      </w:r>
      <w:r w:rsidRPr="00B13F77">
        <w:rPr>
          <w:rFonts w:eastAsia="Times New Roman" w:cs="Times New Roman"/>
          <w:i/>
          <w:szCs w:val="24"/>
        </w:rPr>
        <w:t>euro</w:t>
      </w:r>
      <w:r w:rsidRPr="00B13F77">
        <w:rPr>
          <w:rFonts w:eastAsia="Times New Roman" w:cs="Times New Roman"/>
          <w:szCs w:val="24"/>
        </w:rPr>
        <w:t xml:space="preserve"> piešķiršanu 2022.</w:t>
      </w:r>
      <w:r w:rsidR="00B03690">
        <w:rPr>
          <w:rFonts w:eastAsia="Times New Roman" w:cs="Times New Roman"/>
          <w:szCs w:val="24"/>
        </w:rPr>
        <w:t xml:space="preserve"> </w:t>
      </w:r>
      <w:r w:rsidRPr="00B13F77">
        <w:rPr>
          <w:rFonts w:eastAsia="Times New Roman" w:cs="Times New Roman"/>
          <w:szCs w:val="24"/>
        </w:rPr>
        <w:t xml:space="preserve">gadam un turpmāk  ārstniecības personu darba samaksas pieauguma nodrošināšanai - medicīnas personālam 35 milj. </w:t>
      </w:r>
      <w:r w:rsidRPr="00B13F77">
        <w:rPr>
          <w:rFonts w:eastAsia="Times New Roman" w:cs="Times New Roman"/>
          <w:i/>
          <w:iCs/>
          <w:szCs w:val="24"/>
        </w:rPr>
        <w:t>euro</w:t>
      </w:r>
      <w:r w:rsidRPr="00B13F77">
        <w:rPr>
          <w:rFonts w:eastAsia="Times New Roman" w:cs="Times New Roman"/>
          <w:szCs w:val="24"/>
        </w:rPr>
        <w:t xml:space="preserve"> un rezidentiem 5,6 milj. </w:t>
      </w:r>
      <w:r w:rsidRPr="00B13F77">
        <w:rPr>
          <w:rFonts w:eastAsia="Times New Roman" w:cs="Times New Roman"/>
          <w:i/>
          <w:iCs/>
          <w:szCs w:val="24"/>
        </w:rPr>
        <w:t>euro</w:t>
      </w:r>
      <w:r w:rsidRPr="00B13F77">
        <w:rPr>
          <w:rFonts w:eastAsia="Times New Roman" w:cs="Times New Roman"/>
          <w:szCs w:val="24"/>
        </w:rPr>
        <w:t xml:space="preserve">. </w:t>
      </w:r>
      <w:bookmarkEnd w:id="60"/>
      <w:r w:rsidRPr="00B13F77">
        <w:rPr>
          <w:rFonts w:eastAsia="Times New Roman" w:cs="Times New Roman"/>
          <w:szCs w:val="24"/>
        </w:rPr>
        <w:t xml:space="preserve"> </w:t>
      </w:r>
    </w:p>
    <w:bookmarkEnd w:id="61"/>
    <w:p w14:paraId="28C097D6" w14:textId="798BDA3B" w:rsidR="00337572" w:rsidRPr="00337572" w:rsidRDefault="00337572" w:rsidP="00337572">
      <w:pPr>
        <w:rPr>
          <w:sz w:val="22"/>
        </w:rPr>
      </w:pPr>
      <w:r w:rsidRPr="00337572">
        <w:rPr>
          <w:i/>
        </w:rPr>
        <w:t>Eurostat</w:t>
      </w:r>
      <w:r w:rsidRPr="00337572">
        <w:t xml:space="preserve"> dati norāda, ka 2019.</w:t>
      </w:r>
      <w:r>
        <w:t xml:space="preserve"> </w:t>
      </w:r>
      <w:r w:rsidRPr="00337572">
        <w:t>gadā medicīnas personāla skaits Latvijā uz 1000 iedzīvot</w:t>
      </w:r>
      <w:r>
        <w:t>ājiem bija zemāks nekā vidēji Eiropas Savienībā</w:t>
      </w:r>
      <w:r w:rsidRPr="00337572">
        <w:t xml:space="preserve">, t.sk. medicīnas māsu skaits bija tikai 4,4 uz 1000 iedzīvotājiem, kas ir viens no zemākajiem rādītājiem </w:t>
      </w:r>
      <w:r>
        <w:t>Eiropas Savienībā</w:t>
      </w:r>
      <w:r w:rsidRPr="00337572">
        <w:t xml:space="preserve">,  savukārt  ārstu skaits bija 3,2 uz 1000 iedzīvotājiem, kas arī ir zem </w:t>
      </w:r>
      <w:r>
        <w:t>Eiropas Savienības</w:t>
      </w:r>
      <w:r w:rsidRPr="00337572">
        <w:t xml:space="preserve"> vidējā rādītāja (3,8).  </w:t>
      </w:r>
    </w:p>
    <w:p w14:paraId="7BD1A1C4" w14:textId="1E327ACE" w:rsidR="00337572" w:rsidRPr="00337572" w:rsidRDefault="00337572" w:rsidP="00337572">
      <w:r w:rsidRPr="00337572">
        <w:t xml:space="preserve">Latvijā vidēji trūkst vairāk kā 300 ārstu, lai sasniegtu </w:t>
      </w:r>
      <w:r>
        <w:t>Eiropas Savienības valstu vidējo</w:t>
      </w:r>
      <w:r w:rsidRPr="00337572">
        <w:t xml:space="preserve"> rādītāju. Pie tam analizējot sertificēto ārstu darbspējas vecumā skaitu, paredzams, ka 10 gadu laikā darbspējīgo ārstu speciālistu skaits samazināsies par 39%, ja netiks īstenota ārstu speciālistu atjaunotne un piesaiste darbam La</w:t>
      </w:r>
      <w:r>
        <w:t>tvijas veselības aprūpes sistēmā</w:t>
      </w:r>
      <w:r w:rsidRPr="00337572">
        <w:t xml:space="preserve">.  </w:t>
      </w:r>
    </w:p>
    <w:p w14:paraId="5BB96E6D" w14:textId="5A8CCC23" w:rsidR="00337572" w:rsidRPr="00337572" w:rsidRDefault="00337572" w:rsidP="00337572">
      <w:r w:rsidRPr="00337572">
        <w:t xml:space="preserve">Latvijā kopā vidēji trūkst vairāk kā 8000  māsu, lai sasniegtu </w:t>
      </w:r>
      <w:r>
        <w:t>Eiropas Savienības valstu vidējo</w:t>
      </w:r>
      <w:r w:rsidRPr="00337572">
        <w:t xml:space="preserve"> rādītāju. Atbilstoši esošajiem māsu plānošanas nosacījumiem (tas n</w:t>
      </w:r>
      <w:r>
        <w:t>ozīmē, ka kvalitatīvai aprūpei vienai</w:t>
      </w:r>
      <w:r w:rsidRPr="00337572">
        <w:t xml:space="preserve"> māsai ir jāaprūpē mazāks pacientu skaits nekā tas ir šobrīd) un ņemot vērā novecošanās faktoru valsts apmaksāto pakalpojumu sniegšanai šobrīd trūkst vairāk kā 3000 māsu.</w:t>
      </w:r>
    </w:p>
    <w:p w14:paraId="49730959" w14:textId="474B10DC" w:rsidR="00337572" w:rsidRPr="00337572" w:rsidRDefault="00337572" w:rsidP="00337572">
      <w:r w:rsidRPr="00337572">
        <w:t>Medicīnas māsu statistika norāda, ka 2020.</w:t>
      </w:r>
      <w:r>
        <w:t xml:space="preserve"> </w:t>
      </w:r>
      <w:r w:rsidRPr="00337572">
        <w:t>gadā 538 māsas absolvēja izglītības iestādi (jāņem vērā, ka šajā absolventu skaitā ir māsas, kurām ir jau iepriekš iegūta māsas kvalifikācija un ir absolvējušas augstskolas programmu māsas profesijā specializācijas iegūšanai), no kurām tikai 217 pirmreizēji reģistrējās Ārstniecības personu un ārstniecības atbalsta personu reģistrā, bet no tām – tikai  144 uzsāka darbu veselības aprūpes sistēmā (jeb  25% no visiem absolventiem). Savukārt dati par 2021.</w:t>
      </w:r>
      <w:r>
        <w:t xml:space="preserve"> </w:t>
      </w:r>
      <w:r w:rsidRPr="00337572">
        <w:t>ga</w:t>
      </w:r>
      <w:r>
        <w:t>du norāda, ka no 483 māsām, kura</w:t>
      </w:r>
      <w:r w:rsidRPr="00337572">
        <w:t>s absolvēja izglītības iestādi</w:t>
      </w:r>
      <w:r>
        <w:t>,</w:t>
      </w:r>
      <w:r w:rsidRPr="00337572">
        <w:t xml:space="preserve"> tikai 220 pirmreizēji reģistrējās Ārstniecības personu un ārstniecības atbalsta personu reģistrā, bet no tām – tikai  141 uzsāka darbu veselības aprūpes sistēmā (jeb  29% no visiem absolventiem).</w:t>
      </w:r>
    </w:p>
    <w:p w14:paraId="252CBBFD" w14:textId="1E4C368E" w:rsidR="00337572" w:rsidRPr="00337572" w:rsidRDefault="00337572" w:rsidP="00337572">
      <w:r w:rsidRPr="00337572">
        <w:t>Tāpat Veselības ministrijas dati norāda uz to, ka ir novērojama sistemātiska med</w:t>
      </w:r>
      <w:r>
        <w:t>icīnas darbinieku aizplūšana darbam</w:t>
      </w:r>
      <w:r w:rsidRPr="00337572">
        <w:t xml:space="preserve"> ārvalstīs. Kopumā laika periodā no 2010.</w:t>
      </w:r>
      <w:r>
        <w:t xml:space="preserve"> </w:t>
      </w:r>
      <w:r w:rsidRPr="00337572">
        <w:t>gada līdz 2021.</w:t>
      </w:r>
      <w:r>
        <w:t xml:space="preserve"> </w:t>
      </w:r>
      <w:r w:rsidRPr="00337572">
        <w:t>gada 1.</w:t>
      </w:r>
      <w:r>
        <w:t xml:space="preserve"> </w:t>
      </w:r>
      <w:r w:rsidRPr="00337572">
        <w:t xml:space="preserve">oktobrim ārstniecības personām un ārstniecības atbalsta personām  izsniegtas 1303 </w:t>
      </w:r>
      <w:r w:rsidRPr="00337572">
        <w:lastRenderedPageBreak/>
        <w:t>profesionālās kvalifikācijas izziņas darbam ārvalstīs, no tām – 1043 māsām (2019.</w:t>
      </w:r>
      <w:r>
        <w:t xml:space="preserve"> </w:t>
      </w:r>
      <w:r w:rsidRPr="00337572">
        <w:t>gadā - 40 māsām, 2020.</w:t>
      </w:r>
      <w:r>
        <w:t xml:space="preserve"> </w:t>
      </w:r>
      <w:r w:rsidRPr="00337572">
        <w:t>gadā – 30 māsām) un 143 ārsta palīgiem. Katru gadu arī latviešu izcelsmes ārstiem tiek izsniegtas izziņas kvalifikācijas atzīšanai ārvalstīs - 2016.</w:t>
      </w:r>
      <w:r>
        <w:t xml:space="preserve"> </w:t>
      </w:r>
      <w:r w:rsidRPr="00337572">
        <w:t>gadā – 102, 2017.</w:t>
      </w:r>
      <w:r>
        <w:t xml:space="preserve"> </w:t>
      </w:r>
      <w:r w:rsidRPr="00337572">
        <w:t>gadā - 85; 2018. gadā – 75, 2019. gadā – 86, 2020.</w:t>
      </w:r>
      <w:r>
        <w:t xml:space="preserve"> </w:t>
      </w:r>
      <w:r w:rsidRPr="00337572">
        <w:t>gadā – 66.</w:t>
      </w:r>
    </w:p>
    <w:p w14:paraId="0D5FA788" w14:textId="11B5EEFD" w:rsidR="00B13F77" w:rsidRPr="00337572" w:rsidRDefault="00337572" w:rsidP="00337572">
      <w:r w:rsidRPr="00337572">
        <w:t>OECD dati norāda, ka slimnīcās, kur tiek nodrošināta neatliekamā medicīniskā palīdzī</w:t>
      </w:r>
      <w:r>
        <w:t>ba un</w:t>
      </w:r>
      <w:r w:rsidRPr="00337572">
        <w:t xml:space="preserve"> sekundārā un terciārā līmeņa veselības aprūpe, nodarbināto ārstu skaits Latvijā ir mazāks kā OECD valstīs vidēji - Latvijā aptuveni 55%, OECD valstīs vairāk nekā 75% (tikai 25% strādā ārpus slimnīcu sektora). Principā šie dati norāda uz to, ka pārāk maza proporcija ārstu strādā slimn</w:t>
      </w:r>
      <w:r>
        <w:t>īcās t.i. stacionārajā segmentā.</w:t>
      </w:r>
    </w:p>
    <w:p w14:paraId="14820A71" w14:textId="07AE272F" w:rsidR="00B13F77" w:rsidRPr="00B13F77" w:rsidRDefault="00B13F77" w:rsidP="00B03690">
      <w:pPr>
        <w:widowControl w:val="0"/>
        <w:spacing w:before="240" w:after="240"/>
        <w:jc w:val="center"/>
        <w:rPr>
          <w:rFonts w:eastAsia="Times New Roman" w:cs="Times New Roman"/>
          <w:b/>
          <w:szCs w:val="24"/>
        </w:rPr>
      </w:pPr>
      <w:r w:rsidRPr="00B13F77">
        <w:rPr>
          <w:rFonts w:eastAsia="Times New Roman" w:cs="Times New Roman"/>
          <w:b/>
          <w:szCs w:val="24"/>
        </w:rPr>
        <w:t>Valsts cilvēkkapitāla palielināšana iekšlietu nozarē</w:t>
      </w:r>
    </w:p>
    <w:p w14:paraId="5BD75D54" w14:textId="77777777" w:rsidR="00B13F77" w:rsidRPr="00B13F77" w:rsidRDefault="00B13F77" w:rsidP="00B13F77">
      <w:pPr>
        <w:widowControl w:val="0"/>
        <w:rPr>
          <w:rFonts w:eastAsia="Times New Roman" w:cs="Times New Roman"/>
          <w:bCs/>
          <w:szCs w:val="24"/>
        </w:rPr>
      </w:pPr>
      <w:r w:rsidRPr="00B13F77">
        <w:rPr>
          <w:rFonts w:eastAsia="Times New Roman" w:cs="Times New Roman"/>
          <w:bCs/>
          <w:szCs w:val="24"/>
        </w:rPr>
        <w:t>Iekšlietu sistēma 2021. gadā saskārās ar ārkārtas situāciju valsts pierobežā ar Baltkrieviju. Ārkārtas situācija izgaismoja nepilnības  amatpersonu ar speciālajām dienesta pakāpēm  atalgojuma sistēmā, kā arī aktualizēja jautājumu par iekšlietu sistēmas cilvēkresursu kapacitātes stiprināšanu, tai skaitā, izlīdzinot atšķirības, kas veidojās ar valsts aizsardzības resoru, kur finansējuma apjoms ir piesaistīts iekšzemes kopproduktam. Līdz ar to šajā ietvarā cilvēkresursu kapacitātes kāpināšanas prioritātē līdzās veselības un izglītības nozarei ir iekļauta arī iekšlietu nozare.</w:t>
      </w:r>
    </w:p>
    <w:p w14:paraId="3834EFAE" w14:textId="6D878F93" w:rsidR="00B13F77" w:rsidRPr="00B13F77" w:rsidRDefault="00B13F77" w:rsidP="00B13F77">
      <w:pPr>
        <w:widowControl w:val="0"/>
        <w:rPr>
          <w:rFonts w:eastAsia="Times New Roman" w:cs="Times New Roman"/>
          <w:bCs/>
          <w:szCs w:val="24"/>
        </w:rPr>
      </w:pPr>
      <w:r w:rsidRPr="00B13F77">
        <w:rPr>
          <w:rFonts w:eastAsia="Times New Roman" w:cs="Times New Roman"/>
          <w:bCs/>
          <w:szCs w:val="24"/>
        </w:rPr>
        <w:t>Pēdējo gadu tendences kā arī aktuālā situāciju valsts pierobežā ar Baltkrieviju liecina, ka noziegumi vērsti pret valsts robežas drošību ir ļoti labi organizēti un pret valsts robežas drošību vērstās darbības  ir iespējamas praktiski visā Latvijas Republikas valsts robežas/Eiropas Savienības ārējās robežas garumā. Valsts robežsardzei ir specifiski dienesta pienākumu pildīšanas nosacījumi - apgrūtinātas ēdināšanas iespējas, fiziska slodze veicot apgaitu, robežkontroli ārpus telpām neatkarīgi no laika apstākļiem, nokļūšanai uz robežšķērsošanas vietu jāizmanto personīgais transportlīdzeklis u.tml. Šos iemeslus Valsts robežsardzes amatpersonas bieži norāda kā dienesta pārtraukšanas iemeslus. Līdz ar to būtiska ir Valsts robežsardzes personāla robežkontroles mobilitāte un stiprināšana, ko varētu veicināt, nosakot speciālo piemaksu.</w:t>
      </w:r>
    </w:p>
    <w:p w14:paraId="45FC090D" w14:textId="013FDBE5" w:rsidR="00B13F77" w:rsidRPr="00B13F77" w:rsidRDefault="00B13F77" w:rsidP="00B13F77">
      <w:pPr>
        <w:widowControl w:val="0"/>
        <w:rPr>
          <w:rFonts w:eastAsia="Times New Roman" w:cs="Times New Roman"/>
          <w:bCs/>
          <w:szCs w:val="24"/>
        </w:rPr>
      </w:pPr>
      <w:r w:rsidRPr="00B13F77">
        <w:rPr>
          <w:rFonts w:eastAsia="Times New Roman" w:cs="Times New Roman"/>
          <w:bCs/>
          <w:szCs w:val="24"/>
        </w:rPr>
        <w:t>Jau 2018.</w:t>
      </w:r>
      <w:r w:rsidR="00B03690">
        <w:rPr>
          <w:rFonts w:eastAsia="Times New Roman" w:cs="Times New Roman"/>
          <w:bCs/>
          <w:szCs w:val="24"/>
        </w:rPr>
        <w:t xml:space="preserve"> </w:t>
      </w:r>
      <w:r w:rsidRPr="00B13F77">
        <w:rPr>
          <w:rFonts w:eastAsia="Times New Roman" w:cs="Times New Roman"/>
          <w:bCs/>
          <w:szCs w:val="24"/>
        </w:rPr>
        <w:t>gadā veiktajā revīzijā “Par Iekšlietu ministrijas 2017.</w:t>
      </w:r>
      <w:r w:rsidR="00B03690">
        <w:rPr>
          <w:rFonts w:eastAsia="Times New Roman" w:cs="Times New Roman"/>
          <w:bCs/>
          <w:szCs w:val="24"/>
        </w:rPr>
        <w:t xml:space="preserve"> </w:t>
      </w:r>
      <w:r w:rsidRPr="00B13F77">
        <w:rPr>
          <w:rFonts w:eastAsia="Times New Roman" w:cs="Times New Roman"/>
          <w:bCs/>
          <w:szCs w:val="24"/>
        </w:rPr>
        <w:t>gada pārskata sagatavošanas pareizību” Valsts kontrole sniedza Iekšlietu ministrijai ieteikumu rast risinājumu, lai vienādas “vērtības” amatus ieņemošām amatpersonām vidējā mēnešalga starp iekšlietu dienestiem ir pēc iespējas līdzvērtīga. Iekšlietu ministrija jau ir rosinājusi grozījumus iekšlietu sistēmas atalgojuma normatīvajā regulējumā (Ministru kabineta 2016.</w:t>
      </w:r>
      <w:r w:rsidR="00B03690">
        <w:rPr>
          <w:rFonts w:eastAsia="Times New Roman" w:cs="Times New Roman"/>
          <w:bCs/>
          <w:szCs w:val="24"/>
        </w:rPr>
        <w:t xml:space="preserve"> </w:t>
      </w:r>
      <w:r w:rsidRPr="00B13F77">
        <w:rPr>
          <w:rFonts w:eastAsia="Times New Roman" w:cs="Times New Roman"/>
          <w:bCs/>
          <w:szCs w:val="24"/>
        </w:rPr>
        <w:t>gada 13.</w:t>
      </w:r>
      <w:r w:rsidR="00B03690">
        <w:rPr>
          <w:rFonts w:eastAsia="Times New Roman" w:cs="Times New Roman"/>
          <w:bCs/>
          <w:szCs w:val="24"/>
        </w:rPr>
        <w:t xml:space="preserve"> </w:t>
      </w:r>
      <w:r w:rsidRPr="00B13F77">
        <w:rPr>
          <w:rFonts w:eastAsia="Times New Roman" w:cs="Times New Roman"/>
          <w:bCs/>
          <w:szCs w:val="24"/>
        </w:rPr>
        <w:t>decembra noteikumi Nr.</w:t>
      </w:r>
      <w:r w:rsidR="00B03690">
        <w:rPr>
          <w:rFonts w:eastAsia="Times New Roman" w:cs="Times New Roman"/>
          <w:bCs/>
          <w:szCs w:val="24"/>
        </w:rPr>
        <w:t xml:space="preserve"> </w:t>
      </w:r>
      <w:r w:rsidRPr="00B13F77">
        <w:rPr>
          <w:rFonts w:eastAsia="Times New Roman" w:cs="Times New Roman"/>
          <w:bCs/>
          <w:szCs w:val="24"/>
        </w:rPr>
        <w:t>806), lai nodrošinātu viszemāk atalgoto amatpersonu ar speciālajām dienesta pakāpēm mēnešalgas palielināšanu, tomēr veiktie pasākumi pilnībā nenovērsa problēmu. Pašlaik visaugstākās mēnešalgas sadalījumā pa mēnešalgu grupām pamatā ir noteiktas Valsts policijas amatpersonām, savukārt, ugunsdzēsējiem-glābējiem, vidējā svērtā mēnešalga ir salīdzinoši zemāka par Valsts policijas un Valsts robežsardzes amatpersonu mēnešalgām, kaut gan amati ir līdzīgi pēc atbildības un sarežģītības pakāpes. Līdz ar to nepieciešams turpināt jau uzsākto  mēnešalgu izlīdzināšanu, katras mēnešalgu grupas ietvaros paaugstinot zemākās mēnešalgas, tādējādi sekmējot līdzvērtīgas darba samaksas noteikšanu vienādas “vērtības” amatus ieņemošām amatpersonām.</w:t>
      </w:r>
    </w:p>
    <w:p w14:paraId="5D7DDC8E" w14:textId="7ADA90B1" w:rsidR="00B13F77" w:rsidRPr="00B13F77" w:rsidRDefault="00B13F77" w:rsidP="00B13F77">
      <w:pPr>
        <w:widowControl w:val="0"/>
        <w:rPr>
          <w:rFonts w:eastAsia="Times New Roman" w:cs="Times New Roman"/>
          <w:bCs/>
          <w:szCs w:val="24"/>
        </w:rPr>
      </w:pPr>
      <w:r w:rsidRPr="00B13F77">
        <w:rPr>
          <w:rFonts w:eastAsia="Times New Roman" w:cs="Times New Roman"/>
          <w:bCs/>
          <w:szCs w:val="24"/>
        </w:rPr>
        <w:t>Valsts un pašvaldību institūciju amatpersonu un darbinieku atlīdzības likums no 2017.</w:t>
      </w:r>
      <w:r w:rsidR="00B03690">
        <w:rPr>
          <w:rFonts w:eastAsia="Times New Roman" w:cs="Times New Roman"/>
          <w:bCs/>
          <w:szCs w:val="24"/>
        </w:rPr>
        <w:t xml:space="preserve"> </w:t>
      </w:r>
      <w:r w:rsidRPr="00B13F77">
        <w:rPr>
          <w:rFonts w:eastAsia="Times New Roman" w:cs="Times New Roman"/>
          <w:bCs/>
          <w:szCs w:val="24"/>
        </w:rPr>
        <w:t>gada 1.</w:t>
      </w:r>
      <w:r w:rsidR="00B03690">
        <w:rPr>
          <w:rFonts w:eastAsia="Times New Roman" w:cs="Times New Roman"/>
          <w:bCs/>
          <w:szCs w:val="24"/>
        </w:rPr>
        <w:t xml:space="preserve"> </w:t>
      </w:r>
      <w:r w:rsidRPr="00B13F77">
        <w:rPr>
          <w:rFonts w:eastAsia="Times New Roman" w:cs="Times New Roman"/>
          <w:bCs/>
          <w:szCs w:val="24"/>
        </w:rPr>
        <w:t xml:space="preserve">janvāra nosaka, ka Iekšlietu ministrijas sistēmas iestāžu amatpersonām ar speciālajām dienesta pakāpēm, kurām noteikts pienākums veikt izmeklēšanu īpaši sarežģīta rakstura </w:t>
      </w:r>
      <w:r w:rsidRPr="00B13F77">
        <w:rPr>
          <w:rFonts w:eastAsia="Times New Roman" w:cs="Times New Roman"/>
          <w:bCs/>
          <w:szCs w:val="24"/>
        </w:rPr>
        <w:lastRenderedPageBreak/>
        <w:t>noziegumu lietās, maksimālo mēnešalgu nosaka atbilstoši rajona prokurora mēnešalgai, tomēr praksē joprojām izmeklētāju mēnešalgas būtiski atpaliek no noteiktā līmeņa. Arī Valsts kontrole revīzijas ziņojumā ""Par Iekšlietu ministrijas 2020.</w:t>
      </w:r>
      <w:r w:rsidR="00B03690">
        <w:rPr>
          <w:rFonts w:eastAsia="Times New Roman" w:cs="Times New Roman"/>
          <w:bCs/>
          <w:szCs w:val="24"/>
        </w:rPr>
        <w:t xml:space="preserve"> </w:t>
      </w:r>
      <w:r w:rsidRPr="00B13F77">
        <w:rPr>
          <w:rFonts w:eastAsia="Times New Roman" w:cs="Times New Roman"/>
          <w:bCs/>
          <w:szCs w:val="24"/>
        </w:rPr>
        <w:t>gada pārskatu"" ir uzsvērusi, ka Valsts policijas augstākā līmeņa izmeklētāju, kuri veic sarežģītāko kriminālprocesu izmeklēšanu, maksimālā mēnešalga 2020.</w:t>
      </w:r>
      <w:r w:rsidR="00B03690">
        <w:rPr>
          <w:rFonts w:eastAsia="Times New Roman" w:cs="Times New Roman"/>
          <w:bCs/>
          <w:szCs w:val="24"/>
        </w:rPr>
        <w:t xml:space="preserve"> </w:t>
      </w:r>
      <w:r w:rsidRPr="00B13F77">
        <w:rPr>
          <w:rFonts w:eastAsia="Times New Roman" w:cs="Times New Roman"/>
          <w:bCs/>
          <w:szCs w:val="24"/>
        </w:rPr>
        <w:t xml:space="preserve">gadā sasniedza tikai 65% no rajona līmeņa prokuratūras prokurora mēnešalgas. Tādējādi ar mērķi uzlabot izmeklēšanas efektivitāti noziedzīgu nodarījumu ekonomikas un finanšu jomā,  ir nepieciešams nodrošināt līdzvērtīgu atlīdzību Iekšlietu ministrijas iestāžu izmeklētājiem ar citās iestādēs nodarbinātiem izmeklētājiem, tajā skaitā, tuvinot augsti kvalificētu speciālistu mēnešalgas rajona prokurora mēnešalgai, kas veicinās speciālistu piesaisti un noturēšanu iekšlietu dienestā. </w:t>
      </w:r>
    </w:p>
    <w:p w14:paraId="7E4AE468" w14:textId="42A2D38E" w:rsidR="00B13F77" w:rsidRPr="00B03690" w:rsidRDefault="00B13F77" w:rsidP="00B03690">
      <w:pPr>
        <w:widowControl w:val="0"/>
        <w:rPr>
          <w:rFonts w:eastAsia="Times New Roman" w:cs="Times New Roman"/>
          <w:szCs w:val="24"/>
        </w:rPr>
      </w:pPr>
      <w:r w:rsidRPr="00B13F77">
        <w:rPr>
          <w:rFonts w:eastAsia="Times New Roman" w:cs="Times New Roman"/>
          <w:szCs w:val="24"/>
        </w:rPr>
        <w:t>Ņemot vērā augstāk minēto problemātiku, šajā vidēja termiņa budžeta i</w:t>
      </w:r>
      <w:r w:rsidR="00B03690">
        <w:rPr>
          <w:rFonts w:eastAsia="Times New Roman" w:cs="Times New Roman"/>
          <w:szCs w:val="24"/>
        </w:rPr>
        <w:t>etvara likumprojektā viens no Ministru kabineta</w:t>
      </w:r>
      <w:r w:rsidRPr="00B13F77">
        <w:rPr>
          <w:rFonts w:eastAsia="Times New Roman" w:cs="Times New Roman"/>
          <w:szCs w:val="24"/>
        </w:rPr>
        <w:t xml:space="preserve"> lēmumiem vidējā termiņā ietver 20,7 milj. </w:t>
      </w:r>
      <w:r w:rsidRPr="00B13F77">
        <w:rPr>
          <w:rFonts w:eastAsia="Times New Roman" w:cs="Times New Roman"/>
          <w:i/>
          <w:szCs w:val="24"/>
        </w:rPr>
        <w:t>euro</w:t>
      </w:r>
      <w:r w:rsidRPr="00B13F77">
        <w:rPr>
          <w:rFonts w:eastAsia="Times New Roman" w:cs="Times New Roman"/>
          <w:szCs w:val="24"/>
        </w:rPr>
        <w:t xml:space="preserve"> piešķiršanu 2022.</w:t>
      </w:r>
      <w:r w:rsidR="00B03690">
        <w:rPr>
          <w:rFonts w:eastAsia="Times New Roman" w:cs="Times New Roman"/>
          <w:szCs w:val="24"/>
        </w:rPr>
        <w:t xml:space="preserve"> </w:t>
      </w:r>
      <w:r w:rsidRPr="00B13F77">
        <w:rPr>
          <w:rFonts w:eastAsia="Times New Roman" w:cs="Times New Roman"/>
          <w:szCs w:val="24"/>
        </w:rPr>
        <w:t>gadam un turpmāk  amatpersonu ar speciālajām dienesta pakāpēm kapacitātes stiprināšanai (robežpiemaksa, izmeklētāju atlīdzība, mēnešalgu izlīdzināšana).</w:t>
      </w:r>
      <w:r w:rsidRPr="00B13F77">
        <w:rPr>
          <w:rFonts w:eastAsia="Times New Roman" w:cs="Times New Roman"/>
          <w:bCs/>
          <w:szCs w:val="24"/>
        </w:rPr>
        <w:t xml:space="preserve">  </w:t>
      </w:r>
    </w:p>
    <w:p w14:paraId="3E86A051" w14:textId="7EC5438F" w:rsidR="00B13F77" w:rsidRPr="00B13F77" w:rsidRDefault="00B13F77" w:rsidP="00B03690">
      <w:pPr>
        <w:widowControl w:val="0"/>
        <w:spacing w:before="240" w:after="240"/>
        <w:jc w:val="center"/>
        <w:rPr>
          <w:rFonts w:eastAsia="Times New Roman" w:cs="Times New Roman"/>
          <w:b/>
          <w:szCs w:val="24"/>
        </w:rPr>
      </w:pPr>
      <w:r w:rsidRPr="00B13F77">
        <w:rPr>
          <w:rFonts w:eastAsia="Times New Roman" w:cs="Times New Roman"/>
          <w:b/>
          <w:szCs w:val="24"/>
        </w:rPr>
        <w:t xml:space="preserve">Valsts cilvēkkapitāla palielināšana izglītības nozarē </w:t>
      </w:r>
    </w:p>
    <w:p w14:paraId="4DC113C0" w14:textId="3319952E" w:rsidR="00B13F77" w:rsidRPr="00B13F77" w:rsidRDefault="00B13F77" w:rsidP="00B13F77">
      <w:pPr>
        <w:widowControl w:val="0"/>
        <w:rPr>
          <w:rFonts w:eastAsia="Times New Roman" w:cs="Times New Roman"/>
          <w:i/>
          <w:szCs w:val="24"/>
        </w:rPr>
      </w:pPr>
      <w:r w:rsidRPr="00B13F77">
        <w:rPr>
          <w:rFonts w:eastAsia="Times New Roman" w:cs="Times New Roman"/>
          <w:szCs w:val="24"/>
        </w:rPr>
        <w:t xml:space="preserve">Ņemot vērā ierobežojumus darbaspēka apjomā, kopējo faktoru produktivitātes paaugstināšana Latvijas apstākļos ir galvenais faktors potenciālā </w:t>
      </w:r>
      <w:r w:rsidR="00B03690">
        <w:rPr>
          <w:rFonts w:eastAsia="Times New Roman" w:cs="Times New Roman"/>
          <w:szCs w:val="24"/>
        </w:rPr>
        <w:t>iekšzemes kopprodukta</w:t>
      </w:r>
      <w:r w:rsidRPr="00B13F77">
        <w:rPr>
          <w:rFonts w:eastAsia="Times New Roman" w:cs="Times New Roman"/>
          <w:szCs w:val="24"/>
        </w:rPr>
        <w:t xml:space="preserve"> izaugsmē. Latvijas iedzīvotāju zināšanas, prasmes un spēja būt inovatīviem un apstākļu izveide iespējai inovatīvās idejas īstenot dzīvē ir tie priekšnoteikumi, kas nepieciešami potenciālā </w:t>
      </w:r>
      <w:r w:rsidR="00B03690">
        <w:rPr>
          <w:rFonts w:eastAsia="Times New Roman" w:cs="Times New Roman"/>
          <w:szCs w:val="24"/>
        </w:rPr>
        <w:t>iekšzemes kopprodukta</w:t>
      </w:r>
      <w:r w:rsidRPr="00B13F77">
        <w:rPr>
          <w:rFonts w:eastAsia="Times New Roman" w:cs="Times New Roman"/>
          <w:szCs w:val="24"/>
        </w:rPr>
        <w:t xml:space="preserve"> izaugsmei. Izglītībai un zinātnei šeit ir galvenā nozīme.    </w:t>
      </w:r>
    </w:p>
    <w:p w14:paraId="031F7BCE" w14:textId="22934B21" w:rsidR="00B13F77" w:rsidRPr="00B13F77" w:rsidRDefault="00B13F77" w:rsidP="00B13F77">
      <w:pPr>
        <w:widowControl w:val="0"/>
        <w:rPr>
          <w:rFonts w:eastAsia="Times New Roman" w:cs="Times New Roman"/>
          <w:szCs w:val="24"/>
        </w:rPr>
      </w:pPr>
      <w:r w:rsidRPr="00B13F77">
        <w:rPr>
          <w:rFonts w:eastAsia="Times New Roman" w:cs="Times New Roman"/>
          <w:szCs w:val="24"/>
        </w:rPr>
        <w:t xml:space="preserve">Atbilstoši </w:t>
      </w:r>
      <w:r w:rsidRPr="00B13F77">
        <w:rPr>
          <w:rFonts w:eastAsia="Times New Roman" w:cs="Times New Roman"/>
          <w:i/>
          <w:szCs w:val="24"/>
        </w:rPr>
        <w:t xml:space="preserve">Eurostat </w:t>
      </w:r>
      <w:r w:rsidRPr="00B13F77">
        <w:rPr>
          <w:rFonts w:eastAsia="Times New Roman" w:cs="Times New Roman"/>
          <w:szCs w:val="24"/>
        </w:rPr>
        <w:t xml:space="preserve">COFOG vispārējās valdības sektora izdevumu klasifikācijas datiem finansējums izglītības jomā Latvijā (5,8% no </w:t>
      </w:r>
      <w:r w:rsidR="00B03690">
        <w:rPr>
          <w:rFonts w:eastAsia="Times New Roman" w:cs="Times New Roman"/>
          <w:szCs w:val="24"/>
        </w:rPr>
        <w:t>iekšzemes kopprodukta</w:t>
      </w:r>
      <w:r w:rsidRPr="00B13F77">
        <w:rPr>
          <w:rFonts w:eastAsia="Times New Roman" w:cs="Times New Roman"/>
          <w:szCs w:val="24"/>
        </w:rPr>
        <w:t xml:space="preserve"> pēc 2019. gada d</w:t>
      </w:r>
      <w:r w:rsidR="00B03690">
        <w:rPr>
          <w:rFonts w:eastAsia="Times New Roman" w:cs="Times New Roman"/>
          <w:szCs w:val="24"/>
        </w:rPr>
        <w:t>atiem) ir piektais augstākais Eiropas Savienībā, pārsniedzot gan Eiropas Savienības</w:t>
      </w:r>
      <w:r w:rsidRPr="00B13F77">
        <w:rPr>
          <w:rFonts w:eastAsia="Times New Roman" w:cs="Times New Roman"/>
          <w:szCs w:val="24"/>
        </w:rPr>
        <w:t xml:space="preserve"> vidējo rādītāju (4,7% no </w:t>
      </w:r>
      <w:r w:rsidR="00B03690">
        <w:rPr>
          <w:rFonts w:eastAsia="Times New Roman" w:cs="Times New Roman"/>
          <w:szCs w:val="24"/>
        </w:rPr>
        <w:t>iekšzemes kopprodukta</w:t>
      </w:r>
      <w:r w:rsidRPr="00B13F77">
        <w:rPr>
          <w:rFonts w:eastAsia="Times New Roman" w:cs="Times New Roman"/>
          <w:szCs w:val="24"/>
        </w:rPr>
        <w:t xml:space="preserve">), gan arī apsteidzot Lietuvu (4,6% no </w:t>
      </w:r>
      <w:r w:rsidR="00B03690">
        <w:rPr>
          <w:rFonts w:eastAsia="Times New Roman" w:cs="Times New Roman"/>
          <w:szCs w:val="24"/>
        </w:rPr>
        <w:t>iekšzemes kopprodukta</w:t>
      </w:r>
      <w:r w:rsidRPr="00B13F77">
        <w:rPr>
          <w:rFonts w:eastAsia="Times New Roman" w:cs="Times New Roman"/>
          <w:szCs w:val="24"/>
        </w:rPr>
        <w:t xml:space="preserve">), bet vienlaikus atpaliekot no Igaunijas (6,0% no </w:t>
      </w:r>
      <w:r w:rsidR="00B03690">
        <w:rPr>
          <w:rFonts w:eastAsia="Times New Roman" w:cs="Times New Roman"/>
          <w:szCs w:val="24"/>
        </w:rPr>
        <w:t>iekšzemes kopprodukta</w:t>
      </w:r>
      <w:r w:rsidRPr="00B13F77">
        <w:rPr>
          <w:rFonts w:eastAsia="Times New Roman" w:cs="Times New Roman"/>
          <w:szCs w:val="24"/>
        </w:rPr>
        <w:t>). Tas norāda uz to, ka finansējums izglītībai Latvijā ir adekvātā līmenī, bet ir jārisina jautājumi saistībā ar skolu tīkla optimizāciju un skolēnu skaita uz vienu pedagogu attiecības palielināšanu. Jāatzīmē, ka būtiska skolēnu skaita uz vienu pedagogu palielināšana, kā arī nozīmīga progresa sasniegšana skolu tīkla reorganizācijā nav iespējama īsā laika periodā, neapdraudot izglītības kvalitāti. Tādējādi viens no risinājumiem ir ieguldīt izglītības sistēmā papildu līdzekļus, lai celtu pedagogu atalgojumu, kas arī ir bijis viens</w:t>
      </w:r>
      <w:r w:rsidR="00B03690">
        <w:rPr>
          <w:rFonts w:eastAsia="Times New Roman" w:cs="Times New Roman"/>
          <w:szCs w:val="24"/>
        </w:rPr>
        <w:t xml:space="preserve"> no Ministru kabineta</w:t>
      </w:r>
      <w:r w:rsidRPr="00B13F77">
        <w:rPr>
          <w:rFonts w:eastAsia="Times New Roman" w:cs="Times New Roman"/>
          <w:szCs w:val="24"/>
        </w:rPr>
        <w:t xml:space="preserve"> lēmumiem iepriekšējā vidēja termiņa budžeta ietvara likumā un ir prioritāte arī šajā vidēja termiņa budžeta ietvara likumprojektā. Šogad atalgojuma palielināšana pedagogiem ir saistīta arī ar papildus darbu un emocionālo slodzi, ko radīja attālinātais mācību darbs un ko turpinās radīt Covid-19 drošības protokolu īstenošana izglītības iestādēs. </w:t>
      </w:r>
    </w:p>
    <w:p w14:paraId="54F28716" w14:textId="79BC7960" w:rsidR="00B13F77" w:rsidRPr="00B13F77" w:rsidRDefault="00B13F77" w:rsidP="00B03690">
      <w:pPr>
        <w:widowControl w:val="0"/>
        <w:rPr>
          <w:rFonts w:eastAsia="Times New Roman" w:cs="Times New Roman"/>
          <w:szCs w:val="24"/>
        </w:rPr>
      </w:pPr>
      <w:r w:rsidRPr="00B13F77">
        <w:rPr>
          <w:rFonts w:eastAsia="Times New Roman" w:cs="Times New Roman"/>
          <w:szCs w:val="24"/>
        </w:rPr>
        <w:t xml:space="preserve"> Likumprojektā “Par vidēja termiņa budžeta ietvaru 2022., 2</w:t>
      </w:r>
      <w:r w:rsidR="00B03690">
        <w:rPr>
          <w:rFonts w:eastAsia="Times New Roman" w:cs="Times New Roman"/>
          <w:szCs w:val="24"/>
        </w:rPr>
        <w:t>023. un 2024. gadam” viens no Ministru kabineta</w:t>
      </w:r>
      <w:r w:rsidRPr="00B13F77">
        <w:rPr>
          <w:rFonts w:eastAsia="Times New Roman" w:cs="Times New Roman"/>
          <w:szCs w:val="24"/>
        </w:rPr>
        <w:t xml:space="preserve"> lēmumiem vidējā termiņā ietver 15,2 milj. </w:t>
      </w:r>
      <w:r w:rsidRPr="00B13F77">
        <w:rPr>
          <w:rFonts w:eastAsia="Times New Roman" w:cs="Times New Roman"/>
          <w:i/>
          <w:szCs w:val="24"/>
        </w:rPr>
        <w:t>euro</w:t>
      </w:r>
      <w:r w:rsidRPr="00B13F77">
        <w:rPr>
          <w:rFonts w:eastAsia="Times New Roman" w:cs="Times New Roman"/>
          <w:szCs w:val="24"/>
        </w:rPr>
        <w:t xml:space="preserve"> piešķiršanu 2022.</w:t>
      </w:r>
      <w:r w:rsidR="00B03690">
        <w:rPr>
          <w:rFonts w:eastAsia="Times New Roman" w:cs="Times New Roman"/>
          <w:szCs w:val="24"/>
        </w:rPr>
        <w:t xml:space="preserve"> </w:t>
      </w:r>
      <w:r w:rsidRPr="00B13F77">
        <w:rPr>
          <w:rFonts w:eastAsia="Times New Roman" w:cs="Times New Roman"/>
          <w:szCs w:val="24"/>
        </w:rPr>
        <w:t xml:space="preserve">gadam un 45,6 milj. </w:t>
      </w:r>
      <w:r w:rsidRPr="00B13F77">
        <w:rPr>
          <w:rFonts w:eastAsia="Times New Roman" w:cs="Times New Roman"/>
          <w:i/>
          <w:iCs/>
          <w:szCs w:val="24"/>
        </w:rPr>
        <w:t>euro</w:t>
      </w:r>
      <w:r w:rsidRPr="00B13F77">
        <w:rPr>
          <w:rFonts w:eastAsia="Times New Roman" w:cs="Times New Roman"/>
          <w:szCs w:val="24"/>
        </w:rPr>
        <w:t xml:space="preserve"> turpmāk ik gadu pedagogu darba samaksas pieauguma grafika īstenošanai.</w:t>
      </w:r>
    </w:p>
    <w:p w14:paraId="0AA2B206" w14:textId="53C55936" w:rsidR="00B13F77" w:rsidRPr="00B13F77" w:rsidRDefault="00B13F77" w:rsidP="00B03690">
      <w:pPr>
        <w:widowControl w:val="0"/>
        <w:spacing w:before="240" w:after="240"/>
        <w:jc w:val="center"/>
        <w:rPr>
          <w:rFonts w:eastAsia="Times New Roman" w:cs="Times New Roman"/>
          <w:b/>
          <w:szCs w:val="24"/>
        </w:rPr>
      </w:pPr>
      <w:r w:rsidRPr="00B13F77">
        <w:rPr>
          <w:rFonts w:eastAsia="Times New Roman" w:cs="Times New Roman"/>
          <w:b/>
          <w:szCs w:val="24"/>
        </w:rPr>
        <w:t>Veselības aprūpes pakalpojumu uzlabošana, tai skaitā onkoloģijas jomā</w:t>
      </w:r>
    </w:p>
    <w:p w14:paraId="1E9434AC" w14:textId="4CA69A32" w:rsidR="00B13F77" w:rsidRPr="00B13F77" w:rsidRDefault="00B13F77" w:rsidP="00B13F77">
      <w:pPr>
        <w:widowControl w:val="0"/>
        <w:rPr>
          <w:rFonts w:eastAsia="Times New Roman" w:cs="Times New Roman"/>
          <w:bCs/>
          <w:szCs w:val="24"/>
        </w:rPr>
      </w:pPr>
      <w:r w:rsidRPr="00B13F77">
        <w:rPr>
          <w:rFonts w:eastAsia="Times New Roman" w:cs="Times New Roman"/>
          <w:bCs/>
          <w:szCs w:val="24"/>
        </w:rPr>
        <w:t xml:space="preserve">Par veselības nozares lomu potenciālā </w:t>
      </w:r>
      <w:r w:rsidR="00B03690">
        <w:rPr>
          <w:rFonts w:eastAsia="Times New Roman" w:cs="Times New Roman"/>
          <w:szCs w:val="24"/>
        </w:rPr>
        <w:t>iekšzemes kopprodukta</w:t>
      </w:r>
      <w:r w:rsidRPr="00B13F77">
        <w:rPr>
          <w:rFonts w:eastAsia="Times New Roman" w:cs="Times New Roman"/>
          <w:bCs/>
          <w:szCs w:val="24"/>
        </w:rPr>
        <w:t xml:space="preserve"> palielināšanā tika minēts sadaļā par atalgojuma pieaugumu ārstniecības personālam. Tomēr veselības pakalpojumu kvalitāte un pieejamība ir atkarīga ne tikai no pieejamiem cilvēkresursiem, bet arī no tehniskā </w:t>
      </w:r>
      <w:r w:rsidRPr="00B13F77">
        <w:rPr>
          <w:rFonts w:eastAsia="Times New Roman" w:cs="Times New Roman"/>
          <w:bCs/>
          <w:szCs w:val="24"/>
        </w:rPr>
        <w:lastRenderedPageBreak/>
        <w:t xml:space="preserve">nodrošinājuma un medikamentiem. </w:t>
      </w:r>
    </w:p>
    <w:p w14:paraId="36B56F92" w14:textId="77777777" w:rsidR="00B13F77" w:rsidRPr="00B13F77" w:rsidRDefault="00B13F77" w:rsidP="00B13F77">
      <w:pPr>
        <w:widowControl w:val="0"/>
        <w:rPr>
          <w:rFonts w:eastAsia="Times New Roman" w:cs="Times New Roman"/>
          <w:bCs/>
          <w:szCs w:val="24"/>
        </w:rPr>
      </w:pPr>
      <w:r w:rsidRPr="00B13F77">
        <w:rPr>
          <w:rFonts w:eastAsia="Times New Roman" w:cs="Times New Roman"/>
          <w:bCs/>
          <w:szCs w:val="24"/>
        </w:rPr>
        <w:t>Šajā vidēja termiņa budžeta ietvara likumprojektā tiek turpinātas investīcijas tehniskajā aprīkojumā un nodrošināts finansējuma palielinājums valsts apmaksātajiem medikamentiem un finansējums veselības pakalpojumu pieejamības palielināšanai, tai skaitā finansējums reto slimību ārstēšanai, palielinot to iedzīvotāju tvērumu, kuriem valsts apmaksās vakcinēšanos pret gripu, paliatīvās aprūpes pakalpojumu uzlabošanai, bet jo īpaši pakalpojumu kvalitātes un pieejamības uzlabošanai onkoloģijas slimībām.</w:t>
      </w:r>
    </w:p>
    <w:p w14:paraId="53C72554" w14:textId="375D8BA3" w:rsidR="00B13F77" w:rsidRPr="00B44836" w:rsidRDefault="00B13F77" w:rsidP="00B44836">
      <w:pPr>
        <w:widowControl w:val="0"/>
        <w:rPr>
          <w:rFonts w:eastAsia="Times New Roman" w:cs="Times New Roman"/>
          <w:bCs/>
          <w:szCs w:val="24"/>
        </w:rPr>
      </w:pPr>
      <w:r w:rsidRPr="00B13F77">
        <w:rPr>
          <w:rFonts w:eastAsia="Times New Roman" w:cs="Times New Roman"/>
          <w:szCs w:val="24"/>
        </w:rPr>
        <w:t>Likumprojektā “Par vidēja termiņa budžeta ietvaru 2022., 2023. un 2024. gad</w:t>
      </w:r>
      <w:r w:rsidR="00B03690">
        <w:rPr>
          <w:rFonts w:eastAsia="Times New Roman" w:cs="Times New Roman"/>
          <w:szCs w:val="24"/>
        </w:rPr>
        <w:t>am” Ministru kabinets</w:t>
      </w:r>
      <w:r w:rsidRPr="00B13F77">
        <w:rPr>
          <w:rFonts w:eastAsia="Times New Roman" w:cs="Times New Roman"/>
          <w:szCs w:val="24"/>
        </w:rPr>
        <w:t xml:space="preserve"> ir lēmis par 30,0 milj. </w:t>
      </w:r>
      <w:r w:rsidRPr="00B13F77">
        <w:rPr>
          <w:rFonts w:eastAsia="Times New Roman" w:cs="Times New Roman"/>
          <w:i/>
          <w:szCs w:val="24"/>
        </w:rPr>
        <w:t>euro</w:t>
      </w:r>
      <w:r w:rsidRPr="00B13F77">
        <w:rPr>
          <w:rFonts w:eastAsia="Times New Roman" w:cs="Times New Roman"/>
          <w:szCs w:val="24"/>
        </w:rPr>
        <w:t xml:space="preserve"> piešķiršanu 2022.</w:t>
      </w:r>
      <w:r w:rsidR="00B03690">
        <w:rPr>
          <w:rFonts w:eastAsia="Times New Roman" w:cs="Times New Roman"/>
          <w:szCs w:val="24"/>
        </w:rPr>
        <w:t xml:space="preserve"> </w:t>
      </w:r>
      <w:r w:rsidRPr="00B13F77">
        <w:rPr>
          <w:rFonts w:eastAsia="Times New Roman" w:cs="Times New Roman"/>
          <w:szCs w:val="24"/>
        </w:rPr>
        <w:t xml:space="preserve">gadam un turpmāk veselības aprūpes pakalpojumu onkoloģijas jomā uzlabošanai (kompensējamie medikamenti, aprīkojuma un iekārtu iegāde </w:t>
      </w:r>
      <w:r w:rsidR="00B03690" w:rsidRPr="00B03690">
        <w:rPr>
          <w:rFonts w:eastAsia="Times New Roman" w:cs="Times New Roman"/>
          <w:szCs w:val="24"/>
        </w:rPr>
        <w:t>Bērnu</w:t>
      </w:r>
      <w:r w:rsidR="00B44836">
        <w:rPr>
          <w:rFonts w:eastAsia="Times New Roman" w:cs="Times New Roman"/>
          <w:szCs w:val="24"/>
        </w:rPr>
        <w:t xml:space="preserve"> klīniskā universitātes slimnīcā</w:t>
      </w:r>
      <w:r w:rsidRPr="00B13F77">
        <w:rPr>
          <w:rFonts w:eastAsia="Times New Roman" w:cs="Times New Roman"/>
          <w:szCs w:val="24"/>
        </w:rPr>
        <w:t xml:space="preserve">, </w:t>
      </w:r>
      <w:r w:rsidR="00B44836" w:rsidRPr="00B44836">
        <w:rPr>
          <w:rFonts w:eastAsia="Times New Roman" w:cs="Times New Roman"/>
          <w:szCs w:val="24"/>
        </w:rPr>
        <w:t>Rīgas Austrumu</w:t>
      </w:r>
      <w:r w:rsidR="00B44836">
        <w:rPr>
          <w:rFonts w:eastAsia="Times New Roman" w:cs="Times New Roman"/>
          <w:szCs w:val="24"/>
        </w:rPr>
        <w:t xml:space="preserve"> klīniskā universitātes slimnīcā</w:t>
      </w:r>
      <w:r w:rsidRPr="00B13F77">
        <w:rPr>
          <w:rFonts w:eastAsia="Times New Roman" w:cs="Times New Roman"/>
          <w:szCs w:val="24"/>
        </w:rPr>
        <w:t xml:space="preserve">, </w:t>
      </w:r>
      <w:r w:rsidR="00B44836" w:rsidRPr="00B44836">
        <w:rPr>
          <w:rFonts w:eastAsia="Times New Roman" w:cs="Times New Roman"/>
          <w:szCs w:val="24"/>
        </w:rPr>
        <w:t>Paula Stradiņa</w:t>
      </w:r>
      <w:r w:rsidR="00B44836">
        <w:rPr>
          <w:rFonts w:eastAsia="Times New Roman" w:cs="Times New Roman"/>
          <w:szCs w:val="24"/>
        </w:rPr>
        <w:t xml:space="preserve"> Klīniskā universitātes slimnīcā</w:t>
      </w:r>
      <w:r w:rsidRPr="00B13F77">
        <w:rPr>
          <w:rFonts w:eastAsia="Times New Roman" w:cs="Times New Roman"/>
          <w:szCs w:val="24"/>
        </w:rPr>
        <w:t>).</w:t>
      </w:r>
      <w:r w:rsidR="00B44836">
        <w:rPr>
          <w:rFonts w:eastAsia="Times New Roman" w:cs="Times New Roman"/>
          <w:bCs/>
          <w:szCs w:val="24"/>
        </w:rPr>
        <w:t xml:space="preserve">     </w:t>
      </w:r>
    </w:p>
    <w:p w14:paraId="2299B240" w14:textId="36C31814" w:rsidR="00B13F77" w:rsidRPr="00B13F77" w:rsidRDefault="00B13F77" w:rsidP="00B44836">
      <w:pPr>
        <w:widowControl w:val="0"/>
        <w:spacing w:before="240" w:after="240"/>
        <w:jc w:val="center"/>
        <w:rPr>
          <w:rFonts w:eastAsia="Times New Roman" w:cs="Times New Roman"/>
          <w:b/>
          <w:szCs w:val="24"/>
        </w:rPr>
      </w:pPr>
      <w:r w:rsidRPr="00B13F77">
        <w:rPr>
          <w:rFonts w:eastAsia="Times New Roman" w:cs="Times New Roman"/>
          <w:b/>
          <w:szCs w:val="24"/>
        </w:rPr>
        <w:t>Valsts inovatīvā potenciāla stiprināšana, palielinot zinātnes bāzes finansējumu un finansējumu fundamentālajiem un lietišķajiem pētījumiem</w:t>
      </w:r>
    </w:p>
    <w:p w14:paraId="7D5804C2" w14:textId="2259F704" w:rsidR="00B13F77" w:rsidRPr="00B13F77" w:rsidRDefault="00B13F77" w:rsidP="00B13F77">
      <w:pPr>
        <w:widowControl w:val="0"/>
        <w:rPr>
          <w:rFonts w:eastAsia="Times New Roman" w:cs="Times New Roman"/>
          <w:szCs w:val="24"/>
        </w:rPr>
      </w:pPr>
      <w:r w:rsidRPr="00B13F77">
        <w:rPr>
          <w:rFonts w:eastAsia="Times New Roman" w:cs="Times New Roman"/>
          <w:szCs w:val="24"/>
        </w:rPr>
        <w:t xml:space="preserve">Kā jau tika minēts  iepriekš, izglītībai un zinātnei </w:t>
      </w:r>
      <w:r w:rsidR="00B44836">
        <w:rPr>
          <w:rFonts w:eastAsia="Times New Roman" w:cs="Times New Roman"/>
          <w:szCs w:val="24"/>
        </w:rPr>
        <w:t>ir galvenā nozīme potenciālā iekšzemes kopprodukta</w:t>
      </w:r>
      <w:r w:rsidRPr="00B13F77">
        <w:rPr>
          <w:rFonts w:eastAsia="Times New Roman" w:cs="Times New Roman"/>
          <w:szCs w:val="24"/>
        </w:rPr>
        <w:t xml:space="preserve"> palielināšanā. Ņemot vērā ierobežojumus darbaspēka apjomā, kopējo faktoru produktivitātes paaugstināšana Latvijas apstākļos ir galvenais faktors potenciālā </w:t>
      </w:r>
      <w:r w:rsidR="00B44836">
        <w:rPr>
          <w:rFonts w:eastAsia="Times New Roman" w:cs="Times New Roman"/>
          <w:szCs w:val="24"/>
        </w:rPr>
        <w:t>iekšzemes kopprodukta</w:t>
      </w:r>
      <w:r w:rsidRPr="00B13F77">
        <w:rPr>
          <w:rFonts w:eastAsia="Times New Roman" w:cs="Times New Roman"/>
          <w:szCs w:val="24"/>
        </w:rPr>
        <w:t xml:space="preserve"> izaugsmē. Latvijas iedzīvotāju zināšanas, prasmes un spēja būt inovatīviem un apstākļu izveide iespējai inovatīvās idejas īstenot dzīvē ir tie priekšnoteikumi, kas nepieciešami potenciālā </w:t>
      </w:r>
      <w:r w:rsidR="00B44836">
        <w:rPr>
          <w:rFonts w:eastAsia="Times New Roman" w:cs="Times New Roman"/>
          <w:szCs w:val="24"/>
        </w:rPr>
        <w:t>iekšzemes kopprodukta</w:t>
      </w:r>
      <w:r w:rsidRPr="00B13F77">
        <w:rPr>
          <w:rFonts w:eastAsia="Times New Roman" w:cs="Times New Roman"/>
          <w:szCs w:val="24"/>
        </w:rPr>
        <w:t xml:space="preserve"> izaugsmei.</w:t>
      </w:r>
    </w:p>
    <w:p w14:paraId="34BB7991" w14:textId="4AB1E1B7" w:rsidR="00B13F77" w:rsidRPr="00B13F77" w:rsidRDefault="00B13F77" w:rsidP="00B13F77">
      <w:pPr>
        <w:widowControl w:val="0"/>
        <w:rPr>
          <w:rFonts w:eastAsia="Times New Roman" w:cs="Times New Roman"/>
          <w:szCs w:val="24"/>
        </w:rPr>
      </w:pPr>
      <w:r w:rsidRPr="00B13F77">
        <w:rPr>
          <w:rFonts w:eastAsia="Times New Roman" w:cs="Times New Roman"/>
          <w:szCs w:val="24"/>
        </w:rPr>
        <w:t xml:space="preserve"> Latvijā ieguldīju</w:t>
      </w:r>
      <w:r w:rsidR="00B44836">
        <w:rPr>
          <w:rFonts w:eastAsia="Times New Roman" w:cs="Times New Roman"/>
          <w:szCs w:val="24"/>
        </w:rPr>
        <w:t>mi pētniecībā un attīstībā</w:t>
      </w:r>
      <w:r w:rsidRPr="00B13F77">
        <w:rPr>
          <w:rFonts w:eastAsia="Times New Roman" w:cs="Times New Roman"/>
          <w:szCs w:val="24"/>
        </w:rPr>
        <w:t xml:space="preserve"> 201</w:t>
      </w:r>
      <w:r w:rsidR="00B44836">
        <w:rPr>
          <w:rFonts w:eastAsia="Times New Roman" w:cs="Times New Roman"/>
          <w:szCs w:val="24"/>
        </w:rPr>
        <w:t>9. gadā bija ceturtie zemākie Eiropas Savienībā</w:t>
      </w:r>
      <w:r w:rsidRPr="00B13F77">
        <w:rPr>
          <w:rFonts w:eastAsia="Times New Roman" w:cs="Times New Roman"/>
          <w:szCs w:val="24"/>
        </w:rPr>
        <w:t xml:space="preserve">. Latvijas kopējie izdevumi </w:t>
      </w:r>
      <w:r w:rsidR="00B44836">
        <w:rPr>
          <w:rFonts w:eastAsia="Times New Roman" w:cs="Times New Roman"/>
          <w:szCs w:val="24"/>
        </w:rPr>
        <w:t>pētniecībā un attīstībā</w:t>
      </w:r>
      <w:r w:rsidR="00B44836" w:rsidRPr="00B13F77">
        <w:rPr>
          <w:rFonts w:eastAsia="Times New Roman" w:cs="Times New Roman"/>
          <w:szCs w:val="24"/>
        </w:rPr>
        <w:t xml:space="preserve"> </w:t>
      </w:r>
      <w:r w:rsidRPr="00B13F77">
        <w:rPr>
          <w:rFonts w:eastAsia="Times New Roman" w:cs="Times New Roman"/>
          <w:szCs w:val="24"/>
        </w:rPr>
        <w:t>2019.</w:t>
      </w:r>
      <w:r w:rsidR="00B44836">
        <w:rPr>
          <w:rFonts w:eastAsia="Times New Roman" w:cs="Times New Roman"/>
          <w:szCs w:val="24"/>
        </w:rPr>
        <w:t xml:space="preserve"> </w:t>
      </w:r>
      <w:r w:rsidRPr="00B13F77">
        <w:rPr>
          <w:rFonts w:eastAsia="Times New Roman" w:cs="Times New Roman"/>
          <w:szCs w:val="24"/>
        </w:rPr>
        <w:t xml:space="preserve">gadā bija 0,64% no </w:t>
      </w:r>
      <w:r w:rsidR="00B44836">
        <w:rPr>
          <w:rFonts w:eastAsia="Times New Roman" w:cs="Times New Roman"/>
          <w:szCs w:val="24"/>
        </w:rPr>
        <w:t>iekšzemes kopprodukta</w:t>
      </w:r>
      <w:r w:rsidRPr="00B13F77">
        <w:rPr>
          <w:rFonts w:eastAsia="Times New Roman" w:cs="Times New Roman"/>
          <w:szCs w:val="24"/>
        </w:rPr>
        <w:t xml:space="preserve">. </w:t>
      </w:r>
    </w:p>
    <w:tbl>
      <w:tblPr>
        <w:tblStyle w:val="PlainTable411"/>
        <w:tblW w:w="8648" w:type="dxa"/>
        <w:tblLayout w:type="fixed"/>
        <w:tblLook w:val="04A0" w:firstRow="1" w:lastRow="0" w:firstColumn="1" w:lastColumn="0" w:noHBand="0" w:noVBand="1"/>
      </w:tblPr>
      <w:tblGrid>
        <w:gridCol w:w="4395"/>
        <w:gridCol w:w="4253"/>
      </w:tblGrid>
      <w:tr w:rsidR="00B13F77" w:rsidRPr="00B13F77" w14:paraId="474DF984" w14:textId="77777777" w:rsidTr="009342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17338985" w14:textId="77777777" w:rsidR="00B13F77" w:rsidRPr="00B13F77" w:rsidRDefault="00B13F77" w:rsidP="00B243D9">
            <w:pPr>
              <w:spacing w:before="240"/>
              <w:ind w:right="-113" w:firstLine="0"/>
              <w:rPr>
                <w:rFonts w:eastAsia="Calibri" w:cs="Times New Roman"/>
                <w:szCs w:val="24"/>
              </w:rPr>
            </w:pPr>
            <w:bookmarkStart w:id="62" w:name="_Hlk70312708"/>
          </w:p>
        </w:tc>
        <w:tc>
          <w:tcPr>
            <w:tcW w:w="4253" w:type="dxa"/>
            <w:vAlign w:val="center"/>
          </w:tcPr>
          <w:p w14:paraId="2F2F5EA0" w14:textId="77777777" w:rsidR="00B13F77" w:rsidRPr="00B13F77" w:rsidRDefault="00B13F77" w:rsidP="00B13F77">
            <w:pPr>
              <w:spacing w:before="240"/>
              <w:ind w:left="-113" w:right="-113"/>
              <w:jc w:val="center"/>
              <w:cnfStyle w:val="100000000000" w:firstRow="1" w:lastRow="0" w:firstColumn="0" w:lastColumn="0" w:oddVBand="0" w:evenVBand="0" w:oddHBand="0" w:evenHBand="0" w:firstRowFirstColumn="0" w:firstRowLastColumn="0" w:lastRowFirstColumn="0" w:lastRowLastColumn="0"/>
              <w:rPr>
                <w:rFonts w:eastAsia="Calibri" w:cs="Times New Roman"/>
                <w:szCs w:val="24"/>
              </w:rPr>
            </w:pPr>
          </w:p>
        </w:tc>
      </w:tr>
      <w:tr w:rsidR="00B13F77" w:rsidRPr="00B13F77" w14:paraId="2CC73436" w14:textId="77777777" w:rsidTr="009342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auto"/>
          </w:tcPr>
          <w:p w14:paraId="156A0B2E" w14:textId="77777777" w:rsidR="00B13F77" w:rsidRPr="00B13F77" w:rsidRDefault="00B13F77" w:rsidP="00934208">
            <w:pPr>
              <w:tabs>
                <w:tab w:val="left" w:pos="4962"/>
              </w:tabs>
              <w:ind w:right="-113" w:firstLine="34"/>
              <w:rPr>
                <w:rFonts w:eastAsia="Calibri" w:cs="Times New Roman"/>
                <w:szCs w:val="24"/>
              </w:rPr>
            </w:pPr>
            <w:r w:rsidRPr="00B13F77">
              <w:rPr>
                <w:rFonts w:cs="Times New Roman"/>
                <w:noProof/>
                <w:szCs w:val="24"/>
              </w:rPr>
              <w:drawing>
                <wp:inline distT="0" distB="0" distL="0" distR="0" wp14:anchorId="6ED58D61" wp14:editId="31AFCE94">
                  <wp:extent cx="3013364" cy="1787237"/>
                  <wp:effectExtent l="0" t="0" r="0" b="3810"/>
                  <wp:docPr id="2049"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c>
          <w:tcPr>
            <w:tcW w:w="4253" w:type="dxa"/>
            <w:shd w:val="clear" w:color="auto" w:fill="auto"/>
          </w:tcPr>
          <w:p w14:paraId="203BAF77" w14:textId="77777777" w:rsidR="00B13F77" w:rsidRPr="00B13F77" w:rsidRDefault="00B13F77" w:rsidP="00B13F77">
            <w:pPr>
              <w:ind w:left="-113" w:right="-113"/>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B13F77">
              <w:rPr>
                <w:rFonts w:cs="Times New Roman"/>
                <w:noProof/>
                <w:szCs w:val="24"/>
              </w:rPr>
              <w:drawing>
                <wp:inline distT="0" distB="0" distL="0" distR="0" wp14:anchorId="69A9D848" wp14:editId="33DB3566">
                  <wp:extent cx="2635250" cy="1799590"/>
                  <wp:effectExtent l="0" t="0" r="0" b="0"/>
                  <wp:docPr id="240"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c>
      </w:tr>
    </w:tbl>
    <w:bookmarkEnd w:id="62"/>
    <w:p w14:paraId="2CA3098F" w14:textId="77777777" w:rsidR="00B243D9" w:rsidRDefault="00B44836" w:rsidP="00B243D9">
      <w:pPr>
        <w:widowControl w:val="0"/>
        <w:spacing w:after="0"/>
        <w:ind w:left="5245" w:hanging="5245"/>
        <w:jc w:val="left"/>
        <w:rPr>
          <w:rFonts w:eastAsia="Calibri" w:cs="Times New Roman"/>
          <w:b/>
          <w:bCs/>
          <w:iCs/>
          <w:color w:val="000000"/>
          <w:spacing w:val="-8"/>
          <w:szCs w:val="24"/>
          <w:lang w:bidi="lo-LA"/>
        </w:rPr>
      </w:pPr>
      <w:r w:rsidRPr="00934208">
        <w:rPr>
          <w:rFonts w:eastAsia="Times New Roman" w:cs="Times New Roman"/>
          <w:b/>
          <w:bCs/>
          <w:iCs/>
          <w:szCs w:val="24"/>
        </w:rPr>
        <w:t>2.1.</w:t>
      </w:r>
      <w:r w:rsidR="00B13F77" w:rsidRPr="00934208">
        <w:rPr>
          <w:rFonts w:eastAsia="Times New Roman" w:cs="Times New Roman"/>
          <w:b/>
          <w:bCs/>
          <w:iCs/>
          <w:szCs w:val="24"/>
        </w:rPr>
        <w:t xml:space="preserve"> att. </w:t>
      </w:r>
      <w:r w:rsidR="00B13F77" w:rsidRPr="00934208">
        <w:rPr>
          <w:rFonts w:eastAsia="Calibri" w:cs="Times New Roman"/>
          <w:b/>
          <w:bCs/>
          <w:iCs/>
          <w:color w:val="000000"/>
          <w:spacing w:val="-8"/>
          <w:szCs w:val="24"/>
          <w:lang w:bidi="lo-LA"/>
        </w:rPr>
        <w:t>Ieguldījumi pētniecībā un attīstībā,</w:t>
      </w:r>
    </w:p>
    <w:p w14:paraId="46C805CC" w14:textId="3A9DE2B7" w:rsidR="00B243D9" w:rsidRPr="00934208" w:rsidRDefault="00B243D9" w:rsidP="00B243D9">
      <w:pPr>
        <w:widowControl w:val="0"/>
        <w:spacing w:after="0"/>
        <w:ind w:left="5245" w:hanging="5245"/>
        <w:jc w:val="center"/>
        <w:rPr>
          <w:rFonts w:eastAsia="Calibri" w:cs="Times New Roman"/>
          <w:b/>
          <w:bCs/>
          <w:iCs/>
          <w:color w:val="000000"/>
          <w:spacing w:val="-8"/>
          <w:szCs w:val="24"/>
          <w:lang w:bidi="lo-LA"/>
        </w:rPr>
      </w:pPr>
      <w:r w:rsidRPr="00934208">
        <w:rPr>
          <w:rFonts w:eastAsia="Calibri" w:cs="Times New Roman"/>
          <w:b/>
          <w:bCs/>
          <w:iCs/>
          <w:color w:val="000000"/>
          <w:spacing w:val="-8"/>
          <w:szCs w:val="24"/>
          <w:lang w:bidi="lo-LA"/>
        </w:rPr>
        <w:t>(% no iek</w:t>
      </w:r>
      <w:r>
        <w:rPr>
          <w:rFonts w:eastAsia="Calibri" w:cs="Times New Roman"/>
          <w:b/>
          <w:bCs/>
          <w:iCs/>
          <w:color w:val="000000"/>
          <w:spacing w:val="-8"/>
          <w:szCs w:val="24"/>
          <w:lang w:bidi="lo-LA"/>
        </w:rPr>
        <w:t xml:space="preserve">šzemes kopprodukta) </w:t>
      </w:r>
      <w:r>
        <w:rPr>
          <w:rFonts w:eastAsia="Calibri" w:cs="Times New Roman"/>
          <w:b/>
          <w:bCs/>
          <w:iCs/>
          <w:color w:val="000000"/>
          <w:spacing w:val="-8"/>
          <w:szCs w:val="24"/>
          <w:lang w:bidi="lo-LA"/>
        </w:rPr>
        <w:tab/>
      </w:r>
      <w:r w:rsidRPr="00934208">
        <w:rPr>
          <w:rFonts w:eastAsia="Calibri" w:cs="Times New Roman"/>
          <w:b/>
          <w:bCs/>
          <w:iCs/>
          <w:color w:val="000000"/>
          <w:spacing w:val="-8"/>
          <w:szCs w:val="24"/>
          <w:lang w:bidi="lo-LA"/>
        </w:rPr>
        <w:t>2.2. att. Privātā sektora ieguldījumi pētniecībā un attīstībā (%</w:t>
      </w:r>
      <w:r>
        <w:rPr>
          <w:rFonts w:eastAsia="Calibri" w:cs="Times New Roman"/>
          <w:b/>
          <w:bCs/>
          <w:iCs/>
          <w:color w:val="000000"/>
          <w:spacing w:val="-8"/>
          <w:szCs w:val="24"/>
          <w:lang w:bidi="lo-LA"/>
        </w:rPr>
        <w:t xml:space="preserve"> no kopējiem ieguldījumiem </w:t>
      </w:r>
      <w:r w:rsidRPr="00934208">
        <w:rPr>
          <w:rFonts w:eastAsia="Calibri" w:cs="Times New Roman"/>
          <w:b/>
          <w:bCs/>
          <w:iCs/>
          <w:color w:val="000000"/>
          <w:spacing w:val="-8"/>
          <w:szCs w:val="24"/>
          <w:lang w:bidi="lo-LA"/>
        </w:rPr>
        <w:t>pētniecībā un attīstībā</w:t>
      </w:r>
      <w:r>
        <w:rPr>
          <w:rFonts w:eastAsia="Calibri" w:cs="Times New Roman"/>
          <w:b/>
          <w:bCs/>
          <w:iCs/>
          <w:color w:val="000000"/>
          <w:spacing w:val="-8"/>
          <w:szCs w:val="24"/>
          <w:lang w:bidi="lo-LA"/>
        </w:rPr>
        <w:t>)</w:t>
      </w:r>
    </w:p>
    <w:p w14:paraId="68684E9A" w14:textId="3C2A7111" w:rsidR="00B243D9" w:rsidRDefault="00B243D9" w:rsidP="00B243D9">
      <w:pPr>
        <w:widowControl w:val="0"/>
        <w:spacing w:after="0"/>
        <w:ind w:left="5245" w:hanging="5245"/>
        <w:jc w:val="left"/>
        <w:rPr>
          <w:rFonts w:eastAsia="Calibri" w:cs="Times New Roman"/>
          <w:b/>
          <w:bCs/>
          <w:iCs/>
          <w:color w:val="000000"/>
          <w:spacing w:val="-8"/>
          <w:szCs w:val="24"/>
          <w:lang w:bidi="lo-LA"/>
        </w:rPr>
      </w:pPr>
    </w:p>
    <w:p w14:paraId="75A2CAD6" w14:textId="583FB963" w:rsidR="00934208" w:rsidRPr="00934208" w:rsidRDefault="00B243D9" w:rsidP="00B243D9">
      <w:pPr>
        <w:widowControl w:val="0"/>
        <w:spacing w:after="0"/>
        <w:ind w:left="5245" w:hanging="5245"/>
        <w:jc w:val="left"/>
        <w:rPr>
          <w:rFonts w:eastAsia="Calibri" w:cs="Times New Roman"/>
          <w:b/>
          <w:bCs/>
          <w:iCs/>
          <w:color w:val="000000"/>
          <w:spacing w:val="-8"/>
          <w:szCs w:val="24"/>
          <w:lang w:bidi="lo-LA"/>
        </w:rPr>
      </w:pPr>
      <w:r>
        <w:rPr>
          <w:rFonts w:eastAsia="Calibri" w:cs="Times New Roman"/>
          <w:b/>
          <w:bCs/>
          <w:iCs/>
          <w:color w:val="000000"/>
          <w:spacing w:val="-8"/>
          <w:szCs w:val="24"/>
          <w:lang w:bidi="lo-LA"/>
        </w:rPr>
        <w:t xml:space="preserve">                    </w:t>
      </w:r>
    </w:p>
    <w:p w14:paraId="4C5FA071" w14:textId="74455D62" w:rsidR="00B13F77" w:rsidRPr="00B13F77" w:rsidRDefault="00934208" w:rsidP="00B243D9">
      <w:pPr>
        <w:widowControl w:val="0"/>
        <w:spacing w:after="0"/>
        <w:ind w:left="5387" w:hanging="5387"/>
        <w:jc w:val="center"/>
        <w:rPr>
          <w:rFonts w:eastAsia="Calibri" w:cs="Times New Roman"/>
          <w:b/>
          <w:bCs/>
          <w:i/>
          <w:iCs/>
          <w:color w:val="000000"/>
          <w:spacing w:val="-8"/>
          <w:szCs w:val="24"/>
          <w:lang w:bidi="lo-LA"/>
        </w:rPr>
      </w:pPr>
      <w:r w:rsidRPr="00934208">
        <w:rPr>
          <w:rFonts w:eastAsia="Calibri" w:cs="Times New Roman"/>
          <w:b/>
          <w:bCs/>
          <w:iCs/>
          <w:color w:val="000000"/>
          <w:spacing w:val="-8"/>
          <w:szCs w:val="24"/>
          <w:lang w:bidi="lo-LA"/>
        </w:rPr>
        <w:tab/>
      </w:r>
    </w:p>
    <w:p w14:paraId="0B9ADA22" w14:textId="77777777" w:rsidR="00B13F77" w:rsidRPr="00B13F77" w:rsidRDefault="00B13F77" w:rsidP="00B13F77">
      <w:pPr>
        <w:widowControl w:val="0"/>
        <w:rPr>
          <w:rFonts w:eastAsia="Times New Roman" w:cs="Times New Roman"/>
          <w:szCs w:val="24"/>
        </w:rPr>
      </w:pPr>
    </w:p>
    <w:p w14:paraId="4EAEFDFA" w14:textId="0C68EF22" w:rsidR="00B13F77" w:rsidRPr="00B13F77" w:rsidRDefault="00934208" w:rsidP="00B13F77">
      <w:pPr>
        <w:widowControl w:val="0"/>
        <w:rPr>
          <w:rFonts w:eastAsia="Times New Roman" w:cs="Times New Roman"/>
          <w:szCs w:val="24"/>
        </w:rPr>
      </w:pPr>
      <w:r>
        <w:rPr>
          <w:rFonts w:eastAsia="Times New Roman" w:cs="Times New Roman"/>
          <w:szCs w:val="24"/>
        </w:rPr>
        <w:lastRenderedPageBreak/>
        <w:t>Pētniecības un attīstības</w:t>
      </w:r>
      <w:r w:rsidRPr="00934208">
        <w:rPr>
          <w:rFonts w:eastAsia="Times New Roman" w:cs="Times New Roman"/>
          <w:szCs w:val="24"/>
        </w:rPr>
        <w:t xml:space="preserve"> </w:t>
      </w:r>
      <w:r w:rsidR="00B13F77" w:rsidRPr="00B13F77">
        <w:rPr>
          <w:rFonts w:eastAsia="Times New Roman" w:cs="Times New Roman"/>
          <w:szCs w:val="24"/>
        </w:rPr>
        <w:t>kopējais finansējums pēdējos desmit gados (2011.</w:t>
      </w:r>
      <w:r>
        <w:rPr>
          <w:rFonts w:eastAsia="Times New Roman" w:cs="Times New Roman"/>
          <w:szCs w:val="24"/>
        </w:rPr>
        <w:t xml:space="preserve">-2019.) sasniedza vidēji 74 </w:t>
      </w:r>
      <w:r w:rsidRPr="00934208">
        <w:rPr>
          <w:rFonts w:eastAsia="Times New Roman" w:cs="Times New Roman"/>
          <w:i/>
          <w:szCs w:val="24"/>
        </w:rPr>
        <w:t>euro</w:t>
      </w:r>
      <w:r w:rsidR="00B13F77" w:rsidRPr="00B13F77">
        <w:rPr>
          <w:rFonts w:eastAsia="Times New Roman" w:cs="Times New Roman"/>
          <w:szCs w:val="24"/>
        </w:rPr>
        <w:t xml:space="preserve"> uz vienu ied</w:t>
      </w:r>
      <w:r w:rsidR="000A284A">
        <w:rPr>
          <w:rFonts w:eastAsia="Times New Roman" w:cs="Times New Roman"/>
          <w:szCs w:val="24"/>
        </w:rPr>
        <w:t xml:space="preserve">zīvotāju, kas ir tikai 13% no Eiropas Savienības vidējā rādītāja (582 </w:t>
      </w:r>
      <w:r w:rsidR="000A284A" w:rsidRPr="000A284A">
        <w:rPr>
          <w:rFonts w:eastAsia="Times New Roman" w:cs="Times New Roman"/>
          <w:i/>
          <w:szCs w:val="24"/>
        </w:rPr>
        <w:t>euro</w:t>
      </w:r>
      <w:r w:rsidR="00B13F77" w:rsidRPr="00B13F77">
        <w:rPr>
          <w:rFonts w:eastAsia="Times New Roman" w:cs="Times New Roman"/>
          <w:szCs w:val="24"/>
        </w:rPr>
        <w:t xml:space="preserve"> uz vienu iedzīvotāju). Pēc šī rādītāj</w:t>
      </w:r>
      <w:r w:rsidR="000A284A">
        <w:rPr>
          <w:rFonts w:eastAsia="Times New Roman" w:cs="Times New Roman"/>
          <w:szCs w:val="24"/>
        </w:rPr>
        <w:t>a Latvija atpaliek no vairuma Eiropas Savienības</w:t>
      </w:r>
      <w:r w:rsidR="00B13F77" w:rsidRPr="00B13F77">
        <w:rPr>
          <w:rFonts w:eastAsia="Times New Roman" w:cs="Times New Roman"/>
          <w:szCs w:val="24"/>
        </w:rPr>
        <w:t xml:space="preserve"> dalībvalstīm, kā arī no Baltijas kaimiņvalstīm Lietuvas un Igaunijas.</w:t>
      </w:r>
    </w:p>
    <w:p w14:paraId="2A523F6E" w14:textId="794D9F30" w:rsidR="00B13F77" w:rsidRPr="00B13F77" w:rsidRDefault="00B13F77" w:rsidP="00B13F77">
      <w:pPr>
        <w:widowControl w:val="0"/>
        <w:rPr>
          <w:rFonts w:eastAsia="Times New Roman" w:cs="Times New Roman"/>
          <w:szCs w:val="24"/>
        </w:rPr>
      </w:pPr>
      <w:r w:rsidRPr="00B13F77">
        <w:rPr>
          <w:rFonts w:eastAsia="Times New Roman" w:cs="Times New Roman"/>
          <w:szCs w:val="24"/>
        </w:rPr>
        <w:t xml:space="preserve">Privātā sektora finansējums ir neliels - aptuveni ¼ daļa no kopējiem ieguldījumiem </w:t>
      </w:r>
      <w:r w:rsidR="00934208">
        <w:rPr>
          <w:rFonts w:eastAsia="Times New Roman" w:cs="Times New Roman"/>
          <w:szCs w:val="24"/>
        </w:rPr>
        <w:t>pētniecībā un attīstībā</w:t>
      </w:r>
      <w:r w:rsidRPr="00B13F77">
        <w:rPr>
          <w:rFonts w:eastAsia="Times New Roman" w:cs="Times New Roman"/>
          <w:szCs w:val="24"/>
        </w:rPr>
        <w:t xml:space="preserve"> (0,2% no </w:t>
      </w:r>
      <w:r w:rsidR="000A284A">
        <w:rPr>
          <w:rFonts w:eastAsia="Times New Roman" w:cs="Times New Roman"/>
          <w:szCs w:val="24"/>
        </w:rPr>
        <w:t>iekšzemes kopprodukta</w:t>
      </w:r>
      <w:r w:rsidRPr="00B13F77">
        <w:rPr>
          <w:rFonts w:eastAsia="Times New Roman" w:cs="Times New Roman"/>
          <w:szCs w:val="24"/>
        </w:rPr>
        <w:t xml:space="preserve">), kas ir </w:t>
      </w:r>
      <w:r w:rsidR="002020BD">
        <w:rPr>
          <w:rFonts w:eastAsia="Times New Roman" w:cs="Times New Roman"/>
          <w:szCs w:val="24"/>
        </w:rPr>
        <w:t>ievērojami zemāks nekā vidēji Eiropas Savienībā</w:t>
      </w:r>
      <w:r w:rsidRPr="00B13F77">
        <w:rPr>
          <w:rFonts w:eastAsia="Times New Roman" w:cs="Times New Roman"/>
          <w:szCs w:val="24"/>
        </w:rPr>
        <w:t xml:space="preserve"> (1,4</w:t>
      </w:r>
      <w:r w:rsidR="002020BD">
        <w:rPr>
          <w:rFonts w:eastAsia="Times New Roman" w:cs="Times New Roman"/>
          <w:szCs w:val="24"/>
        </w:rPr>
        <w:t>% no iekšzemes kopprodukta</w:t>
      </w:r>
      <w:r w:rsidRPr="00B13F77">
        <w:rPr>
          <w:rFonts w:eastAsia="Times New Roman" w:cs="Times New Roman"/>
          <w:szCs w:val="24"/>
        </w:rPr>
        <w:t>), kur uzņēmēji nodrošin</w:t>
      </w:r>
      <w:r w:rsidR="002020BD">
        <w:rPr>
          <w:rFonts w:eastAsia="Times New Roman" w:cs="Times New Roman"/>
          <w:szCs w:val="24"/>
        </w:rPr>
        <w:t>a vairāk nekā pusi no kopējā pētniecības un attīstības</w:t>
      </w:r>
      <w:r w:rsidRPr="00B13F77">
        <w:rPr>
          <w:rFonts w:eastAsia="Times New Roman" w:cs="Times New Roman"/>
          <w:szCs w:val="24"/>
        </w:rPr>
        <w:t xml:space="preserve"> ieguldījumu finansējuma. Ilgtermiņa skatījumā uzņēmumu ieguldījumu </w:t>
      </w:r>
      <w:r w:rsidR="002020BD">
        <w:rPr>
          <w:rFonts w:eastAsia="Times New Roman" w:cs="Times New Roman"/>
          <w:szCs w:val="24"/>
        </w:rPr>
        <w:t>pētniecībā un attīstībā</w:t>
      </w:r>
      <w:r w:rsidR="002020BD" w:rsidRPr="00B13F77">
        <w:rPr>
          <w:rFonts w:eastAsia="Times New Roman" w:cs="Times New Roman"/>
          <w:szCs w:val="24"/>
        </w:rPr>
        <w:t xml:space="preserve"> </w:t>
      </w:r>
      <w:r w:rsidRPr="00B13F77">
        <w:rPr>
          <w:rFonts w:eastAsia="Times New Roman" w:cs="Times New Roman"/>
          <w:szCs w:val="24"/>
        </w:rPr>
        <w:t xml:space="preserve">līmenis nav pieaudzis. </w:t>
      </w:r>
    </w:p>
    <w:p w14:paraId="3058301C" w14:textId="2BC6A450" w:rsidR="00B13F77" w:rsidRPr="00B13F77" w:rsidRDefault="00B13F77" w:rsidP="00B13F77">
      <w:pPr>
        <w:widowControl w:val="0"/>
        <w:rPr>
          <w:rFonts w:eastAsia="Times New Roman" w:cs="Times New Roman"/>
          <w:szCs w:val="24"/>
        </w:rPr>
      </w:pPr>
      <w:r w:rsidRPr="00B13F77">
        <w:rPr>
          <w:rFonts w:eastAsia="Times New Roman" w:cs="Times New Roman"/>
          <w:szCs w:val="24"/>
        </w:rPr>
        <w:t>Valsts inovatīvā potenciāla kāpināšana 2022.-2024.</w:t>
      </w:r>
      <w:r w:rsidR="002020BD">
        <w:rPr>
          <w:rFonts w:eastAsia="Times New Roman" w:cs="Times New Roman"/>
          <w:szCs w:val="24"/>
        </w:rPr>
        <w:t xml:space="preserve"> </w:t>
      </w:r>
      <w:r w:rsidRPr="00B13F77">
        <w:rPr>
          <w:rFonts w:eastAsia="Times New Roman" w:cs="Times New Roman"/>
          <w:szCs w:val="24"/>
        </w:rPr>
        <w:t>gadā ir nozīmīga ne tikai kā galvenais faktors</w:t>
      </w:r>
      <w:r w:rsidR="002020BD">
        <w:rPr>
          <w:rFonts w:eastAsia="Times New Roman" w:cs="Times New Roman"/>
          <w:szCs w:val="24"/>
        </w:rPr>
        <w:t xml:space="preserve"> potenciālā iekšzemes kopprodukta</w:t>
      </w:r>
      <w:r w:rsidRPr="00B13F77">
        <w:rPr>
          <w:rFonts w:eastAsia="Times New Roman" w:cs="Times New Roman"/>
          <w:szCs w:val="24"/>
        </w:rPr>
        <w:t xml:space="preserve"> palielināšanā, bet arī jauno konkurētspējas izaicinājumu kontekstā – ekonomikas transformācij</w:t>
      </w:r>
      <w:r w:rsidR="002020BD">
        <w:rPr>
          <w:rFonts w:eastAsia="Times New Roman" w:cs="Times New Roman"/>
          <w:szCs w:val="24"/>
        </w:rPr>
        <w:t>ai uz oglekļa neitralitāti un Eiropas Savienības</w:t>
      </w:r>
      <w:r w:rsidRPr="00B13F77">
        <w:rPr>
          <w:rFonts w:eastAsia="Times New Roman" w:cs="Times New Roman"/>
          <w:szCs w:val="24"/>
        </w:rPr>
        <w:t xml:space="preserve"> aizsardzības spēju attīstībā.</w:t>
      </w:r>
    </w:p>
    <w:p w14:paraId="423A7126" w14:textId="77777777" w:rsidR="00B13F77" w:rsidRPr="00B13F77" w:rsidRDefault="00B13F77" w:rsidP="00B13F77">
      <w:pPr>
        <w:widowControl w:val="0"/>
        <w:rPr>
          <w:rFonts w:eastAsia="Times New Roman" w:cs="Times New Roman"/>
          <w:szCs w:val="24"/>
        </w:rPr>
      </w:pPr>
      <w:r w:rsidRPr="00B13F77">
        <w:rPr>
          <w:rFonts w:eastAsia="Times New Roman" w:cs="Times New Roman"/>
          <w:szCs w:val="24"/>
        </w:rPr>
        <w:t xml:space="preserve">Ekonomikas transformācija uz klimata neitralitāti būs šī gadsimta lielākā ekonomikas transformācija, kur tās valstis, kuras attīstīs tam nepieciešamās tehnoloģijas, iegūs būtiskas priekšrocības starptautiskajā konkurētspējā un jauno tehnoloģiju eksports  var kalpot kā būtisks ekonomikas attīstības virzītājs. </w:t>
      </w:r>
    </w:p>
    <w:p w14:paraId="57138383" w14:textId="71948100" w:rsidR="00B13F77" w:rsidRPr="00B13F77" w:rsidRDefault="002020BD" w:rsidP="00B13F77">
      <w:pPr>
        <w:widowControl w:val="0"/>
        <w:rPr>
          <w:rFonts w:eastAsia="Times New Roman" w:cs="Times New Roman"/>
          <w:szCs w:val="24"/>
        </w:rPr>
      </w:pPr>
      <w:r>
        <w:rPr>
          <w:rFonts w:eastAsia="Times New Roman" w:cs="Times New Roman"/>
          <w:szCs w:val="24"/>
        </w:rPr>
        <w:t>Eiropas Savienības</w:t>
      </w:r>
      <w:r w:rsidR="00B13F77" w:rsidRPr="00B13F77">
        <w:rPr>
          <w:rFonts w:eastAsia="Times New Roman" w:cs="Times New Roman"/>
          <w:szCs w:val="24"/>
        </w:rPr>
        <w:t xml:space="preserve"> aizsardzības spēju attīstī</w:t>
      </w:r>
      <w:r>
        <w:rPr>
          <w:rFonts w:eastAsia="Times New Roman" w:cs="Times New Roman"/>
          <w:szCs w:val="24"/>
        </w:rPr>
        <w:t>ba paver iespēju dalībvalstīm</w:t>
      </w:r>
      <w:r w:rsidR="00B13F77" w:rsidRPr="00B13F77">
        <w:rPr>
          <w:rFonts w:eastAsia="Times New Roman" w:cs="Times New Roman"/>
          <w:szCs w:val="24"/>
        </w:rPr>
        <w:t xml:space="preserve"> attīstīt aizsardzības spējām nepieciešamās  tehnoloģijas. Aizsa</w:t>
      </w:r>
      <w:r>
        <w:rPr>
          <w:rFonts w:eastAsia="Times New Roman" w:cs="Times New Roman"/>
          <w:szCs w:val="24"/>
        </w:rPr>
        <w:t>rdzības industrija primāri ir Eiropas Savienības</w:t>
      </w:r>
      <w:r w:rsidR="00B13F77" w:rsidRPr="00B13F77">
        <w:rPr>
          <w:rFonts w:eastAsia="Times New Roman" w:cs="Times New Roman"/>
          <w:szCs w:val="24"/>
        </w:rPr>
        <w:t xml:space="preserve"> lielāko </w:t>
      </w:r>
      <w:r>
        <w:rPr>
          <w:rFonts w:eastAsia="Times New Roman" w:cs="Times New Roman"/>
          <w:szCs w:val="24"/>
        </w:rPr>
        <w:t>dalīb</w:t>
      </w:r>
      <w:r w:rsidR="00B13F77" w:rsidRPr="00B13F77">
        <w:rPr>
          <w:rFonts w:eastAsia="Times New Roman" w:cs="Times New Roman"/>
          <w:szCs w:val="24"/>
        </w:rPr>
        <w:t>valst</w:t>
      </w:r>
      <w:r>
        <w:rPr>
          <w:rFonts w:eastAsia="Times New Roman" w:cs="Times New Roman"/>
          <w:szCs w:val="24"/>
        </w:rPr>
        <w:t>u potenciāls, tomēr arī citas Eiropas Savienības</w:t>
      </w:r>
      <w:r w:rsidR="00B13F77" w:rsidRPr="00B13F77">
        <w:rPr>
          <w:rFonts w:eastAsia="Times New Roman" w:cs="Times New Roman"/>
          <w:szCs w:val="24"/>
        </w:rPr>
        <w:t xml:space="preserve"> </w:t>
      </w:r>
      <w:r>
        <w:rPr>
          <w:rFonts w:eastAsia="Times New Roman" w:cs="Times New Roman"/>
          <w:szCs w:val="24"/>
        </w:rPr>
        <w:t xml:space="preserve">dalībvalstis </w:t>
      </w:r>
      <w:r w:rsidR="00B13F77" w:rsidRPr="00B13F77">
        <w:rPr>
          <w:rFonts w:eastAsia="Times New Roman" w:cs="Times New Roman"/>
          <w:szCs w:val="24"/>
        </w:rPr>
        <w:t>var attīstīt nišas tehnoloģijas šai nozarei.</w:t>
      </w:r>
    </w:p>
    <w:p w14:paraId="4E739242" w14:textId="2B410FCF" w:rsidR="00B13F77" w:rsidRPr="002020BD" w:rsidRDefault="00B13F77" w:rsidP="002020BD">
      <w:pPr>
        <w:widowControl w:val="0"/>
        <w:rPr>
          <w:rFonts w:eastAsia="Times New Roman" w:cs="Times New Roman"/>
          <w:szCs w:val="24"/>
        </w:rPr>
      </w:pPr>
      <w:r w:rsidRPr="00B13F77">
        <w:rPr>
          <w:rFonts w:eastAsia="Times New Roman" w:cs="Times New Roman"/>
          <w:szCs w:val="24"/>
        </w:rPr>
        <w:t>Ņemot vērā šos faktorus, 2022.-2024.</w:t>
      </w:r>
      <w:r w:rsidR="002020BD">
        <w:rPr>
          <w:rFonts w:eastAsia="Times New Roman" w:cs="Times New Roman"/>
          <w:szCs w:val="24"/>
        </w:rPr>
        <w:t xml:space="preserve"> </w:t>
      </w:r>
      <w:r w:rsidRPr="00B13F77">
        <w:rPr>
          <w:rFonts w:eastAsia="Times New Roman" w:cs="Times New Roman"/>
          <w:szCs w:val="24"/>
        </w:rPr>
        <w:t>gadu periodā kā atsevišķs budžeta prioritārais attīstības virziens ir valsts inovatīvā potenciāla attīstība, palielinot finansējumu zinātnei, gan arī veicot publiskās investīcijas militārās un aizsardzības industrijas projektiem. Likumprojektā “Par vidēja termiņa budžeta ietvaru</w:t>
      </w:r>
      <w:r w:rsidR="002020BD">
        <w:rPr>
          <w:rFonts w:eastAsia="Times New Roman" w:cs="Times New Roman"/>
          <w:szCs w:val="24"/>
        </w:rPr>
        <w:t xml:space="preserve"> 2022., 2023. un 2024. gadam” Ministru kabinets</w:t>
      </w:r>
      <w:r w:rsidRPr="00B13F77">
        <w:rPr>
          <w:rFonts w:eastAsia="Times New Roman" w:cs="Times New Roman"/>
          <w:szCs w:val="24"/>
        </w:rPr>
        <w:t xml:space="preserve"> ir piešķīris 10,5 milj. </w:t>
      </w:r>
      <w:r w:rsidRPr="00B13F77">
        <w:rPr>
          <w:rFonts w:eastAsia="Times New Roman" w:cs="Times New Roman"/>
          <w:i/>
          <w:szCs w:val="24"/>
        </w:rPr>
        <w:t>euro</w:t>
      </w:r>
      <w:r w:rsidRPr="00B13F77">
        <w:rPr>
          <w:rFonts w:eastAsia="Times New Roman" w:cs="Times New Roman"/>
          <w:szCs w:val="24"/>
        </w:rPr>
        <w:t xml:space="preserve"> 2022.</w:t>
      </w:r>
      <w:r w:rsidR="002020BD">
        <w:rPr>
          <w:rFonts w:eastAsia="Times New Roman" w:cs="Times New Roman"/>
          <w:szCs w:val="24"/>
        </w:rPr>
        <w:t xml:space="preserve"> </w:t>
      </w:r>
      <w:r w:rsidRPr="00B13F77">
        <w:rPr>
          <w:rFonts w:eastAsia="Times New Roman" w:cs="Times New Roman"/>
          <w:szCs w:val="24"/>
        </w:rPr>
        <w:t xml:space="preserve">gadam un turpmāk </w:t>
      </w:r>
      <w:r w:rsidRPr="00B13F77">
        <w:rPr>
          <w:rFonts w:eastAsia="Times New Roman" w:cs="Times New Roman"/>
          <w:bCs/>
          <w:szCs w:val="24"/>
        </w:rPr>
        <w:t>zinātnes bāzes finansējuma palielināšanai un fundamentālo un lie</w:t>
      </w:r>
      <w:r w:rsidR="002020BD">
        <w:rPr>
          <w:rFonts w:eastAsia="Times New Roman" w:cs="Times New Roman"/>
          <w:bCs/>
          <w:szCs w:val="24"/>
        </w:rPr>
        <w:t xml:space="preserve">tišķo pētījumu finansēšanai.   </w:t>
      </w:r>
    </w:p>
    <w:p w14:paraId="2BB1125A" w14:textId="16888521" w:rsidR="00B13F77" w:rsidRPr="00B13F77" w:rsidRDefault="00B13F77" w:rsidP="002020BD">
      <w:pPr>
        <w:widowControl w:val="0"/>
        <w:spacing w:before="240" w:after="240"/>
        <w:jc w:val="center"/>
        <w:rPr>
          <w:rFonts w:eastAsia="Times New Roman" w:cs="Times New Roman"/>
          <w:b/>
          <w:szCs w:val="24"/>
        </w:rPr>
      </w:pPr>
      <w:r w:rsidRPr="00B13F77">
        <w:rPr>
          <w:rFonts w:eastAsia="Times New Roman" w:cs="Times New Roman"/>
          <w:b/>
          <w:szCs w:val="24"/>
        </w:rPr>
        <w:t>Pēcpandēmijas perioda ekonomiskās vides noturības veicināšana, atbalstot uzņēmumu atgūšanos un attīstību, stiprinot uzņēmumu kapitāla bāzi un investīciju piesaisti</w:t>
      </w:r>
    </w:p>
    <w:p w14:paraId="4319BE24" w14:textId="77777777" w:rsidR="00B13F77" w:rsidRPr="00B13F77" w:rsidRDefault="00B13F77" w:rsidP="00B13F77">
      <w:pPr>
        <w:widowControl w:val="0"/>
        <w:rPr>
          <w:rFonts w:eastAsia="Times New Roman" w:cs="Times New Roman"/>
          <w:szCs w:val="24"/>
        </w:rPr>
      </w:pPr>
      <w:r w:rsidRPr="00B13F77">
        <w:rPr>
          <w:rFonts w:eastAsia="Times New Roman" w:cs="Times New Roman"/>
          <w:szCs w:val="24"/>
        </w:rPr>
        <w:t>Pēcpandēmijas periodā ir būtiski nodrošināt dzīvotspējīgo uzņēmumu noturību. Šajā periodā noturības riski palielinās, jo valsts atbalsts zaudējumu mazināšanai no Covid-19 ierobežojumiem tiek samazināts atbilstoši ierobežojumu atcelšanai. Tomēr nav pamata uzskatīt, ka līdz ar ierobežojumu atcelšanu ekonomiskās vides dalībnieku un patērētāju uzvedība pilnībā atgriežas pirmskrīzes līmenī. Atsevišķo gadījumos tas notiek ar laika nobīdi, bet citos gadījumos uzvedības maiņa ir neatgriezeniska. Ierobežojumu radīto zaudējumu mazināšana ar valsts atbalsta instrumentiem nodrošināja uzņēmumu likviditāti, tomēr, tā kā zaudējumu kompensēšana vairumā gadījumu nebija simtprocentīga, pandēmijas laikā pasliktinājās uzņēmumu finanšu rādītāji. Pastāv risks, ka līdz ar atbalsta instrumentu atcelšanu un uzvedības maiņu pieprasījuma pusē, uzņēmumu finanšu rādītāji turpinās pasliktināties, izsaucot ilgtermiņa negatīvas strukturālas izmaņas piedāvājuma pusē. Līdz ar to viena no pēcpandēmijas perioda budžeta prioritātēm ir dzīvotspējīgo uzņēmumu atbalsts, to koncentrējot un mainot akcentus no likviditātes atbalsta instrumentiem uz kapitāla atbalsta instrumentiem.</w:t>
      </w:r>
    </w:p>
    <w:p w14:paraId="63B4458C" w14:textId="77777777" w:rsidR="00E862CD" w:rsidRPr="00F33A52" w:rsidRDefault="00E862CD" w:rsidP="00E862CD">
      <w:pPr>
        <w:widowControl w:val="0"/>
        <w:rPr>
          <w:szCs w:val="24"/>
        </w:rPr>
      </w:pPr>
      <w:r w:rsidRPr="00F33A52">
        <w:rPr>
          <w:szCs w:val="24"/>
        </w:rPr>
        <w:lastRenderedPageBreak/>
        <w:t xml:space="preserve">Attiecīgi šajā budžeta likumprojektā un Ietvara likumprojektā </w:t>
      </w:r>
      <w:r>
        <w:rPr>
          <w:szCs w:val="24"/>
        </w:rPr>
        <w:t xml:space="preserve">2022. gadā ir </w:t>
      </w:r>
      <w:r w:rsidRPr="00F33A52">
        <w:rPr>
          <w:szCs w:val="24"/>
        </w:rPr>
        <w:t>piešķ</w:t>
      </w:r>
      <w:r>
        <w:rPr>
          <w:szCs w:val="24"/>
        </w:rPr>
        <w:t>i</w:t>
      </w:r>
      <w:r w:rsidRPr="00F33A52">
        <w:rPr>
          <w:szCs w:val="24"/>
        </w:rPr>
        <w:t>r</w:t>
      </w:r>
      <w:r>
        <w:rPr>
          <w:szCs w:val="24"/>
        </w:rPr>
        <w:t>ti</w:t>
      </w:r>
      <w:r w:rsidRPr="00F33A52">
        <w:rPr>
          <w:szCs w:val="24"/>
        </w:rPr>
        <w:t xml:space="preserve">  41,0</w:t>
      </w:r>
      <w:r>
        <w:rPr>
          <w:szCs w:val="24"/>
        </w:rPr>
        <w:t> </w:t>
      </w:r>
      <w:r w:rsidRPr="00F33A52">
        <w:rPr>
          <w:szCs w:val="24"/>
        </w:rPr>
        <w:t xml:space="preserve">milj. </w:t>
      </w:r>
      <w:r w:rsidRPr="00F33A52">
        <w:rPr>
          <w:i/>
          <w:szCs w:val="24"/>
        </w:rPr>
        <w:t>euro</w:t>
      </w:r>
      <w:r w:rsidRPr="00F33A52">
        <w:rPr>
          <w:szCs w:val="24"/>
        </w:rPr>
        <w:t xml:space="preserve">  </w:t>
      </w:r>
      <w:r>
        <w:rPr>
          <w:szCs w:val="24"/>
        </w:rPr>
        <w:t>aizdevumiem</w:t>
      </w:r>
      <w:r w:rsidRPr="00F33A52">
        <w:rPr>
          <w:szCs w:val="24"/>
        </w:rPr>
        <w:t xml:space="preserve"> uzņēmumu investīciju projektiem ar kapitāla atlaidi</w:t>
      </w:r>
      <w:r w:rsidRPr="00F33A52">
        <w:rPr>
          <w:bCs/>
          <w:szCs w:val="24"/>
        </w:rPr>
        <w:t>.</w:t>
      </w:r>
      <w:r w:rsidRPr="00F33A52">
        <w:rPr>
          <w:szCs w:val="24"/>
        </w:rPr>
        <w:t xml:space="preserve"> Aizdevumu varēs saņemt liela apjoma</w:t>
      </w:r>
      <w:r>
        <w:rPr>
          <w:szCs w:val="24"/>
        </w:rPr>
        <w:t xml:space="preserve"> projektiem - </w:t>
      </w:r>
      <w:r w:rsidRPr="00F33A52">
        <w:rPr>
          <w:szCs w:val="24"/>
        </w:rPr>
        <w:t xml:space="preserve">  investīcijām jaunu ražotņu, iekārtu un tehnoloģisko</w:t>
      </w:r>
      <w:r w:rsidRPr="00F33A52">
        <w:rPr>
          <w:color w:val="000000" w:themeColor="text1"/>
          <w:szCs w:val="24"/>
        </w:rPr>
        <w:t xml:space="preserve"> </w:t>
      </w:r>
      <w:r w:rsidRPr="00F33A52">
        <w:rPr>
          <w:szCs w:val="24"/>
        </w:rPr>
        <w:t xml:space="preserve">procesu ieviešanai. Aizdevuma mērķis ir investīcijas materiālos un nemateriālos aktīvos ražošanas uzsākšanai, paplašināšanai un efektivizācijai. Ja projekts paredzēs vairākus nosacījumus, tai skaitā pietiekami lielu darba samaksu darbiniekiem, jaunas darba vietas, ieguldījumus pētniecībā un attīstībā vismaz noteiktā līmenī, līdz 30% no aizdevuma summas būs iespējams konvertēt uzņēmuma kapitālā. </w:t>
      </w:r>
    </w:p>
    <w:p w14:paraId="1D09972E" w14:textId="2BDE4697" w:rsidR="00B13F77" w:rsidRPr="002020BD" w:rsidRDefault="00B13F77" w:rsidP="002020BD">
      <w:pPr>
        <w:pStyle w:val="ListParagraph"/>
        <w:shd w:val="clear" w:color="auto" w:fill="FFFFFF"/>
        <w:spacing w:before="240" w:after="240"/>
        <w:ind w:left="0" w:right="153" w:firstLine="0"/>
        <w:jc w:val="center"/>
        <w:rPr>
          <w:rFonts w:eastAsia="Times New Roman" w:cs="Times New Roman"/>
          <w:b/>
          <w:szCs w:val="24"/>
        </w:rPr>
      </w:pPr>
      <w:r w:rsidRPr="00B13F77">
        <w:rPr>
          <w:rFonts w:eastAsia="Times New Roman" w:cs="Times New Roman"/>
          <w:b/>
          <w:szCs w:val="24"/>
        </w:rPr>
        <w:t>Publisko investīciju apjoma palielināšana</w:t>
      </w:r>
    </w:p>
    <w:p w14:paraId="13F979C9" w14:textId="7AA0FB12" w:rsidR="00B13F77" w:rsidRPr="00B13F77" w:rsidRDefault="00B13F77" w:rsidP="00B13F77">
      <w:pPr>
        <w:shd w:val="clear" w:color="auto" w:fill="FFFFFF"/>
        <w:spacing w:before="60" w:after="60"/>
        <w:ind w:right="152"/>
        <w:rPr>
          <w:rFonts w:eastAsia="Times New Roman" w:cs="Times New Roman"/>
          <w:szCs w:val="24"/>
        </w:rPr>
      </w:pPr>
      <w:r w:rsidRPr="00B13F77">
        <w:rPr>
          <w:rFonts w:eastAsia="Times New Roman" w:cs="Times New Roman"/>
          <w:szCs w:val="24"/>
        </w:rPr>
        <w:t>Lai arī Latvijas publisko investīciju apjoms (b</w:t>
      </w:r>
      <w:r w:rsidR="002020BD">
        <w:rPr>
          <w:rFonts w:eastAsia="Times New Roman" w:cs="Times New Roman"/>
          <w:szCs w:val="24"/>
        </w:rPr>
        <w:t>ruto pamatkapitāla pieaugums) Eiropas Savienības</w:t>
      </w:r>
      <w:r w:rsidRPr="00B13F77">
        <w:rPr>
          <w:rFonts w:eastAsia="Times New Roman" w:cs="Times New Roman"/>
          <w:szCs w:val="24"/>
        </w:rPr>
        <w:t xml:space="preserve"> valstu grupā ir relatīvi augsts, līdz šim ir pastāvējuši šķēršļi veikt investīcijas noteiktos valsts mērogā būtiskos projektos. Šādas investīcijas ir a</w:t>
      </w:r>
      <w:r w:rsidR="002020BD">
        <w:rPr>
          <w:rFonts w:eastAsia="Times New Roman" w:cs="Times New Roman"/>
          <w:szCs w:val="24"/>
        </w:rPr>
        <w:t>pgrūtinātas, ja tās neatbilst Eiropas Savienības</w:t>
      </w:r>
      <w:r w:rsidRPr="00B13F77">
        <w:rPr>
          <w:rFonts w:eastAsia="Times New Roman" w:cs="Times New Roman"/>
          <w:szCs w:val="24"/>
        </w:rPr>
        <w:t xml:space="preserve"> fondu vai Atjaunošanas un noturības fonda prioritātēm, jo konkurence šajos fondos uz to finanšu aploksni, kas nav iezīmēta prioritātēm, ir augsta. Alternatīva ir finansēt šos projektus no valsts budžeta. Šajā gadījumā šķēršļi veidojas tāpēc, ka līdz šim pieejamā fiskālā telpa tika noteikta visām budžeta prioritātēm kopā. Tādos apstākļos investīciju projekti ir pakļauti lielākam riskam tikt noraidītiem, nekā tās budžeta prioritātes, kas tieši skar lielu iedzīvotāju daļu, piemēram, atalgojuma palielināšanas prioritāte.</w:t>
      </w:r>
    </w:p>
    <w:p w14:paraId="64C1BEBA" w14:textId="022C5FEC" w:rsidR="00B13F77" w:rsidRPr="00B13F77" w:rsidRDefault="00B13F77" w:rsidP="00B13F77">
      <w:pPr>
        <w:shd w:val="clear" w:color="auto" w:fill="FFFFFF"/>
        <w:spacing w:before="60" w:after="60"/>
        <w:ind w:right="152"/>
        <w:rPr>
          <w:rFonts w:eastAsia="Times New Roman" w:cs="Times New Roman"/>
          <w:szCs w:val="24"/>
        </w:rPr>
      </w:pPr>
      <w:r w:rsidRPr="00B13F77">
        <w:rPr>
          <w:rFonts w:eastAsia="Times New Roman" w:cs="Times New Roman"/>
          <w:szCs w:val="24"/>
        </w:rPr>
        <w:t>2022. gadā paliek spēkā Stabilitātes un izaugsmes pakta vispārējā izņēmuma klauzula.</w:t>
      </w:r>
      <w:r w:rsidR="002020BD">
        <w:rPr>
          <w:rFonts w:eastAsia="Times New Roman" w:cs="Times New Roman"/>
          <w:szCs w:val="24"/>
        </w:rPr>
        <w:t xml:space="preserve"> Saskaņā ar 2021. gada jūnija Eiropas Savienības</w:t>
      </w:r>
      <w:r w:rsidRPr="00B13F77">
        <w:rPr>
          <w:rFonts w:eastAsia="Times New Roman" w:cs="Times New Roman"/>
          <w:szCs w:val="24"/>
        </w:rPr>
        <w:t xml:space="preserve"> fiskālajām rekomendācijām, 2022. gadā ir jānodrošina nacionāli finansēto primāro izdevumu pieauguma kontrole. Attiecībā uz bruto pamatkapitāla pieauguma apjomu, rekomendācija aicina investīcijas saglabāt. Rekomendācijas konteksts ir saistīts ar risku, ka atceļot pandēmijas laikā ieviesos valsts atbalsta mehānismus, ekonomikas atveseļošanās var bremzēties. To novērst ir iespējams ar publisko investīciju apjoma kāpumu, kas noturētu ekonomikas izaugsmei nepieciešamo pieprasījuma apjomu. Šie apsvērumi, kā arī  fiskālo noteikumu nepiemērošana 2022. gadā ļauj valstij īstenot nepieciešamos investīciju projektus, tos finansējot no finanšu tirgos piesaistītajiem resursiem.  </w:t>
      </w:r>
    </w:p>
    <w:p w14:paraId="570FF497" w14:textId="3932C3D4" w:rsidR="00B75DA3" w:rsidRPr="0090051F" w:rsidRDefault="00B13F77" w:rsidP="0090051F">
      <w:pPr>
        <w:shd w:val="clear" w:color="auto" w:fill="FFFFFF"/>
        <w:spacing w:before="60" w:after="60"/>
        <w:ind w:right="152"/>
        <w:rPr>
          <w:rFonts w:eastAsia="Times New Roman" w:cs="Times New Roman"/>
          <w:szCs w:val="24"/>
        </w:rPr>
      </w:pPr>
      <w:r w:rsidRPr="00B13F77">
        <w:rPr>
          <w:rFonts w:eastAsia="Times New Roman" w:cs="Times New Roman"/>
          <w:szCs w:val="24"/>
        </w:rPr>
        <w:t xml:space="preserve">Šajā vidēja termiņa budžeta ietvara likumprojektā šī iespēja tiek izmantota 2022. gadā piešķirot 264,7 milj. </w:t>
      </w:r>
      <w:r w:rsidRPr="00B13F77">
        <w:rPr>
          <w:rFonts w:eastAsia="Times New Roman" w:cs="Times New Roman"/>
          <w:i/>
          <w:iCs/>
          <w:szCs w:val="24"/>
        </w:rPr>
        <w:t>euro</w:t>
      </w:r>
      <w:r w:rsidRPr="00B13F77">
        <w:rPr>
          <w:rFonts w:eastAsia="Times New Roman" w:cs="Times New Roman"/>
          <w:szCs w:val="24"/>
        </w:rPr>
        <w:t xml:space="preserve"> investīciju projektu īstenošanai -   pašvaldību investīciju projektiem, reģionālo autoceļu pārbūvei un atjaunošanai, lauksaimniecības, meža un zivsaimniecības nozaru infrastruktūras pilnveidošanā (tai skaitā ieguldījumiem meliorācijas sistēmās un investīcijas Zaļā kursa mērķu sasniegšanai), ugunsdzēsības un glābšanas transportlīdzekļu iegādei kā arī valsts militārās un aizsard</w:t>
      </w:r>
      <w:r w:rsidR="0090051F">
        <w:rPr>
          <w:rFonts w:eastAsia="Times New Roman" w:cs="Times New Roman"/>
          <w:szCs w:val="24"/>
        </w:rPr>
        <w:t>zības industrijas investīcijām.</w:t>
      </w:r>
    </w:p>
    <w:p w14:paraId="201B8ECD" w14:textId="3CF3EA30" w:rsidR="003F3FCD" w:rsidRDefault="000548A5" w:rsidP="004C5F53">
      <w:pPr>
        <w:pStyle w:val="Heading3"/>
        <w:numPr>
          <w:ilvl w:val="0"/>
          <w:numId w:val="0"/>
        </w:numPr>
        <w:ind w:left="1224"/>
      </w:pPr>
      <w:bookmarkStart w:id="63" w:name="_Toc84756418"/>
      <w:r w:rsidRPr="00717AA4">
        <w:t>2.3.2. Finanšu resursi vidēja termiņa budžeta prioritāro attīstības virzienu īstenošanā</w:t>
      </w:r>
      <w:bookmarkEnd w:id="63"/>
    </w:p>
    <w:p w14:paraId="6BCB7DDE" w14:textId="58B25D0D" w:rsidR="004C5F53" w:rsidRPr="008F5DAC" w:rsidRDefault="008F5DAC" w:rsidP="004C5F53">
      <w:pPr>
        <w:widowControl w:val="0"/>
        <w:ind w:firstLine="709"/>
        <w:rPr>
          <w:rFonts w:eastAsia="Times New Roman" w:cs="Times New Roman"/>
          <w:color w:val="000000"/>
          <w:szCs w:val="28"/>
        </w:rPr>
      </w:pPr>
      <w:r>
        <w:rPr>
          <w:rFonts w:eastAsia="Times New Roman" w:cs="Times New Roman"/>
          <w:color w:val="000000"/>
          <w:szCs w:val="28"/>
        </w:rPr>
        <w:t>Saskaņā ar likumprojekta “Par vidēja termiņa budžeta ietvaru</w:t>
      </w:r>
      <w:r w:rsidR="004C5F53" w:rsidRPr="008F5DAC">
        <w:rPr>
          <w:rFonts w:eastAsia="Times New Roman" w:cs="Times New Roman"/>
          <w:color w:val="000000"/>
          <w:szCs w:val="28"/>
        </w:rPr>
        <w:t xml:space="preserve"> 2022., 2023. un 2024.</w:t>
      </w:r>
      <w:r>
        <w:rPr>
          <w:rFonts w:eastAsia="Times New Roman" w:cs="Times New Roman"/>
          <w:color w:val="000000"/>
          <w:szCs w:val="28"/>
        </w:rPr>
        <w:t> </w:t>
      </w:r>
      <w:r w:rsidR="004C5F53" w:rsidRPr="008F5DAC">
        <w:rPr>
          <w:rFonts w:eastAsia="Times New Roman" w:cs="Times New Roman"/>
          <w:color w:val="000000"/>
          <w:szCs w:val="28"/>
        </w:rPr>
        <w:t>gadam</w:t>
      </w:r>
      <w:r>
        <w:rPr>
          <w:rFonts w:eastAsia="Times New Roman" w:cs="Times New Roman"/>
          <w:color w:val="000000"/>
          <w:szCs w:val="28"/>
        </w:rPr>
        <w:t xml:space="preserve">” </w:t>
      </w:r>
      <w:r w:rsidR="004C5F53" w:rsidRPr="008F5DAC">
        <w:rPr>
          <w:rFonts w:eastAsia="Times New Roman" w:cs="Times New Roman"/>
          <w:color w:val="000000"/>
          <w:szCs w:val="28"/>
        </w:rPr>
        <w:t>sagatavošanas grafiku, 2021.</w:t>
      </w:r>
      <w:r>
        <w:rPr>
          <w:rFonts w:eastAsia="Times New Roman" w:cs="Times New Roman"/>
          <w:color w:val="000000"/>
          <w:szCs w:val="28"/>
        </w:rPr>
        <w:t xml:space="preserve"> </w:t>
      </w:r>
      <w:r w:rsidR="004C5F53" w:rsidRPr="008F5DAC">
        <w:rPr>
          <w:rFonts w:eastAsia="Times New Roman" w:cs="Times New Roman"/>
          <w:color w:val="000000"/>
          <w:szCs w:val="28"/>
        </w:rPr>
        <w:t>gada 24.</w:t>
      </w:r>
      <w:r>
        <w:rPr>
          <w:rFonts w:eastAsia="Times New Roman" w:cs="Times New Roman"/>
          <w:color w:val="000000"/>
          <w:szCs w:val="28"/>
        </w:rPr>
        <w:t xml:space="preserve"> augusta Ministru kabineta</w:t>
      </w:r>
      <w:r w:rsidR="004C5F53" w:rsidRPr="008F5DAC">
        <w:rPr>
          <w:rFonts w:eastAsia="Times New Roman" w:cs="Times New Roman"/>
          <w:color w:val="000000"/>
          <w:szCs w:val="28"/>
        </w:rPr>
        <w:t xml:space="preserve"> sēdē</w:t>
      </w:r>
      <w:r>
        <w:rPr>
          <w:rFonts w:eastAsia="Times New Roman" w:cs="Times New Roman"/>
          <w:color w:val="000000"/>
          <w:szCs w:val="28"/>
        </w:rPr>
        <w:t xml:space="preserve"> tika skatīts Finanšu ministrijas</w:t>
      </w:r>
      <w:r w:rsidR="004C5F53" w:rsidRPr="008F5DAC">
        <w:rPr>
          <w:rFonts w:eastAsia="Times New Roman" w:cs="Times New Roman"/>
          <w:color w:val="000000"/>
          <w:szCs w:val="28"/>
        </w:rPr>
        <w:t xml:space="preserve"> sagatavotais informatīvais ziņojums "Par makroekonomisko rādītāju, ieņēmumu un vispārējās valdības budžeta bilances prognozēm 2022.-2024.</w:t>
      </w:r>
      <w:r>
        <w:rPr>
          <w:rFonts w:eastAsia="Times New Roman" w:cs="Times New Roman"/>
          <w:color w:val="000000"/>
          <w:szCs w:val="28"/>
        </w:rPr>
        <w:t xml:space="preserve"> gadā". Atbilstoši Finanšu ministrijas</w:t>
      </w:r>
      <w:r w:rsidR="004C5F53" w:rsidRPr="008F5DAC">
        <w:rPr>
          <w:rFonts w:eastAsia="Times New Roman" w:cs="Times New Roman"/>
          <w:color w:val="000000"/>
          <w:szCs w:val="28"/>
        </w:rPr>
        <w:t xml:space="preserve"> aprēķiniem, vispārējās valdības budžeta bilance pie nemainīgas politikas 2022. ga</w:t>
      </w:r>
      <w:r>
        <w:rPr>
          <w:rFonts w:eastAsia="Times New Roman" w:cs="Times New Roman"/>
          <w:color w:val="000000"/>
          <w:szCs w:val="28"/>
        </w:rPr>
        <w:t>dā bija -2,9% no iekšzemes kopprodukta, 2023. gadā -1,2% no iekšzemes kopprodukta</w:t>
      </w:r>
      <w:r w:rsidR="004C5F53" w:rsidRPr="008F5DAC">
        <w:rPr>
          <w:rFonts w:eastAsia="Times New Roman" w:cs="Times New Roman"/>
          <w:color w:val="000000"/>
          <w:szCs w:val="28"/>
        </w:rPr>
        <w:t xml:space="preserve"> un 2024. gadā -0,3% no </w:t>
      </w:r>
      <w:r>
        <w:rPr>
          <w:rFonts w:eastAsia="Times New Roman" w:cs="Times New Roman"/>
          <w:color w:val="000000"/>
          <w:szCs w:val="28"/>
        </w:rPr>
        <w:t>iekšzemes kopprodukta</w:t>
      </w:r>
      <w:r w:rsidR="004C5F53" w:rsidRPr="008F5DAC">
        <w:rPr>
          <w:rFonts w:eastAsia="Times New Roman" w:cs="Times New Roman"/>
          <w:color w:val="000000"/>
          <w:szCs w:val="28"/>
        </w:rPr>
        <w:t xml:space="preserve">, savukārt fiskālā telpa primārajiem kārtējiem </w:t>
      </w:r>
      <w:r w:rsidR="004C5F53" w:rsidRPr="008F5DAC">
        <w:rPr>
          <w:rFonts w:eastAsia="Times New Roman" w:cs="Times New Roman"/>
          <w:color w:val="000000"/>
          <w:szCs w:val="28"/>
        </w:rPr>
        <w:lastRenderedPageBreak/>
        <w:t>nacionāli finansētajiem  izdevumiem 2022.</w:t>
      </w:r>
      <w:r>
        <w:rPr>
          <w:rFonts w:eastAsia="Times New Roman" w:cs="Times New Roman"/>
          <w:color w:val="000000"/>
          <w:szCs w:val="28"/>
        </w:rPr>
        <w:t xml:space="preserve"> </w:t>
      </w:r>
      <w:r w:rsidR="004C5F53" w:rsidRPr="008F5DAC">
        <w:rPr>
          <w:rFonts w:eastAsia="Times New Roman" w:cs="Times New Roman"/>
          <w:color w:val="000000"/>
          <w:szCs w:val="28"/>
        </w:rPr>
        <w:t xml:space="preserve">gadā ar bāzes efektu arī uz turpmākajiem diviem gadiem tika noteikta 302 milj. </w:t>
      </w:r>
      <w:r w:rsidR="004C5F53" w:rsidRPr="008F5DAC">
        <w:rPr>
          <w:rFonts w:eastAsia="Times New Roman" w:cs="Times New Roman"/>
          <w:i/>
          <w:color w:val="000000"/>
          <w:szCs w:val="28"/>
        </w:rPr>
        <w:t>euro</w:t>
      </w:r>
      <w:r w:rsidR="004C5F53" w:rsidRPr="008F5DAC">
        <w:rPr>
          <w:rFonts w:eastAsia="Times New Roman" w:cs="Times New Roman"/>
          <w:color w:val="000000"/>
          <w:szCs w:val="28"/>
        </w:rPr>
        <w:t xml:space="preserve">. Turpmākajā budžeta sagatavošanas procesā, fiskālā telpa tika palielināta līdz  311,0 milj. </w:t>
      </w:r>
      <w:r w:rsidR="004C5F53" w:rsidRPr="008F5DAC">
        <w:rPr>
          <w:rFonts w:eastAsia="Times New Roman" w:cs="Times New Roman"/>
          <w:i/>
          <w:iCs/>
          <w:color w:val="000000"/>
          <w:szCs w:val="28"/>
        </w:rPr>
        <w:t>euro</w:t>
      </w:r>
      <w:r w:rsidR="004C5F53" w:rsidRPr="008F5DAC">
        <w:rPr>
          <w:rFonts w:eastAsia="Times New Roman" w:cs="Times New Roman"/>
          <w:color w:val="000000"/>
          <w:szCs w:val="28"/>
        </w:rPr>
        <w:t xml:space="preserve"> 2022.</w:t>
      </w:r>
      <w:r>
        <w:rPr>
          <w:rFonts w:eastAsia="Times New Roman" w:cs="Times New Roman"/>
          <w:color w:val="000000"/>
          <w:szCs w:val="28"/>
        </w:rPr>
        <w:t xml:space="preserve"> gadā, </w:t>
      </w:r>
      <w:r w:rsidR="004C5F53" w:rsidRPr="008F5DAC">
        <w:rPr>
          <w:rFonts w:eastAsia="Times New Roman" w:cs="Times New Roman"/>
          <w:color w:val="000000"/>
          <w:szCs w:val="28"/>
        </w:rPr>
        <w:t xml:space="preserve">311,8 milj. </w:t>
      </w:r>
      <w:r w:rsidR="004C5F53" w:rsidRPr="008F5DAC">
        <w:rPr>
          <w:rFonts w:eastAsia="Times New Roman" w:cs="Times New Roman"/>
          <w:i/>
          <w:iCs/>
          <w:color w:val="000000"/>
          <w:szCs w:val="28"/>
        </w:rPr>
        <w:t>euro</w:t>
      </w:r>
      <w:r w:rsidR="004C5F53" w:rsidRPr="008F5DAC">
        <w:rPr>
          <w:rFonts w:eastAsia="Times New Roman" w:cs="Times New Roman"/>
          <w:color w:val="000000"/>
          <w:szCs w:val="28"/>
        </w:rPr>
        <w:t xml:space="preserve"> 2023.</w:t>
      </w:r>
      <w:r>
        <w:rPr>
          <w:rFonts w:eastAsia="Times New Roman" w:cs="Times New Roman"/>
          <w:color w:val="000000"/>
          <w:szCs w:val="28"/>
        </w:rPr>
        <w:t xml:space="preserve"> gadā un 312,9 milj. </w:t>
      </w:r>
      <w:r w:rsidR="004C5F53" w:rsidRPr="008F5DAC">
        <w:rPr>
          <w:rFonts w:eastAsia="Times New Roman" w:cs="Times New Roman"/>
          <w:i/>
          <w:iCs/>
          <w:color w:val="000000"/>
          <w:szCs w:val="28"/>
        </w:rPr>
        <w:t>euro</w:t>
      </w:r>
      <w:r w:rsidR="004C5F53" w:rsidRPr="008F5DAC">
        <w:rPr>
          <w:rFonts w:eastAsia="Times New Roman" w:cs="Times New Roman"/>
          <w:color w:val="000000"/>
          <w:szCs w:val="28"/>
        </w:rPr>
        <w:t xml:space="preserve"> 2024. gadā, balstoties Labklājības ministrijas priekšlikumā samazināt izdevumus valsts sociālās apdrošināšanas speciālā budžeta apakšprogrammā 04.02.00 “Nodarbinātības speciālais budžets”, pamatojot to ar aktuālajām 2021.</w:t>
      </w:r>
      <w:r>
        <w:rPr>
          <w:rFonts w:eastAsia="Times New Roman" w:cs="Times New Roman"/>
          <w:color w:val="000000"/>
          <w:szCs w:val="28"/>
        </w:rPr>
        <w:t xml:space="preserve"> </w:t>
      </w:r>
      <w:r w:rsidR="004C5F53" w:rsidRPr="008F5DAC">
        <w:rPr>
          <w:rFonts w:eastAsia="Times New Roman" w:cs="Times New Roman"/>
          <w:color w:val="000000"/>
          <w:szCs w:val="28"/>
        </w:rPr>
        <w:t>gada izpildes tendencēm bezdarbnieka pabalstu izmaksā. Fiskālā telpa tika izlietota valdības noteikto prioritāšu finansēšanai. Vienlaikus valdība arī pieņēma lēmumus ārpus fiskālās telpas, atbalstot papildus līdzekļu piešķiršanu publiskajām investīcijām un Covid-19 atbalsta pasākumiem.</w:t>
      </w:r>
    </w:p>
    <w:p w14:paraId="0F191A85" w14:textId="4310E8C7" w:rsidR="0090051F" w:rsidRPr="008F5DAC" w:rsidRDefault="0090051F" w:rsidP="00B243D9">
      <w:pPr>
        <w:widowControl w:val="0"/>
        <w:ind w:firstLine="709"/>
        <w:rPr>
          <w:rFonts w:eastAsia="Times New Roman" w:cs="Times New Roman"/>
          <w:color w:val="000000"/>
          <w:szCs w:val="28"/>
        </w:rPr>
      </w:pPr>
      <w:r>
        <w:rPr>
          <w:rFonts w:eastAsia="Times New Roman" w:cs="Times New Roman"/>
          <w:color w:val="000000"/>
          <w:szCs w:val="28"/>
        </w:rPr>
        <w:t>2.13</w:t>
      </w:r>
      <w:r w:rsidR="004C5F53" w:rsidRPr="008F5DAC">
        <w:rPr>
          <w:rFonts w:eastAsia="Times New Roman" w:cs="Times New Roman"/>
          <w:color w:val="000000"/>
          <w:szCs w:val="28"/>
        </w:rPr>
        <w:t>.</w:t>
      </w:r>
      <w:r w:rsidR="008F5DAC">
        <w:rPr>
          <w:rFonts w:eastAsia="Times New Roman" w:cs="Times New Roman"/>
          <w:color w:val="000000"/>
          <w:szCs w:val="28"/>
        </w:rPr>
        <w:t xml:space="preserve"> </w:t>
      </w:r>
      <w:r w:rsidR="004C5F53" w:rsidRPr="008F5DAC">
        <w:rPr>
          <w:rFonts w:eastAsia="Times New Roman" w:cs="Times New Roman"/>
          <w:color w:val="000000"/>
          <w:szCs w:val="28"/>
        </w:rPr>
        <w:t>tabulā ir atspoguļoti būtiskākie vispārējās valdības ieņēm</w:t>
      </w:r>
      <w:r w:rsidR="008F5DAC">
        <w:rPr>
          <w:rFonts w:eastAsia="Times New Roman" w:cs="Times New Roman"/>
          <w:color w:val="000000"/>
          <w:szCs w:val="28"/>
        </w:rPr>
        <w:t>umu pasākumi, par kuriem lēma Ministru kabinets</w:t>
      </w:r>
      <w:r w:rsidR="004C5F53" w:rsidRPr="008F5DAC">
        <w:rPr>
          <w:rFonts w:eastAsia="Times New Roman" w:cs="Times New Roman"/>
          <w:color w:val="000000"/>
          <w:szCs w:val="28"/>
        </w:rPr>
        <w:t xml:space="preserve"> budžeta sagatavošanas </w:t>
      </w:r>
      <w:r w:rsidR="00B243D9">
        <w:rPr>
          <w:rFonts w:eastAsia="Times New Roman" w:cs="Times New Roman"/>
          <w:color w:val="000000"/>
          <w:szCs w:val="28"/>
        </w:rPr>
        <w:t>procesā.</w:t>
      </w:r>
    </w:p>
    <w:p w14:paraId="03515595" w14:textId="0CCF0576" w:rsidR="004C5F53" w:rsidRPr="008F5DAC" w:rsidRDefault="00325724" w:rsidP="008F5DAC">
      <w:pPr>
        <w:widowControl w:val="0"/>
        <w:spacing w:before="120"/>
        <w:jc w:val="right"/>
        <w:rPr>
          <w:rFonts w:eastAsia="Times New Roman" w:cs="Times New Roman"/>
          <w:b/>
          <w:i/>
          <w:color w:val="000000"/>
        </w:rPr>
      </w:pPr>
      <w:r>
        <w:rPr>
          <w:rFonts w:eastAsia="Times New Roman" w:cs="Times New Roman"/>
          <w:b/>
          <w:i/>
          <w:color w:val="000000"/>
        </w:rPr>
        <w:t>2.13</w:t>
      </w:r>
      <w:r w:rsidR="004C5F53" w:rsidRPr="008F5DAC">
        <w:rPr>
          <w:rFonts w:eastAsia="Times New Roman" w:cs="Times New Roman"/>
          <w:b/>
          <w:i/>
          <w:color w:val="000000"/>
        </w:rPr>
        <w:t>.</w:t>
      </w:r>
      <w:r w:rsidR="0018367D" w:rsidRPr="008F5DAC">
        <w:rPr>
          <w:rFonts w:eastAsia="Times New Roman" w:cs="Times New Roman"/>
          <w:b/>
          <w:i/>
          <w:color w:val="000000"/>
        </w:rPr>
        <w:t xml:space="preserve"> </w:t>
      </w:r>
      <w:r w:rsidR="004C5F53" w:rsidRPr="008F5DAC">
        <w:rPr>
          <w:rFonts w:eastAsia="Times New Roman" w:cs="Times New Roman"/>
          <w:b/>
          <w:i/>
          <w:color w:val="000000"/>
        </w:rPr>
        <w:t>tabula. I</w:t>
      </w:r>
      <w:r w:rsidR="00B243D9">
        <w:rPr>
          <w:rFonts w:eastAsia="Times New Roman" w:cs="Times New Roman"/>
          <w:b/>
          <w:i/>
          <w:color w:val="000000"/>
        </w:rPr>
        <w:t>eņēmumu pasākumi virs 0,01% no iekšzemes kopprodukta</w:t>
      </w:r>
      <w:r w:rsidR="008F5DAC" w:rsidRPr="008F5DAC">
        <w:rPr>
          <w:rFonts w:eastAsia="Times New Roman" w:cs="Times New Roman"/>
          <w:b/>
          <w:i/>
          <w:color w:val="000000"/>
        </w:rPr>
        <w:t xml:space="preserve"> attiecīgajā gadā, milj. euro</w:t>
      </w:r>
    </w:p>
    <w:tbl>
      <w:tblPr>
        <w:tblStyle w:val="TableGrid"/>
        <w:tblW w:w="0" w:type="auto"/>
        <w:jc w:val="center"/>
        <w:tblLook w:val="04A0" w:firstRow="1" w:lastRow="0" w:firstColumn="1" w:lastColumn="0" w:noHBand="0" w:noVBand="1"/>
      </w:tblPr>
      <w:tblGrid>
        <w:gridCol w:w="4248"/>
        <w:gridCol w:w="2693"/>
        <w:gridCol w:w="709"/>
        <w:gridCol w:w="709"/>
        <w:gridCol w:w="702"/>
      </w:tblGrid>
      <w:tr w:rsidR="004C5F53" w:rsidRPr="008F5DAC" w14:paraId="39EF3AD0" w14:textId="77777777" w:rsidTr="00351C3D">
        <w:trPr>
          <w:trHeight w:val="300"/>
          <w:jc w:val="center"/>
        </w:trPr>
        <w:tc>
          <w:tcPr>
            <w:tcW w:w="4248" w:type="dxa"/>
            <w:shd w:val="clear" w:color="auto" w:fill="9CC2E5" w:themeFill="accent1" w:themeFillTint="99"/>
            <w:hideMark/>
          </w:tcPr>
          <w:p w14:paraId="624CDC8A" w14:textId="77777777" w:rsidR="004C5F53" w:rsidRPr="008F5DAC" w:rsidRDefault="004C5F53" w:rsidP="008F5DAC">
            <w:pPr>
              <w:widowControl w:val="0"/>
              <w:ind w:firstLine="0"/>
              <w:jc w:val="center"/>
              <w:rPr>
                <w:rFonts w:eastAsia="Times New Roman" w:cs="Times New Roman"/>
                <w:b/>
                <w:bCs/>
                <w:color w:val="000000"/>
                <w:sz w:val="18"/>
                <w:szCs w:val="18"/>
              </w:rPr>
            </w:pPr>
            <w:r w:rsidRPr="008F5DAC">
              <w:rPr>
                <w:rFonts w:eastAsia="Times New Roman" w:cs="Times New Roman"/>
                <w:b/>
                <w:bCs/>
                <w:color w:val="000000"/>
                <w:sz w:val="18"/>
                <w:szCs w:val="18"/>
              </w:rPr>
              <w:t>Pasākums</w:t>
            </w:r>
          </w:p>
        </w:tc>
        <w:tc>
          <w:tcPr>
            <w:tcW w:w="2693" w:type="dxa"/>
            <w:shd w:val="clear" w:color="auto" w:fill="9CC2E5" w:themeFill="accent1" w:themeFillTint="99"/>
            <w:hideMark/>
          </w:tcPr>
          <w:p w14:paraId="39B588CE" w14:textId="77777777" w:rsidR="004C5F53" w:rsidRPr="008F5DAC" w:rsidRDefault="004C5F53" w:rsidP="008F5DAC">
            <w:pPr>
              <w:widowControl w:val="0"/>
              <w:ind w:firstLine="0"/>
              <w:jc w:val="center"/>
              <w:rPr>
                <w:rFonts w:eastAsia="Times New Roman" w:cs="Times New Roman"/>
                <w:b/>
                <w:bCs/>
                <w:color w:val="000000"/>
                <w:sz w:val="18"/>
                <w:szCs w:val="18"/>
              </w:rPr>
            </w:pPr>
            <w:r w:rsidRPr="008F5DAC">
              <w:rPr>
                <w:rFonts w:eastAsia="Times New Roman" w:cs="Times New Roman"/>
                <w:b/>
                <w:bCs/>
                <w:color w:val="000000"/>
                <w:sz w:val="18"/>
                <w:szCs w:val="18"/>
              </w:rPr>
              <w:t>Ieņēmumu veids</w:t>
            </w:r>
          </w:p>
        </w:tc>
        <w:tc>
          <w:tcPr>
            <w:tcW w:w="709" w:type="dxa"/>
            <w:shd w:val="clear" w:color="auto" w:fill="9CC2E5" w:themeFill="accent1" w:themeFillTint="99"/>
            <w:hideMark/>
          </w:tcPr>
          <w:p w14:paraId="044E1C2F" w14:textId="77777777" w:rsidR="004C5F53" w:rsidRPr="008F5DAC" w:rsidRDefault="004C5F53" w:rsidP="008F5DAC">
            <w:pPr>
              <w:widowControl w:val="0"/>
              <w:ind w:firstLine="0"/>
              <w:jc w:val="center"/>
              <w:rPr>
                <w:rFonts w:eastAsia="Times New Roman" w:cs="Times New Roman"/>
                <w:b/>
                <w:bCs/>
                <w:color w:val="000000"/>
                <w:sz w:val="18"/>
                <w:szCs w:val="18"/>
              </w:rPr>
            </w:pPr>
            <w:r w:rsidRPr="008F5DAC">
              <w:rPr>
                <w:rFonts w:eastAsia="Times New Roman" w:cs="Times New Roman"/>
                <w:b/>
                <w:bCs/>
                <w:color w:val="000000"/>
                <w:sz w:val="18"/>
                <w:szCs w:val="18"/>
              </w:rPr>
              <w:t>2022</w:t>
            </w:r>
          </w:p>
        </w:tc>
        <w:tc>
          <w:tcPr>
            <w:tcW w:w="709" w:type="dxa"/>
            <w:shd w:val="clear" w:color="auto" w:fill="9CC2E5" w:themeFill="accent1" w:themeFillTint="99"/>
            <w:hideMark/>
          </w:tcPr>
          <w:p w14:paraId="439BE647" w14:textId="77777777" w:rsidR="004C5F53" w:rsidRPr="008F5DAC" w:rsidRDefault="004C5F53" w:rsidP="008F5DAC">
            <w:pPr>
              <w:widowControl w:val="0"/>
              <w:ind w:firstLine="0"/>
              <w:jc w:val="center"/>
              <w:rPr>
                <w:rFonts w:eastAsia="Times New Roman" w:cs="Times New Roman"/>
                <w:b/>
                <w:bCs/>
                <w:color w:val="000000"/>
                <w:sz w:val="18"/>
                <w:szCs w:val="18"/>
              </w:rPr>
            </w:pPr>
            <w:r w:rsidRPr="008F5DAC">
              <w:rPr>
                <w:rFonts w:eastAsia="Times New Roman" w:cs="Times New Roman"/>
                <w:b/>
                <w:bCs/>
                <w:color w:val="000000"/>
                <w:sz w:val="18"/>
                <w:szCs w:val="18"/>
              </w:rPr>
              <w:t>2023</w:t>
            </w:r>
          </w:p>
        </w:tc>
        <w:tc>
          <w:tcPr>
            <w:tcW w:w="702" w:type="dxa"/>
            <w:shd w:val="clear" w:color="auto" w:fill="9CC2E5" w:themeFill="accent1" w:themeFillTint="99"/>
            <w:hideMark/>
          </w:tcPr>
          <w:p w14:paraId="4EDE1C44" w14:textId="77777777" w:rsidR="004C5F53" w:rsidRPr="008F5DAC" w:rsidRDefault="004C5F53" w:rsidP="008F5DAC">
            <w:pPr>
              <w:widowControl w:val="0"/>
              <w:ind w:firstLine="0"/>
              <w:jc w:val="center"/>
              <w:rPr>
                <w:rFonts w:eastAsia="Times New Roman" w:cs="Times New Roman"/>
                <w:b/>
                <w:bCs/>
                <w:color w:val="000000"/>
                <w:sz w:val="18"/>
                <w:szCs w:val="18"/>
              </w:rPr>
            </w:pPr>
            <w:r w:rsidRPr="008F5DAC">
              <w:rPr>
                <w:rFonts w:eastAsia="Times New Roman" w:cs="Times New Roman"/>
                <w:b/>
                <w:bCs/>
                <w:color w:val="000000"/>
                <w:sz w:val="18"/>
                <w:szCs w:val="18"/>
              </w:rPr>
              <w:t>2024</w:t>
            </w:r>
          </w:p>
        </w:tc>
      </w:tr>
      <w:tr w:rsidR="004C5F53" w:rsidRPr="008F5DAC" w14:paraId="325614A0" w14:textId="77777777" w:rsidTr="00351C3D">
        <w:trPr>
          <w:trHeight w:val="290"/>
          <w:jc w:val="center"/>
        </w:trPr>
        <w:tc>
          <w:tcPr>
            <w:tcW w:w="4248" w:type="dxa"/>
            <w:vMerge w:val="restart"/>
            <w:hideMark/>
          </w:tcPr>
          <w:p w14:paraId="29B01CCC" w14:textId="651FCBCF" w:rsidR="004C5F53" w:rsidRPr="008F5DAC" w:rsidRDefault="004C5F53" w:rsidP="008F5DAC">
            <w:pPr>
              <w:widowControl w:val="0"/>
              <w:ind w:firstLine="0"/>
              <w:rPr>
                <w:rFonts w:eastAsia="Times New Roman" w:cs="Times New Roman"/>
                <w:color w:val="000000"/>
                <w:sz w:val="18"/>
                <w:szCs w:val="18"/>
              </w:rPr>
            </w:pPr>
            <w:r w:rsidRPr="008F5DAC">
              <w:rPr>
                <w:rFonts w:eastAsia="Times New Roman" w:cs="Times New Roman"/>
                <w:color w:val="000000"/>
                <w:sz w:val="18"/>
                <w:szCs w:val="18"/>
              </w:rPr>
              <w:t>Diferencētā neapliekamā minimuma un pensionāru neapliekamā minimuma palielināšana no 2022. gada 1. </w:t>
            </w:r>
            <w:r w:rsidR="008F5DAC">
              <w:rPr>
                <w:rFonts w:eastAsia="Times New Roman" w:cs="Times New Roman"/>
                <w:color w:val="000000"/>
                <w:sz w:val="18"/>
                <w:szCs w:val="18"/>
              </w:rPr>
              <w:t xml:space="preserve"> </w:t>
            </w:r>
            <w:r w:rsidRPr="008F5DAC">
              <w:rPr>
                <w:rFonts w:eastAsia="Times New Roman" w:cs="Times New Roman"/>
                <w:color w:val="000000"/>
                <w:sz w:val="18"/>
                <w:szCs w:val="18"/>
              </w:rPr>
              <w:t>janvāra, attiecīgi no 300 līdz 350 </w:t>
            </w:r>
            <w:r w:rsidRPr="008F5DAC">
              <w:rPr>
                <w:rFonts w:eastAsia="Times New Roman" w:cs="Times New Roman"/>
                <w:i/>
                <w:color w:val="000000"/>
                <w:sz w:val="18"/>
                <w:szCs w:val="18"/>
              </w:rPr>
              <w:t>euro</w:t>
            </w:r>
            <w:r w:rsidRPr="008F5DAC">
              <w:rPr>
                <w:rFonts w:eastAsia="Times New Roman" w:cs="Times New Roman"/>
                <w:color w:val="000000"/>
                <w:sz w:val="18"/>
                <w:szCs w:val="18"/>
              </w:rPr>
              <w:t xml:space="preserve"> mēnesī un no 330 līdz 350 </w:t>
            </w:r>
            <w:r w:rsidRPr="008F5DAC">
              <w:rPr>
                <w:rFonts w:eastAsia="Times New Roman" w:cs="Times New Roman"/>
                <w:i/>
                <w:color w:val="000000"/>
                <w:sz w:val="18"/>
                <w:szCs w:val="18"/>
              </w:rPr>
              <w:t>euro</w:t>
            </w:r>
            <w:r w:rsidRPr="008F5DAC">
              <w:rPr>
                <w:rFonts w:eastAsia="Times New Roman" w:cs="Times New Roman"/>
                <w:color w:val="000000"/>
                <w:sz w:val="18"/>
                <w:szCs w:val="18"/>
              </w:rPr>
              <w:t xml:space="preserve"> mēnesī, un abu neapliekamo minimumu palielināšana no 2022. gada 1.</w:t>
            </w:r>
            <w:r w:rsidR="008F5DAC">
              <w:rPr>
                <w:rFonts w:eastAsia="Times New Roman" w:cs="Times New Roman"/>
                <w:color w:val="000000"/>
                <w:sz w:val="18"/>
                <w:szCs w:val="18"/>
              </w:rPr>
              <w:t xml:space="preserve"> </w:t>
            </w:r>
            <w:r w:rsidRPr="008F5DAC">
              <w:rPr>
                <w:rFonts w:eastAsia="Times New Roman" w:cs="Times New Roman"/>
                <w:color w:val="000000"/>
                <w:sz w:val="18"/>
                <w:szCs w:val="18"/>
              </w:rPr>
              <w:t>jūlija līdz 500 </w:t>
            </w:r>
            <w:r w:rsidRPr="008F5DAC">
              <w:rPr>
                <w:rFonts w:eastAsia="Times New Roman" w:cs="Times New Roman"/>
                <w:i/>
                <w:color w:val="000000"/>
                <w:sz w:val="18"/>
                <w:szCs w:val="18"/>
              </w:rPr>
              <w:t>euro</w:t>
            </w:r>
            <w:r w:rsidRPr="008F5DAC">
              <w:rPr>
                <w:rFonts w:eastAsia="Times New Roman" w:cs="Times New Roman"/>
                <w:color w:val="000000"/>
                <w:sz w:val="18"/>
                <w:szCs w:val="18"/>
              </w:rPr>
              <w:t xml:space="preserve"> mēnesī</w:t>
            </w:r>
          </w:p>
        </w:tc>
        <w:tc>
          <w:tcPr>
            <w:tcW w:w="2693" w:type="dxa"/>
            <w:hideMark/>
          </w:tcPr>
          <w:p w14:paraId="644D92C7" w14:textId="77777777" w:rsidR="004C5F53" w:rsidRPr="008F5DAC" w:rsidRDefault="004C5F53" w:rsidP="008F5DAC">
            <w:pPr>
              <w:widowControl w:val="0"/>
              <w:ind w:firstLine="0"/>
              <w:jc w:val="left"/>
              <w:rPr>
                <w:rFonts w:eastAsia="Times New Roman" w:cs="Times New Roman"/>
                <w:color w:val="000000"/>
                <w:sz w:val="18"/>
                <w:szCs w:val="18"/>
              </w:rPr>
            </w:pPr>
            <w:r w:rsidRPr="008F5DAC">
              <w:rPr>
                <w:rFonts w:eastAsia="Times New Roman" w:cs="Times New Roman"/>
                <w:color w:val="000000"/>
                <w:sz w:val="18"/>
                <w:szCs w:val="18"/>
              </w:rPr>
              <w:t>Kopā, t.sk.:</w:t>
            </w:r>
          </w:p>
        </w:tc>
        <w:tc>
          <w:tcPr>
            <w:tcW w:w="709" w:type="dxa"/>
            <w:hideMark/>
          </w:tcPr>
          <w:p w14:paraId="0F04BFE0" w14:textId="77777777" w:rsidR="004C5F53" w:rsidRPr="008F5DAC" w:rsidRDefault="004C5F53" w:rsidP="008F5DAC">
            <w:pPr>
              <w:widowControl w:val="0"/>
              <w:ind w:firstLine="0"/>
              <w:jc w:val="center"/>
              <w:rPr>
                <w:rFonts w:eastAsia="Times New Roman" w:cs="Times New Roman"/>
                <w:color w:val="000000"/>
                <w:sz w:val="18"/>
                <w:szCs w:val="18"/>
              </w:rPr>
            </w:pPr>
            <w:r w:rsidRPr="008F5DAC">
              <w:rPr>
                <w:rFonts w:eastAsia="Times New Roman" w:cs="Times New Roman"/>
                <w:color w:val="000000"/>
                <w:sz w:val="18"/>
                <w:szCs w:val="18"/>
              </w:rPr>
              <w:t>-93,8</w:t>
            </w:r>
          </w:p>
        </w:tc>
        <w:tc>
          <w:tcPr>
            <w:tcW w:w="709" w:type="dxa"/>
            <w:hideMark/>
          </w:tcPr>
          <w:p w14:paraId="4441B736" w14:textId="77777777" w:rsidR="004C5F53" w:rsidRPr="008F5DAC" w:rsidRDefault="004C5F53" w:rsidP="008F5DAC">
            <w:pPr>
              <w:widowControl w:val="0"/>
              <w:ind w:firstLine="0"/>
              <w:jc w:val="center"/>
              <w:rPr>
                <w:rFonts w:eastAsia="Times New Roman" w:cs="Times New Roman"/>
                <w:color w:val="000000"/>
                <w:sz w:val="18"/>
                <w:szCs w:val="18"/>
              </w:rPr>
            </w:pPr>
            <w:r w:rsidRPr="008F5DAC">
              <w:rPr>
                <w:rFonts w:eastAsia="Times New Roman" w:cs="Times New Roman"/>
                <w:color w:val="000000"/>
                <w:sz w:val="18"/>
                <w:szCs w:val="18"/>
              </w:rPr>
              <w:t>-152,9</w:t>
            </w:r>
          </w:p>
        </w:tc>
        <w:tc>
          <w:tcPr>
            <w:tcW w:w="702" w:type="dxa"/>
            <w:hideMark/>
          </w:tcPr>
          <w:p w14:paraId="281E6D5B" w14:textId="77777777" w:rsidR="004C5F53" w:rsidRPr="008F5DAC" w:rsidRDefault="004C5F53" w:rsidP="008F5DAC">
            <w:pPr>
              <w:widowControl w:val="0"/>
              <w:ind w:firstLine="0"/>
              <w:jc w:val="center"/>
              <w:rPr>
                <w:rFonts w:eastAsia="Times New Roman" w:cs="Times New Roman"/>
                <w:color w:val="000000"/>
                <w:sz w:val="18"/>
                <w:szCs w:val="18"/>
              </w:rPr>
            </w:pPr>
            <w:r w:rsidRPr="008F5DAC">
              <w:rPr>
                <w:rFonts w:eastAsia="Times New Roman" w:cs="Times New Roman"/>
                <w:color w:val="000000"/>
                <w:sz w:val="18"/>
                <w:szCs w:val="18"/>
              </w:rPr>
              <w:t>-152,8</w:t>
            </w:r>
          </w:p>
        </w:tc>
      </w:tr>
      <w:tr w:rsidR="004C5F53" w:rsidRPr="008F5DAC" w14:paraId="7269B2F8" w14:textId="77777777" w:rsidTr="00351C3D">
        <w:trPr>
          <w:trHeight w:val="460"/>
          <w:jc w:val="center"/>
        </w:trPr>
        <w:tc>
          <w:tcPr>
            <w:tcW w:w="4248" w:type="dxa"/>
            <w:vMerge/>
            <w:hideMark/>
          </w:tcPr>
          <w:p w14:paraId="2B620C6D" w14:textId="77777777" w:rsidR="004C5F53" w:rsidRPr="008F5DAC" w:rsidRDefault="004C5F53" w:rsidP="008F5DAC">
            <w:pPr>
              <w:widowControl w:val="0"/>
              <w:ind w:firstLine="0"/>
              <w:rPr>
                <w:rFonts w:eastAsia="Times New Roman" w:cs="Times New Roman"/>
                <w:color w:val="000000"/>
                <w:sz w:val="18"/>
                <w:szCs w:val="18"/>
              </w:rPr>
            </w:pPr>
          </w:p>
        </w:tc>
        <w:tc>
          <w:tcPr>
            <w:tcW w:w="2693" w:type="dxa"/>
            <w:hideMark/>
          </w:tcPr>
          <w:p w14:paraId="6B838451" w14:textId="77777777" w:rsidR="004C5F53" w:rsidRPr="008F5DAC" w:rsidRDefault="004C5F53" w:rsidP="008F5DAC">
            <w:pPr>
              <w:widowControl w:val="0"/>
              <w:ind w:firstLine="0"/>
              <w:jc w:val="left"/>
              <w:rPr>
                <w:rFonts w:eastAsia="Times New Roman" w:cs="Times New Roman"/>
                <w:i/>
                <w:iCs/>
                <w:color w:val="000000"/>
                <w:sz w:val="18"/>
                <w:szCs w:val="18"/>
              </w:rPr>
            </w:pPr>
            <w:r w:rsidRPr="008F5DAC">
              <w:rPr>
                <w:rFonts w:eastAsia="Times New Roman" w:cs="Times New Roman"/>
                <w:i/>
                <w:iCs/>
                <w:color w:val="000000"/>
                <w:sz w:val="18"/>
                <w:szCs w:val="18"/>
              </w:rPr>
              <w:t>Iedzīvotāju ienākuma nodoklis</w:t>
            </w:r>
          </w:p>
        </w:tc>
        <w:tc>
          <w:tcPr>
            <w:tcW w:w="709" w:type="dxa"/>
            <w:hideMark/>
          </w:tcPr>
          <w:p w14:paraId="2F7805A6"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-106,2</w:t>
            </w:r>
          </w:p>
        </w:tc>
        <w:tc>
          <w:tcPr>
            <w:tcW w:w="709" w:type="dxa"/>
            <w:hideMark/>
          </w:tcPr>
          <w:p w14:paraId="2A7D6C46"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-173,0</w:t>
            </w:r>
          </w:p>
        </w:tc>
        <w:tc>
          <w:tcPr>
            <w:tcW w:w="702" w:type="dxa"/>
            <w:hideMark/>
          </w:tcPr>
          <w:p w14:paraId="28AF9166"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-173,0</w:t>
            </w:r>
          </w:p>
        </w:tc>
      </w:tr>
      <w:tr w:rsidR="004C5F53" w:rsidRPr="008F5DAC" w14:paraId="39C1A9FD" w14:textId="77777777" w:rsidTr="00351C3D">
        <w:trPr>
          <w:trHeight w:val="259"/>
          <w:jc w:val="center"/>
        </w:trPr>
        <w:tc>
          <w:tcPr>
            <w:tcW w:w="4248" w:type="dxa"/>
            <w:vMerge/>
            <w:hideMark/>
          </w:tcPr>
          <w:p w14:paraId="5C03C7C8" w14:textId="77777777" w:rsidR="004C5F53" w:rsidRPr="008F5DAC" w:rsidRDefault="004C5F53" w:rsidP="008F5DAC">
            <w:pPr>
              <w:widowControl w:val="0"/>
              <w:ind w:firstLine="0"/>
              <w:rPr>
                <w:rFonts w:eastAsia="Times New Roman" w:cs="Times New Roman"/>
                <w:color w:val="000000"/>
                <w:sz w:val="18"/>
                <w:szCs w:val="18"/>
              </w:rPr>
            </w:pPr>
          </w:p>
        </w:tc>
        <w:tc>
          <w:tcPr>
            <w:tcW w:w="2693" w:type="dxa"/>
            <w:hideMark/>
          </w:tcPr>
          <w:p w14:paraId="18142EE2" w14:textId="77777777" w:rsidR="004C5F53" w:rsidRPr="008F5DAC" w:rsidRDefault="004C5F53" w:rsidP="008F5DAC">
            <w:pPr>
              <w:widowControl w:val="0"/>
              <w:ind w:firstLine="0"/>
              <w:jc w:val="left"/>
              <w:rPr>
                <w:rFonts w:eastAsia="Times New Roman" w:cs="Times New Roman"/>
                <w:i/>
                <w:iCs/>
                <w:color w:val="000000"/>
                <w:sz w:val="18"/>
                <w:szCs w:val="18"/>
              </w:rPr>
            </w:pPr>
            <w:r w:rsidRPr="008F5DAC">
              <w:rPr>
                <w:rFonts w:eastAsia="Times New Roman" w:cs="Times New Roman"/>
                <w:i/>
                <w:iCs/>
                <w:color w:val="000000"/>
                <w:sz w:val="18"/>
                <w:szCs w:val="18"/>
              </w:rPr>
              <w:t>Pievienotās vērtības nodoklis</w:t>
            </w:r>
          </w:p>
        </w:tc>
        <w:tc>
          <w:tcPr>
            <w:tcW w:w="709" w:type="dxa"/>
            <w:hideMark/>
          </w:tcPr>
          <w:p w14:paraId="595744CE"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12,4</w:t>
            </w:r>
          </w:p>
        </w:tc>
        <w:tc>
          <w:tcPr>
            <w:tcW w:w="709" w:type="dxa"/>
            <w:hideMark/>
          </w:tcPr>
          <w:p w14:paraId="03F76F3A"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20,2</w:t>
            </w:r>
          </w:p>
        </w:tc>
        <w:tc>
          <w:tcPr>
            <w:tcW w:w="702" w:type="dxa"/>
            <w:hideMark/>
          </w:tcPr>
          <w:p w14:paraId="4672B61F"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20,2</w:t>
            </w:r>
          </w:p>
        </w:tc>
      </w:tr>
      <w:tr w:rsidR="004C5F53" w:rsidRPr="008F5DAC" w14:paraId="27D39A5A" w14:textId="77777777" w:rsidTr="00351C3D">
        <w:trPr>
          <w:trHeight w:val="290"/>
          <w:jc w:val="center"/>
        </w:trPr>
        <w:tc>
          <w:tcPr>
            <w:tcW w:w="4248" w:type="dxa"/>
            <w:vMerge w:val="restart"/>
            <w:hideMark/>
          </w:tcPr>
          <w:p w14:paraId="55A329DF" w14:textId="77777777" w:rsidR="004C5F53" w:rsidRPr="008F5DAC" w:rsidRDefault="004C5F53" w:rsidP="008F5DAC">
            <w:pPr>
              <w:widowControl w:val="0"/>
              <w:ind w:firstLine="0"/>
              <w:rPr>
                <w:rFonts w:eastAsia="Times New Roman" w:cs="Times New Roman"/>
                <w:color w:val="000000"/>
                <w:sz w:val="18"/>
                <w:szCs w:val="18"/>
              </w:rPr>
            </w:pPr>
            <w:r w:rsidRPr="008F5DAC">
              <w:rPr>
                <w:rFonts w:eastAsia="Times New Roman" w:cs="Times New Roman"/>
                <w:color w:val="000000"/>
                <w:sz w:val="18"/>
                <w:szCs w:val="18"/>
              </w:rPr>
              <w:t>Atalgojuma palielināšana prioritārajām nozarēm</w:t>
            </w:r>
          </w:p>
        </w:tc>
        <w:tc>
          <w:tcPr>
            <w:tcW w:w="2693" w:type="dxa"/>
            <w:hideMark/>
          </w:tcPr>
          <w:p w14:paraId="6F8A3D7B" w14:textId="77777777" w:rsidR="004C5F53" w:rsidRPr="008F5DAC" w:rsidRDefault="004C5F53" w:rsidP="008F5DAC">
            <w:pPr>
              <w:widowControl w:val="0"/>
              <w:ind w:firstLine="0"/>
              <w:jc w:val="left"/>
              <w:rPr>
                <w:rFonts w:eastAsia="Times New Roman" w:cs="Times New Roman"/>
                <w:color w:val="000000"/>
                <w:sz w:val="18"/>
                <w:szCs w:val="18"/>
              </w:rPr>
            </w:pPr>
            <w:r w:rsidRPr="008F5DAC">
              <w:rPr>
                <w:rFonts w:eastAsia="Times New Roman" w:cs="Times New Roman"/>
                <w:color w:val="000000"/>
                <w:sz w:val="18"/>
                <w:szCs w:val="18"/>
              </w:rPr>
              <w:t>Kopā, t.sk.,</w:t>
            </w:r>
          </w:p>
        </w:tc>
        <w:tc>
          <w:tcPr>
            <w:tcW w:w="709" w:type="dxa"/>
            <w:hideMark/>
          </w:tcPr>
          <w:p w14:paraId="25657FFC" w14:textId="77777777" w:rsidR="004C5F53" w:rsidRPr="008F5DAC" w:rsidRDefault="004C5F53" w:rsidP="008F5DAC">
            <w:pPr>
              <w:widowControl w:val="0"/>
              <w:ind w:firstLine="0"/>
              <w:jc w:val="center"/>
              <w:rPr>
                <w:rFonts w:eastAsia="Times New Roman" w:cs="Times New Roman"/>
                <w:color w:val="000000"/>
                <w:sz w:val="18"/>
                <w:szCs w:val="18"/>
              </w:rPr>
            </w:pPr>
            <w:r w:rsidRPr="008F5DAC">
              <w:rPr>
                <w:rFonts w:eastAsia="Times New Roman" w:cs="Times New Roman"/>
                <w:color w:val="000000"/>
                <w:sz w:val="18"/>
                <w:szCs w:val="18"/>
              </w:rPr>
              <w:t>48,0</w:t>
            </w:r>
          </w:p>
        </w:tc>
        <w:tc>
          <w:tcPr>
            <w:tcW w:w="709" w:type="dxa"/>
            <w:hideMark/>
          </w:tcPr>
          <w:p w14:paraId="41EBBA64" w14:textId="77777777" w:rsidR="004C5F53" w:rsidRPr="008F5DAC" w:rsidRDefault="004C5F53" w:rsidP="008F5DAC">
            <w:pPr>
              <w:widowControl w:val="0"/>
              <w:ind w:firstLine="0"/>
              <w:jc w:val="center"/>
              <w:rPr>
                <w:rFonts w:eastAsia="Times New Roman" w:cs="Times New Roman"/>
                <w:color w:val="000000"/>
                <w:sz w:val="18"/>
                <w:szCs w:val="18"/>
              </w:rPr>
            </w:pPr>
            <w:r w:rsidRPr="008F5DAC">
              <w:rPr>
                <w:rFonts w:eastAsia="Times New Roman" w:cs="Times New Roman"/>
                <w:color w:val="000000"/>
                <w:sz w:val="18"/>
                <w:szCs w:val="18"/>
              </w:rPr>
              <w:t>59,4</w:t>
            </w:r>
          </w:p>
        </w:tc>
        <w:tc>
          <w:tcPr>
            <w:tcW w:w="702" w:type="dxa"/>
            <w:hideMark/>
          </w:tcPr>
          <w:p w14:paraId="0B5A71FC" w14:textId="77777777" w:rsidR="004C5F53" w:rsidRPr="008F5DAC" w:rsidRDefault="004C5F53" w:rsidP="008F5DAC">
            <w:pPr>
              <w:widowControl w:val="0"/>
              <w:ind w:firstLine="0"/>
              <w:jc w:val="center"/>
              <w:rPr>
                <w:rFonts w:eastAsia="Times New Roman" w:cs="Times New Roman"/>
                <w:color w:val="000000"/>
                <w:sz w:val="18"/>
                <w:szCs w:val="18"/>
              </w:rPr>
            </w:pPr>
            <w:r w:rsidRPr="008F5DAC">
              <w:rPr>
                <w:rFonts w:eastAsia="Times New Roman" w:cs="Times New Roman"/>
                <w:color w:val="000000"/>
                <w:sz w:val="18"/>
                <w:szCs w:val="18"/>
              </w:rPr>
              <w:t>58,1</w:t>
            </w:r>
          </w:p>
        </w:tc>
      </w:tr>
      <w:tr w:rsidR="004C5F53" w:rsidRPr="008F5DAC" w14:paraId="1351CB11" w14:textId="77777777" w:rsidTr="00351C3D">
        <w:trPr>
          <w:trHeight w:val="460"/>
          <w:jc w:val="center"/>
        </w:trPr>
        <w:tc>
          <w:tcPr>
            <w:tcW w:w="4248" w:type="dxa"/>
            <w:vMerge/>
            <w:hideMark/>
          </w:tcPr>
          <w:p w14:paraId="7BD5454F" w14:textId="77777777" w:rsidR="004C5F53" w:rsidRPr="008F5DAC" w:rsidRDefault="004C5F53" w:rsidP="008F5DAC">
            <w:pPr>
              <w:widowControl w:val="0"/>
              <w:ind w:firstLine="0"/>
              <w:rPr>
                <w:rFonts w:eastAsia="Times New Roman" w:cs="Times New Roman"/>
                <w:color w:val="000000"/>
                <w:sz w:val="18"/>
                <w:szCs w:val="18"/>
              </w:rPr>
            </w:pPr>
          </w:p>
        </w:tc>
        <w:tc>
          <w:tcPr>
            <w:tcW w:w="2693" w:type="dxa"/>
            <w:hideMark/>
          </w:tcPr>
          <w:p w14:paraId="3FD0E701" w14:textId="77777777" w:rsidR="004C5F53" w:rsidRPr="008F5DAC" w:rsidRDefault="004C5F53" w:rsidP="008F5DAC">
            <w:pPr>
              <w:widowControl w:val="0"/>
              <w:ind w:firstLine="0"/>
              <w:jc w:val="left"/>
              <w:rPr>
                <w:rFonts w:eastAsia="Times New Roman" w:cs="Times New Roman"/>
                <w:i/>
                <w:iCs/>
                <w:color w:val="000000"/>
                <w:sz w:val="18"/>
                <w:szCs w:val="18"/>
              </w:rPr>
            </w:pPr>
            <w:r w:rsidRPr="008F5DAC">
              <w:rPr>
                <w:rFonts w:eastAsia="Times New Roman" w:cs="Times New Roman"/>
                <w:i/>
                <w:iCs/>
                <w:color w:val="000000"/>
                <w:sz w:val="18"/>
                <w:szCs w:val="18"/>
              </w:rPr>
              <w:t>Iedzīvotāju ienākuma nodoklis</w:t>
            </w:r>
          </w:p>
        </w:tc>
        <w:tc>
          <w:tcPr>
            <w:tcW w:w="709" w:type="dxa"/>
            <w:hideMark/>
          </w:tcPr>
          <w:p w14:paraId="4C3ADC37"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16,8</w:t>
            </w:r>
          </w:p>
        </w:tc>
        <w:tc>
          <w:tcPr>
            <w:tcW w:w="709" w:type="dxa"/>
            <w:hideMark/>
          </w:tcPr>
          <w:p w14:paraId="091F156E"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20,8</w:t>
            </w:r>
          </w:p>
        </w:tc>
        <w:tc>
          <w:tcPr>
            <w:tcW w:w="702" w:type="dxa"/>
            <w:hideMark/>
          </w:tcPr>
          <w:p w14:paraId="0885E293"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20,3</w:t>
            </w:r>
          </w:p>
        </w:tc>
      </w:tr>
      <w:tr w:rsidR="004C5F53" w:rsidRPr="008F5DAC" w14:paraId="750E4DFB" w14:textId="77777777" w:rsidTr="00351C3D">
        <w:trPr>
          <w:trHeight w:val="237"/>
          <w:jc w:val="center"/>
        </w:trPr>
        <w:tc>
          <w:tcPr>
            <w:tcW w:w="4248" w:type="dxa"/>
            <w:vMerge/>
            <w:hideMark/>
          </w:tcPr>
          <w:p w14:paraId="43E7FE5A" w14:textId="77777777" w:rsidR="004C5F53" w:rsidRPr="008F5DAC" w:rsidRDefault="004C5F53" w:rsidP="008F5DAC">
            <w:pPr>
              <w:widowControl w:val="0"/>
              <w:ind w:firstLine="0"/>
              <w:rPr>
                <w:rFonts w:eastAsia="Times New Roman" w:cs="Times New Roman"/>
                <w:color w:val="000000"/>
                <w:sz w:val="18"/>
                <w:szCs w:val="18"/>
              </w:rPr>
            </w:pPr>
          </w:p>
        </w:tc>
        <w:tc>
          <w:tcPr>
            <w:tcW w:w="2693" w:type="dxa"/>
            <w:hideMark/>
          </w:tcPr>
          <w:p w14:paraId="36159EDC" w14:textId="77777777" w:rsidR="004C5F53" w:rsidRPr="008F5DAC" w:rsidRDefault="004C5F53" w:rsidP="008F5DAC">
            <w:pPr>
              <w:widowControl w:val="0"/>
              <w:ind w:firstLine="0"/>
              <w:jc w:val="left"/>
              <w:rPr>
                <w:rFonts w:eastAsia="Times New Roman" w:cs="Times New Roman"/>
                <w:i/>
                <w:iCs/>
                <w:color w:val="000000"/>
                <w:sz w:val="18"/>
                <w:szCs w:val="18"/>
              </w:rPr>
            </w:pPr>
            <w:r w:rsidRPr="008F5DAC">
              <w:rPr>
                <w:rFonts w:eastAsia="Times New Roman" w:cs="Times New Roman"/>
                <w:i/>
                <w:iCs/>
                <w:color w:val="000000"/>
                <w:sz w:val="18"/>
                <w:szCs w:val="18"/>
              </w:rPr>
              <w:t>Sociālās apdrošināšanas iemaksas</w:t>
            </w:r>
          </w:p>
        </w:tc>
        <w:tc>
          <w:tcPr>
            <w:tcW w:w="709" w:type="dxa"/>
            <w:hideMark/>
          </w:tcPr>
          <w:p w14:paraId="767C216E"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26,7</w:t>
            </w:r>
          </w:p>
        </w:tc>
        <w:tc>
          <w:tcPr>
            <w:tcW w:w="709" w:type="dxa"/>
            <w:hideMark/>
          </w:tcPr>
          <w:p w14:paraId="131B6C0E"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33,0</w:t>
            </w:r>
          </w:p>
        </w:tc>
        <w:tc>
          <w:tcPr>
            <w:tcW w:w="702" w:type="dxa"/>
            <w:hideMark/>
          </w:tcPr>
          <w:p w14:paraId="1E0D0890"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32,3</w:t>
            </w:r>
          </w:p>
        </w:tc>
      </w:tr>
      <w:tr w:rsidR="004C5F53" w:rsidRPr="008F5DAC" w14:paraId="35472897" w14:textId="77777777" w:rsidTr="00351C3D">
        <w:trPr>
          <w:trHeight w:val="470"/>
          <w:jc w:val="center"/>
        </w:trPr>
        <w:tc>
          <w:tcPr>
            <w:tcW w:w="4248" w:type="dxa"/>
            <w:vMerge/>
            <w:hideMark/>
          </w:tcPr>
          <w:p w14:paraId="40D295F0" w14:textId="77777777" w:rsidR="004C5F53" w:rsidRPr="008F5DAC" w:rsidRDefault="004C5F53" w:rsidP="008F5DAC">
            <w:pPr>
              <w:widowControl w:val="0"/>
              <w:ind w:firstLine="0"/>
              <w:rPr>
                <w:rFonts w:eastAsia="Times New Roman" w:cs="Times New Roman"/>
                <w:color w:val="000000"/>
                <w:sz w:val="18"/>
                <w:szCs w:val="18"/>
              </w:rPr>
            </w:pPr>
          </w:p>
        </w:tc>
        <w:tc>
          <w:tcPr>
            <w:tcW w:w="2693" w:type="dxa"/>
            <w:hideMark/>
          </w:tcPr>
          <w:p w14:paraId="69CEE67C" w14:textId="77777777" w:rsidR="004C5F53" w:rsidRPr="008F5DAC" w:rsidRDefault="004C5F53" w:rsidP="008F5DAC">
            <w:pPr>
              <w:widowControl w:val="0"/>
              <w:ind w:firstLine="0"/>
              <w:jc w:val="left"/>
              <w:rPr>
                <w:rFonts w:eastAsia="Times New Roman" w:cs="Times New Roman"/>
                <w:i/>
                <w:iCs/>
                <w:color w:val="000000"/>
                <w:sz w:val="18"/>
                <w:szCs w:val="18"/>
              </w:rPr>
            </w:pPr>
            <w:r w:rsidRPr="008F5DAC">
              <w:rPr>
                <w:rFonts w:eastAsia="Times New Roman" w:cs="Times New Roman"/>
                <w:i/>
                <w:iCs/>
                <w:color w:val="000000"/>
                <w:sz w:val="18"/>
                <w:szCs w:val="18"/>
              </w:rPr>
              <w:t>Pievienotās vērtības nodoklis</w:t>
            </w:r>
          </w:p>
        </w:tc>
        <w:tc>
          <w:tcPr>
            <w:tcW w:w="709" w:type="dxa"/>
            <w:hideMark/>
          </w:tcPr>
          <w:p w14:paraId="416D1C22"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4,6</w:t>
            </w:r>
          </w:p>
        </w:tc>
        <w:tc>
          <w:tcPr>
            <w:tcW w:w="709" w:type="dxa"/>
            <w:hideMark/>
          </w:tcPr>
          <w:p w14:paraId="11DD0C36"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5,6</w:t>
            </w:r>
          </w:p>
        </w:tc>
        <w:tc>
          <w:tcPr>
            <w:tcW w:w="702" w:type="dxa"/>
            <w:hideMark/>
          </w:tcPr>
          <w:p w14:paraId="682A2E82"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5,5</w:t>
            </w:r>
          </w:p>
        </w:tc>
      </w:tr>
      <w:tr w:rsidR="004C5F53" w:rsidRPr="008F5DAC" w14:paraId="2F127DB2" w14:textId="77777777" w:rsidTr="00351C3D">
        <w:trPr>
          <w:trHeight w:val="290"/>
          <w:jc w:val="center"/>
        </w:trPr>
        <w:tc>
          <w:tcPr>
            <w:tcW w:w="4248" w:type="dxa"/>
            <w:vMerge w:val="restart"/>
            <w:hideMark/>
          </w:tcPr>
          <w:p w14:paraId="05ECE9E6" w14:textId="77777777" w:rsidR="004C5F53" w:rsidRPr="008F5DAC" w:rsidRDefault="004C5F53" w:rsidP="008F5DAC">
            <w:pPr>
              <w:widowControl w:val="0"/>
              <w:ind w:firstLine="0"/>
              <w:rPr>
                <w:rFonts w:eastAsia="Times New Roman" w:cs="Times New Roman"/>
                <w:color w:val="000000"/>
                <w:sz w:val="18"/>
                <w:szCs w:val="18"/>
              </w:rPr>
            </w:pPr>
            <w:r w:rsidRPr="008F5DAC">
              <w:rPr>
                <w:rFonts w:eastAsia="Times New Roman" w:cs="Times New Roman"/>
                <w:color w:val="000000"/>
                <w:sz w:val="18"/>
                <w:szCs w:val="18"/>
              </w:rPr>
              <w:t>Darba devēja veselības pakalpojuma limita paaugstināšana</w:t>
            </w:r>
          </w:p>
        </w:tc>
        <w:tc>
          <w:tcPr>
            <w:tcW w:w="2693" w:type="dxa"/>
            <w:hideMark/>
          </w:tcPr>
          <w:p w14:paraId="6CD5C324" w14:textId="77777777" w:rsidR="004C5F53" w:rsidRPr="008F5DAC" w:rsidRDefault="004C5F53" w:rsidP="008F5DAC">
            <w:pPr>
              <w:widowControl w:val="0"/>
              <w:ind w:firstLine="0"/>
              <w:jc w:val="left"/>
              <w:rPr>
                <w:rFonts w:eastAsia="Times New Roman" w:cs="Times New Roman"/>
                <w:color w:val="000000"/>
                <w:sz w:val="18"/>
                <w:szCs w:val="18"/>
              </w:rPr>
            </w:pPr>
            <w:r w:rsidRPr="008F5DAC">
              <w:rPr>
                <w:rFonts w:eastAsia="Times New Roman" w:cs="Times New Roman"/>
                <w:color w:val="000000"/>
                <w:sz w:val="18"/>
                <w:szCs w:val="18"/>
              </w:rPr>
              <w:t>Kopā, t.sk.:</w:t>
            </w:r>
          </w:p>
        </w:tc>
        <w:tc>
          <w:tcPr>
            <w:tcW w:w="709" w:type="dxa"/>
            <w:hideMark/>
          </w:tcPr>
          <w:p w14:paraId="5FAC2AD2"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-1,4</w:t>
            </w:r>
          </w:p>
        </w:tc>
        <w:tc>
          <w:tcPr>
            <w:tcW w:w="709" w:type="dxa"/>
            <w:hideMark/>
          </w:tcPr>
          <w:p w14:paraId="6AF3A61C" w14:textId="77777777" w:rsidR="004C5F53" w:rsidRPr="008F5DAC" w:rsidRDefault="004C5F53" w:rsidP="008F5DAC">
            <w:pPr>
              <w:widowControl w:val="0"/>
              <w:ind w:firstLine="0"/>
              <w:jc w:val="center"/>
              <w:rPr>
                <w:rFonts w:eastAsia="Times New Roman" w:cs="Times New Roman"/>
                <w:color w:val="000000"/>
                <w:sz w:val="18"/>
                <w:szCs w:val="18"/>
              </w:rPr>
            </w:pPr>
            <w:r w:rsidRPr="008F5DAC">
              <w:rPr>
                <w:rFonts w:eastAsia="Times New Roman" w:cs="Times New Roman"/>
                <w:color w:val="000000"/>
                <w:sz w:val="18"/>
                <w:szCs w:val="18"/>
              </w:rPr>
              <w:t>-1,4</w:t>
            </w:r>
          </w:p>
        </w:tc>
        <w:tc>
          <w:tcPr>
            <w:tcW w:w="702" w:type="dxa"/>
            <w:hideMark/>
          </w:tcPr>
          <w:p w14:paraId="203868A0" w14:textId="77777777" w:rsidR="004C5F53" w:rsidRPr="008F5DAC" w:rsidRDefault="004C5F53" w:rsidP="008F5DAC">
            <w:pPr>
              <w:widowControl w:val="0"/>
              <w:ind w:firstLine="0"/>
              <w:jc w:val="center"/>
              <w:rPr>
                <w:rFonts w:eastAsia="Times New Roman" w:cs="Times New Roman"/>
                <w:color w:val="000000"/>
                <w:sz w:val="18"/>
                <w:szCs w:val="18"/>
              </w:rPr>
            </w:pPr>
            <w:r w:rsidRPr="008F5DAC">
              <w:rPr>
                <w:rFonts w:eastAsia="Times New Roman" w:cs="Times New Roman"/>
                <w:color w:val="000000"/>
                <w:sz w:val="18"/>
                <w:szCs w:val="18"/>
              </w:rPr>
              <w:t>-1,4</w:t>
            </w:r>
          </w:p>
        </w:tc>
      </w:tr>
      <w:tr w:rsidR="004C5F53" w:rsidRPr="008F5DAC" w14:paraId="053D052C" w14:textId="77777777" w:rsidTr="00351C3D">
        <w:trPr>
          <w:trHeight w:val="460"/>
          <w:jc w:val="center"/>
        </w:trPr>
        <w:tc>
          <w:tcPr>
            <w:tcW w:w="4248" w:type="dxa"/>
            <w:vMerge/>
            <w:hideMark/>
          </w:tcPr>
          <w:p w14:paraId="736CD8A6" w14:textId="77777777" w:rsidR="004C5F53" w:rsidRPr="008F5DAC" w:rsidRDefault="004C5F53" w:rsidP="008F5DAC">
            <w:pPr>
              <w:widowControl w:val="0"/>
              <w:ind w:firstLine="0"/>
              <w:rPr>
                <w:rFonts w:eastAsia="Times New Roman" w:cs="Times New Roman"/>
                <w:color w:val="000000"/>
                <w:sz w:val="18"/>
                <w:szCs w:val="18"/>
              </w:rPr>
            </w:pPr>
          </w:p>
        </w:tc>
        <w:tc>
          <w:tcPr>
            <w:tcW w:w="2693" w:type="dxa"/>
            <w:hideMark/>
          </w:tcPr>
          <w:p w14:paraId="31C040FB" w14:textId="77777777" w:rsidR="004C5F53" w:rsidRPr="008F5DAC" w:rsidRDefault="004C5F53" w:rsidP="008F5DAC">
            <w:pPr>
              <w:widowControl w:val="0"/>
              <w:ind w:firstLine="0"/>
              <w:jc w:val="left"/>
              <w:rPr>
                <w:rFonts w:eastAsia="Times New Roman" w:cs="Times New Roman"/>
                <w:i/>
                <w:iCs/>
                <w:color w:val="000000"/>
                <w:sz w:val="18"/>
                <w:szCs w:val="18"/>
              </w:rPr>
            </w:pPr>
            <w:r w:rsidRPr="008F5DAC">
              <w:rPr>
                <w:rFonts w:eastAsia="Times New Roman" w:cs="Times New Roman"/>
                <w:i/>
                <w:iCs/>
                <w:color w:val="000000"/>
                <w:sz w:val="18"/>
                <w:szCs w:val="18"/>
              </w:rPr>
              <w:t>Iedzīvotāju ienākuma nodoklis</w:t>
            </w:r>
          </w:p>
        </w:tc>
        <w:tc>
          <w:tcPr>
            <w:tcW w:w="709" w:type="dxa"/>
            <w:hideMark/>
          </w:tcPr>
          <w:p w14:paraId="3789AD95"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-0,5</w:t>
            </w:r>
          </w:p>
        </w:tc>
        <w:tc>
          <w:tcPr>
            <w:tcW w:w="709" w:type="dxa"/>
            <w:hideMark/>
          </w:tcPr>
          <w:p w14:paraId="37D50326"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-0,5</w:t>
            </w:r>
          </w:p>
        </w:tc>
        <w:tc>
          <w:tcPr>
            <w:tcW w:w="702" w:type="dxa"/>
            <w:hideMark/>
          </w:tcPr>
          <w:p w14:paraId="01E6905E"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-0,5</w:t>
            </w:r>
          </w:p>
        </w:tc>
      </w:tr>
      <w:tr w:rsidR="004C5F53" w:rsidRPr="008F5DAC" w14:paraId="4511E428" w14:textId="77777777" w:rsidTr="00351C3D">
        <w:trPr>
          <w:trHeight w:val="265"/>
          <w:jc w:val="center"/>
        </w:trPr>
        <w:tc>
          <w:tcPr>
            <w:tcW w:w="4248" w:type="dxa"/>
            <w:vMerge/>
            <w:hideMark/>
          </w:tcPr>
          <w:p w14:paraId="10FC241C" w14:textId="77777777" w:rsidR="004C5F53" w:rsidRPr="008F5DAC" w:rsidRDefault="004C5F53" w:rsidP="008F5DAC">
            <w:pPr>
              <w:widowControl w:val="0"/>
              <w:ind w:firstLine="0"/>
              <w:rPr>
                <w:rFonts w:eastAsia="Times New Roman" w:cs="Times New Roman"/>
                <w:color w:val="000000"/>
                <w:sz w:val="18"/>
                <w:szCs w:val="18"/>
              </w:rPr>
            </w:pPr>
          </w:p>
        </w:tc>
        <w:tc>
          <w:tcPr>
            <w:tcW w:w="2693" w:type="dxa"/>
            <w:hideMark/>
          </w:tcPr>
          <w:p w14:paraId="3401F658" w14:textId="77777777" w:rsidR="004C5F53" w:rsidRPr="008F5DAC" w:rsidRDefault="004C5F53" w:rsidP="008F5DAC">
            <w:pPr>
              <w:widowControl w:val="0"/>
              <w:ind w:firstLine="0"/>
              <w:jc w:val="left"/>
              <w:rPr>
                <w:rFonts w:eastAsia="Times New Roman" w:cs="Times New Roman"/>
                <w:i/>
                <w:iCs/>
                <w:color w:val="000000"/>
                <w:sz w:val="18"/>
                <w:szCs w:val="18"/>
              </w:rPr>
            </w:pPr>
            <w:r w:rsidRPr="008F5DAC">
              <w:rPr>
                <w:rFonts w:eastAsia="Times New Roman" w:cs="Times New Roman"/>
                <w:i/>
                <w:iCs/>
                <w:color w:val="000000"/>
                <w:sz w:val="18"/>
                <w:szCs w:val="18"/>
              </w:rPr>
              <w:t>Sociālās apdrošināšanas iemaksas</w:t>
            </w:r>
          </w:p>
        </w:tc>
        <w:tc>
          <w:tcPr>
            <w:tcW w:w="709" w:type="dxa"/>
            <w:hideMark/>
          </w:tcPr>
          <w:p w14:paraId="4A5450B1"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-0,9</w:t>
            </w:r>
          </w:p>
        </w:tc>
        <w:tc>
          <w:tcPr>
            <w:tcW w:w="709" w:type="dxa"/>
            <w:hideMark/>
          </w:tcPr>
          <w:p w14:paraId="1FA879C5"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-0,9</w:t>
            </w:r>
          </w:p>
        </w:tc>
        <w:tc>
          <w:tcPr>
            <w:tcW w:w="702" w:type="dxa"/>
            <w:hideMark/>
          </w:tcPr>
          <w:p w14:paraId="1D544619"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-0,9</w:t>
            </w:r>
          </w:p>
        </w:tc>
      </w:tr>
      <w:tr w:rsidR="004C5F53" w:rsidRPr="008F5DAC" w14:paraId="23352DA0" w14:textId="77777777" w:rsidTr="00351C3D">
        <w:trPr>
          <w:trHeight w:val="740"/>
          <w:jc w:val="center"/>
        </w:trPr>
        <w:tc>
          <w:tcPr>
            <w:tcW w:w="4248" w:type="dxa"/>
            <w:hideMark/>
          </w:tcPr>
          <w:p w14:paraId="5A6A996A" w14:textId="6CAA0DA2" w:rsidR="004C5F53" w:rsidRPr="008F5DAC" w:rsidRDefault="008F5DAC" w:rsidP="008F5DAC">
            <w:pPr>
              <w:widowControl w:val="0"/>
              <w:ind w:firstLine="0"/>
              <w:rPr>
                <w:rFonts w:eastAsia="Times New Roman" w:cs="Times New Roman"/>
                <w:color w:val="000000"/>
                <w:sz w:val="18"/>
                <w:szCs w:val="18"/>
              </w:rPr>
            </w:pPr>
            <w:r>
              <w:rPr>
                <w:rFonts w:eastAsia="Times New Roman" w:cs="Times New Roman"/>
                <w:color w:val="000000"/>
                <w:sz w:val="18"/>
                <w:szCs w:val="18"/>
              </w:rPr>
              <w:t>Pievienotās vērtības nodokļa</w:t>
            </w:r>
            <w:r w:rsidR="004C5F53" w:rsidRPr="008F5DAC">
              <w:rPr>
                <w:rFonts w:eastAsia="Times New Roman" w:cs="Times New Roman"/>
                <w:color w:val="000000"/>
                <w:sz w:val="18"/>
                <w:szCs w:val="18"/>
              </w:rPr>
              <w:t xml:space="preserve"> likmes samazināšana no 12% līdz 5% grāmatu piegādei un preses un citu masu informācijas līdzekļu izdevumu vai publikāciju piegādei un to abonentmaksai</w:t>
            </w:r>
          </w:p>
        </w:tc>
        <w:tc>
          <w:tcPr>
            <w:tcW w:w="2693" w:type="dxa"/>
            <w:hideMark/>
          </w:tcPr>
          <w:p w14:paraId="468C4AE7" w14:textId="77777777" w:rsidR="004C5F53" w:rsidRPr="008F5DAC" w:rsidRDefault="004C5F53" w:rsidP="008F5DAC">
            <w:pPr>
              <w:widowControl w:val="0"/>
              <w:ind w:firstLine="0"/>
              <w:jc w:val="left"/>
              <w:rPr>
                <w:rFonts w:eastAsia="Times New Roman" w:cs="Times New Roman"/>
                <w:color w:val="000000"/>
                <w:sz w:val="18"/>
                <w:szCs w:val="18"/>
              </w:rPr>
            </w:pPr>
            <w:r w:rsidRPr="008F5DAC">
              <w:rPr>
                <w:rFonts w:eastAsia="Times New Roman" w:cs="Times New Roman"/>
                <w:color w:val="000000"/>
                <w:sz w:val="18"/>
                <w:szCs w:val="18"/>
              </w:rPr>
              <w:t>Pievienotās vērtības nodoklis</w:t>
            </w:r>
          </w:p>
        </w:tc>
        <w:tc>
          <w:tcPr>
            <w:tcW w:w="709" w:type="dxa"/>
            <w:hideMark/>
          </w:tcPr>
          <w:p w14:paraId="0F226021" w14:textId="77777777" w:rsidR="004C5F53" w:rsidRPr="008F5DAC" w:rsidRDefault="004C5F53" w:rsidP="008F5DAC">
            <w:pPr>
              <w:widowControl w:val="0"/>
              <w:ind w:firstLine="0"/>
              <w:jc w:val="center"/>
              <w:rPr>
                <w:rFonts w:eastAsia="Times New Roman" w:cs="Times New Roman"/>
                <w:color w:val="000000"/>
                <w:sz w:val="18"/>
                <w:szCs w:val="18"/>
              </w:rPr>
            </w:pPr>
            <w:r w:rsidRPr="008F5DAC">
              <w:rPr>
                <w:rFonts w:eastAsia="Times New Roman" w:cs="Times New Roman"/>
                <w:color w:val="000000"/>
                <w:sz w:val="18"/>
                <w:szCs w:val="18"/>
              </w:rPr>
              <w:t>-4,8</w:t>
            </w:r>
          </w:p>
        </w:tc>
        <w:tc>
          <w:tcPr>
            <w:tcW w:w="709" w:type="dxa"/>
            <w:hideMark/>
          </w:tcPr>
          <w:p w14:paraId="34CE8E28" w14:textId="77777777" w:rsidR="004C5F53" w:rsidRPr="008F5DAC" w:rsidRDefault="004C5F53" w:rsidP="008F5DAC">
            <w:pPr>
              <w:widowControl w:val="0"/>
              <w:ind w:firstLine="0"/>
              <w:jc w:val="center"/>
              <w:rPr>
                <w:rFonts w:eastAsia="Times New Roman" w:cs="Times New Roman"/>
                <w:color w:val="000000"/>
                <w:sz w:val="18"/>
                <w:szCs w:val="18"/>
              </w:rPr>
            </w:pPr>
            <w:r w:rsidRPr="008F5DAC">
              <w:rPr>
                <w:rFonts w:eastAsia="Times New Roman" w:cs="Times New Roman"/>
                <w:color w:val="000000"/>
                <w:sz w:val="18"/>
                <w:szCs w:val="18"/>
              </w:rPr>
              <w:t>-4,8</w:t>
            </w:r>
          </w:p>
        </w:tc>
        <w:tc>
          <w:tcPr>
            <w:tcW w:w="702" w:type="dxa"/>
            <w:hideMark/>
          </w:tcPr>
          <w:p w14:paraId="733068E6" w14:textId="77777777" w:rsidR="004C5F53" w:rsidRPr="008F5DAC" w:rsidRDefault="004C5F53" w:rsidP="008F5DAC">
            <w:pPr>
              <w:widowControl w:val="0"/>
              <w:ind w:firstLine="0"/>
              <w:jc w:val="center"/>
              <w:rPr>
                <w:rFonts w:eastAsia="Times New Roman" w:cs="Times New Roman"/>
                <w:color w:val="000000"/>
                <w:sz w:val="18"/>
                <w:szCs w:val="18"/>
              </w:rPr>
            </w:pPr>
            <w:r w:rsidRPr="008F5DAC">
              <w:rPr>
                <w:rFonts w:eastAsia="Times New Roman" w:cs="Times New Roman"/>
                <w:color w:val="000000"/>
                <w:sz w:val="18"/>
                <w:szCs w:val="18"/>
              </w:rPr>
              <w:t>-4,8</w:t>
            </w:r>
          </w:p>
        </w:tc>
      </w:tr>
      <w:tr w:rsidR="004C5F53" w:rsidRPr="008F5DAC" w14:paraId="06667FB9" w14:textId="77777777" w:rsidTr="00351C3D">
        <w:trPr>
          <w:trHeight w:val="290"/>
          <w:jc w:val="center"/>
        </w:trPr>
        <w:tc>
          <w:tcPr>
            <w:tcW w:w="4248" w:type="dxa"/>
            <w:vMerge w:val="restart"/>
            <w:hideMark/>
          </w:tcPr>
          <w:p w14:paraId="4A242685" w14:textId="00CF6930" w:rsidR="004C5F53" w:rsidRPr="008F5DAC" w:rsidRDefault="004C5F53" w:rsidP="008F5DAC">
            <w:pPr>
              <w:widowControl w:val="0"/>
              <w:ind w:firstLine="0"/>
              <w:rPr>
                <w:rFonts w:eastAsia="Times New Roman" w:cs="Times New Roman"/>
                <w:color w:val="000000"/>
                <w:sz w:val="18"/>
                <w:szCs w:val="18"/>
              </w:rPr>
            </w:pPr>
            <w:r w:rsidRPr="008F5DAC">
              <w:rPr>
                <w:rFonts w:eastAsia="Times New Roman" w:cs="Times New Roman"/>
                <w:color w:val="000000"/>
                <w:sz w:val="18"/>
                <w:szCs w:val="18"/>
              </w:rPr>
              <w:t xml:space="preserve">Valsts sociālās apdrošināšanas obligāto iemaksu maksimālā objekta </w:t>
            </w:r>
            <w:r w:rsidR="00351C3D">
              <w:rPr>
                <w:rFonts w:eastAsia="Times New Roman" w:cs="Times New Roman"/>
                <w:color w:val="000000"/>
                <w:sz w:val="18"/>
                <w:szCs w:val="18"/>
              </w:rPr>
              <w:t>palielināšana no 62 800 līdz 78 </w:t>
            </w:r>
            <w:r w:rsidRPr="008F5DAC">
              <w:rPr>
                <w:rFonts w:eastAsia="Times New Roman" w:cs="Times New Roman"/>
                <w:color w:val="000000"/>
                <w:sz w:val="18"/>
                <w:szCs w:val="18"/>
              </w:rPr>
              <w:t>100 </w:t>
            </w:r>
            <w:r w:rsidRPr="008F5DAC">
              <w:rPr>
                <w:rFonts w:eastAsia="Times New Roman" w:cs="Times New Roman"/>
                <w:i/>
                <w:color w:val="000000"/>
                <w:sz w:val="18"/>
                <w:szCs w:val="18"/>
              </w:rPr>
              <w:t>euro</w:t>
            </w:r>
          </w:p>
        </w:tc>
        <w:tc>
          <w:tcPr>
            <w:tcW w:w="2693" w:type="dxa"/>
            <w:hideMark/>
          </w:tcPr>
          <w:p w14:paraId="67E69C86" w14:textId="77777777" w:rsidR="004C5F53" w:rsidRPr="008F5DAC" w:rsidRDefault="004C5F53" w:rsidP="008F5DAC">
            <w:pPr>
              <w:widowControl w:val="0"/>
              <w:ind w:firstLine="0"/>
              <w:jc w:val="left"/>
              <w:rPr>
                <w:rFonts w:eastAsia="Times New Roman" w:cs="Times New Roman"/>
                <w:color w:val="000000"/>
                <w:sz w:val="18"/>
                <w:szCs w:val="18"/>
              </w:rPr>
            </w:pPr>
            <w:r w:rsidRPr="008F5DAC">
              <w:rPr>
                <w:rFonts w:eastAsia="Times New Roman" w:cs="Times New Roman"/>
                <w:color w:val="000000"/>
                <w:sz w:val="18"/>
                <w:szCs w:val="18"/>
              </w:rPr>
              <w:t>Kopā, t.sk.:</w:t>
            </w:r>
          </w:p>
        </w:tc>
        <w:tc>
          <w:tcPr>
            <w:tcW w:w="709" w:type="dxa"/>
            <w:hideMark/>
          </w:tcPr>
          <w:p w14:paraId="150FA337" w14:textId="77777777" w:rsidR="004C5F53" w:rsidRPr="008F5DAC" w:rsidRDefault="004C5F53" w:rsidP="008F5DAC">
            <w:pPr>
              <w:widowControl w:val="0"/>
              <w:ind w:firstLine="0"/>
              <w:jc w:val="center"/>
              <w:rPr>
                <w:rFonts w:eastAsia="Times New Roman" w:cs="Times New Roman"/>
                <w:color w:val="000000"/>
                <w:sz w:val="18"/>
                <w:szCs w:val="18"/>
              </w:rPr>
            </w:pPr>
            <w:r w:rsidRPr="008F5DAC">
              <w:rPr>
                <w:rFonts w:eastAsia="Times New Roman" w:cs="Times New Roman"/>
                <w:color w:val="000000"/>
                <w:sz w:val="18"/>
                <w:szCs w:val="18"/>
              </w:rPr>
              <w:t>1,3</w:t>
            </w:r>
          </w:p>
        </w:tc>
        <w:tc>
          <w:tcPr>
            <w:tcW w:w="709" w:type="dxa"/>
            <w:hideMark/>
          </w:tcPr>
          <w:p w14:paraId="13F522FD" w14:textId="77777777" w:rsidR="004C5F53" w:rsidRPr="008F5DAC" w:rsidRDefault="004C5F53" w:rsidP="008F5DAC">
            <w:pPr>
              <w:widowControl w:val="0"/>
              <w:ind w:firstLine="0"/>
              <w:jc w:val="center"/>
              <w:rPr>
                <w:rFonts w:eastAsia="Times New Roman" w:cs="Times New Roman"/>
                <w:color w:val="000000"/>
                <w:sz w:val="18"/>
                <w:szCs w:val="18"/>
              </w:rPr>
            </w:pPr>
            <w:r w:rsidRPr="008F5DAC">
              <w:rPr>
                <w:rFonts w:eastAsia="Times New Roman" w:cs="Times New Roman"/>
                <w:color w:val="000000"/>
                <w:sz w:val="18"/>
                <w:szCs w:val="18"/>
              </w:rPr>
              <w:t>2,6</w:t>
            </w:r>
          </w:p>
        </w:tc>
        <w:tc>
          <w:tcPr>
            <w:tcW w:w="702" w:type="dxa"/>
            <w:hideMark/>
          </w:tcPr>
          <w:p w14:paraId="3E4C0B9E" w14:textId="77777777" w:rsidR="004C5F53" w:rsidRPr="008F5DAC" w:rsidRDefault="004C5F53" w:rsidP="008F5DAC">
            <w:pPr>
              <w:widowControl w:val="0"/>
              <w:ind w:firstLine="0"/>
              <w:jc w:val="center"/>
              <w:rPr>
                <w:rFonts w:eastAsia="Times New Roman" w:cs="Times New Roman"/>
                <w:color w:val="000000"/>
                <w:sz w:val="18"/>
                <w:szCs w:val="18"/>
              </w:rPr>
            </w:pPr>
            <w:r w:rsidRPr="008F5DAC">
              <w:rPr>
                <w:rFonts w:eastAsia="Times New Roman" w:cs="Times New Roman"/>
                <w:color w:val="000000"/>
                <w:sz w:val="18"/>
                <w:szCs w:val="18"/>
              </w:rPr>
              <w:t>2,7</w:t>
            </w:r>
          </w:p>
        </w:tc>
      </w:tr>
      <w:tr w:rsidR="004C5F53" w:rsidRPr="008F5DAC" w14:paraId="0CD4B09B" w14:textId="77777777" w:rsidTr="00351C3D">
        <w:trPr>
          <w:trHeight w:val="460"/>
          <w:jc w:val="center"/>
        </w:trPr>
        <w:tc>
          <w:tcPr>
            <w:tcW w:w="4248" w:type="dxa"/>
            <w:vMerge/>
            <w:hideMark/>
          </w:tcPr>
          <w:p w14:paraId="253E8F16" w14:textId="77777777" w:rsidR="004C5F53" w:rsidRPr="008F5DAC" w:rsidRDefault="004C5F53" w:rsidP="008F5DAC">
            <w:pPr>
              <w:widowControl w:val="0"/>
              <w:ind w:firstLine="0"/>
              <w:rPr>
                <w:rFonts w:eastAsia="Times New Roman" w:cs="Times New Roman"/>
                <w:color w:val="000000"/>
                <w:sz w:val="18"/>
                <w:szCs w:val="18"/>
              </w:rPr>
            </w:pPr>
          </w:p>
        </w:tc>
        <w:tc>
          <w:tcPr>
            <w:tcW w:w="2693" w:type="dxa"/>
            <w:hideMark/>
          </w:tcPr>
          <w:p w14:paraId="6C03FF47" w14:textId="77777777" w:rsidR="004C5F53" w:rsidRPr="008F5DAC" w:rsidRDefault="004C5F53" w:rsidP="008F5DAC">
            <w:pPr>
              <w:widowControl w:val="0"/>
              <w:ind w:firstLine="0"/>
              <w:jc w:val="left"/>
              <w:rPr>
                <w:rFonts w:eastAsia="Times New Roman" w:cs="Times New Roman"/>
                <w:i/>
                <w:iCs/>
                <w:color w:val="000000"/>
                <w:sz w:val="18"/>
                <w:szCs w:val="18"/>
              </w:rPr>
            </w:pPr>
            <w:r w:rsidRPr="008F5DAC">
              <w:rPr>
                <w:rFonts w:eastAsia="Times New Roman" w:cs="Times New Roman"/>
                <w:i/>
                <w:iCs/>
                <w:color w:val="000000"/>
                <w:sz w:val="18"/>
                <w:szCs w:val="18"/>
              </w:rPr>
              <w:t>Iedzīvotāju ienākuma nodoklis</w:t>
            </w:r>
          </w:p>
        </w:tc>
        <w:tc>
          <w:tcPr>
            <w:tcW w:w="709" w:type="dxa"/>
            <w:hideMark/>
          </w:tcPr>
          <w:p w14:paraId="70654126"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-3,1</w:t>
            </w:r>
          </w:p>
        </w:tc>
        <w:tc>
          <w:tcPr>
            <w:tcW w:w="709" w:type="dxa"/>
            <w:hideMark/>
          </w:tcPr>
          <w:p w14:paraId="77814078"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-7,0</w:t>
            </w:r>
          </w:p>
        </w:tc>
        <w:tc>
          <w:tcPr>
            <w:tcW w:w="702" w:type="dxa"/>
            <w:hideMark/>
          </w:tcPr>
          <w:p w14:paraId="34932A90"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-7,5</w:t>
            </w:r>
          </w:p>
        </w:tc>
      </w:tr>
      <w:tr w:rsidR="004C5F53" w:rsidRPr="008F5DAC" w14:paraId="36776CFB" w14:textId="77777777" w:rsidTr="00351C3D">
        <w:trPr>
          <w:trHeight w:val="58"/>
          <w:jc w:val="center"/>
        </w:trPr>
        <w:tc>
          <w:tcPr>
            <w:tcW w:w="4248" w:type="dxa"/>
            <w:vMerge/>
            <w:hideMark/>
          </w:tcPr>
          <w:p w14:paraId="5687D910" w14:textId="77777777" w:rsidR="004C5F53" w:rsidRPr="008F5DAC" w:rsidRDefault="004C5F53" w:rsidP="008F5DAC">
            <w:pPr>
              <w:widowControl w:val="0"/>
              <w:ind w:firstLine="0"/>
              <w:rPr>
                <w:rFonts w:eastAsia="Times New Roman" w:cs="Times New Roman"/>
                <w:color w:val="000000"/>
                <w:sz w:val="18"/>
                <w:szCs w:val="18"/>
              </w:rPr>
            </w:pPr>
          </w:p>
        </w:tc>
        <w:tc>
          <w:tcPr>
            <w:tcW w:w="2693" w:type="dxa"/>
            <w:hideMark/>
          </w:tcPr>
          <w:p w14:paraId="349F21D7" w14:textId="77777777" w:rsidR="004C5F53" w:rsidRPr="008F5DAC" w:rsidRDefault="004C5F53" w:rsidP="008F5DAC">
            <w:pPr>
              <w:widowControl w:val="0"/>
              <w:ind w:firstLine="0"/>
              <w:jc w:val="left"/>
              <w:rPr>
                <w:rFonts w:eastAsia="Times New Roman" w:cs="Times New Roman"/>
                <w:i/>
                <w:iCs/>
                <w:color w:val="000000"/>
                <w:sz w:val="18"/>
                <w:szCs w:val="18"/>
              </w:rPr>
            </w:pPr>
            <w:r w:rsidRPr="008F5DAC">
              <w:rPr>
                <w:rFonts w:eastAsia="Times New Roman" w:cs="Times New Roman"/>
                <w:i/>
                <w:iCs/>
                <w:color w:val="000000"/>
                <w:sz w:val="18"/>
                <w:szCs w:val="18"/>
              </w:rPr>
              <w:t>Sociālās apdrošināšanas iemaksas</w:t>
            </w:r>
          </w:p>
        </w:tc>
        <w:tc>
          <w:tcPr>
            <w:tcW w:w="709" w:type="dxa"/>
            <w:hideMark/>
          </w:tcPr>
          <w:p w14:paraId="57E20594"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4,4</w:t>
            </w:r>
          </w:p>
        </w:tc>
        <w:tc>
          <w:tcPr>
            <w:tcW w:w="709" w:type="dxa"/>
            <w:hideMark/>
          </w:tcPr>
          <w:p w14:paraId="14FCDBC1"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9,5</w:t>
            </w:r>
          </w:p>
        </w:tc>
        <w:tc>
          <w:tcPr>
            <w:tcW w:w="702" w:type="dxa"/>
            <w:hideMark/>
          </w:tcPr>
          <w:p w14:paraId="43873E8D"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10,2</w:t>
            </w:r>
          </w:p>
        </w:tc>
      </w:tr>
      <w:tr w:rsidR="004C5F53" w:rsidRPr="008F5DAC" w14:paraId="09F5594A" w14:textId="77777777" w:rsidTr="00351C3D">
        <w:trPr>
          <w:trHeight w:val="290"/>
          <w:jc w:val="center"/>
        </w:trPr>
        <w:tc>
          <w:tcPr>
            <w:tcW w:w="4248" w:type="dxa"/>
            <w:vMerge w:val="restart"/>
            <w:hideMark/>
          </w:tcPr>
          <w:p w14:paraId="1E9CB725" w14:textId="11ACA2DC" w:rsidR="004C5F53" w:rsidRPr="008F5DAC" w:rsidRDefault="00351C3D" w:rsidP="008F5DAC">
            <w:pPr>
              <w:widowControl w:val="0"/>
              <w:ind w:firstLine="0"/>
              <w:rPr>
                <w:rFonts w:eastAsia="Times New Roman" w:cs="Times New Roman"/>
                <w:color w:val="000000"/>
                <w:sz w:val="18"/>
                <w:szCs w:val="18"/>
              </w:rPr>
            </w:pPr>
            <w:r>
              <w:rPr>
                <w:rFonts w:eastAsia="Times New Roman" w:cs="Times New Roman"/>
                <w:color w:val="000000"/>
                <w:sz w:val="18"/>
                <w:szCs w:val="18"/>
              </w:rPr>
              <w:t>Papildus ieņēmumi no akciju sabiedrības</w:t>
            </w:r>
            <w:r w:rsidR="004C5F53" w:rsidRPr="008F5DAC">
              <w:rPr>
                <w:rFonts w:eastAsia="Times New Roman" w:cs="Times New Roman"/>
                <w:color w:val="000000"/>
                <w:sz w:val="18"/>
                <w:szCs w:val="18"/>
              </w:rPr>
              <w:t xml:space="preserve"> "Latvijas valsts meži" dividendēs izmaksājamās peļņas daļas par 2021. gadu</w:t>
            </w:r>
          </w:p>
        </w:tc>
        <w:tc>
          <w:tcPr>
            <w:tcW w:w="2693" w:type="dxa"/>
            <w:hideMark/>
          </w:tcPr>
          <w:p w14:paraId="7D2AD7BC" w14:textId="77777777" w:rsidR="004C5F53" w:rsidRPr="008F5DAC" w:rsidRDefault="004C5F53" w:rsidP="008F5DAC">
            <w:pPr>
              <w:widowControl w:val="0"/>
              <w:ind w:firstLine="0"/>
              <w:jc w:val="left"/>
              <w:rPr>
                <w:rFonts w:eastAsia="Times New Roman" w:cs="Times New Roman"/>
                <w:color w:val="000000"/>
                <w:sz w:val="18"/>
                <w:szCs w:val="18"/>
              </w:rPr>
            </w:pPr>
            <w:r w:rsidRPr="008F5DAC">
              <w:rPr>
                <w:rFonts w:eastAsia="Times New Roman" w:cs="Times New Roman"/>
                <w:color w:val="000000"/>
                <w:sz w:val="18"/>
                <w:szCs w:val="18"/>
              </w:rPr>
              <w:t>Kopā, t.sk.:</w:t>
            </w:r>
          </w:p>
        </w:tc>
        <w:tc>
          <w:tcPr>
            <w:tcW w:w="709" w:type="dxa"/>
            <w:hideMark/>
          </w:tcPr>
          <w:p w14:paraId="6FA34A92" w14:textId="77777777" w:rsidR="004C5F53" w:rsidRPr="008F5DAC" w:rsidRDefault="004C5F53" w:rsidP="008F5DAC">
            <w:pPr>
              <w:widowControl w:val="0"/>
              <w:ind w:firstLine="0"/>
              <w:jc w:val="center"/>
              <w:rPr>
                <w:rFonts w:eastAsia="Times New Roman" w:cs="Times New Roman"/>
                <w:color w:val="000000"/>
                <w:sz w:val="18"/>
                <w:szCs w:val="18"/>
              </w:rPr>
            </w:pPr>
            <w:r w:rsidRPr="008F5DAC">
              <w:rPr>
                <w:rFonts w:eastAsia="Times New Roman" w:cs="Times New Roman"/>
                <w:color w:val="000000"/>
                <w:sz w:val="18"/>
                <w:szCs w:val="18"/>
              </w:rPr>
              <w:t>32,0</w:t>
            </w:r>
          </w:p>
        </w:tc>
        <w:tc>
          <w:tcPr>
            <w:tcW w:w="709" w:type="dxa"/>
            <w:hideMark/>
          </w:tcPr>
          <w:p w14:paraId="6670A5DE" w14:textId="77777777" w:rsidR="004C5F53" w:rsidRPr="008F5DAC" w:rsidRDefault="004C5F53" w:rsidP="008F5DAC">
            <w:pPr>
              <w:widowControl w:val="0"/>
              <w:ind w:firstLine="0"/>
              <w:jc w:val="center"/>
              <w:rPr>
                <w:rFonts w:eastAsia="Times New Roman" w:cs="Times New Roman"/>
                <w:color w:val="000000"/>
                <w:sz w:val="18"/>
                <w:szCs w:val="18"/>
              </w:rPr>
            </w:pPr>
            <w:r w:rsidRPr="008F5DAC">
              <w:rPr>
                <w:rFonts w:eastAsia="Times New Roman" w:cs="Times New Roman"/>
                <w:color w:val="000000"/>
                <w:sz w:val="18"/>
                <w:szCs w:val="18"/>
              </w:rPr>
              <w:t>-</w:t>
            </w:r>
          </w:p>
        </w:tc>
        <w:tc>
          <w:tcPr>
            <w:tcW w:w="702" w:type="dxa"/>
            <w:hideMark/>
          </w:tcPr>
          <w:p w14:paraId="0A9825F8" w14:textId="77777777" w:rsidR="004C5F53" w:rsidRPr="008F5DAC" w:rsidRDefault="004C5F53" w:rsidP="008F5DAC">
            <w:pPr>
              <w:widowControl w:val="0"/>
              <w:ind w:firstLine="0"/>
              <w:jc w:val="center"/>
              <w:rPr>
                <w:rFonts w:eastAsia="Times New Roman" w:cs="Times New Roman"/>
                <w:color w:val="000000"/>
                <w:sz w:val="18"/>
                <w:szCs w:val="18"/>
              </w:rPr>
            </w:pPr>
            <w:r w:rsidRPr="008F5DAC">
              <w:rPr>
                <w:rFonts w:eastAsia="Times New Roman" w:cs="Times New Roman"/>
                <w:color w:val="000000"/>
                <w:sz w:val="18"/>
                <w:szCs w:val="18"/>
              </w:rPr>
              <w:t>-</w:t>
            </w:r>
          </w:p>
        </w:tc>
      </w:tr>
      <w:tr w:rsidR="004C5F53" w:rsidRPr="008F5DAC" w14:paraId="5F0FAAAA" w14:textId="77777777" w:rsidTr="00351C3D">
        <w:trPr>
          <w:trHeight w:val="256"/>
          <w:jc w:val="center"/>
        </w:trPr>
        <w:tc>
          <w:tcPr>
            <w:tcW w:w="4248" w:type="dxa"/>
            <w:vMerge/>
            <w:hideMark/>
          </w:tcPr>
          <w:p w14:paraId="246F1638" w14:textId="77777777" w:rsidR="004C5F53" w:rsidRPr="008F5DAC" w:rsidRDefault="004C5F53" w:rsidP="004C5F53">
            <w:pPr>
              <w:widowControl w:val="0"/>
              <w:ind w:firstLine="709"/>
              <w:rPr>
                <w:rFonts w:eastAsia="Times New Roman" w:cs="Times New Roman"/>
                <w:color w:val="000000"/>
                <w:sz w:val="18"/>
                <w:szCs w:val="18"/>
              </w:rPr>
            </w:pPr>
          </w:p>
        </w:tc>
        <w:tc>
          <w:tcPr>
            <w:tcW w:w="2693" w:type="dxa"/>
            <w:hideMark/>
          </w:tcPr>
          <w:p w14:paraId="54B42DDF" w14:textId="77777777" w:rsidR="004C5F53" w:rsidRPr="008F5DAC" w:rsidRDefault="004C5F53" w:rsidP="008F5DAC">
            <w:pPr>
              <w:widowControl w:val="0"/>
              <w:ind w:firstLine="0"/>
              <w:jc w:val="left"/>
              <w:rPr>
                <w:rFonts w:eastAsia="Times New Roman" w:cs="Times New Roman"/>
                <w:i/>
                <w:iCs/>
                <w:color w:val="000000"/>
                <w:sz w:val="18"/>
                <w:szCs w:val="18"/>
              </w:rPr>
            </w:pPr>
            <w:r w:rsidRPr="008F5DAC">
              <w:rPr>
                <w:rFonts w:eastAsia="Times New Roman" w:cs="Times New Roman"/>
                <w:i/>
                <w:iCs/>
                <w:color w:val="000000"/>
                <w:sz w:val="18"/>
                <w:szCs w:val="18"/>
              </w:rPr>
              <w:t>Uzņēmumu ienākuma nodoklis</w:t>
            </w:r>
          </w:p>
        </w:tc>
        <w:tc>
          <w:tcPr>
            <w:tcW w:w="709" w:type="dxa"/>
            <w:hideMark/>
          </w:tcPr>
          <w:p w14:paraId="1F50A173"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6,4</w:t>
            </w:r>
          </w:p>
        </w:tc>
        <w:tc>
          <w:tcPr>
            <w:tcW w:w="709" w:type="dxa"/>
            <w:hideMark/>
          </w:tcPr>
          <w:p w14:paraId="734E7FA8"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w:t>
            </w:r>
          </w:p>
        </w:tc>
        <w:tc>
          <w:tcPr>
            <w:tcW w:w="702" w:type="dxa"/>
            <w:hideMark/>
          </w:tcPr>
          <w:p w14:paraId="258449CB"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w:t>
            </w:r>
          </w:p>
        </w:tc>
      </w:tr>
      <w:tr w:rsidR="004C5F53" w:rsidRPr="008F5DAC" w14:paraId="43AA3F4C" w14:textId="77777777" w:rsidTr="00351C3D">
        <w:trPr>
          <w:trHeight w:val="300"/>
          <w:jc w:val="center"/>
        </w:trPr>
        <w:tc>
          <w:tcPr>
            <w:tcW w:w="4248" w:type="dxa"/>
            <w:vMerge/>
            <w:hideMark/>
          </w:tcPr>
          <w:p w14:paraId="77132541" w14:textId="77777777" w:rsidR="004C5F53" w:rsidRPr="008F5DAC" w:rsidRDefault="004C5F53" w:rsidP="004C5F53">
            <w:pPr>
              <w:widowControl w:val="0"/>
              <w:ind w:firstLine="709"/>
              <w:rPr>
                <w:rFonts w:eastAsia="Times New Roman" w:cs="Times New Roman"/>
                <w:color w:val="000000"/>
                <w:sz w:val="18"/>
                <w:szCs w:val="18"/>
              </w:rPr>
            </w:pPr>
          </w:p>
        </w:tc>
        <w:tc>
          <w:tcPr>
            <w:tcW w:w="2693" w:type="dxa"/>
            <w:hideMark/>
          </w:tcPr>
          <w:p w14:paraId="3489253A" w14:textId="77777777" w:rsidR="004C5F53" w:rsidRPr="008F5DAC" w:rsidRDefault="004C5F53" w:rsidP="008F5DAC">
            <w:pPr>
              <w:widowControl w:val="0"/>
              <w:ind w:firstLine="0"/>
              <w:jc w:val="left"/>
              <w:rPr>
                <w:rFonts w:eastAsia="Times New Roman" w:cs="Times New Roman"/>
                <w:i/>
                <w:iCs/>
                <w:color w:val="000000"/>
                <w:sz w:val="18"/>
                <w:szCs w:val="18"/>
              </w:rPr>
            </w:pPr>
            <w:r w:rsidRPr="008F5DAC">
              <w:rPr>
                <w:rFonts w:eastAsia="Times New Roman" w:cs="Times New Roman"/>
                <w:i/>
                <w:iCs/>
                <w:color w:val="000000"/>
                <w:sz w:val="18"/>
                <w:szCs w:val="18"/>
              </w:rPr>
              <w:t>Nenodokļi</w:t>
            </w:r>
          </w:p>
        </w:tc>
        <w:tc>
          <w:tcPr>
            <w:tcW w:w="709" w:type="dxa"/>
            <w:hideMark/>
          </w:tcPr>
          <w:p w14:paraId="0C65EA3B"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25,6</w:t>
            </w:r>
          </w:p>
        </w:tc>
        <w:tc>
          <w:tcPr>
            <w:tcW w:w="709" w:type="dxa"/>
            <w:hideMark/>
          </w:tcPr>
          <w:p w14:paraId="3CD789D6"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w:t>
            </w:r>
          </w:p>
        </w:tc>
        <w:tc>
          <w:tcPr>
            <w:tcW w:w="702" w:type="dxa"/>
            <w:hideMark/>
          </w:tcPr>
          <w:p w14:paraId="33CFBD9F" w14:textId="77777777" w:rsidR="004C5F53" w:rsidRPr="008F5DAC" w:rsidRDefault="004C5F53" w:rsidP="008F5DAC">
            <w:pPr>
              <w:widowControl w:val="0"/>
              <w:ind w:firstLine="0"/>
              <w:jc w:val="center"/>
              <w:rPr>
                <w:rFonts w:eastAsia="Times New Roman" w:cs="Times New Roman"/>
                <w:i/>
                <w:iCs/>
                <w:color w:val="000000"/>
                <w:sz w:val="18"/>
                <w:szCs w:val="18"/>
              </w:rPr>
            </w:pPr>
            <w:r w:rsidRPr="008F5DAC">
              <w:rPr>
                <w:rFonts w:eastAsia="Times New Roman" w:cs="Times New Roman"/>
                <w:i/>
                <w:iCs/>
                <w:color w:val="000000"/>
                <w:sz w:val="18"/>
                <w:szCs w:val="18"/>
              </w:rPr>
              <w:t>-</w:t>
            </w:r>
          </w:p>
        </w:tc>
      </w:tr>
    </w:tbl>
    <w:p w14:paraId="7F0783F0" w14:textId="06CCCDA8" w:rsidR="00E862CD" w:rsidRPr="00E862CD" w:rsidRDefault="00351C3D" w:rsidP="00E862CD">
      <w:pPr>
        <w:widowControl w:val="0"/>
        <w:spacing w:before="120"/>
        <w:rPr>
          <w:rFonts w:eastAsia="Times New Roman" w:cs="Times New Roman"/>
          <w:color w:val="000000"/>
        </w:rPr>
      </w:pPr>
      <w:r>
        <w:rPr>
          <w:rFonts w:eastAsia="Times New Roman" w:cs="Times New Roman"/>
          <w:color w:val="000000"/>
        </w:rPr>
        <w:t>Ministru kabineta</w:t>
      </w:r>
      <w:r w:rsidR="004C5F53" w:rsidRPr="00351C3D">
        <w:rPr>
          <w:rFonts w:eastAsia="Times New Roman" w:cs="Times New Roman"/>
          <w:color w:val="000000"/>
        </w:rPr>
        <w:t xml:space="preserve"> lēmumi par finansējuma palielinājumu vidēja termiņa prioritārajiem virzieniem ir apkopoti</w:t>
      </w:r>
      <w:r w:rsidR="00EB7D26">
        <w:rPr>
          <w:rFonts w:eastAsia="Times New Roman" w:cs="Times New Roman"/>
          <w:color w:val="000000"/>
        </w:rPr>
        <w:t xml:space="preserve"> 2.14</w:t>
      </w:r>
      <w:r w:rsidR="004C5F53" w:rsidRPr="00351C3D">
        <w:rPr>
          <w:rFonts w:eastAsia="Times New Roman" w:cs="Times New Roman"/>
          <w:color w:val="000000"/>
        </w:rPr>
        <w:t>.</w:t>
      </w:r>
      <w:r>
        <w:rPr>
          <w:rFonts w:eastAsia="Times New Roman" w:cs="Times New Roman"/>
          <w:color w:val="000000"/>
        </w:rPr>
        <w:t xml:space="preserve"> </w:t>
      </w:r>
      <w:r w:rsidR="004C5F53" w:rsidRPr="00351C3D">
        <w:rPr>
          <w:rFonts w:eastAsia="Times New Roman" w:cs="Times New Roman"/>
          <w:color w:val="000000"/>
        </w:rPr>
        <w:t>tabulā.</w:t>
      </w:r>
    </w:p>
    <w:p w14:paraId="6EB885F6" w14:textId="67ECB5CE" w:rsidR="004C5F53" w:rsidRPr="00351C3D" w:rsidRDefault="00325724" w:rsidP="004C5F53">
      <w:pPr>
        <w:widowControl w:val="0"/>
        <w:jc w:val="right"/>
        <w:rPr>
          <w:rFonts w:eastAsia="Times New Roman" w:cs="Times New Roman"/>
          <w:b/>
          <w:i/>
          <w:color w:val="000000"/>
        </w:rPr>
      </w:pPr>
      <w:r>
        <w:rPr>
          <w:rFonts w:eastAsia="Times New Roman" w:cs="Times New Roman"/>
          <w:b/>
          <w:i/>
          <w:color w:val="000000"/>
        </w:rPr>
        <w:lastRenderedPageBreak/>
        <w:t>2.14</w:t>
      </w:r>
      <w:r w:rsidR="004C5F53" w:rsidRPr="00351C3D">
        <w:rPr>
          <w:rFonts w:eastAsia="Times New Roman" w:cs="Times New Roman"/>
          <w:b/>
          <w:i/>
          <w:color w:val="000000"/>
        </w:rPr>
        <w:t>.</w:t>
      </w:r>
      <w:r w:rsidR="0018367D" w:rsidRPr="00351C3D">
        <w:rPr>
          <w:rFonts w:eastAsia="Times New Roman" w:cs="Times New Roman"/>
          <w:b/>
          <w:i/>
          <w:color w:val="000000"/>
        </w:rPr>
        <w:t xml:space="preserve"> </w:t>
      </w:r>
      <w:r w:rsidR="004C5F53" w:rsidRPr="00351C3D">
        <w:rPr>
          <w:rFonts w:eastAsia="Times New Roman" w:cs="Times New Roman"/>
          <w:b/>
          <w:i/>
          <w:color w:val="000000"/>
        </w:rPr>
        <w:t>tabula. Izd</w:t>
      </w:r>
      <w:r w:rsidR="00351C3D">
        <w:rPr>
          <w:rFonts w:eastAsia="Times New Roman" w:cs="Times New Roman"/>
          <w:b/>
          <w:i/>
          <w:color w:val="000000"/>
        </w:rPr>
        <w:t>evumu pasākumi virs 0,01% no iekšzemes kopprodukta</w:t>
      </w:r>
      <w:r w:rsidR="004C5F53" w:rsidRPr="00351C3D">
        <w:rPr>
          <w:rFonts w:eastAsia="Times New Roman" w:cs="Times New Roman"/>
          <w:b/>
          <w:i/>
          <w:color w:val="000000"/>
        </w:rPr>
        <w:t xml:space="preserve"> attiecīgajā gadā, milj. euro</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851"/>
        <w:gridCol w:w="711"/>
        <w:gridCol w:w="709"/>
      </w:tblGrid>
      <w:tr w:rsidR="0018367D" w:rsidRPr="00351C3D" w14:paraId="501C12C6" w14:textId="77777777" w:rsidTr="000709B3">
        <w:trPr>
          <w:trHeight w:val="255"/>
        </w:trPr>
        <w:tc>
          <w:tcPr>
            <w:tcW w:w="6941" w:type="dxa"/>
            <w:shd w:val="clear" w:color="000000" w:fill="9BC2E6"/>
            <w:vAlign w:val="center"/>
            <w:hideMark/>
          </w:tcPr>
          <w:p w14:paraId="773880BE" w14:textId="77777777" w:rsidR="0018367D" w:rsidRPr="00351C3D" w:rsidRDefault="0018367D" w:rsidP="00351C3D">
            <w:pPr>
              <w:spacing w:after="0"/>
              <w:ind w:left="34" w:firstLine="0"/>
              <w:jc w:val="center"/>
              <w:rPr>
                <w:rFonts w:eastAsia="Times New Roman"/>
                <w:b/>
                <w:bCs/>
                <w:color w:val="000000"/>
                <w:sz w:val="18"/>
                <w:szCs w:val="18"/>
              </w:rPr>
            </w:pPr>
            <w:r w:rsidRPr="00351C3D">
              <w:rPr>
                <w:rFonts w:eastAsia="Times New Roman"/>
                <w:b/>
                <w:bCs/>
                <w:color w:val="000000"/>
                <w:sz w:val="18"/>
                <w:szCs w:val="18"/>
              </w:rPr>
              <w:t>Pasākuma nosaukums</w:t>
            </w:r>
          </w:p>
        </w:tc>
        <w:tc>
          <w:tcPr>
            <w:tcW w:w="851" w:type="dxa"/>
            <w:shd w:val="clear" w:color="000000" w:fill="9BC2E6"/>
            <w:vAlign w:val="center"/>
            <w:hideMark/>
          </w:tcPr>
          <w:p w14:paraId="4DAFED16" w14:textId="77777777" w:rsidR="0018367D" w:rsidRPr="00351C3D" w:rsidRDefault="0018367D" w:rsidP="00351C3D">
            <w:pPr>
              <w:spacing w:after="0"/>
              <w:ind w:hanging="6"/>
              <w:jc w:val="center"/>
              <w:rPr>
                <w:rFonts w:eastAsia="Times New Roman"/>
                <w:b/>
                <w:bCs/>
                <w:color w:val="000000"/>
                <w:sz w:val="18"/>
                <w:szCs w:val="18"/>
              </w:rPr>
            </w:pPr>
            <w:r w:rsidRPr="00351C3D">
              <w:rPr>
                <w:rFonts w:eastAsia="Times New Roman"/>
                <w:b/>
                <w:bCs/>
                <w:color w:val="000000"/>
                <w:sz w:val="18"/>
                <w:szCs w:val="18"/>
              </w:rPr>
              <w:t>2022</w:t>
            </w:r>
          </w:p>
        </w:tc>
        <w:tc>
          <w:tcPr>
            <w:tcW w:w="711" w:type="dxa"/>
            <w:shd w:val="clear" w:color="000000" w:fill="9BC2E6"/>
            <w:vAlign w:val="center"/>
            <w:hideMark/>
          </w:tcPr>
          <w:p w14:paraId="71274CC4" w14:textId="77777777" w:rsidR="0018367D" w:rsidRPr="00351C3D" w:rsidRDefault="0018367D" w:rsidP="00351C3D">
            <w:pPr>
              <w:spacing w:after="0"/>
              <w:ind w:hanging="6"/>
              <w:jc w:val="center"/>
              <w:rPr>
                <w:rFonts w:eastAsia="Times New Roman"/>
                <w:b/>
                <w:bCs/>
                <w:color w:val="000000"/>
                <w:sz w:val="18"/>
                <w:szCs w:val="18"/>
              </w:rPr>
            </w:pPr>
            <w:r w:rsidRPr="00351C3D">
              <w:rPr>
                <w:rFonts w:eastAsia="Times New Roman"/>
                <w:b/>
                <w:bCs/>
                <w:color w:val="000000"/>
                <w:sz w:val="18"/>
                <w:szCs w:val="18"/>
              </w:rPr>
              <w:t>2023</w:t>
            </w:r>
          </w:p>
        </w:tc>
        <w:tc>
          <w:tcPr>
            <w:tcW w:w="709" w:type="dxa"/>
            <w:shd w:val="clear" w:color="000000" w:fill="9BC2E6"/>
            <w:vAlign w:val="center"/>
            <w:hideMark/>
          </w:tcPr>
          <w:p w14:paraId="0BB8EB00" w14:textId="77777777" w:rsidR="0018367D" w:rsidRPr="00351C3D" w:rsidRDefault="0018367D" w:rsidP="00351C3D">
            <w:pPr>
              <w:spacing w:after="0"/>
              <w:ind w:hanging="6"/>
              <w:jc w:val="center"/>
              <w:rPr>
                <w:rFonts w:eastAsia="Times New Roman"/>
                <w:b/>
                <w:bCs/>
                <w:color w:val="000000"/>
                <w:sz w:val="18"/>
                <w:szCs w:val="18"/>
              </w:rPr>
            </w:pPr>
            <w:r w:rsidRPr="00351C3D">
              <w:rPr>
                <w:rFonts w:eastAsia="Times New Roman"/>
                <w:b/>
                <w:bCs/>
                <w:color w:val="000000"/>
                <w:sz w:val="18"/>
                <w:szCs w:val="18"/>
              </w:rPr>
              <w:t>2024</w:t>
            </w:r>
          </w:p>
        </w:tc>
      </w:tr>
      <w:tr w:rsidR="0018367D" w:rsidRPr="00351C3D" w14:paraId="4F6FB393" w14:textId="77777777" w:rsidTr="000709B3">
        <w:trPr>
          <w:trHeight w:val="255"/>
        </w:trPr>
        <w:tc>
          <w:tcPr>
            <w:tcW w:w="6941" w:type="dxa"/>
            <w:shd w:val="clear" w:color="auto" w:fill="auto"/>
            <w:hideMark/>
          </w:tcPr>
          <w:p w14:paraId="60092379"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 xml:space="preserve">milj. </w:t>
            </w:r>
            <w:r w:rsidRPr="00351C3D">
              <w:rPr>
                <w:rFonts w:eastAsia="Times New Roman"/>
                <w:i/>
                <w:sz w:val="18"/>
                <w:szCs w:val="18"/>
              </w:rPr>
              <w:t>euro</w:t>
            </w:r>
          </w:p>
        </w:tc>
        <w:tc>
          <w:tcPr>
            <w:tcW w:w="851" w:type="dxa"/>
            <w:shd w:val="clear" w:color="auto" w:fill="auto"/>
            <w:noWrap/>
            <w:vAlign w:val="bottom"/>
            <w:hideMark/>
          </w:tcPr>
          <w:p w14:paraId="59A2C839" w14:textId="77777777" w:rsidR="0018367D" w:rsidRPr="00351C3D" w:rsidRDefault="0018367D" w:rsidP="00351C3D">
            <w:pPr>
              <w:spacing w:after="0"/>
              <w:ind w:hanging="6"/>
              <w:rPr>
                <w:rFonts w:eastAsia="Times New Roman"/>
                <w:sz w:val="18"/>
                <w:szCs w:val="18"/>
              </w:rPr>
            </w:pPr>
          </w:p>
        </w:tc>
        <w:tc>
          <w:tcPr>
            <w:tcW w:w="711" w:type="dxa"/>
            <w:shd w:val="clear" w:color="auto" w:fill="auto"/>
            <w:noWrap/>
            <w:vAlign w:val="bottom"/>
            <w:hideMark/>
          </w:tcPr>
          <w:p w14:paraId="54E828CB" w14:textId="77777777" w:rsidR="0018367D" w:rsidRPr="00351C3D" w:rsidRDefault="0018367D" w:rsidP="00351C3D">
            <w:pPr>
              <w:spacing w:after="0"/>
              <w:ind w:hanging="6"/>
              <w:rPr>
                <w:rFonts w:eastAsia="Times New Roman"/>
                <w:sz w:val="18"/>
                <w:szCs w:val="18"/>
              </w:rPr>
            </w:pPr>
          </w:p>
        </w:tc>
        <w:tc>
          <w:tcPr>
            <w:tcW w:w="709" w:type="dxa"/>
            <w:shd w:val="clear" w:color="auto" w:fill="auto"/>
            <w:noWrap/>
            <w:vAlign w:val="bottom"/>
            <w:hideMark/>
          </w:tcPr>
          <w:p w14:paraId="6971D7C6" w14:textId="77777777" w:rsidR="0018367D" w:rsidRPr="00351C3D" w:rsidRDefault="0018367D" w:rsidP="00351C3D">
            <w:pPr>
              <w:spacing w:after="0"/>
              <w:ind w:hanging="6"/>
              <w:rPr>
                <w:rFonts w:eastAsia="Times New Roman"/>
                <w:sz w:val="18"/>
                <w:szCs w:val="18"/>
              </w:rPr>
            </w:pPr>
          </w:p>
        </w:tc>
      </w:tr>
      <w:tr w:rsidR="0018367D" w:rsidRPr="00351C3D" w14:paraId="28EE10E7" w14:textId="77777777" w:rsidTr="000709B3">
        <w:trPr>
          <w:trHeight w:val="255"/>
        </w:trPr>
        <w:tc>
          <w:tcPr>
            <w:tcW w:w="6941" w:type="dxa"/>
            <w:shd w:val="clear" w:color="000000" w:fill="9BC2E6"/>
            <w:noWrap/>
            <w:hideMark/>
          </w:tcPr>
          <w:p w14:paraId="0B48F6C8" w14:textId="77777777" w:rsidR="0018367D" w:rsidRPr="00351C3D" w:rsidRDefault="0018367D" w:rsidP="00351C3D">
            <w:pPr>
              <w:spacing w:after="0"/>
              <w:ind w:left="34" w:firstLine="0"/>
              <w:rPr>
                <w:rFonts w:eastAsia="Times New Roman"/>
                <w:b/>
                <w:bCs/>
                <w:color w:val="000000"/>
                <w:sz w:val="18"/>
                <w:szCs w:val="18"/>
              </w:rPr>
            </w:pPr>
            <w:r w:rsidRPr="00351C3D">
              <w:rPr>
                <w:rFonts w:eastAsia="Times New Roman"/>
                <w:b/>
                <w:bCs/>
                <w:color w:val="000000"/>
                <w:sz w:val="18"/>
                <w:szCs w:val="18"/>
              </w:rPr>
              <w:t>Aizsardzības ministrija</w:t>
            </w:r>
          </w:p>
        </w:tc>
        <w:tc>
          <w:tcPr>
            <w:tcW w:w="851" w:type="dxa"/>
            <w:shd w:val="clear" w:color="000000" w:fill="9BC2E6"/>
            <w:noWrap/>
            <w:hideMark/>
          </w:tcPr>
          <w:p w14:paraId="09300B1C"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11" w:type="dxa"/>
            <w:shd w:val="clear" w:color="000000" w:fill="9BC2E6"/>
            <w:noWrap/>
            <w:hideMark/>
          </w:tcPr>
          <w:p w14:paraId="1326EA58"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09" w:type="dxa"/>
            <w:shd w:val="clear" w:color="000000" w:fill="9BC2E6"/>
            <w:noWrap/>
            <w:hideMark/>
          </w:tcPr>
          <w:p w14:paraId="56F8FC26"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r>
      <w:tr w:rsidR="0018367D" w:rsidRPr="00351C3D" w14:paraId="1E577F2E" w14:textId="77777777" w:rsidTr="000709B3">
        <w:trPr>
          <w:trHeight w:val="510"/>
        </w:trPr>
        <w:tc>
          <w:tcPr>
            <w:tcW w:w="6941" w:type="dxa"/>
            <w:shd w:val="clear" w:color="auto" w:fill="auto"/>
            <w:hideMark/>
          </w:tcPr>
          <w:p w14:paraId="500B3240"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Latvijas militārās un aizsardzības industrijas, kas veido vietējo ražošanut.sk. piesaistot zinātni un pētniecību, attīstības projekti</w:t>
            </w:r>
          </w:p>
        </w:tc>
        <w:tc>
          <w:tcPr>
            <w:tcW w:w="851" w:type="dxa"/>
            <w:shd w:val="clear" w:color="auto" w:fill="auto"/>
            <w:noWrap/>
            <w:hideMark/>
          </w:tcPr>
          <w:p w14:paraId="5893B444" w14:textId="377C3EC6" w:rsidR="0018367D" w:rsidRPr="00351C3D" w:rsidRDefault="00351C3D" w:rsidP="00351C3D">
            <w:pPr>
              <w:spacing w:after="0"/>
              <w:ind w:hanging="6"/>
              <w:jc w:val="right"/>
              <w:rPr>
                <w:rFonts w:eastAsia="Times New Roman"/>
                <w:sz w:val="18"/>
                <w:szCs w:val="18"/>
              </w:rPr>
            </w:pPr>
            <w:r>
              <w:rPr>
                <w:rFonts w:eastAsia="Times New Roman"/>
                <w:sz w:val="18"/>
                <w:szCs w:val="18"/>
              </w:rPr>
              <w:t>10,</w:t>
            </w:r>
            <w:r w:rsidR="0018367D" w:rsidRPr="00351C3D">
              <w:rPr>
                <w:rFonts w:eastAsia="Times New Roman"/>
                <w:sz w:val="18"/>
                <w:szCs w:val="18"/>
              </w:rPr>
              <w:t>0</w:t>
            </w:r>
          </w:p>
        </w:tc>
        <w:tc>
          <w:tcPr>
            <w:tcW w:w="711" w:type="dxa"/>
            <w:shd w:val="clear" w:color="auto" w:fill="auto"/>
            <w:noWrap/>
            <w:hideMark/>
          </w:tcPr>
          <w:p w14:paraId="35776793"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40CD4832"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5BA751F5" w14:textId="77777777" w:rsidTr="000709B3">
        <w:trPr>
          <w:trHeight w:val="255"/>
        </w:trPr>
        <w:tc>
          <w:tcPr>
            <w:tcW w:w="6941" w:type="dxa"/>
            <w:shd w:val="clear" w:color="000000" w:fill="9BC2E6"/>
            <w:noWrap/>
            <w:hideMark/>
          </w:tcPr>
          <w:p w14:paraId="1DB6D976" w14:textId="77777777" w:rsidR="0018367D" w:rsidRPr="00351C3D" w:rsidRDefault="0018367D" w:rsidP="00351C3D">
            <w:pPr>
              <w:spacing w:after="0"/>
              <w:ind w:left="34" w:firstLine="0"/>
              <w:rPr>
                <w:rFonts w:eastAsia="Times New Roman"/>
                <w:b/>
                <w:bCs/>
                <w:color w:val="000000"/>
                <w:sz w:val="18"/>
                <w:szCs w:val="18"/>
              </w:rPr>
            </w:pPr>
            <w:r w:rsidRPr="00351C3D">
              <w:rPr>
                <w:rFonts w:eastAsia="Times New Roman"/>
                <w:b/>
                <w:bCs/>
                <w:color w:val="000000"/>
                <w:sz w:val="18"/>
                <w:szCs w:val="18"/>
              </w:rPr>
              <w:t>Ekonomikas ministrija</w:t>
            </w:r>
          </w:p>
        </w:tc>
        <w:tc>
          <w:tcPr>
            <w:tcW w:w="851" w:type="dxa"/>
            <w:shd w:val="clear" w:color="000000" w:fill="9BC2E6"/>
            <w:noWrap/>
            <w:hideMark/>
          </w:tcPr>
          <w:p w14:paraId="0AC13DDE"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11" w:type="dxa"/>
            <w:shd w:val="clear" w:color="000000" w:fill="9BC2E6"/>
            <w:noWrap/>
            <w:hideMark/>
          </w:tcPr>
          <w:p w14:paraId="326F1164"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09" w:type="dxa"/>
            <w:shd w:val="clear" w:color="000000" w:fill="9BC2E6"/>
            <w:noWrap/>
            <w:hideMark/>
          </w:tcPr>
          <w:p w14:paraId="69FAF574"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r>
      <w:tr w:rsidR="0018367D" w:rsidRPr="00351C3D" w14:paraId="656AEB2D" w14:textId="77777777" w:rsidTr="000709B3">
        <w:trPr>
          <w:trHeight w:val="510"/>
        </w:trPr>
        <w:tc>
          <w:tcPr>
            <w:tcW w:w="6941" w:type="dxa"/>
            <w:shd w:val="clear" w:color="auto" w:fill="auto"/>
            <w:hideMark/>
          </w:tcPr>
          <w:p w14:paraId="3D0016A5"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Finanšu instruments - aizdevumi investīciju projektiem ar kapitāla atlaidi (pašlaik ietekme uz budžeta bilanci netiek plānota)</w:t>
            </w:r>
          </w:p>
        </w:tc>
        <w:tc>
          <w:tcPr>
            <w:tcW w:w="851" w:type="dxa"/>
            <w:shd w:val="clear" w:color="auto" w:fill="auto"/>
            <w:noWrap/>
            <w:hideMark/>
          </w:tcPr>
          <w:p w14:paraId="47718E55"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11" w:type="dxa"/>
            <w:shd w:val="clear" w:color="auto" w:fill="auto"/>
            <w:noWrap/>
            <w:hideMark/>
          </w:tcPr>
          <w:p w14:paraId="6A6E3D46"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2231A3F0"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354EE8A8" w14:textId="77777777" w:rsidTr="000709B3">
        <w:trPr>
          <w:trHeight w:val="255"/>
        </w:trPr>
        <w:tc>
          <w:tcPr>
            <w:tcW w:w="6941" w:type="dxa"/>
            <w:shd w:val="clear" w:color="auto" w:fill="auto"/>
            <w:hideMark/>
          </w:tcPr>
          <w:p w14:paraId="51CD1801"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Inovāciju fonds (nozaru pētījumu programmas)</w:t>
            </w:r>
          </w:p>
        </w:tc>
        <w:tc>
          <w:tcPr>
            <w:tcW w:w="851" w:type="dxa"/>
            <w:shd w:val="clear" w:color="auto" w:fill="auto"/>
            <w:noWrap/>
            <w:hideMark/>
          </w:tcPr>
          <w:p w14:paraId="441EC577" w14:textId="3A0581BC" w:rsidR="0018367D" w:rsidRPr="00351C3D" w:rsidRDefault="00351C3D" w:rsidP="00351C3D">
            <w:pPr>
              <w:spacing w:after="0"/>
              <w:ind w:hanging="6"/>
              <w:jc w:val="right"/>
              <w:rPr>
                <w:rFonts w:eastAsia="Times New Roman"/>
                <w:sz w:val="18"/>
                <w:szCs w:val="18"/>
              </w:rPr>
            </w:pPr>
            <w:r>
              <w:rPr>
                <w:rFonts w:eastAsia="Times New Roman"/>
                <w:sz w:val="18"/>
                <w:szCs w:val="18"/>
              </w:rPr>
              <w:t>4,</w:t>
            </w:r>
            <w:r w:rsidR="0018367D" w:rsidRPr="00351C3D">
              <w:rPr>
                <w:rFonts w:eastAsia="Times New Roman"/>
                <w:sz w:val="18"/>
                <w:szCs w:val="18"/>
              </w:rPr>
              <w:t>0</w:t>
            </w:r>
          </w:p>
        </w:tc>
        <w:tc>
          <w:tcPr>
            <w:tcW w:w="711" w:type="dxa"/>
            <w:shd w:val="clear" w:color="auto" w:fill="auto"/>
            <w:noWrap/>
            <w:hideMark/>
          </w:tcPr>
          <w:p w14:paraId="6B8A3DAB" w14:textId="1B55507F" w:rsidR="0018367D" w:rsidRPr="00351C3D" w:rsidRDefault="00351C3D" w:rsidP="00351C3D">
            <w:pPr>
              <w:spacing w:after="0"/>
              <w:ind w:hanging="6"/>
              <w:jc w:val="right"/>
              <w:rPr>
                <w:rFonts w:eastAsia="Times New Roman"/>
                <w:sz w:val="18"/>
                <w:szCs w:val="18"/>
              </w:rPr>
            </w:pPr>
            <w:r>
              <w:rPr>
                <w:rFonts w:eastAsia="Times New Roman"/>
                <w:sz w:val="18"/>
                <w:szCs w:val="18"/>
              </w:rPr>
              <w:t>4,</w:t>
            </w:r>
            <w:r w:rsidR="0018367D" w:rsidRPr="00351C3D">
              <w:rPr>
                <w:rFonts w:eastAsia="Times New Roman"/>
                <w:sz w:val="18"/>
                <w:szCs w:val="18"/>
              </w:rPr>
              <w:t>0</w:t>
            </w:r>
          </w:p>
        </w:tc>
        <w:tc>
          <w:tcPr>
            <w:tcW w:w="709" w:type="dxa"/>
            <w:shd w:val="clear" w:color="auto" w:fill="auto"/>
            <w:noWrap/>
            <w:hideMark/>
          </w:tcPr>
          <w:p w14:paraId="316CC85A" w14:textId="365F4AC3" w:rsidR="0018367D" w:rsidRPr="00351C3D" w:rsidRDefault="00351C3D" w:rsidP="00351C3D">
            <w:pPr>
              <w:spacing w:after="0"/>
              <w:ind w:hanging="6"/>
              <w:jc w:val="right"/>
              <w:rPr>
                <w:rFonts w:eastAsia="Times New Roman"/>
                <w:sz w:val="18"/>
                <w:szCs w:val="18"/>
              </w:rPr>
            </w:pPr>
            <w:r>
              <w:rPr>
                <w:rFonts w:eastAsia="Times New Roman"/>
                <w:sz w:val="18"/>
                <w:szCs w:val="18"/>
              </w:rPr>
              <w:t>4,</w:t>
            </w:r>
            <w:r w:rsidR="0018367D" w:rsidRPr="00351C3D">
              <w:rPr>
                <w:rFonts w:eastAsia="Times New Roman"/>
                <w:sz w:val="18"/>
                <w:szCs w:val="18"/>
              </w:rPr>
              <w:t>0</w:t>
            </w:r>
          </w:p>
        </w:tc>
      </w:tr>
      <w:tr w:rsidR="0018367D" w:rsidRPr="00351C3D" w14:paraId="6FE3E527" w14:textId="77777777" w:rsidTr="000709B3">
        <w:trPr>
          <w:trHeight w:val="255"/>
        </w:trPr>
        <w:tc>
          <w:tcPr>
            <w:tcW w:w="6941" w:type="dxa"/>
            <w:shd w:val="clear" w:color="000000" w:fill="9BC2E6"/>
            <w:noWrap/>
            <w:hideMark/>
          </w:tcPr>
          <w:p w14:paraId="2F404535" w14:textId="77777777" w:rsidR="0018367D" w:rsidRPr="00351C3D" w:rsidRDefault="0018367D" w:rsidP="00351C3D">
            <w:pPr>
              <w:spacing w:after="0"/>
              <w:ind w:left="34" w:firstLine="0"/>
              <w:rPr>
                <w:rFonts w:eastAsia="Times New Roman"/>
                <w:b/>
                <w:bCs/>
                <w:color w:val="000000"/>
                <w:sz w:val="18"/>
                <w:szCs w:val="18"/>
              </w:rPr>
            </w:pPr>
            <w:r w:rsidRPr="00351C3D">
              <w:rPr>
                <w:rFonts w:eastAsia="Times New Roman"/>
                <w:b/>
                <w:bCs/>
                <w:color w:val="000000"/>
                <w:sz w:val="18"/>
                <w:szCs w:val="18"/>
              </w:rPr>
              <w:t>Finanšu ministrija</w:t>
            </w:r>
          </w:p>
        </w:tc>
        <w:tc>
          <w:tcPr>
            <w:tcW w:w="851" w:type="dxa"/>
            <w:shd w:val="clear" w:color="000000" w:fill="9BC2E6"/>
            <w:noWrap/>
            <w:hideMark/>
          </w:tcPr>
          <w:p w14:paraId="4FABC35E"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11" w:type="dxa"/>
            <w:shd w:val="clear" w:color="000000" w:fill="9BC2E6"/>
            <w:noWrap/>
            <w:hideMark/>
          </w:tcPr>
          <w:p w14:paraId="0B72C112"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09" w:type="dxa"/>
            <w:shd w:val="clear" w:color="000000" w:fill="9BC2E6"/>
            <w:noWrap/>
            <w:hideMark/>
          </w:tcPr>
          <w:p w14:paraId="4C6593CC"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r>
      <w:tr w:rsidR="0018367D" w:rsidRPr="00351C3D" w14:paraId="12B88671" w14:textId="77777777" w:rsidTr="000709B3">
        <w:trPr>
          <w:trHeight w:val="255"/>
        </w:trPr>
        <w:tc>
          <w:tcPr>
            <w:tcW w:w="6941" w:type="dxa"/>
            <w:shd w:val="clear" w:color="auto" w:fill="auto"/>
            <w:hideMark/>
          </w:tcPr>
          <w:p w14:paraId="14DB0687"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Samazināts finansējums valsts parāda vadībai</w:t>
            </w:r>
          </w:p>
        </w:tc>
        <w:tc>
          <w:tcPr>
            <w:tcW w:w="851" w:type="dxa"/>
            <w:shd w:val="clear" w:color="auto" w:fill="auto"/>
            <w:noWrap/>
            <w:hideMark/>
          </w:tcPr>
          <w:p w14:paraId="3196182D" w14:textId="7D13C464" w:rsidR="0018367D" w:rsidRPr="00351C3D" w:rsidRDefault="00351C3D" w:rsidP="00351C3D">
            <w:pPr>
              <w:spacing w:after="0"/>
              <w:ind w:hanging="6"/>
              <w:jc w:val="right"/>
              <w:rPr>
                <w:rFonts w:eastAsia="Times New Roman"/>
                <w:sz w:val="18"/>
                <w:szCs w:val="18"/>
              </w:rPr>
            </w:pPr>
            <w:r>
              <w:rPr>
                <w:rFonts w:eastAsia="Times New Roman"/>
                <w:sz w:val="18"/>
                <w:szCs w:val="18"/>
              </w:rPr>
              <w:t>-42,</w:t>
            </w:r>
            <w:r w:rsidR="0018367D" w:rsidRPr="00351C3D">
              <w:rPr>
                <w:rFonts w:eastAsia="Times New Roman"/>
                <w:sz w:val="18"/>
                <w:szCs w:val="18"/>
              </w:rPr>
              <w:t>0</w:t>
            </w:r>
          </w:p>
        </w:tc>
        <w:tc>
          <w:tcPr>
            <w:tcW w:w="711" w:type="dxa"/>
            <w:shd w:val="clear" w:color="auto" w:fill="auto"/>
            <w:noWrap/>
            <w:hideMark/>
          </w:tcPr>
          <w:p w14:paraId="662A337D" w14:textId="2A9F01B2" w:rsidR="0018367D" w:rsidRPr="00351C3D" w:rsidRDefault="00351C3D" w:rsidP="00351C3D">
            <w:pPr>
              <w:spacing w:after="0"/>
              <w:ind w:hanging="6"/>
              <w:jc w:val="right"/>
              <w:rPr>
                <w:rFonts w:eastAsia="Times New Roman"/>
                <w:sz w:val="18"/>
                <w:szCs w:val="18"/>
              </w:rPr>
            </w:pPr>
            <w:r>
              <w:rPr>
                <w:rFonts w:eastAsia="Times New Roman"/>
                <w:sz w:val="18"/>
                <w:szCs w:val="18"/>
              </w:rPr>
              <w:t>-4,</w:t>
            </w:r>
            <w:r w:rsidR="0018367D" w:rsidRPr="00351C3D">
              <w:rPr>
                <w:rFonts w:eastAsia="Times New Roman"/>
                <w:sz w:val="18"/>
                <w:szCs w:val="18"/>
              </w:rPr>
              <w:t>6</w:t>
            </w:r>
          </w:p>
        </w:tc>
        <w:tc>
          <w:tcPr>
            <w:tcW w:w="709" w:type="dxa"/>
            <w:shd w:val="clear" w:color="auto" w:fill="auto"/>
            <w:noWrap/>
            <w:hideMark/>
          </w:tcPr>
          <w:p w14:paraId="7C0624A3" w14:textId="517B163A" w:rsidR="0018367D" w:rsidRPr="00351C3D" w:rsidRDefault="00351C3D"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3</w:t>
            </w:r>
          </w:p>
        </w:tc>
      </w:tr>
      <w:tr w:rsidR="0018367D" w:rsidRPr="00351C3D" w14:paraId="52F58A88" w14:textId="77777777" w:rsidTr="000709B3">
        <w:trPr>
          <w:trHeight w:val="510"/>
        </w:trPr>
        <w:tc>
          <w:tcPr>
            <w:tcW w:w="6941" w:type="dxa"/>
            <w:shd w:val="clear" w:color="auto" w:fill="auto"/>
            <w:hideMark/>
          </w:tcPr>
          <w:p w14:paraId="4C0A4F07" w14:textId="2D03E4BD" w:rsidR="0018367D" w:rsidRPr="00351C3D" w:rsidRDefault="0018367D" w:rsidP="00351C3D">
            <w:pPr>
              <w:spacing w:after="0"/>
              <w:ind w:left="34" w:firstLine="0"/>
              <w:rPr>
                <w:rFonts w:eastAsia="Times New Roman"/>
                <w:sz w:val="18"/>
                <w:szCs w:val="18"/>
              </w:rPr>
            </w:pPr>
            <w:r w:rsidRPr="00351C3D">
              <w:rPr>
                <w:rFonts w:eastAsia="Times New Roman"/>
                <w:sz w:val="18"/>
                <w:szCs w:val="18"/>
              </w:rPr>
              <w:t>Finansējums pievienotās vērtības priekšnodokļa atmaksai valsts budžetā par v</w:t>
            </w:r>
            <w:r w:rsidR="00351C3D">
              <w:rPr>
                <w:rFonts w:eastAsia="Times New Roman"/>
                <w:sz w:val="18"/>
                <w:szCs w:val="18"/>
              </w:rPr>
              <w:t>eiktajiem būvniecības darbiem Eiropas Savienības</w:t>
            </w:r>
            <w:r w:rsidRPr="00351C3D">
              <w:rPr>
                <w:rFonts w:eastAsia="Times New Roman"/>
                <w:sz w:val="18"/>
                <w:szCs w:val="18"/>
              </w:rPr>
              <w:t xml:space="preserve"> Fondu īstenotajos projektos</w:t>
            </w:r>
          </w:p>
        </w:tc>
        <w:tc>
          <w:tcPr>
            <w:tcW w:w="851" w:type="dxa"/>
            <w:shd w:val="clear" w:color="auto" w:fill="auto"/>
            <w:noWrap/>
            <w:hideMark/>
          </w:tcPr>
          <w:p w14:paraId="42869F4D" w14:textId="63679715" w:rsidR="0018367D" w:rsidRPr="00351C3D" w:rsidRDefault="00351C3D" w:rsidP="00351C3D">
            <w:pPr>
              <w:spacing w:after="0"/>
              <w:ind w:hanging="6"/>
              <w:jc w:val="right"/>
              <w:rPr>
                <w:rFonts w:eastAsia="Times New Roman"/>
                <w:sz w:val="18"/>
                <w:szCs w:val="18"/>
              </w:rPr>
            </w:pPr>
            <w:r>
              <w:rPr>
                <w:rFonts w:eastAsia="Times New Roman"/>
                <w:sz w:val="18"/>
                <w:szCs w:val="18"/>
              </w:rPr>
              <w:t>5,</w:t>
            </w:r>
            <w:r w:rsidR="0018367D" w:rsidRPr="00351C3D">
              <w:rPr>
                <w:rFonts w:eastAsia="Times New Roman"/>
                <w:sz w:val="18"/>
                <w:szCs w:val="18"/>
              </w:rPr>
              <w:t>4</w:t>
            </w:r>
          </w:p>
        </w:tc>
        <w:tc>
          <w:tcPr>
            <w:tcW w:w="711" w:type="dxa"/>
            <w:shd w:val="clear" w:color="auto" w:fill="auto"/>
            <w:noWrap/>
            <w:hideMark/>
          </w:tcPr>
          <w:p w14:paraId="419A2C0F" w14:textId="6FC2A3C1" w:rsidR="0018367D" w:rsidRPr="00351C3D" w:rsidRDefault="00351C3D" w:rsidP="00351C3D">
            <w:pPr>
              <w:spacing w:after="0"/>
              <w:ind w:hanging="6"/>
              <w:jc w:val="right"/>
              <w:rPr>
                <w:rFonts w:eastAsia="Times New Roman"/>
                <w:sz w:val="18"/>
                <w:szCs w:val="18"/>
              </w:rPr>
            </w:pPr>
            <w:r>
              <w:rPr>
                <w:rFonts w:eastAsia="Times New Roman"/>
                <w:sz w:val="18"/>
                <w:szCs w:val="18"/>
              </w:rPr>
              <w:t>0,</w:t>
            </w:r>
            <w:r w:rsidR="0018367D" w:rsidRPr="00351C3D">
              <w:rPr>
                <w:rFonts w:eastAsia="Times New Roman"/>
                <w:sz w:val="18"/>
                <w:szCs w:val="18"/>
              </w:rPr>
              <w:t>7</w:t>
            </w:r>
          </w:p>
        </w:tc>
        <w:tc>
          <w:tcPr>
            <w:tcW w:w="709" w:type="dxa"/>
            <w:shd w:val="clear" w:color="auto" w:fill="auto"/>
            <w:noWrap/>
            <w:hideMark/>
          </w:tcPr>
          <w:p w14:paraId="5299022E"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0BD8D517" w14:textId="77777777" w:rsidTr="000709B3">
        <w:trPr>
          <w:trHeight w:val="255"/>
        </w:trPr>
        <w:tc>
          <w:tcPr>
            <w:tcW w:w="6941" w:type="dxa"/>
            <w:shd w:val="clear" w:color="auto" w:fill="auto"/>
            <w:hideMark/>
          </w:tcPr>
          <w:p w14:paraId="30D06BDC" w14:textId="26303528" w:rsidR="0018367D" w:rsidRPr="00351C3D" w:rsidRDefault="00351C3D" w:rsidP="00351C3D">
            <w:pPr>
              <w:spacing w:after="0"/>
              <w:ind w:left="34" w:firstLine="0"/>
              <w:rPr>
                <w:rFonts w:eastAsia="Times New Roman"/>
                <w:sz w:val="18"/>
                <w:szCs w:val="18"/>
              </w:rPr>
            </w:pPr>
            <w:r>
              <w:rPr>
                <w:rFonts w:eastAsia="Times New Roman"/>
                <w:sz w:val="18"/>
                <w:szCs w:val="18"/>
              </w:rPr>
              <w:t>Finansējums Iekšlietu ministrijas</w:t>
            </w:r>
            <w:r w:rsidR="0018367D" w:rsidRPr="00351C3D">
              <w:rPr>
                <w:rFonts w:eastAsia="Times New Roman"/>
                <w:sz w:val="18"/>
                <w:szCs w:val="18"/>
              </w:rPr>
              <w:t xml:space="preserve"> infrastruktūras pasākumam</w:t>
            </w:r>
          </w:p>
        </w:tc>
        <w:tc>
          <w:tcPr>
            <w:tcW w:w="851" w:type="dxa"/>
            <w:shd w:val="clear" w:color="auto" w:fill="auto"/>
            <w:noWrap/>
            <w:hideMark/>
          </w:tcPr>
          <w:p w14:paraId="46C69257" w14:textId="61EC3EEA" w:rsidR="0018367D" w:rsidRPr="00351C3D" w:rsidRDefault="00351C3D"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6</w:t>
            </w:r>
          </w:p>
        </w:tc>
        <w:tc>
          <w:tcPr>
            <w:tcW w:w="711" w:type="dxa"/>
            <w:shd w:val="clear" w:color="auto" w:fill="auto"/>
            <w:noWrap/>
            <w:hideMark/>
          </w:tcPr>
          <w:p w14:paraId="4AE8EF05"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65265D5E"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039B0526" w14:textId="77777777" w:rsidTr="000709B3">
        <w:trPr>
          <w:trHeight w:val="255"/>
        </w:trPr>
        <w:tc>
          <w:tcPr>
            <w:tcW w:w="6941" w:type="dxa"/>
            <w:shd w:val="clear" w:color="000000" w:fill="9BC2E6"/>
            <w:noWrap/>
            <w:hideMark/>
          </w:tcPr>
          <w:p w14:paraId="18738316" w14:textId="77777777" w:rsidR="0018367D" w:rsidRPr="00351C3D" w:rsidRDefault="0018367D" w:rsidP="00351C3D">
            <w:pPr>
              <w:spacing w:after="0"/>
              <w:ind w:left="34" w:firstLine="0"/>
              <w:rPr>
                <w:rFonts w:eastAsia="Times New Roman"/>
                <w:b/>
                <w:bCs/>
                <w:color w:val="000000"/>
                <w:sz w:val="18"/>
                <w:szCs w:val="18"/>
              </w:rPr>
            </w:pPr>
            <w:r w:rsidRPr="00351C3D">
              <w:rPr>
                <w:rFonts w:eastAsia="Times New Roman"/>
                <w:b/>
                <w:bCs/>
                <w:color w:val="000000"/>
                <w:sz w:val="18"/>
                <w:szCs w:val="18"/>
              </w:rPr>
              <w:t>Iekšlietu ministrija</w:t>
            </w:r>
          </w:p>
        </w:tc>
        <w:tc>
          <w:tcPr>
            <w:tcW w:w="851" w:type="dxa"/>
            <w:shd w:val="clear" w:color="000000" w:fill="9BC2E6"/>
            <w:noWrap/>
            <w:hideMark/>
          </w:tcPr>
          <w:p w14:paraId="2278B185"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11" w:type="dxa"/>
            <w:shd w:val="clear" w:color="000000" w:fill="9BC2E6"/>
            <w:noWrap/>
            <w:hideMark/>
          </w:tcPr>
          <w:p w14:paraId="0B3EFC95"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09" w:type="dxa"/>
            <w:shd w:val="clear" w:color="000000" w:fill="9BC2E6"/>
            <w:noWrap/>
            <w:hideMark/>
          </w:tcPr>
          <w:p w14:paraId="0A6C9BA0"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r>
      <w:tr w:rsidR="0018367D" w:rsidRPr="00351C3D" w14:paraId="7BD51CCC" w14:textId="77777777" w:rsidTr="000709B3">
        <w:trPr>
          <w:trHeight w:val="510"/>
        </w:trPr>
        <w:tc>
          <w:tcPr>
            <w:tcW w:w="6941" w:type="dxa"/>
            <w:shd w:val="clear" w:color="auto" w:fill="auto"/>
            <w:hideMark/>
          </w:tcPr>
          <w:p w14:paraId="6D2122DF" w14:textId="3A329818" w:rsidR="0018367D" w:rsidRPr="00351C3D" w:rsidRDefault="0018367D" w:rsidP="00351C3D">
            <w:pPr>
              <w:spacing w:after="0"/>
              <w:ind w:left="34" w:firstLine="0"/>
              <w:rPr>
                <w:rFonts w:eastAsia="Times New Roman"/>
                <w:sz w:val="18"/>
                <w:szCs w:val="18"/>
              </w:rPr>
            </w:pPr>
            <w:r w:rsidRPr="00351C3D">
              <w:rPr>
                <w:rFonts w:eastAsia="Times New Roman"/>
                <w:sz w:val="18"/>
                <w:szCs w:val="18"/>
              </w:rPr>
              <w:t>Ar Covid-19 krīzes pārvarēšanu un ekonomikas atlabšanu saistītu augstas gatav</w:t>
            </w:r>
            <w:r w:rsidR="00FF64FB">
              <w:rPr>
                <w:rFonts w:eastAsia="Times New Roman"/>
                <w:sz w:val="18"/>
                <w:szCs w:val="18"/>
              </w:rPr>
              <w:t>ības projektu īstenošanai – Valsts ugunsdzēsības un glābšanas dienesta</w:t>
            </w:r>
            <w:r w:rsidRPr="00351C3D">
              <w:rPr>
                <w:rFonts w:eastAsia="Times New Roman"/>
                <w:sz w:val="18"/>
                <w:szCs w:val="18"/>
              </w:rPr>
              <w:t xml:space="preserve"> depo būvniecībai</w:t>
            </w:r>
          </w:p>
        </w:tc>
        <w:tc>
          <w:tcPr>
            <w:tcW w:w="851" w:type="dxa"/>
            <w:shd w:val="clear" w:color="auto" w:fill="auto"/>
            <w:noWrap/>
            <w:hideMark/>
          </w:tcPr>
          <w:p w14:paraId="2B43BB53" w14:textId="3BCF9FC7" w:rsidR="0018367D" w:rsidRPr="00351C3D" w:rsidRDefault="00FF64FB" w:rsidP="00351C3D">
            <w:pPr>
              <w:spacing w:after="0"/>
              <w:ind w:hanging="6"/>
              <w:jc w:val="right"/>
              <w:rPr>
                <w:rFonts w:eastAsia="Times New Roman"/>
                <w:sz w:val="18"/>
                <w:szCs w:val="18"/>
              </w:rPr>
            </w:pPr>
            <w:r>
              <w:rPr>
                <w:rFonts w:eastAsia="Times New Roman"/>
                <w:sz w:val="18"/>
                <w:szCs w:val="18"/>
              </w:rPr>
              <w:t>9,</w:t>
            </w:r>
            <w:r w:rsidR="0018367D" w:rsidRPr="00351C3D">
              <w:rPr>
                <w:rFonts w:eastAsia="Times New Roman"/>
                <w:sz w:val="18"/>
                <w:szCs w:val="18"/>
              </w:rPr>
              <w:t>2</w:t>
            </w:r>
          </w:p>
        </w:tc>
        <w:tc>
          <w:tcPr>
            <w:tcW w:w="711" w:type="dxa"/>
            <w:shd w:val="clear" w:color="auto" w:fill="auto"/>
            <w:noWrap/>
            <w:hideMark/>
          </w:tcPr>
          <w:p w14:paraId="607631CC"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3161465D"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465863A0" w14:textId="77777777" w:rsidTr="000709B3">
        <w:trPr>
          <w:trHeight w:val="510"/>
        </w:trPr>
        <w:tc>
          <w:tcPr>
            <w:tcW w:w="6941" w:type="dxa"/>
            <w:shd w:val="clear" w:color="auto" w:fill="auto"/>
            <w:hideMark/>
          </w:tcPr>
          <w:p w14:paraId="39BEB519" w14:textId="4A3C33C2" w:rsidR="0018367D" w:rsidRPr="00351C3D" w:rsidRDefault="0018367D" w:rsidP="00351C3D">
            <w:pPr>
              <w:spacing w:after="0"/>
              <w:ind w:left="34" w:firstLine="0"/>
              <w:rPr>
                <w:rFonts w:eastAsia="Times New Roman"/>
                <w:sz w:val="18"/>
                <w:szCs w:val="18"/>
              </w:rPr>
            </w:pPr>
            <w:r w:rsidRPr="00351C3D">
              <w:rPr>
                <w:rFonts w:eastAsia="Times New Roman"/>
                <w:sz w:val="18"/>
                <w:szCs w:val="18"/>
              </w:rPr>
              <w:t xml:space="preserve">Amatpersonu ar speciālajām dienesta pakāpēm kapacitātes stiprināšana (robežpiemaksa, izmeklētāju atlīdzība, mēnešalgu </w:t>
            </w:r>
            <w:r w:rsidR="00FF64FB">
              <w:rPr>
                <w:rFonts w:eastAsia="Times New Roman"/>
                <w:sz w:val="18"/>
                <w:szCs w:val="18"/>
              </w:rPr>
              <w:t>izlīdzināšana)</w:t>
            </w:r>
            <w:r w:rsidRPr="00351C3D">
              <w:rPr>
                <w:rFonts w:eastAsia="Times New Roman"/>
                <w:sz w:val="18"/>
                <w:szCs w:val="18"/>
              </w:rPr>
              <w:t xml:space="preserve"> īstenošanu</w:t>
            </w:r>
          </w:p>
        </w:tc>
        <w:tc>
          <w:tcPr>
            <w:tcW w:w="851" w:type="dxa"/>
            <w:shd w:val="clear" w:color="auto" w:fill="auto"/>
            <w:noWrap/>
            <w:hideMark/>
          </w:tcPr>
          <w:p w14:paraId="643644A4" w14:textId="36F94B4B" w:rsidR="0018367D" w:rsidRPr="00351C3D" w:rsidRDefault="00FF64FB" w:rsidP="00351C3D">
            <w:pPr>
              <w:spacing w:after="0"/>
              <w:ind w:hanging="6"/>
              <w:jc w:val="right"/>
              <w:rPr>
                <w:rFonts w:eastAsia="Times New Roman"/>
                <w:sz w:val="18"/>
                <w:szCs w:val="18"/>
              </w:rPr>
            </w:pPr>
            <w:r>
              <w:rPr>
                <w:rFonts w:eastAsia="Times New Roman"/>
                <w:sz w:val="18"/>
                <w:szCs w:val="18"/>
              </w:rPr>
              <w:t>20,</w:t>
            </w:r>
            <w:r w:rsidR="0018367D" w:rsidRPr="00351C3D">
              <w:rPr>
                <w:rFonts w:eastAsia="Times New Roman"/>
                <w:sz w:val="18"/>
                <w:szCs w:val="18"/>
              </w:rPr>
              <w:t>7</w:t>
            </w:r>
          </w:p>
        </w:tc>
        <w:tc>
          <w:tcPr>
            <w:tcW w:w="711" w:type="dxa"/>
            <w:shd w:val="clear" w:color="auto" w:fill="auto"/>
            <w:noWrap/>
            <w:hideMark/>
          </w:tcPr>
          <w:p w14:paraId="10F42923" w14:textId="347A1C55" w:rsidR="0018367D" w:rsidRPr="00351C3D" w:rsidRDefault="00FF64FB" w:rsidP="00351C3D">
            <w:pPr>
              <w:spacing w:after="0"/>
              <w:ind w:hanging="6"/>
              <w:jc w:val="right"/>
              <w:rPr>
                <w:rFonts w:eastAsia="Times New Roman"/>
                <w:sz w:val="18"/>
                <w:szCs w:val="18"/>
              </w:rPr>
            </w:pPr>
            <w:r>
              <w:rPr>
                <w:rFonts w:eastAsia="Times New Roman"/>
                <w:sz w:val="18"/>
                <w:szCs w:val="18"/>
              </w:rPr>
              <w:t>20,</w:t>
            </w:r>
            <w:r w:rsidR="0018367D" w:rsidRPr="00351C3D">
              <w:rPr>
                <w:rFonts w:eastAsia="Times New Roman"/>
                <w:sz w:val="18"/>
                <w:szCs w:val="18"/>
              </w:rPr>
              <w:t>7</w:t>
            </w:r>
          </w:p>
        </w:tc>
        <w:tc>
          <w:tcPr>
            <w:tcW w:w="709" w:type="dxa"/>
            <w:shd w:val="clear" w:color="auto" w:fill="auto"/>
            <w:noWrap/>
            <w:hideMark/>
          </w:tcPr>
          <w:p w14:paraId="01DAEA3A" w14:textId="3E299A28" w:rsidR="0018367D" w:rsidRPr="00351C3D" w:rsidRDefault="00FF64FB" w:rsidP="00351C3D">
            <w:pPr>
              <w:spacing w:after="0"/>
              <w:ind w:hanging="6"/>
              <w:jc w:val="right"/>
              <w:rPr>
                <w:rFonts w:eastAsia="Times New Roman"/>
                <w:sz w:val="18"/>
                <w:szCs w:val="18"/>
              </w:rPr>
            </w:pPr>
            <w:r>
              <w:rPr>
                <w:rFonts w:eastAsia="Times New Roman"/>
                <w:sz w:val="18"/>
                <w:szCs w:val="18"/>
              </w:rPr>
              <w:t>20,</w:t>
            </w:r>
            <w:r w:rsidR="0018367D" w:rsidRPr="00351C3D">
              <w:rPr>
                <w:rFonts w:eastAsia="Times New Roman"/>
                <w:sz w:val="18"/>
                <w:szCs w:val="18"/>
              </w:rPr>
              <w:t>7</w:t>
            </w:r>
          </w:p>
        </w:tc>
      </w:tr>
      <w:tr w:rsidR="0018367D" w:rsidRPr="00351C3D" w14:paraId="1499B184" w14:textId="77777777" w:rsidTr="000709B3">
        <w:trPr>
          <w:trHeight w:val="255"/>
        </w:trPr>
        <w:tc>
          <w:tcPr>
            <w:tcW w:w="6941" w:type="dxa"/>
            <w:shd w:val="clear" w:color="auto" w:fill="auto"/>
            <w:hideMark/>
          </w:tcPr>
          <w:p w14:paraId="47F2BF94"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Speciālo ugunsdzēsības un glābšanas transportlīdzekļu iegāde</w:t>
            </w:r>
          </w:p>
        </w:tc>
        <w:tc>
          <w:tcPr>
            <w:tcW w:w="851" w:type="dxa"/>
            <w:shd w:val="clear" w:color="auto" w:fill="auto"/>
            <w:noWrap/>
            <w:hideMark/>
          </w:tcPr>
          <w:p w14:paraId="46AC6210" w14:textId="625CAE2F" w:rsidR="0018367D" w:rsidRPr="00351C3D" w:rsidRDefault="00FF64FB" w:rsidP="00351C3D">
            <w:pPr>
              <w:spacing w:after="0"/>
              <w:ind w:hanging="6"/>
              <w:jc w:val="right"/>
              <w:rPr>
                <w:rFonts w:eastAsia="Times New Roman"/>
                <w:sz w:val="18"/>
                <w:szCs w:val="18"/>
              </w:rPr>
            </w:pPr>
            <w:r>
              <w:rPr>
                <w:rFonts w:eastAsia="Times New Roman"/>
                <w:sz w:val="18"/>
                <w:szCs w:val="18"/>
              </w:rPr>
              <w:t>12,</w:t>
            </w:r>
            <w:r w:rsidR="0018367D" w:rsidRPr="00351C3D">
              <w:rPr>
                <w:rFonts w:eastAsia="Times New Roman"/>
                <w:sz w:val="18"/>
                <w:szCs w:val="18"/>
              </w:rPr>
              <w:t>0</w:t>
            </w:r>
          </w:p>
        </w:tc>
        <w:tc>
          <w:tcPr>
            <w:tcW w:w="711" w:type="dxa"/>
            <w:shd w:val="clear" w:color="auto" w:fill="auto"/>
            <w:noWrap/>
            <w:hideMark/>
          </w:tcPr>
          <w:p w14:paraId="5E3ADCB9"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1332880A"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55F422D2" w14:textId="77777777" w:rsidTr="000709B3">
        <w:trPr>
          <w:trHeight w:val="255"/>
        </w:trPr>
        <w:tc>
          <w:tcPr>
            <w:tcW w:w="6941" w:type="dxa"/>
            <w:shd w:val="clear" w:color="auto" w:fill="auto"/>
            <w:hideMark/>
          </w:tcPr>
          <w:p w14:paraId="673BCC2C"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Valsts drošības dienesta darbības prioritāro jomu stiprināšana</w:t>
            </w:r>
          </w:p>
        </w:tc>
        <w:tc>
          <w:tcPr>
            <w:tcW w:w="851" w:type="dxa"/>
            <w:shd w:val="clear" w:color="auto" w:fill="auto"/>
            <w:noWrap/>
            <w:hideMark/>
          </w:tcPr>
          <w:p w14:paraId="7C14AF2A" w14:textId="24E0B9D3" w:rsidR="0018367D" w:rsidRPr="00351C3D" w:rsidRDefault="00FF64FB" w:rsidP="00351C3D">
            <w:pPr>
              <w:spacing w:after="0"/>
              <w:ind w:hanging="6"/>
              <w:jc w:val="right"/>
              <w:rPr>
                <w:rFonts w:eastAsia="Times New Roman"/>
                <w:sz w:val="18"/>
                <w:szCs w:val="18"/>
              </w:rPr>
            </w:pPr>
            <w:r>
              <w:rPr>
                <w:rFonts w:eastAsia="Times New Roman"/>
                <w:sz w:val="18"/>
                <w:szCs w:val="18"/>
              </w:rPr>
              <w:t>2,</w:t>
            </w:r>
            <w:r w:rsidR="0018367D" w:rsidRPr="00351C3D">
              <w:rPr>
                <w:rFonts w:eastAsia="Times New Roman"/>
                <w:sz w:val="18"/>
                <w:szCs w:val="18"/>
              </w:rPr>
              <w:t>6</w:t>
            </w:r>
          </w:p>
        </w:tc>
        <w:tc>
          <w:tcPr>
            <w:tcW w:w="711" w:type="dxa"/>
            <w:shd w:val="clear" w:color="auto" w:fill="auto"/>
            <w:noWrap/>
            <w:hideMark/>
          </w:tcPr>
          <w:p w14:paraId="4090CFC6" w14:textId="5682AAD9"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1</w:t>
            </w:r>
          </w:p>
        </w:tc>
        <w:tc>
          <w:tcPr>
            <w:tcW w:w="709" w:type="dxa"/>
            <w:shd w:val="clear" w:color="auto" w:fill="auto"/>
            <w:noWrap/>
            <w:hideMark/>
          </w:tcPr>
          <w:p w14:paraId="0E7FBFF7" w14:textId="699806B9"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0</w:t>
            </w:r>
          </w:p>
        </w:tc>
      </w:tr>
      <w:tr w:rsidR="0018367D" w:rsidRPr="00351C3D" w14:paraId="7E8D324F" w14:textId="77777777" w:rsidTr="000709B3">
        <w:trPr>
          <w:trHeight w:val="255"/>
        </w:trPr>
        <w:tc>
          <w:tcPr>
            <w:tcW w:w="6941" w:type="dxa"/>
            <w:shd w:val="clear" w:color="000000" w:fill="9BC2E6"/>
            <w:noWrap/>
            <w:hideMark/>
          </w:tcPr>
          <w:p w14:paraId="11E8C60E" w14:textId="77777777" w:rsidR="0018367D" w:rsidRPr="00351C3D" w:rsidRDefault="0018367D" w:rsidP="00351C3D">
            <w:pPr>
              <w:spacing w:after="0"/>
              <w:ind w:left="34" w:firstLine="0"/>
              <w:rPr>
                <w:rFonts w:eastAsia="Times New Roman"/>
                <w:b/>
                <w:bCs/>
                <w:color w:val="000000"/>
                <w:sz w:val="18"/>
                <w:szCs w:val="18"/>
              </w:rPr>
            </w:pPr>
            <w:r w:rsidRPr="00351C3D">
              <w:rPr>
                <w:rFonts w:eastAsia="Times New Roman"/>
                <w:b/>
                <w:bCs/>
                <w:color w:val="000000"/>
                <w:sz w:val="18"/>
                <w:szCs w:val="18"/>
              </w:rPr>
              <w:t>Izglītības un zinātnes ministrija</w:t>
            </w:r>
          </w:p>
        </w:tc>
        <w:tc>
          <w:tcPr>
            <w:tcW w:w="851" w:type="dxa"/>
            <w:shd w:val="clear" w:color="000000" w:fill="9BC2E6"/>
            <w:noWrap/>
            <w:hideMark/>
          </w:tcPr>
          <w:p w14:paraId="2A02D2EA"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11" w:type="dxa"/>
            <w:shd w:val="clear" w:color="000000" w:fill="9BC2E6"/>
            <w:noWrap/>
            <w:hideMark/>
          </w:tcPr>
          <w:p w14:paraId="49622DF4"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09" w:type="dxa"/>
            <w:shd w:val="clear" w:color="000000" w:fill="9BC2E6"/>
            <w:noWrap/>
            <w:hideMark/>
          </w:tcPr>
          <w:p w14:paraId="5689C667"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r>
      <w:tr w:rsidR="0018367D" w:rsidRPr="00351C3D" w14:paraId="612B555B" w14:textId="77777777" w:rsidTr="000709B3">
        <w:trPr>
          <w:trHeight w:val="510"/>
        </w:trPr>
        <w:tc>
          <w:tcPr>
            <w:tcW w:w="6941" w:type="dxa"/>
            <w:shd w:val="clear" w:color="auto" w:fill="auto"/>
            <w:hideMark/>
          </w:tcPr>
          <w:p w14:paraId="09CFF930"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ar Covid-19 krīzes seku pārvarēšanu un ekonomikas atlabšanu saistītu augstas gatavības profesionālās izglītības iestāžu projektu īstenošanu</w:t>
            </w:r>
          </w:p>
        </w:tc>
        <w:tc>
          <w:tcPr>
            <w:tcW w:w="851" w:type="dxa"/>
            <w:shd w:val="clear" w:color="auto" w:fill="auto"/>
            <w:noWrap/>
            <w:hideMark/>
          </w:tcPr>
          <w:p w14:paraId="0A975CEA" w14:textId="59D89DCC" w:rsidR="0018367D" w:rsidRPr="00351C3D" w:rsidRDefault="00FF64FB" w:rsidP="00351C3D">
            <w:pPr>
              <w:spacing w:after="0"/>
              <w:ind w:hanging="6"/>
              <w:jc w:val="right"/>
              <w:rPr>
                <w:rFonts w:eastAsia="Times New Roman"/>
                <w:sz w:val="18"/>
                <w:szCs w:val="18"/>
              </w:rPr>
            </w:pPr>
            <w:r>
              <w:rPr>
                <w:rFonts w:eastAsia="Times New Roman"/>
                <w:sz w:val="18"/>
                <w:szCs w:val="18"/>
              </w:rPr>
              <w:t>5,</w:t>
            </w:r>
            <w:r w:rsidR="0018367D" w:rsidRPr="00351C3D">
              <w:rPr>
                <w:rFonts w:eastAsia="Times New Roman"/>
                <w:sz w:val="18"/>
                <w:szCs w:val="18"/>
              </w:rPr>
              <w:t>4</w:t>
            </w:r>
          </w:p>
        </w:tc>
        <w:tc>
          <w:tcPr>
            <w:tcW w:w="711" w:type="dxa"/>
            <w:shd w:val="clear" w:color="auto" w:fill="auto"/>
            <w:noWrap/>
            <w:hideMark/>
          </w:tcPr>
          <w:p w14:paraId="6BD43281"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46A2733A"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7A5BEB68" w14:textId="77777777" w:rsidTr="000709B3">
        <w:trPr>
          <w:trHeight w:val="510"/>
        </w:trPr>
        <w:tc>
          <w:tcPr>
            <w:tcW w:w="6941" w:type="dxa"/>
            <w:shd w:val="clear" w:color="auto" w:fill="auto"/>
            <w:hideMark/>
          </w:tcPr>
          <w:p w14:paraId="5676635E"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Ar Covid-19 krīzes seku pārvarēšanu un ekonomikas atlabšanu saistītu augstas gatavības projektu īstenošana</w:t>
            </w:r>
          </w:p>
        </w:tc>
        <w:tc>
          <w:tcPr>
            <w:tcW w:w="851" w:type="dxa"/>
            <w:shd w:val="clear" w:color="auto" w:fill="auto"/>
            <w:noWrap/>
            <w:hideMark/>
          </w:tcPr>
          <w:p w14:paraId="16CEE8CA" w14:textId="0DE486FE" w:rsidR="0018367D" w:rsidRPr="00351C3D" w:rsidRDefault="00FF64FB" w:rsidP="00351C3D">
            <w:pPr>
              <w:spacing w:after="0"/>
              <w:ind w:hanging="6"/>
              <w:jc w:val="right"/>
              <w:rPr>
                <w:rFonts w:eastAsia="Times New Roman"/>
                <w:sz w:val="18"/>
                <w:szCs w:val="18"/>
              </w:rPr>
            </w:pPr>
            <w:r>
              <w:rPr>
                <w:rFonts w:eastAsia="Times New Roman"/>
                <w:sz w:val="18"/>
                <w:szCs w:val="18"/>
              </w:rPr>
              <w:t>17,</w:t>
            </w:r>
            <w:r w:rsidR="0018367D" w:rsidRPr="00351C3D">
              <w:rPr>
                <w:rFonts w:eastAsia="Times New Roman"/>
                <w:sz w:val="18"/>
                <w:szCs w:val="18"/>
              </w:rPr>
              <w:t>3</w:t>
            </w:r>
          </w:p>
        </w:tc>
        <w:tc>
          <w:tcPr>
            <w:tcW w:w="711" w:type="dxa"/>
            <w:shd w:val="clear" w:color="auto" w:fill="auto"/>
            <w:noWrap/>
            <w:hideMark/>
          </w:tcPr>
          <w:p w14:paraId="1AC5467B"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1D2D9FE6"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160C1CA2" w14:textId="77777777" w:rsidTr="000709B3">
        <w:trPr>
          <w:trHeight w:val="255"/>
        </w:trPr>
        <w:tc>
          <w:tcPr>
            <w:tcW w:w="6941" w:type="dxa"/>
            <w:shd w:val="clear" w:color="auto" w:fill="auto"/>
            <w:hideMark/>
          </w:tcPr>
          <w:p w14:paraId="3362DF1B"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Pedagogu darba samaksas pieauguma grafika īstenošana</w:t>
            </w:r>
          </w:p>
        </w:tc>
        <w:tc>
          <w:tcPr>
            <w:tcW w:w="851" w:type="dxa"/>
            <w:shd w:val="clear" w:color="auto" w:fill="auto"/>
            <w:noWrap/>
            <w:hideMark/>
          </w:tcPr>
          <w:p w14:paraId="7315DF0E" w14:textId="06E439E2" w:rsidR="0018367D" w:rsidRPr="00351C3D" w:rsidRDefault="00FF64FB" w:rsidP="00351C3D">
            <w:pPr>
              <w:spacing w:after="0"/>
              <w:ind w:hanging="6"/>
              <w:jc w:val="right"/>
              <w:rPr>
                <w:rFonts w:eastAsia="Times New Roman"/>
                <w:sz w:val="18"/>
                <w:szCs w:val="18"/>
              </w:rPr>
            </w:pPr>
            <w:r>
              <w:rPr>
                <w:rFonts w:eastAsia="Times New Roman"/>
                <w:sz w:val="18"/>
                <w:szCs w:val="18"/>
              </w:rPr>
              <w:t>15,</w:t>
            </w:r>
            <w:r w:rsidR="0018367D" w:rsidRPr="00351C3D">
              <w:rPr>
                <w:rFonts w:eastAsia="Times New Roman"/>
                <w:sz w:val="18"/>
                <w:szCs w:val="18"/>
              </w:rPr>
              <w:t>2</w:t>
            </w:r>
          </w:p>
        </w:tc>
        <w:tc>
          <w:tcPr>
            <w:tcW w:w="711" w:type="dxa"/>
            <w:shd w:val="clear" w:color="auto" w:fill="auto"/>
            <w:noWrap/>
            <w:hideMark/>
          </w:tcPr>
          <w:p w14:paraId="291B0A88" w14:textId="62A2C207" w:rsidR="0018367D" w:rsidRPr="00351C3D" w:rsidRDefault="00FF64FB" w:rsidP="00351C3D">
            <w:pPr>
              <w:spacing w:after="0"/>
              <w:ind w:hanging="6"/>
              <w:jc w:val="right"/>
              <w:rPr>
                <w:rFonts w:eastAsia="Times New Roman"/>
                <w:sz w:val="18"/>
                <w:szCs w:val="18"/>
              </w:rPr>
            </w:pPr>
            <w:r>
              <w:rPr>
                <w:rFonts w:eastAsia="Times New Roman"/>
                <w:sz w:val="18"/>
                <w:szCs w:val="18"/>
              </w:rPr>
              <w:t>45,</w:t>
            </w:r>
            <w:r w:rsidR="0018367D" w:rsidRPr="00351C3D">
              <w:rPr>
                <w:rFonts w:eastAsia="Times New Roman"/>
                <w:sz w:val="18"/>
                <w:szCs w:val="18"/>
              </w:rPr>
              <w:t>6</w:t>
            </w:r>
          </w:p>
        </w:tc>
        <w:tc>
          <w:tcPr>
            <w:tcW w:w="709" w:type="dxa"/>
            <w:shd w:val="clear" w:color="auto" w:fill="auto"/>
            <w:noWrap/>
            <w:hideMark/>
          </w:tcPr>
          <w:p w14:paraId="0D6FD35C" w14:textId="5DBBE0D2" w:rsidR="0018367D" w:rsidRPr="00351C3D" w:rsidRDefault="00FF64FB" w:rsidP="00351C3D">
            <w:pPr>
              <w:spacing w:after="0"/>
              <w:ind w:hanging="6"/>
              <w:jc w:val="right"/>
              <w:rPr>
                <w:rFonts w:eastAsia="Times New Roman"/>
                <w:sz w:val="18"/>
                <w:szCs w:val="18"/>
              </w:rPr>
            </w:pPr>
            <w:r>
              <w:rPr>
                <w:rFonts w:eastAsia="Times New Roman"/>
                <w:sz w:val="18"/>
                <w:szCs w:val="18"/>
              </w:rPr>
              <w:t>45,</w:t>
            </w:r>
            <w:r w:rsidR="0018367D" w:rsidRPr="00351C3D">
              <w:rPr>
                <w:rFonts w:eastAsia="Times New Roman"/>
                <w:sz w:val="18"/>
                <w:szCs w:val="18"/>
              </w:rPr>
              <w:t>6</w:t>
            </w:r>
          </w:p>
        </w:tc>
      </w:tr>
      <w:tr w:rsidR="0018367D" w:rsidRPr="00351C3D" w14:paraId="0E8ABF03" w14:textId="77777777" w:rsidTr="000709B3">
        <w:trPr>
          <w:trHeight w:val="255"/>
        </w:trPr>
        <w:tc>
          <w:tcPr>
            <w:tcW w:w="6941" w:type="dxa"/>
            <w:shd w:val="clear" w:color="auto" w:fill="auto"/>
            <w:hideMark/>
          </w:tcPr>
          <w:p w14:paraId="69B32CC5"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Sociālo stipendiju nodrošināšana studējošajiem no daudzbērnu ģimenēm</w:t>
            </w:r>
          </w:p>
        </w:tc>
        <w:tc>
          <w:tcPr>
            <w:tcW w:w="851" w:type="dxa"/>
            <w:shd w:val="clear" w:color="auto" w:fill="auto"/>
            <w:noWrap/>
            <w:hideMark/>
          </w:tcPr>
          <w:p w14:paraId="19C96B11" w14:textId="59FC4A12"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6</w:t>
            </w:r>
          </w:p>
        </w:tc>
        <w:tc>
          <w:tcPr>
            <w:tcW w:w="711" w:type="dxa"/>
            <w:shd w:val="clear" w:color="auto" w:fill="auto"/>
            <w:noWrap/>
            <w:hideMark/>
          </w:tcPr>
          <w:p w14:paraId="5F1D3B6C" w14:textId="7B2A7F7A" w:rsidR="0018367D" w:rsidRPr="00351C3D" w:rsidRDefault="00FF64FB" w:rsidP="00351C3D">
            <w:pPr>
              <w:spacing w:after="0"/>
              <w:ind w:hanging="6"/>
              <w:jc w:val="right"/>
              <w:rPr>
                <w:rFonts w:eastAsia="Times New Roman"/>
                <w:sz w:val="18"/>
                <w:szCs w:val="18"/>
              </w:rPr>
            </w:pPr>
            <w:r>
              <w:rPr>
                <w:rFonts w:eastAsia="Times New Roman"/>
                <w:sz w:val="18"/>
                <w:szCs w:val="18"/>
              </w:rPr>
              <w:t>6,</w:t>
            </w:r>
            <w:r w:rsidR="0018367D" w:rsidRPr="00351C3D">
              <w:rPr>
                <w:rFonts w:eastAsia="Times New Roman"/>
                <w:sz w:val="18"/>
                <w:szCs w:val="18"/>
              </w:rPr>
              <w:t>1</w:t>
            </w:r>
          </w:p>
        </w:tc>
        <w:tc>
          <w:tcPr>
            <w:tcW w:w="709" w:type="dxa"/>
            <w:shd w:val="clear" w:color="auto" w:fill="auto"/>
            <w:noWrap/>
            <w:hideMark/>
          </w:tcPr>
          <w:p w14:paraId="7F7D8CAD" w14:textId="3FC3614D" w:rsidR="0018367D" w:rsidRPr="00351C3D" w:rsidRDefault="00FF64FB" w:rsidP="00351C3D">
            <w:pPr>
              <w:spacing w:after="0"/>
              <w:ind w:hanging="6"/>
              <w:jc w:val="right"/>
              <w:rPr>
                <w:rFonts w:eastAsia="Times New Roman"/>
                <w:sz w:val="18"/>
                <w:szCs w:val="18"/>
              </w:rPr>
            </w:pPr>
            <w:r>
              <w:rPr>
                <w:rFonts w:eastAsia="Times New Roman"/>
                <w:sz w:val="18"/>
                <w:szCs w:val="18"/>
              </w:rPr>
              <w:t>8,</w:t>
            </w:r>
            <w:r w:rsidR="0018367D" w:rsidRPr="00351C3D">
              <w:rPr>
                <w:rFonts w:eastAsia="Times New Roman"/>
                <w:sz w:val="18"/>
                <w:szCs w:val="18"/>
              </w:rPr>
              <w:t>4</w:t>
            </w:r>
          </w:p>
        </w:tc>
      </w:tr>
      <w:tr w:rsidR="0018367D" w:rsidRPr="00351C3D" w14:paraId="546D73F2" w14:textId="77777777" w:rsidTr="000709B3">
        <w:trPr>
          <w:trHeight w:val="383"/>
        </w:trPr>
        <w:tc>
          <w:tcPr>
            <w:tcW w:w="6941" w:type="dxa"/>
            <w:shd w:val="clear" w:color="auto" w:fill="auto"/>
            <w:hideMark/>
          </w:tcPr>
          <w:p w14:paraId="7BCE9ACC"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Zinātnes bāzes finansējuma palielināšanai un fundamentālo un lietišķo pētījumu finansēšana</w:t>
            </w:r>
          </w:p>
        </w:tc>
        <w:tc>
          <w:tcPr>
            <w:tcW w:w="851" w:type="dxa"/>
            <w:shd w:val="clear" w:color="auto" w:fill="auto"/>
            <w:noWrap/>
            <w:hideMark/>
          </w:tcPr>
          <w:p w14:paraId="4015739A" w14:textId="5C8B9800" w:rsidR="0018367D" w:rsidRPr="00351C3D" w:rsidRDefault="00FF64FB" w:rsidP="00351C3D">
            <w:pPr>
              <w:spacing w:after="0"/>
              <w:ind w:hanging="6"/>
              <w:jc w:val="right"/>
              <w:rPr>
                <w:rFonts w:eastAsia="Times New Roman"/>
                <w:sz w:val="18"/>
                <w:szCs w:val="18"/>
              </w:rPr>
            </w:pPr>
            <w:r>
              <w:rPr>
                <w:rFonts w:eastAsia="Times New Roman"/>
                <w:sz w:val="18"/>
                <w:szCs w:val="18"/>
              </w:rPr>
              <w:t>10,</w:t>
            </w:r>
            <w:r w:rsidR="0018367D" w:rsidRPr="00351C3D">
              <w:rPr>
                <w:rFonts w:eastAsia="Times New Roman"/>
                <w:sz w:val="18"/>
                <w:szCs w:val="18"/>
              </w:rPr>
              <w:t>6</w:t>
            </w:r>
          </w:p>
        </w:tc>
        <w:tc>
          <w:tcPr>
            <w:tcW w:w="711" w:type="dxa"/>
            <w:shd w:val="clear" w:color="auto" w:fill="auto"/>
            <w:noWrap/>
            <w:hideMark/>
          </w:tcPr>
          <w:p w14:paraId="1200BF94" w14:textId="7676514B" w:rsidR="0018367D" w:rsidRPr="00351C3D" w:rsidRDefault="00FF64FB" w:rsidP="00351C3D">
            <w:pPr>
              <w:spacing w:after="0"/>
              <w:ind w:hanging="6"/>
              <w:jc w:val="right"/>
              <w:rPr>
                <w:rFonts w:eastAsia="Times New Roman"/>
                <w:sz w:val="18"/>
                <w:szCs w:val="18"/>
              </w:rPr>
            </w:pPr>
            <w:r>
              <w:rPr>
                <w:rFonts w:eastAsia="Times New Roman"/>
                <w:sz w:val="18"/>
                <w:szCs w:val="18"/>
              </w:rPr>
              <w:t>10,</w:t>
            </w:r>
            <w:r w:rsidR="0018367D" w:rsidRPr="00351C3D">
              <w:rPr>
                <w:rFonts w:eastAsia="Times New Roman"/>
                <w:sz w:val="18"/>
                <w:szCs w:val="18"/>
              </w:rPr>
              <w:t>6</w:t>
            </w:r>
          </w:p>
        </w:tc>
        <w:tc>
          <w:tcPr>
            <w:tcW w:w="709" w:type="dxa"/>
            <w:shd w:val="clear" w:color="auto" w:fill="auto"/>
            <w:noWrap/>
            <w:hideMark/>
          </w:tcPr>
          <w:p w14:paraId="41C24212" w14:textId="08850C82" w:rsidR="0018367D" w:rsidRPr="00351C3D" w:rsidRDefault="00FF64FB" w:rsidP="00351C3D">
            <w:pPr>
              <w:spacing w:after="0"/>
              <w:ind w:hanging="6"/>
              <w:jc w:val="right"/>
              <w:rPr>
                <w:rFonts w:eastAsia="Times New Roman"/>
                <w:sz w:val="18"/>
                <w:szCs w:val="18"/>
              </w:rPr>
            </w:pPr>
            <w:r>
              <w:rPr>
                <w:rFonts w:eastAsia="Times New Roman"/>
                <w:sz w:val="18"/>
                <w:szCs w:val="18"/>
              </w:rPr>
              <w:t>10,</w:t>
            </w:r>
            <w:r w:rsidR="0018367D" w:rsidRPr="00351C3D">
              <w:rPr>
                <w:rFonts w:eastAsia="Times New Roman"/>
                <w:sz w:val="18"/>
                <w:szCs w:val="18"/>
              </w:rPr>
              <w:t>6</w:t>
            </w:r>
          </w:p>
        </w:tc>
      </w:tr>
      <w:tr w:rsidR="0018367D" w:rsidRPr="00351C3D" w14:paraId="5A1A4DD2" w14:textId="77777777" w:rsidTr="000709B3">
        <w:trPr>
          <w:trHeight w:val="255"/>
        </w:trPr>
        <w:tc>
          <w:tcPr>
            <w:tcW w:w="6941" w:type="dxa"/>
            <w:shd w:val="clear" w:color="000000" w:fill="9BC2E6"/>
            <w:noWrap/>
            <w:hideMark/>
          </w:tcPr>
          <w:p w14:paraId="0605E8BA" w14:textId="77777777" w:rsidR="0018367D" w:rsidRPr="00351C3D" w:rsidRDefault="0018367D" w:rsidP="00351C3D">
            <w:pPr>
              <w:spacing w:after="0"/>
              <w:ind w:left="34" w:firstLine="0"/>
              <w:rPr>
                <w:rFonts w:eastAsia="Times New Roman"/>
                <w:b/>
                <w:bCs/>
                <w:color w:val="000000"/>
                <w:sz w:val="18"/>
                <w:szCs w:val="18"/>
              </w:rPr>
            </w:pPr>
            <w:r w:rsidRPr="00351C3D">
              <w:rPr>
                <w:rFonts w:eastAsia="Times New Roman"/>
                <w:b/>
                <w:bCs/>
                <w:color w:val="000000"/>
                <w:sz w:val="18"/>
                <w:szCs w:val="18"/>
              </w:rPr>
              <w:t>Zemkopības ministrija</w:t>
            </w:r>
          </w:p>
        </w:tc>
        <w:tc>
          <w:tcPr>
            <w:tcW w:w="851" w:type="dxa"/>
            <w:shd w:val="clear" w:color="000000" w:fill="9BC2E6"/>
            <w:noWrap/>
            <w:hideMark/>
          </w:tcPr>
          <w:p w14:paraId="2BBDEAEF"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11" w:type="dxa"/>
            <w:shd w:val="clear" w:color="000000" w:fill="9BC2E6"/>
            <w:noWrap/>
            <w:hideMark/>
          </w:tcPr>
          <w:p w14:paraId="2FEA919E"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09" w:type="dxa"/>
            <w:shd w:val="clear" w:color="000000" w:fill="9BC2E6"/>
            <w:noWrap/>
            <w:hideMark/>
          </w:tcPr>
          <w:p w14:paraId="54E1161E"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r>
      <w:tr w:rsidR="0018367D" w:rsidRPr="00351C3D" w14:paraId="695DF41C" w14:textId="77777777" w:rsidTr="000709B3">
        <w:trPr>
          <w:trHeight w:val="510"/>
        </w:trPr>
        <w:tc>
          <w:tcPr>
            <w:tcW w:w="6941" w:type="dxa"/>
            <w:shd w:val="clear" w:color="auto" w:fill="auto"/>
            <w:hideMark/>
          </w:tcPr>
          <w:p w14:paraId="3E2851B9"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Valsts atbalstam vaislas lauksaimniecības dzīvnieku ierakstīšanai ciltsgrāmatā, kā arī to ģenētiskās kvalitātes noteikšanai un produktivitātes datu izvērtēšanai</w:t>
            </w:r>
          </w:p>
        </w:tc>
        <w:tc>
          <w:tcPr>
            <w:tcW w:w="851" w:type="dxa"/>
            <w:shd w:val="clear" w:color="auto" w:fill="auto"/>
            <w:noWrap/>
            <w:hideMark/>
          </w:tcPr>
          <w:p w14:paraId="2BD3F748" w14:textId="1C3D4FBA" w:rsidR="0018367D" w:rsidRPr="00351C3D" w:rsidRDefault="00FF64FB" w:rsidP="00351C3D">
            <w:pPr>
              <w:spacing w:after="0"/>
              <w:ind w:hanging="6"/>
              <w:jc w:val="right"/>
              <w:rPr>
                <w:rFonts w:eastAsia="Times New Roman"/>
                <w:sz w:val="18"/>
                <w:szCs w:val="18"/>
              </w:rPr>
            </w:pPr>
            <w:r>
              <w:rPr>
                <w:rFonts w:eastAsia="Times New Roman"/>
                <w:sz w:val="18"/>
                <w:szCs w:val="18"/>
              </w:rPr>
              <w:t>24,</w:t>
            </w:r>
            <w:r w:rsidR="0018367D" w:rsidRPr="00351C3D">
              <w:rPr>
                <w:rFonts w:eastAsia="Times New Roman"/>
                <w:sz w:val="18"/>
                <w:szCs w:val="18"/>
              </w:rPr>
              <w:t>0</w:t>
            </w:r>
          </w:p>
        </w:tc>
        <w:tc>
          <w:tcPr>
            <w:tcW w:w="711" w:type="dxa"/>
            <w:shd w:val="clear" w:color="auto" w:fill="auto"/>
            <w:noWrap/>
            <w:hideMark/>
          </w:tcPr>
          <w:p w14:paraId="7DC24D29"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22170D17"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341FE5A0" w14:textId="77777777" w:rsidTr="000709B3">
        <w:trPr>
          <w:trHeight w:val="510"/>
        </w:trPr>
        <w:tc>
          <w:tcPr>
            <w:tcW w:w="6941" w:type="dxa"/>
            <w:shd w:val="clear" w:color="auto" w:fill="auto"/>
            <w:hideMark/>
          </w:tcPr>
          <w:p w14:paraId="546ABE52"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Lauksaimniecībā izmantojamiem zinātnes pētījumiem un lauksaimniecības zinātnisko institūciju materiāli tehniskās bāzes pilnveidošanai</w:t>
            </w:r>
          </w:p>
        </w:tc>
        <w:tc>
          <w:tcPr>
            <w:tcW w:w="851" w:type="dxa"/>
            <w:shd w:val="clear" w:color="auto" w:fill="auto"/>
            <w:noWrap/>
            <w:hideMark/>
          </w:tcPr>
          <w:p w14:paraId="1E143C10" w14:textId="580F503A"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0</w:t>
            </w:r>
          </w:p>
        </w:tc>
        <w:tc>
          <w:tcPr>
            <w:tcW w:w="711" w:type="dxa"/>
            <w:shd w:val="clear" w:color="auto" w:fill="auto"/>
            <w:noWrap/>
            <w:hideMark/>
          </w:tcPr>
          <w:p w14:paraId="0950F75A"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022DDA64"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319ACB32" w14:textId="77777777" w:rsidTr="000709B3">
        <w:trPr>
          <w:trHeight w:val="255"/>
        </w:trPr>
        <w:tc>
          <w:tcPr>
            <w:tcW w:w="6941" w:type="dxa"/>
            <w:shd w:val="clear" w:color="auto" w:fill="auto"/>
            <w:hideMark/>
          </w:tcPr>
          <w:p w14:paraId="46B906EA"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Mazo lauksaimniecības ražotāju ienākumu valsts atbalstam</w:t>
            </w:r>
          </w:p>
        </w:tc>
        <w:tc>
          <w:tcPr>
            <w:tcW w:w="851" w:type="dxa"/>
            <w:shd w:val="clear" w:color="auto" w:fill="auto"/>
            <w:noWrap/>
            <w:hideMark/>
          </w:tcPr>
          <w:p w14:paraId="434B1D0B" w14:textId="189B3FF3"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0</w:t>
            </w:r>
          </w:p>
        </w:tc>
        <w:tc>
          <w:tcPr>
            <w:tcW w:w="711" w:type="dxa"/>
            <w:shd w:val="clear" w:color="auto" w:fill="auto"/>
            <w:noWrap/>
            <w:hideMark/>
          </w:tcPr>
          <w:p w14:paraId="33A60743"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03716E22"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5BFFC193" w14:textId="77777777" w:rsidTr="000709B3">
        <w:trPr>
          <w:trHeight w:val="255"/>
        </w:trPr>
        <w:tc>
          <w:tcPr>
            <w:tcW w:w="6941" w:type="dxa"/>
            <w:shd w:val="clear" w:color="auto" w:fill="auto"/>
            <w:hideMark/>
          </w:tcPr>
          <w:p w14:paraId="1A720386"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Zemkopības nozares darba samaksas pieaugums</w:t>
            </w:r>
          </w:p>
        </w:tc>
        <w:tc>
          <w:tcPr>
            <w:tcW w:w="851" w:type="dxa"/>
            <w:shd w:val="clear" w:color="auto" w:fill="auto"/>
            <w:noWrap/>
            <w:hideMark/>
          </w:tcPr>
          <w:p w14:paraId="22FDF4A9" w14:textId="21C23861"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0</w:t>
            </w:r>
          </w:p>
        </w:tc>
        <w:tc>
          <w:tcPr>
            <w:tcW w:w="711" w:type="dxa"/>
            <w:shd w:val="clear" w:color="auto" w:fill="auto"/>
            <w:noWrap/>
            <w:hideMark/>
          </w:tcPr>
          <w:p w14:paraId="039FCE17" w14:textId="1288747D"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0</w:t>
            </w:r>
          </w:p>
        </w:tc>
        <w:tc>
          <w:tcPr>
            <w:tcW w:w="709" w:type="dxa"/>
            <w:shd w:val="clear" w:color="auto" w:fill="auto"/>
            <w:noWrap/>
            <w:hideMark/>
          </w:tcPr>
          <w:p w14:paraId="24B201E7" w14:textId="62C591D2"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0</w:t>
            </w:r>
          </w:p>
        </w:tc>
      </w:tr>
      <w:tr w:rsidR="0018367D" w:rsidRPr="00351C3D" w14:paraId="4F51E673" w14:textId="77777777" w:rsidTr="000709B3">
        <w:trPr>
          <w:trHeight w:val="766"/>
        </w:trPr>
        <w:tc>
          <w:tcPr>
            <w:tcW w:w="6941" w:type="dxa"/>
            <w:shd w:val="clear" w:color="auto" w:fill="auto"/>
            <w:hideMark/>
          </w:tcPr>
          <w:p w14:paraId="7DB20941"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Zemkopības ministrijas nozaru infrastruktūras pilnveidošana un resora valsts funkciju izpildes tehniskā nodrošinājuma atjaunošana, tai skaitā ieguldījumi meliorācijas sistēmās un investīcijas Zaļā kursa mērķu sasniegšanai</w:t>
            </w:r>
          </w:p>
        </w:tc>
        <w:tc>
          <w:tcPr>
            <w:tcW w:w="851" w:type="dxa"/>
            <w:shd w:val="clear" w:color="auto" w:fill="auto"/>
            <w:noWrap/>
            <w:hideMark/>
          </w:tcPr>
          <w:p w14:paraId="3219EF30" w14:textId="5AE5EC4B" w:rsidR="0018367D" w:rsidRPr="00351C3D" w:rsidRDefault="00FF64FB" w:rsidP="00351C3D">
            <w:pPr>
              <w:spacing w:after="0"/>
              <w:ind w:hanging="6"/>
              <w:jc w:val="right"/>
              <w:rPr>
                <w:rFonts w:eastAsia="Times New Roman"/>
                <w:sz w:val="18"/>
                <w:szCs w:val="18"/>
              </w:rPr>
            </w:pPr>
            <w:r>
              <w:rPr>
                <w:rFonts w:eastAsia="Times New Roman"/>
                <w:sz w:val="18"/>
                <w:szCs w:val="18"/>
              </w:rPr>
              <w:t>50,</w:t>
            </w:r>
            <w:r w:rsidR="0018367D" w:rsidRPr="00351C3D">
              <w:rPr>
                <w:rFonts w:eastAsia="Times New Roman"/>
                <w:sz w:val="18"/>
                <w:szCs w:val="18"/>
              </w:rPr>
              <w:t>0</w:t>
            </w:r>
          </w:p>
        </w:tc>
        <w:tc>
          <w:tcPr>
            <w:tcW w:w="711" w:type="dxa"/>
            <w:shd w:val="clear" w:color="auto" w:fill="auto"/>
            <w:noWrap/>
            <w:hideMark/>
          </w:tcPr>
          <w:p w14:paraId="27F9BF8F"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3336907D"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086C5FC3" w14:textId="77777777" w:rsidTr="000709B3">
        <w:trPr>
          <w:trHeight w:val="255"/>
        </w:trPr>
        <w:tc>
          <w:tcPr>
            <w:tcW w:w="6941" w:type="dxa"/>
            <w:shd w:val="clear" w:color="000000" w:fill="9BC2E6"/>
            <w:noWrap/>
            <w:hideMark/>
          </w:tcPr>
          <w:p w14:paraId="140297DB" w14:textId="77777777" w:rsidR="0018367D" w:rsidRPr="00351C3D" w:rsidRDefault="0018367D" w:rsidP="00351C3D">
            <w:pPr>
              <w:spacing w:after="0"/>
              <w:ind w:left="34" w:firstLine="0"/>
              <w:rPr>
                <w:rFonts w:eastAsia="Times New Roman"/>
                <w:b/>
                <w:bCs/>
                <w:color w:val="000000"/>
                <w:sz w:val="18"/>
                <w:szCs w:val="18"/>
              </w:rPr>
            </w:pPr>
            <w:r w:rsidRPr="00351C3D">
              <w:rPr>
                <w:rFonts w:eastAsia="Times New Roman"/>
                <w:b/>
                <w:bCs/>
                <w:color w:val="000000"/>
                <w:sz w:val="18"/>
                <w:szCs w:val="18"/>
              </w:rPr>
              <w:t>Satiksmes ministrija</w:t>
            </w:r>
          </w:p>
        </w:tc>
        <w:tc>
          <w:tcPr>
            <w:tcW w:w="851" w:type="dxa"/>
            <w:shd w:val="clear" w:color="000000" w:fill="9BC2E6"/>
            <w:noWrap/>
            <w:hideMark/>
          </w:tcPr>
          <w:p w14:paraId="42886A60"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11" w:type="dxa"/>
            <w:shd w:val="clear" w:color="000000" w:fill="9BC2E6"/>
            <w:noWrap/>
            <w:hideMark/>
          </w:tcPr>
          <w:p w14:paraId="0665B919"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09" w:type="dxa"/>
            <w:shd w:val="clear" w:color="000000" w:fill="9BC2E6"/>
            <w:noWrap/>
            <w:hideMark/>
          </w:tcPr>
          <w:p w14:paraId="077AADDB"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r>
      <w:tr w:rsidR="0018367D" w:rsidRPr="00351C3D" w14:paraId="730BA22F" w14:textId="77777777" w:rsidTr="000709B3">
        <w:trPr>
          <w:trHeight w:val="255"/>
        </w:trPr>
        <w:tc>
          <w:tcPr>
            <w:tcW w:w="6941" w:type="dxa"/>
            <w:shd w:val="clear" w:color="auto" w:fill="auto"/>
            <w:hideMark/>
          </w:tcPr>
          <w:p w14:paraId="40A26DF8"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Valsts reģionālo autoceļu pārbūve un atjaunošana</w:t>
            </w:r>
          </w:p>
        </w:tc>
        <w:tc>
          <w:tcPr>
            <w:tcW w:w="851" w:type="dxa"/>
            <w:shd w:val="clear" w:color="auto" w:fill="auto"/>
            <w:noWrap/>
            <w:hideMark/>
          </w:tcPr>
          <w:p w14:paraId="32618A6D" w14:textId="3BC79C56" w:rsidR="0018367D" w:rsidRPr="00351C3D" w:rsidRDefault="00FF64FB" w:rsidP="00351C3D">
            <w:pPr>
              <w:spacing w:after="0"/>
              <w:ind w:hanging="6"/>
              <w:jc w:val="right"/>
              <w:rPr>
                <w:rFonts w:eastAsia="Times New Roman"/>
                <w:sz w:val="18"/>
                <w:szCs w:val="18"/>
              </w:rPr>
            </w:pPr>
            <w:r>
              <w:rPr>
                <w:rFonts w:eastAsia="Times New Roman"/>
                <w:sz w:val="18"/>
                <w:szCs w:val="18"/>
              </w:rPr>
              <w:t>57,</w:t>
            </w:r>
            <w:r w:rsidR="0018367D" w:rsidRPr="00351C3D">
              <w:rPr>
                <w:rFonts w:eastAsia="Times New Roman"/>
                <w:sz w:val="18"/>
                <w:szCs w:val="18"/>
              </w:rPr>
              <w:t>7</w:t>
            </w:r>
          </w:p>
        </w:tc>
        <w:tc>
          <w:tcPr>
            <w:tcW w:w="711" w:type="dxa"/>
            <w:shd w:val="clear" w:color="auto" w:fill="auto"/>
            <w:noWrap/>
            <w:hideMark/>
          </w:tcPr>
          <w:p w14:paraId="63084E70"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50B60C88"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784D66AB" w14:textId="77777777" w:rsidTr="000709B3">
        <w:trPr>
          <w:trHeight w:val="255"/>
        </w:trPr>
        <w:tc>
          <w:tcPr>
            <w:tcW w:w="6941" w:type="dxa"/>
            <w:shd w:val="clear" w:color="auto" w:fill="auto"/>
            <w:hideMark/>
          </w:tcPr>
          <w:p w14:paraId="2059CAAE"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Finansējums dzelzceļa publiskai infrastruktūrai</w:t>
            </w:r>
          </w:p>
        </w:tc>
        <w:tc>
          <w:tcPr>
            <w:tcW w:w="851" w:type="dxa"/>
            <w:shd w:val="clear" w:color="auto" w:fill="auto"/>
            <w:noWrap/>
            <w:hideMark/>
          </w:tcPr>
          <w:p w14:paraId="2FC13460" w14:textId="465CA9D6" w:rsidR="0018367D" w:rsidRPr="00351C3D" w:rsidRDefault="00FF64FB" w:rsidP="00351C3D">
            <w:pPr>
              <w:spacing w:after="0"/>
              <w:ind w:hanging="6"/>
              <w:jc w:val="right"/>
              <w:rPr>
                <w:rFonts w:eastAsia="Times New Roman"/>
                <w:sz w:val="18"/>
                <w:szCs w:val="18"/>
              </w:rPr>
            </w:pPr>
            <w:r>
              <w:rPr>
                <w:rFonts w:eastAsia="Times New Roman"/>
                <w:sz w:val="18"/>
                <w:szCs w:val="18"/>
              </w:rPr>
              <w:t>7,</w:t>
            </w:r>
            <w:r w:rsidR="0018367D" w:rsidRPr="00351C3D">
              <w:rPr>
                <w:rFonts w:eastAsia="Times New Roman"/>
                <w:sz w:val="18"/>
                <w:szCs w:val="18"/>
              </w:rPr>
              <w:t>0</w:t>
            </w:r>
          </w:p>
        </w:tc>
        <w:tc>
          <w:tcPr>
            <w:tcW w:w="711" w:type="dxa"/>
            <w:shd w:val="clear" w:color="auto" w:fill="auto"/>
            <w:noWrap/>
            <w:hideMark/>
          </w:tcPr>
          <w:p w14:paraId="22032570" w14:textId="6B8D9103"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0</w:t>
            </w:r>
          </w:p>
        </w:tc>
        <w:tc>
          <w:tcPr>
            <w:tcW w:w="709" w:type="dxa"/>
            <w:shd w:val="clear" w:color="auto" w:fill="auto"/>
            <w:noWrap/>
            <w:hideMark/>
          </w:tcPr>
          <w:p w14:paraId="6DBFF601" w14:textId="756C88FF"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0</w:t>
            </w:r>
          </w:p>
        </w:tc>
      </w:tr>
      <w:tr w:rsidR="0018367D" w:rsidRPr="00351C3D" w14:paraId="41F233C7" w14:textId="77777777" w:rsidTr="000709B3">
        <w:trPr>
          <w:trHeight w:val="255"/>
        </w:trPr>
        <w:tc>
          <w:tcPr>
            <w:tcW w:w="6941" w:type="dxa"/>
            <w:shd w:val="clear" w:color="auto" w:fill="auto"/>
            <w:hideMark/>
          </w:tcPr>
          <w:p w14:paraId="4C6893F3"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Dotācija zaudējumu segšanai sabiedriskā transporta pakalpojumu sniedzējiem</w:t>
            </w:r>
          </w:p>
        </w:tc>
        <w:tc>
          <w:tcPr>
            <w:tcW w:w="851" w:type="dxa"/>
            <w:shd w:val="clear" w:color="auto" w:fill="auto"/>
            <w:noWrap/>
            <w:hideMark/>
          </w:tcPr>
          <w:p w14:paraId="6300A56C" w14:textId="053C08AA" w:rsidR="0018367D" w:rsidRPr="00351C3D" w:rsidRDefault="00FF64FB" w:rsidP="00351C3D">
            <w:pPr>
              <w:spacing w:after="0"/>
              <w:ind w:hanging="6"/>
              <w:jc w:val="right"/>
              <w:rPr>
                <w:rFonts w:eastAsia="Times New Roman"/>
                <w:sz w:val="18"/>
                <w:szCs w:val="18"/>
              </w:rPr>
            </w:pPr>
            <w:r>
              <w:rPr>
                <w:rFonts w:eastAsia="Times New Roman"/>
                <w:sz w:val="18"/>
                <w:szCs w:val="18"/>
              </w:rPr>
              <w:t>8,</w:t>
            </w:r>
            <w:r w:rsidR="0018367D" w:rsidRPr="00351C3D">
              <w:rPr>
                <w:rFonts w:eastAsia="Times New Roman"/>
                <w:sz w:val="18"/>
                <w:szCs w:val="18"/>
              </w:rPr>
              <w:t>7</w:t>
            </w:r>
          </w:p>
        </w:tc>
        <w:tc>
          <w:tcPr>
            <w:tcW w:w="711" w:type="dxa"/>
            <w:shd w:val="clear" w:color="auto" w:fill="auto"/>
            <w:noWrap/>
            <w:hideMark/>
          </w:tcPr>
          <w:p w14:paraId="2AD6F967" w14:textId="7C852D63"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2</w:t>
            </w:r>
          </w:p>
        </w:tc>
        <w:tc>
          <w:tcPr>
            <w:tcW w:w="709" w:type="dxa"/>
            <w:shd w:val="clear" w:color="auto" w:fill="auto"/>
            <w:noWrap/>
            <w:hideMark/>
          </w:tcPr>
          <w:p w14:paraId="142A9DBE" w14:textId="3D7EB81D"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2</w:t>
            </w:r>
          </w:p>
        </w:tc>
      </w:tr>
      <w:tr w:rsidR="0018367D" w:rsidRPr="00351C3D" w14:paraId="25B45987" w14:textId="77777777" w:rsidTr="000709B3">
        <w:trPr>
          <w:trHeight w:val="255"/>
        </w:trPr>
        <w:tc>
          <w:tcPr>
            <w:tcW w:w="6941" w:type="dxa"/>
            <w:shd w:val="clear" w:color="000000" w:fill="9BC2E6"/>
            <w:noWrap/>
            <w:hideMark/>
          </w:tcPr>
          <w:p w14:paraId="03B92426" w14:textId="77777777" w:rsidR="0018367D" w:rsidRPr="00351C3D" w:rsidRDefault="0018367D" w:rsidP="00351C3D">
            <w:pPr>
              <w:spacing w:after="0"/>
              <w:ind w:left="34" w:firstLine="0"/>
              <w:rPr>
                <w:rFonts w:eastAsia="Times New Roman"/>
                <w:b/>
                <w:bCs/>
                <w:color w:val="000000"/>
                <w:sz w:val="18"/>
                <w:szCs w:val="18"/>
              </w:rPr>
            </w:pPr>
            <w:r w:rsidRPr="00351C3D">
              <w:rPr>
                <w:rFonts w:eastAsia="Times New Roman"/>
                <w:b/>
                <w:bCs/>
                <w:color w:val="000000"/>
                <w:sz w:val="18"/>
                <w:szCs w:val="18"/>
              </w:rPr>
              <w:t>Labklājības ministrija</w:t>
            </w:r>
          </w:p>
        </w:tc>
        <w:tc>
          <w:tcPr>
            <w:tcW w:w="851" w:type="dxa"/>
            <w:shd w:val="clear" w:color="000000" w:fill="9BC2E6"/>
            <w:noWrap/>
            <w:hideMark/>
          </w:tcPr>
          <w:p w14:paraId="70AC8AE3"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11" w:type="dxa"/>
            <w:shd w:val="clear" w:color="000000" w:fill="9BC2E6"/>
            <w:noWrap/>
            <w:hideMark/>
          </w:tcPr>
          <w:p w14:paraId="26591270"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09" w:type="dxa"/>
            <w:shd w:val="clear" w:color="000000" w:fill="9BC2E6"/>
            <w:noWrap/>
            <w:hideMark/>
          </w:tcPr>
          <w:p w14:paraId="422522C9"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r>
      <w:tr w:rsidR="0018367D" w:rsidRPr="00351C3D" w14:paraId="0B3B7D5A" w14:textId="77777777" w:rsidTr="000709B3">
        <w:trPr>
          <w:trHeight w:val="510"/>
        </w:trPr>
        <w:tc>
          <w:tcPr>
            <w:tcW w:w="6941" w:type="dxa"/>
            <w:shd w:val="clear" w:color="auto" w:fill="auto"/>
            <w:hideMark/>
          </w:tcPr>
          <w:p w14:paraId="12DB6816"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Izdevumu samazinājums bezdarbnieka pabalstiem saistībā ar pabalsta saņēmēju skaita vidēji mēnesī prognozēto samazināšanos</w:t>
            </w:r>
          </w:p>
        </w:tc>
        <w:tc>
          <w:tcPr>
            <w:tcW w:w="851" w:type="dxa"/>
            <w:shd w:val="clear" w:color="auto" w:fill="auto"/>
            <w:noWrap/>
            <w:hideMark/>
          </w:tcPr>
          <w:p w14:paraId="0634D7E2" w14:textId="74BDA9C2" w:rsidR="0018367D" w:rsidRPr="00351C3D" w:rsidRDefault="00FF64FB" w:rsidP="00351C3D">
            <w:pPr>
              <w:spacing w:after="0"/>
              <w:ind w:hanging="6"/>
              <w:jc w:val="right"/>
              <w:rPr>
                <w:rFonts w:eastAsia="Times New Roman"/>
                <w:sz w:val="18"/>
                <w:szCs w:val="18"/>
              </w:rPr>
            </w:pPr>
            <w:r>
              <w:rPr>
                <w:rFonts w:eastAsia="Times New Roman"/>
                <w:sz w:val="18"/>
                <w:szCs w:val="18"/>
              </w:rPr>
              <w:t>-9,</w:t>
            </w:r>
            <w:r w:rsidR="0018367D" w:rsidRPr="00351C3D">
              <w:rPr>
                <w:rFonts w:eastAsia="Times New Roman"/>
                <w:sz w:val="18"/>
                <w:szCs w:val="18"/>
              </w:rPr>
              <w:t>0</w:t>
            </w:r>
          </w:p>
        </w:tc>
        <w:tc>
          <w:tcPr>
            <w:tcW w:w="711" w:type="dxa"/>
            <w:shd w:val="clear" w:color="auto" w:fill="auto"/>
            <w:noWrap/>
            <w:hideMark/>
          </w:tcPr>
          <w:p w14:paraId="344A9BF2" w14:textId="3DCA9494" w:rsidR="0018367D" w:rsidRPr="00351C3D" w:rsidRDefault="00FF64FB" w:rsidP="00351C3D">
            <w:pPr>
              <w:spacing w:after="0"/>
              <w:ind w:hanging="6"/>
              <w:jc w:val="right"/>
              <w:rPr>
                <w:rFonts w:eastAsia="Times New Roman"/>
                <w:sz w:val="18"/>
                <w:szCs w:val="18"/>
              </w:rPr>
            </w:pPr>
            <w:r>
              <w:rPr>
                <w:rFonts w:eastAsia="Times New Roman"/>
                <w:sz w:val="18"/>
                <w:szCs w:val="18"/>
              </w:rPr>
              <w:t>-9,</w:t>
            </w:r>
            <w:r w:rsidR="0018367D" w:rsidRPr="00351C3D">
              <w:rPr>
                <w:rFonts w:eastAsia="Times New Roman"/>
                <w:sz w:val="18"/>
                <w:szCs w:val="18"/>
              </w:rPr>
              <w:t>8</w:t>
            </w:r>
          </w:p>
        </w:tc>
        <w:tc>
          <w:tcPr>
            <w:tcW w:w="709" w:type="dxa"/>
            <w:shd w:val="clear" w:color="auto" w:fill="auto"/>
            <w:noWrap/>
            <w:hideMark/>
          </w:tcPr>
          <w:p w14:paraId="2D4D5826" w14:textId="10ED3D43" w:rsidR="0018367D" w:rsidRPr="00351C3D" w:rsidRDefault="00FF64FB" w:rsidP="00351C3D">
            <w:pPr>
              <w:spacing w:after="0"/>
              <w:ind w:hanging="6"/>
              <w:jc w:val="right"/>
              <w:rPr>
                <w:rFonts w:eastAsia="Times New Roman"/>
                <w:sz w:val="18"/>
                <w:szCs w:val="18"/>
              </w:rPr>
            </w:pPr>
            <w:r>
              <w:rPr>
                <w:rFonts w:eastAsia="Times New Roman"/>
                <w:sz w:val="18"/>
                <w:szCs w:val="18"/>
              </w:rPr>
              <w:t>-10,</w:t>
            </w:r>
            <w:r w:rsidR="0018367D" w:rsidRPr="00351C3D">
              <w:rPr>
                <w:rFonts w:eastAsia="Times New Roman"/>
                <w:sz w:val="18"/>
                <w:szCs w:val="18"/>
              </w:rPr>
              <w:t>9</w:t>
            </w:r>
          </w:p>
        </w:tc>
      </w:tr>
      <w:tr w:rsidR="0018367D" w:rsidRPr="00351C3D" w14:paraId="15BA0C9F" w14:textId="77777777" w:rsidTr="000709B3">
        <w:trPr>
          <w:trHeight w:val="315"/>
        </w:trPr>
        <w:tc>
          <w:tcPr>
            <w:tcW w:w="6941" w:type="dxa"/>
            <w:shd w:val="clear" w:color="auto" w:fill="auto"/>
            <w:hideMark/>
          </w:tcPr>
          <w:p w14:paraId="0444AD7B"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lastRenderedPageBreak/>
              <w:t>Atalgojuma paaugstināšana aprūpētājiem ilgstošas sociālās aprūpes un sociālās rehabilitācijas institūcijās</w:t>
            </w:r>
          </w:p>
        </w:tc>
        <w:tc>
          <w:tcPr>
            <w:tcW w:w="851" w:type="dxa"/>
            <w:shd w:val="clear" w:color="auto" w:fill="auto"/>
            <w:noWrap/>
            <w:hideMark/>
          </w:tcPr>
          <w:p w14:paraId="59BFFB9C" w14:textId="55220F25" w:rsidR="0018367D" w:rsidRPr="00351C3D" w:rsidRDefault="00FF64FB" w:rsidP="00351C3D">
            <w:pPr>
              <w:spacing w:after="0"/>
              <w:ind w:hanging="6"/>
              <w:jc w:val="right"/>
              <w:rPr>
                <w:rFonts w:eastAsia="Times New Roman"/>
                <w:sz w:val="18"/>
                <w:szCs w:val="18"/>
              </w:rPr>
            </w:pPr>
            <w:r>
              <w:rPr>
                <w:rFonts w:eastAsia="Times New Roman"/>
                <w:sz w:val="18"/>
                <w:szCs w:val="18"/>
              </w:rPr>
              <w:t>9,</w:t>
            </w:r>
            <w:r w:rsidR="0018367D" w:rsidRPr="00351C3D">
              <w:rPr>
                <w:rFonts w:eastAsia="Times New Roman"/>
                <w:sz w:val="18"/>
                <w:szCs w:val="18"/>
              </w:rPr>
              <w:t>9</w:t>
            </w:r>
          </w:p>
        </w:tc>
        <w:tc>
          <w:tcPr>
            <w:tcW w:w="711" w:type="dxa"/>
            <w:shd w:val="clear" w:color="auto" w:fill="auto"/>
            <w:noWrap/>
            <w:hideMark/>
          </w:tcPr>
          <w:p w14:paraId="352464CB" w14:textId="0B76D1CA" w:rsidR="0018367D" w:rsidRPr="00351C3D" w:rsidRDefault="00FF64FB" w:rsidP="00351C3D">
            <w:pPr>
              <w:spacing w:after="0"/>
              <w:ind w:hanging="6"/>
              <w:jc w:val="right"/>
              <w:rPr>
                <w:rFonts w:eastAsia="Times New Roman"/>
                <w:sz w:val="18"/>
                <w:szCs w:val="18"/>
              </w:rPr>
            </w:pPr>
            <w:r>
              <w:rPr>
                <w:rFonts w:eastAsia="Times New Roman"/>
                <w:sz w:val="18"/>
                <w:szCs w:val="18"/>
              </w:rPr>
              <w:t>6,</w:t>
            </w:r>
            <w:r w:rsidR="0018367D" w:rsidRPr="00351C3D">
              <w:rPr>
                <w:rFonts w:eastAsia="Times New Roman"/>
                <w:sz w:val="18"/>
                <w:szCs w:val="18"/>
              </w:rPr>
              <w:t>5</w:t>
            </w:r>
          </w:p>
        </w:tc>
        <w:tc>
          <w:tcPr>
            <w:tcW w:w="709" w:type="dxa"/>
            <w:shd w:val="clear" w:color="auto" w:fill="auto"/>
            <w:noWrap/>
            <w:hideMark/>
          </w:tcPr>
          <w:p w14:paraId="503B8069" w14:textId="71FB433B"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1</w:t>
            </w:r>
          </w:p>
        </w:tc>
      </w:tr>
      <w:tr w:rsidR="0018367D" w:rsidRPr="00351C3D" w14:paraId="3620B426" w14:textId="77777777" w:rsidTr="000709B3">
        <w:trPr>
          <w:trHeight w:val="255"/>
        </w:trPr>
        <w:tc>
          <w:tcPr>
            <w:tcW w:w="6941" w:type="dxa"/>
            <w:shd w:val="clear" w:color="auto" w:fill="auto"/>
            <w:hideMark/>
          </w:tcPr>
          <w:p w14:paraId="1D82E663"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Valsts sociālo aprūpes centru infrastruktūras sakārtošana</w:t>
            </w:r>
          </w:p>
        </w:tc>
        <w:tc>
          <w:tcPr>
            <w:tcW w:w="851" w:type="dxa"/>
            <w:shd w:val="clear" w:color="auto" w:fill="auto"/>
            <w:noWrap/>
            <w:hideMark/>
          </w:tcPr>
          <w:p w14:paraId="41CD2767" w14:textId="798A1A68" w:rsidR="0018367D" w:rsidRPr="00351C3D" w:rsidRDefault="00FF64FB" w:rsidP="00351C3D">
            <w:pPr>
              <w:spacing w:after="0"/>
              <w:ind w:hanging="6"/>
              <w:jc w:val="right"/>
              <w:rPr>
                <w:rFonts w:eastAsia="Times New Roman"/>
                <w:sz w:val="18"/>
                <w:szCs w:val="18"/>
              </w:rPr>
            </w:pPr>
            <w:r>
              <w:rPr>
                <w:rFonts w:eastAsia="Times New Roman"/>
                <w:sz w:val="18"/>
                <w:szCs w:val="18"/>
              </w:rPr>
              <w:t>6,</w:t>
            </w:r>
            <w:r w:rsidR="0018367D" w:rsidRPr="00351C3D">
              <w:rPr>
                <w:rFonts w:eastAsia="Times New Roman"/>
                <w:sz w:val="18"/>
                <w:szCs w:val="18"/>
              </w:rPr>
              <w:t>0</w:t>
            </w:r>
          </w:p>
        </w:tc>
        <w:tc>
          <w:tcPr>
            <w:tcW w:w="711" w:type="dxa"/>
            <w:shd w:val="clear" w:color="auto" w:fill="auto"/>
            <w:noWrap/>
            <w:hideMark/>
          </w:tcPr>
          <w:p w14:paraId="766D602C"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5D0F7C4E"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072E933F" w14:textId="77777777" w:rsidTr="000709B3">
        <w:trPr>
          <w:trHeight w:val="255"/>
        </w:trPr>
        <w:tc>
          <w:tcPr>
            <w:tcW w:w="6941" w:type="dxa"/>
            <w:shd w:val="clear" w:color="auto" w:fill="auto"/>
            <w:hideMark/>
          </w:tcPr>
          <w:p w14:paraId="1FABDA4B"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Valsts apmaksāto darbnespējas dienu skaita palielināšana</w:t>
            </w:r>
          </w:p>
        </w:tc>
        <w:tc>
          <w:tcPr>
            <w:tcW w:w="851" w:type="dxa"/>
            <w:shd w:val="clear" w:color="auto" w:fill="auto"/>
            <w:noWrap/>
            <w:hideMark/>
          </w:tcPr>
          <w:p w14:paraId="1EE22379" w14:textId="605F548F" w:rsidR="0018367D" w:rsidRPr="00351C3D" w:rsidRDefault="00FF64FB" w:rsidP="00351C3D">
            <w:pPr>
              <w:spacing w:after="0"/>
              <w:ind w:hanging="6"/>
              <w:jc w:val="right"/>
              <w:rPr>
                <w:rFonts w:eastAsia="Times New Roman"/>
                <w:sz w:val="18"/>
                <w:szCs w:val="18"/>
              </w:rPr>
            </w:pPr>
            <w:r>
              <w:rPr>
                <w:rFonts w:eastAsia="Times New Roman"/>
                <w:sz w:val="18"/>
                <w:szCs w:val="18"/>
              </w:rPr>
              <w:t>7,</w:t>
            </w:r>
            <w:r w:rsidR="0018367D" w:rsidRPr="00351C3D">
              <w:rPr>
                <w:rFonts w:eastAsia="Times New Roman"/>
                <w:sz w:val="18"/>
                <w:szCs w:val="18"/>
              </w:rPr>
              <w:t>0</w:t>
            </w:r>
          </w:p>
        </w:tc>
        <w:tc>
          <w:tcPr>
            <w:tcW w:w="711" w:type="dxa"/>
            <w:shd w:val="clear" w:color="auto" w:fill="auto"/>
            <w:noWrap/>
            <w:hideMark/>
          </w:tcPr>
          <w:p w14:paraId="6477A395" w14:textId="4C14089C" w:rsidR="0018367D" w:rsidRPr="00351C3D" w:rsidRDefault="00FF64FB" w:rsidP="00351C3D">
            <w:pPr>
              <w:spacing w:after="0"/>
              <w:ind w:hanging="6"/>
              <w:jc w:val="right"/>
              <w:rPr>
                <w:rFonts w:eastAsia="Times New Roman"/>
                <w:sz w:val="18"/>
                <w:szCs w:val="18"/>
              </w:rPr>
            </w:pPr>
            <w:r>
              <w:rPr>
                <w:rFonts w:eastAsia="Times New Roman"/>
                <w:sz w:val="18"/>
                <w:szCs w:val="18"/>
              </w:rPr>
              <w:t>7,</w:t>
            </w:r>
            <w:r w:rsidR="0018367D" w:rsidRPr="00351C3D">
              <w:rPr>
                <w:rFonts w:eastAsia="Times New Roman"/>
                <w:sz w:val="18"/>
                <w:szCs w:val="18"/>
              </w:rPr>
              <w:t>0</w:t>
            </w:r>
          </w:p>
        </w:tc>
        <w:tc>
          <w:tcPr>
            <w:tcW w:w="709" w:type="dxa"/>
            <w:shd w:val="clear" w:color="auto" w:fill="auto"/>
            <w:noWrap/>
            <w:hideMark/>
          </w:tcPr>
          <w:p w14:paraId="5CCB8808" w14:textId="47F9BB68" w:rsidR="0018367D" w:rsidRPr="00351C3D" w:rsidRDefault="00FF64FB" w:rsidP="00351C3D">
            <w:pPr>
              <w:spacing w:after="0"/>
              <w:ind w:hanging="6"/>
              <w:jc w:val="right"/>
              <w:rPr>
                <w:rFonts w:eastAsia="Times New Roman"/>
                <w:sz w:val="18"/>
                <w:szCs w:val="18"/>
              </w:rPr>
            </w:pPr>
            <w:r>
              <w:rPr>
                <w:rFonts w:eastAsia="Times New Roman"/>
                <w:sz w:val="18"/>
                <w:szCs w:val="18"/>
              </w:rPr>
              <w:t>7,</w:t>
            </w:r>
            <w:r w:rsidR="0018367D" w:rsidRPr="00351C3D">
              <w:rPr>
                <w:rFonts w:eastAsia="Times New Roman"/>
                <w:sz w:val="18"/>
                <w:szCs w:val="18"/>
              </w:rPr>
              <w:t>0</w:t>
            </w:r>
          </w:p>
        </w:tc>
      </w:tr>
      <w:tr w:rsidR="0018367D" w:rsidRPr="00351C3D" w14:paraId="14838CA0" w14:textId="77777777" w:rsidTr="000709B3">
        <w:trPr>
          <w:trHeight w:val="255"/>
        </w:trPr>
        <w:tc>
          <w:tcPr>
            <w:tcW w:w="6941" w:type="dxa"/>
            <w:shd w:val="clear" w:color="000000" w:fill="9BC2E6"/>
            <w:noWrap/>
            <w:hideMark/>
          </w:tcPr>
          <w:p w14:paraId="20D3806D" w14:textId="77777777" w:rsidR="0018367D" w:rsidRPr="00351C3D" w:rsidRDefault="0018367D" w:rsidP="00351C3D">
            <w:pPr>
              <w:spacing w:after="0"/>
              <w:ind w:left="34" w:firstLine="0"/>
              <w:rPr>
                <w:rFonts w:eastAsia="Times New Roman"/>
                <w:b/>
                <w:bCs/>
                <w:color w:val="000000"/>
                <w:sz w:val="18"/>
                <w:szCs w:val="18"/>
              </w:rPr>
            </w:pPr>
            <w:r w:rsidRPr="00351C3D">
              <w:rPr>
                <w:rFonts w:eastAsia="Times New Roman"/>
                <w:b/>
                <w:bCs/>
                <w:color w:val="000000"/>
                <w:sz w:val="18"/>
                <w:szCs w:val="18"/>
              </w:rPr>
              <w:t>Tieslietu ministrija</w:t>
            </w:r>
          </w:p>
        </w:tc>
        <w:tc>
          <w:tcPr>
            <w:tcW w:w="851" w:type="dxa"/>
            <w:shd w:val="clear" w:color="000000" w:fill="9BC2E6"/>
            <w:noWrap/>
            <w:hideMark/>
          </w:tcPr>
          <w:p w14:paraId="6CF29356"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11" w:type="dxa"/>
            <w:shd w:val="clear" w:color="000000" w:fill="9BC2E6"/>
            <w:noWrap/>
            <w:hideMark/>
          </w:tcPr>
          <w:p w14:paraId="310B3DDC"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09" w:type="dxa"/>
            <w:shd w:val="clear" w:color="000000" w:fill="9BC2E6"/>
            <w:noWrap/>
            <w:hideMark/>
          </w:tcPr>
          <w:p w14:paraId="1750DEE4"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r>
      <w:tr w:rsidR="0018367D" w:rsidRPr="00351C3D" w14:paraId="0FA1BBD5" w14:textId="77777777" w:rsidTr="000709B3">
        <w:trPr>
          <w:trHeight w:val="255"/>
        </w:trPr>
        <w:tc>
          <w:tcPr>
            <w:tcW w:w="6941" w:type="dxa"/>
            <w:shd w:val="clear" w:color="auto" w:fill="auto"/>
            <w:hideMark/>
          </w:tcPr>
          <w:p w14:paraId="15B687A8"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Jauna cietuma būvniecība Liepājā</w:t>
            </w:r>
          </w:p>
        </w:tc>
        <w:tc>
          <w:tcPr>
            <w:tcW w:w="851" w:type="dxa"/>
            <w:shd w:val="clear" w:color="auto" w:fill="auto"/>
            <w:noWrap/>
            <w:hideMark/>
          </w:tcPr>
          <w:p w14:paraId="167EEDFC" w14:textId="0B0A9642" w:rsidR="0018367D" w:rsidRPr="00351C3D" w:rsidRDefault="00FF64FB" w:rsidP="00351C3D">
            <w:pPr>
              <w:spacing w:after="0"/>
              <w:ind w:hanging="6"/>
              <w:jc w:val="right"/>
              <w:rPr>
                <w:rFonts w:eastAsia="Times New Roman"/>
                <w:sz w:val="18"/>
                <w:szCs w:val="18"/>
              </w:rPr>
            </w:pPr>
            <w:r>
              <w:rPr>
                <w:rFonts w:eastAsia="Times New Roman"/>
                <w:sz w:val="18"/>
                <w:szCs w:val="18"/>
              </w:rPr>
              <w:t>-38,</w:t>
            </w:r>
            <w:r w:rsidR="0018367D" w:rsidRPr="00351C3D">
              <w:rPr>
                <w:rFonts w:eastAsia="Times New Roman"/>
                <w:sz w:val="18"/>
                <w:szCs w:val="18"/>
              </w:rPr>
              <w:t>8</w:t>
            </w:r>
          </w:p>
        </w:tc>
        <w:tc>
          <w:tcPr>
            <w:tcW w:w="711" w:type="dxa"/>
            <w:shd w:val="clear" w:color="auto" w:fill="auto"/>
            <w:noWrap/>
            <w:hideMark/>
          </w:tcPr>
          <w:p w14:paraId="1E7C87A2"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2A6C1656" w14:textId="21FF6824" w:rsidR="0018367D" w:rsidRPr="00351C3D" w:rsidRDefault="00FF64FB" w:rsidP="00351C3D">
            <w:pPr>
              <w:spacing w:after="0"/>
              <w:ind w:hanging="6"/>
              <w:jc w:val="right"/>
              <w:rPr>
                <w:rFonts w:eastAsia="Times New Roman"/>
                <w:sz w:val="18"/>
                <w:szCs w:val="18"/>
              </w:rPr>
            </w:pPr>
            <w:r>
              <w:rPr>
                <w:rFonts w:eastAsia="Times New Roman"/>
                <w:sz w:val="18"/>
                <w:szCs w:val="18"/>
              </w:rPr>
              <w:t>38,</w:t>
            </w:r>
            <w:r w:rsidR="0018367D" w:rsidRPr="00351C3D">
              <w:rPr>
                <w:rFonts w:eastAsia="Times New Roman"/>
                <w:sz w:val="18"/>
                <w:szCs w:val="18"/>
              </w:rPr>
              <w:t>8</w:t>
            </w:r>
          </w:p>
        </w:tc>
      </w:tr>
      <w:tr w:rsidR="0018367D" w:rsidRPr="00351C3D" w14:paraId="6CBE3082" w14:textId="77777777" w:rsidTr="000709B3">
        <w:trPr>
          <w:trHeight w:val="510"/>
        </w:trPr>
        <w:tc>
          <w:tcPr>
            <w:tcW w:w="6941" w:type="dxa"/>
            <w:shd w:val="clear" w:color="auto" w:fill="auto"/>
            <w:vAlign w:val="center"/>
            <w:hideMark/>
          </w:tcPr>
          <w:p w14:paraId="4AAFA502"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Covid-19 krīzes seku pārvarēšanas un ekonomikas atlabšana augstas gatavības projekti – Vienotas tiesu ekspertīžu iestādes izveide</w:t>
            </w:r>
          </w:p>
        </w:tc>
        <w:tc>
          <w:tcPr>
            <w:tcW w:w="851" w:type="dxa"/>
            <w:shd w:val="clear" w:color="auto" w:fill="auto"/>
            <w:noWrap/>
            <w:hideMark/>
          </w:tcPr>
          <w:p w14:paraId="4F5A1445" w14:textId="424A0D6D" w:rsidR="0018367D" w:rsidRPr="00351C3D" w:rsidRDefault="00FF64FB" w:rsidP="00351C3D">
            <w:pPr>
              <w:spacing w:after="0"/>
              <w:ind w:hanging="6"/>
              <w:jc w:val="right"/>
              <w:rPr>
                <w:rFonts w:eastAsia="Times New Roman"/>
                <w:sz w:val="18"/>
                <w:szCs w:val="18"/>
              </w:rPr>
            </w:pPr>
            <w:r>
              <w:rPr>
                <w:rFonts w:eastAsia="Times New Roman"/>
                <w:sz w:val="18"/>
                <w:szCs w:val="18"/>
              </w:rPr>
              <w:t>5,</w:t>
            </w:r>
            <w:r w:rsidR="0018367D" w:rsidRPr="00351C3D">
              <w:rPr>
                <w:rFonts w:eastAsia="Times New Roman"/>
                <w:sz w:val="18"/>
                <w:szCs w:val="18"/>
              </w:rPr>
              <w:t>1</w:t>
            </w:r>
          </w:p>
        </w:tc>
        <w:tc>
          <w:tcPr>
            <w:tcW w:w="711" w:type="dxa"/>
            <w:shd w:val="clear" w:color="auto" w:fill="auto"/>
            <w:noWrap/>
            <w:hideMark/>
          </w:tcPr>
          <w:p w14:paraId="4DC86D0A"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1D0BE789"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6D53BFB6" w14:textId="77777777" w:rsidTr="000709B3">
        <w:trPr>
          <w:trHeight w:val="255"/>
        </w:trPr>
        <w:tc>
          <w:tcPr>
            <w:tcW w:w="6941" w:type="dxa"/>
            <w:shd w:val="clear" w:color="000000" w:fill="9BC2E6"/>
            <w:noWrap/>
            <w:hideMark/>
          </w:tcPr>
          <w:p w14:paraId="5757DED7" w14:textId="77777777" w:rsidR="0018367D" w:rsidRPr="00351C3D" w:rsidRDefault="0018367D" w:rsidP="00351C3D">
            <w:pPr>
              <w:spacing w:after="0"/>
              <w:ind w:left="34" w:firstLine="0"/>
              <w:rPr>
                <w:rFonts w:eastAsia="Times New Roman"/>
                <w:b/>
                <w:bCs/>
                <w:color w:val="000000"/>
                <w:sz w:val="18"/>
                <w:szCs w:val="18"/>
              </w:rPr>
            </w:pPr>
            <w:r w:rsidRPr="00351C3D">
              <w:rPr>
                <w:rFonts w:eastAsia="Times New Roman"/>
                <w:b/>
                <w:bCs/>
                <w:color w:val="000000"/>
                <w:sz w:val="18"/>
                <w:szCs w:val="18"/>
              </w:rPr>
              <w:t>Vides aizsardzības un reģionālās attīstības ministrija</w:t>
            </w:r>
          </w:p>
        </w:tc>
        <w:tc>
          <w:tcPr>
            <w:tcW w:w="851" w:type="dxa"/>
            <w:shd w:val="clear" w:color="000000" w:fill="9BC2E6"/>
            <w:noWrap/>
            <w:hideMark/>
          </w:tcPr>
          <w:p w14:paraId="610CC26F"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11" w:type="dxa"/>
            <w:shd w:val="clear" w:color="000000" w:fill="9BC2E6"/>
            <w:noWrap/>
            <w:hideMark/>
          </w:tcPr>
          <w:p w14:paraId="418BFE7B"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09" w:type="dxa"/>
            <w:shd w:val="clear" w:color="000000" w:fill="9BC2E6"/>
            <w:noWrap/>
            <w:hideMark/>
          </w:tcPr>
          <w:p w14:paraId="32AE8C93"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r>
      <w:tr w:rsidR="0018367D" w:rsidRPr="00351C3D" w14:paraId="497A9F85" w14:textId="77777777" w:rsidTr="000709B3">
        <w:trPr>
          <w:trHeight w:val="329"/>
        </w:trPr>
        <w:tc>
          <w:tcPr>
            <w:tcW w:w="6941" w:type="dxa"/>
            <w:shd w:val="clear" w:color="auto" w:fill="auto"/>
            <w:hideMark/>
          </w:tcPr>
          <w:p w14:paraId="40EEA0EE"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Augstas gatavības pašvaldību investīciju projektu finansējums Covid 19 krīzes pārvarēšanai</w:t>
            </w:r>
          </w:p>
        </w:tc>
        <w:tc>
          <w:tcPr>
            <w:tcW w:w="851" w:type="dxa"/>
            <w:shd w:val="clear" w:color="auto" w:fill="auto"/>
            <w:noWrap/>
            <w:hideMark/>
          </w:tcPr>
          <w:p w14:paraId="1DA08F06" w14:textId="561B3C0C" w:rsidR="0018367D" w:rsidRPr="00351C3D" w:rsidRDefault="00FF64FB" w:rsidP="00351C3D">
            <w:pPr>
              <w:spacing w:after="0"/>
              <w:ind w:hanging="6"/>
              <w:jc w:val="right"/>
              <w:rPr>
                <w:rFonts w:eastAsia="Times New Roman"/>
                <w:sz w:val="18"/>
                <w:szCs w:val="18"/>
              </w:rPr>
            </w:pPr>
            <w:r>
              <w:rPr>
                <w:rFonts w:eastAsia="Times New Roman"/>
                <w:sz w:val="18"/>
                <w:szCs w:val="18"/>
              </w:rPr>
              <w:t>23,</w:t>
            </w:r>
            <w:r w:rsidR="0018367D" w:rsidRPr="00351C3D">
              <w:rPr>
                <w:rFonts w:eastAsia="Times New Roman"/>
                <w:sz w:val="18"/>
                <w:szCs w:val="18"/>
              </w:rPr>
              <w:t>8</w:t>
            </w:r>
          </w:p>
        </w:tc>
        <w:tc>
          <w:tcPr>
            <w:tcW w:w="711" w:type="dxa"/>
            <w:shd w:val="clear" w:color="auto" w:fill="auto"/>
            <w:noWrap/>
            <w:hideMark/>
          </w:tcPr>
          <w:p w14:paraId="339B9460"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7297ED61"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07910971" w14:textId="77777777" w:rsidTr="000709B3">
        <w:trPr>
          <w:trHeight w:val="255"/>
        </w:trPr>
        <w:tc>
          <w:tcPr>
            <w:tcW w:w="6941" w:type="dxa"/>
            <w:shd w:val="clear" w:color="auto" w:fill="auto"/>
            <w:hideMark/>
          </w:tcPr>
          <w:p w14:paraId="00467FC5"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Pašvaldību investīciju programma</w:t>
            </w:r>
          </w:p>
        </w:tc>
        <w:tc>
          <w:tcPr>
            <w:tcW w:w="851" w:type="dxa"/>
            <w:shd w:val="clear" w:color="auto" w:fill="auto"/>
            <w:noWrap/>
            <w:hideMark/>
          </w:tcPr>
          <w:p w14:paraId="2BA062DD" w14:textId="36904430" w:rsidR="0018367D" w:rsidRPr="00351C3D" w:rsidRDefault="00FF64FB" w:rsidP="00351C3D">
            <w:pPr>
              <w:spacing w:after="0"/>
              <w:ind w:hanging="6"/>
              <w:jc w:val="right"/>
              <w:rPr>
                <w:rFonts w:eastAsia="Times New Roman"/>
                <w:sz w:val="18"/>
                <w:szCs w:val="18"/>
              </w:rPr>
            </w:pPr>
            <w:r>
              <w:rPr>
                <w:rFonts w:eastAsia="Times New Roman"/>
                <w:sz w:val="18"/>
                <w:szCs w:val="18"/>
              </w:rPr>
              <w:t>30,</w:t>
            </w:r>
            <w:r w:rsidR="0018367D" w:rsidRPr="00351C3D">
              <w:rPr>
                <w:rFonts w:eastAsia="Times New Roman"/>
                <w:sz w:val="18"/>
                <w:szCs w:val="18"/>
              </w:rPr>
              <w:t>0</w:t>
            </w:r>
          </w:p>
        </w:tc>
        <w:tc>
          <w:tcPr>
            <w:tcW w:w="711" w:type="dxa"/>
            <w:shd w:val="clear" w:color="auto" w:fill="auto"/>
            <w:noWrap/>
            <w:hideMark/>
          </w:tcPr>
          <w:p w14:paraId="42FD77E7"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10EDA2F3"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78F6BC99" w14:textId="77777777" w:rsidTr="000709B3">
        <w:trPr>
          <w:trHeight w:val="255"/>
        </w:trPr>
        <w:tc>
          <w:tcPr>
            <w:tcW w:w="6941" w:type="dxa"/>
            <w:shd w:val="clear" w:color="000000" w:fill="9BC2E6"/>
            <w:noWrap/>
            <w:hideMark/>
          </w:tcPr>
          <w:p w14:paraId="6223DA43" w14:textId="77777777" w:rsidR="0018367D" w:rsidRPr="00351C3D" w:rsidRDefault="0018367D" w:rsidP="00351C3D">
            <w:pPr>
              <w:spacing w:after="0"/>
              <w:ind w:left="34" w:firstLine="0"/>
              <w:rPr>
                <w:rFonts w:eastAsia="Times New Roman"/>
                <w:b/>
                <w:bCs/>
                <w:color w:val="000000"/>
                <w:sz w:val="18"/>
                <w:szCs w:val="18"/>
              </w:rPr>
            </w:pPr>
            <w:r w:rsidRPr="00351C3D">
              <w:rPr>
                <w:rFonts w:eastAsia="Times New Roman"/>
                <w:b/>
                <w:bCs/>
                <w:color w:val="000000"/>
                <w:sz w:val="18"/>
                <w:szCs w:val="18"/>
              </w:rPr>
              <w:t>Kultūras ministrija</w:t>
            </w:r>
          </w:p>
        </w:tc>
        <w:tc>
          <w:tcPr>
            <w:tcW w:w="851" w:type="dxa"/>
            <w:shd w:val="clear" w:color="000000" w:fill="9BC2E6"/>
            <w:noWrap/>
            <w:hideMark/>
          </w:tcPr>
          <w:p w14:paraId="14792E9C"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11" w:type="dxa"/>
            <w:shd w:val="clear" w:color="000000" w:fill="9BC2E6"/>
            <w:noWrap/>
            <w:hideMark/>
          </w:tcPr>
          <w:p w14:paraId="07FDCA3A"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09" w:type="dxa"/>
            <w:shd w:val="clear" w:color="000000" w:fill="9BC2E6"/>
            <w:noWrap/>
            <w:hideMark/>
          </w:tcPr>
          <w:p w14:paraId="2E43C559"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r>
      <w:tr w:rsidR="0018367D" w:rsidRPr="00351C3D" w14:paraId="4A7F79B9" w14:textId="77777777" w:rsidTr="000709B3">
        <w:trPr>
          <w:trHeight w:val="315"/>
        </w:trPr>
        <w:tc>
          <w:tcPr>
            <w:tcW w:w="6941" w:type="dxa"/>
            <w:shd w:val="clear" w:color="auto" w:fill="auto"/>
            <w:hideMark/>
          </w:tcPr>
          <w:p w14:paraId="2CAE2E8C"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Finansējuma palielinājums augstas gatavības infrastruktūras projektu īstenošanai</w:t>
            </w:r>
          </w:p>
        </w:tc>
        <w:tc>
          <w:tcPr>
            <w:tcW w:w="851" w:type="dxa"/>
            <w:shd w:val="clear" w:color="auto" w:fill="auto"/>
            <w:noWrap/>
            <w:hideMark/>
          </w:tcPr>
          <w:p w14:paraId="313C792B" w14:textId="5121F904" w:rsidR="0018367D" w:rsidRPr="00351C3D" w:rsidRDefault="00FF64FB" w:rsidP="00351C3D">
            <w:pPr>
              <w:spacing w:after="0"/>
              <w:ind w:hanging="6"/>
              <w:jc w:val="right"/>
              <w:rPr>
                <w:rFonts w:eastAsia="Times New Roman"/>
                <w:sz w:val="18"/>
                <w:szCs w:val="18"/>
              </w:rPr>
            </w:pPr>
            <w:r>
              <w:rPr>
                <w:rFonts w:eastAsia="Times New Roman"/>
                <w:sz w:val="18"/>
                <w:szCs w:val="18"/>
              </w:rPr>
              <w:t>10,</w:t>
            </w:r>
            <w:r w:rsidR="0018367D" w:rsidRPr="00351C3D">
              <w:rPr>
                <w:rFonts w:eastAsia="Times New Roman"/>
                <w:sz w:val="18"/>
                <w:szCs w:val="18"/>
              </w:rPr>
              <w:t>7</w:t>
            </w:r>
          </w:p>
        </w:tc>
        <w:tc>
          <w:tcPr>
            <w:tcW w:w="711" w:type="dxa"/>
            <w:shd w:val="clear" w:color="auto" w:fill="auto"/>
            <w:noWrap/>
            <w:hideMark/>
          </w:tcPr>
          <w:p w14:paraId="780124F5"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5EF3D000"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62DC3D36" w14:textId="77777777" w:rsidTr="000709B3">
        <w:trPr>
          <w:trHeight w:val="255"/>
        </w:trPr>
        <w:tc>
          <w:tcPr>
            <w:tcW w:w="6941" w:type="dxa"/>
            <w:shd w:val="clear" w:color="auto" w:fill="auto"/>
            <w:hideMark/>
          </w:tcPr>
          <w:p w14:paraId="176D935D"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Kultūras nozares darba samaksas pieaugums</w:t>
            </w:r>
          </w:p>
        </w:tc>
        <w:tc>
          <w:tcPr>
            <w:tcW w:w="851" w:type="dxa"/>
            <w:shd w:val="clear" w:color="auto" w:fill="auto"/>
            <w:noWrap/>
            <w:hideMark/>
          </w:tcPr>
          <w:p w14:paraId="61BB1280" w14:textId="29112019" w:rsidR="0018367D" w:rsidRPr="00351C3D" w:rsidRDefault="00FF64FB" w:rsidP="00351C3D">
            <w:pPr>
              <w:spacing w:after="0"/>
              <w:ind w:hanging="6"/>
              <w:jc w:val="right"/>
              <w:rPr>
                <w:rFonts w:eastAsia="Times New Roman"/>
                <w:sz w:val="18"/>
                <w:szCs w:val="18"/>
              </w:rPr>
            </w:pPr>
            <w:r>
              <w:rPr>
                <w:rFonts w:eastAsia="Times New Roman"/>
                <w:sz w:val="18"/>
                <w:szCs w:val="18"/>
              </w:rPr>
              <w:t>8,</w:t>
            </w:r>
            <w:r w:rsidR="0018367D" w:rsidRPr="00351C3D">
              <w:rPr>
                <w:rFonts w:eastAsia="Times New Roman"/>
                <w:sz w:val="18"/>
                <w:szCs w:val="18"/>
              </w:rPr>
              <w:t>0</w:t>
            </w:r>
          </w:p>
        </w:tc>
        <w:tc>
          <w:tcPr>
            <w:tcW w:w="711" w:type="dxa"/>
            <w:shd w:val="clear" w:color="auto" w:fill="auto"/>
            <w:noWrap/>
            <w:hideMark/>
          </w:tcPr>
          <w:p w14:paraId="60C1AFC9" w14:textId="05962936" w:rsidR="0018367D" w:rsidRPr="00351C3D" w:rsidRDefault="00FF64FB" w:rsidP="00351C3D">
            <w:pPr>
              <w:spacing w:after="0"/>
              <w:ind w:hanging="6"/>
              <w:jc w:val="right"/>
              <w:rPr>
                <w:rFonts w:eastAsia="Times New Roman"/>
                <w:sz w:val="18"/>
                <w:szCs w:val="18"/>
              </w:rPr>
            </w:pPr>
            <w:r>
              <w:rPr>
                <w:rFonts w:eastAsia="Times New Roman"/>
                <w:sz w:val="18"/>
                <w:szCs w:val="18"/>
              </w:rPr>
              <w:t>8,</w:t>
            </w:r>
            <w:r w:rsidR="0018367D" w:rsidRPr="00351C3D">
              <w:rPr>
                <w:rFonts w:eastAsia="Times New Roman"/>
                <w:sz w:val="18"/>
                <w:szCs w:val="18"/>
              </w:rPr>
              <w:t>0</w:t>
            </w:r>
          </w:p>
        </w:tc>
        <w:tc>
          <w:tcPr>
            <w:tcW w:w="709" w:type="dxa"/>
            <w:shd w:val="clear" w:color="auto" w:fill="auto"/>
            <w:noWrap/>
            <w:hideMark/>
          </w:tcPr>
          <w:p w14:paraId="01819275" w14:textId="1521CD5B" w:rsidR="0018367D" w:rsidRPr="00351C3D" w:rsidRDefault="00FF64FB" w:rsidP="00351C3D">
            <w:pPr>
              <w:spacing w:after="0"/>
              <w:ind w:hanging="6"/>
              <w:jc w:val="right"/>
              <w:rPr>
                <w:rFonts w:eastAsia="Times New Roman"/>
                <w:sz w:val="18"/>
                <w:szCs w:val="18"/>
              </w:rPr>
            </w:pPr>
            <w:r>
              <w:rPr>
                <w:rFonts w:eastAsia="Times New Roman"/>
                <w:sz w:val="18"/>
                <w:szCs w:val="18"/>
              </w:rPr>
              <w:t>8,</w:t>
            </w:r>
            <w:r w:rsidR="0018367D" w:rsidRPr="00351C3D">
              <w:rPr>
                <w:rFonts w:eastAsia="Times New Roman"/>
                <w:sz w:val="18"/>
                <w:szCs w:val="18"/>
              </w:rPr>
              <w:t>0</w:t>
            </w:r>
          </w:p>
        </w:tc>
      </w:tr>
      <w:tr w:rsidR="0018367D" w:rsidRPr="00351C3D" w14:paraId="54266D58" w14:textId="77777777" w:rsidTr="000709B3">
        <w:trPr>
          <w:trHeight w:val="255"/>
        </w:trPr>
        <w:tc>
          <w:tcPr>
            <w:tcW w:w="6941" w:type="dxa"/>
            <w:shd w:val="clear" w:color="auto" w:fill="auto"/>
            <w:hideMark/>
          </w:tcPr>
          <w:p w14:paraId="36252EFD"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Vispārējo latviešu dziesmu un Deju svētku tradīcijai 150 gadu</w:t>
            </w:r>
          </w:p>
        </w:tc>
        <w:tc>
          <w:tcPr>
            <w:tcW w:w="851" w:type="dxa"/>
            <w:shd w:val="clear" w:color="auto" w:fill="auto"/>
            <w:noWrap/>
            <w:hideMark/>
          </w:tcPr>
          <w:p w14:paraId="4B887434" w14:textId="7C09CC2D" w:rsidR="0018367D" w:rsidRPr="00351C3D" w:rsidRDefault="00FF64FB" w:rsidP="00351C3D">
            <w:pPr>
              <w:spacing w:after="0"/>
              <w:ind w:hanging="6"/>
              <w:jc w:val="right"/>
              <w:rPr>
                <w:rFonts w:eastAsia="Times New Roman"/>
                <w:sz w:val="18"/>
                <w:szCs w:val="18"/>
              </w:rPr>
            </w:pPr>
            <w:r>
              <w:rPr>
                <w:rFonts w:eastAsia="Times New Roman"/>
                <w:sz w:val="18"/>
                <w:szCs w:val="18"/>
              </w:rPr>
              <w:t>4,</w:t>
            </w:r>
            <w:r w:rsidR="0018367D" w:rsidRPr="00351C3D">
              <w:rPr>
                <w:rFonts w:eastAsia="Times New Roman"/>
                <w:sz w:val="18"/>
                <w:szCs w:val="18"/>
              </w:rPr>
              <w:t>0</w:t>
            </w:r>
          </w:p>
        </w:tc>
        <w:tc>
          <w:tcPr>
            <w:tcW w:w="711" w:type="dxa"/>
            <w:shd w:val="clear" w:color="auto" w:fill="auto"/>
            <w:noWrap/>
            <w:hideMark/>
          </w:tcPr>
          <w:p w14:paraId="4CDED5FE" w14:textId="0E698B28" w:rsidR="0018367D" w:rsidRPr="00351C3D" w:rsidRDefault="00FF64FB" w:rsidP="00351C3D">
            <w:pPr>
              <w:spacing w:after="0"/>
              <w:ind w:hanging="6"/>
              <w:jc w:val="right"/>
              <w:rPr>
                <w:rFonts w:eastAsia="Times New Roman"/>
                <w:sz w:val="18"/>
                <w:szCs w:val="18"/>
              </w:rPr>
            </w:pPr>
            <w:r>
              <w:rPr>
                <w:rFonts w:eastAsia="Times New Roman"/>
                <w:sz w:val="18"/>
                <w:szCs w:val="18"/>
              </w:rPr>
              <w:t>0,</w:t>
            </w:r>
            <w:r w:rsidR="0018367D" w:rsidRPr="00351C3D">
              <w:rPr>
                <w:rFonts w:eastAsia="Times New Roman"/>
                <w:sz w:val="18"/>
                <w:szCs w:val="18"/>
              </w:rPr>
              <w:t>8</w:t>
            </w:r>
          </w:p>
        </w:tc>
        <w:tc>
          <w:tcPr>
            <w:tcW w:w="709" w:type="dxa"/>
            <w:shd w:val="clear" w:color="auto" w:fill="auto"/>
            <w:noWrap/>
            <w:hideMark/>
          </w:tcPr>
          <w:p w14:paraId="1BC448B8" w14:textId="117F9112" w:rsidR="0018367D" w:rsidRPr="00351C3D" w:rsidRDefault="00FF64FB" w:rsidP="00351C3D">
            <w:pPr>
              <w:spacing w:after="0"/>
              <w:ind w:hanging="6"/>
              <w:jc w:val="right"/>
              <w:rPr>
                <w:rFonts w:eastAsia="Times New Roman"/>
                <w:sz w:val="18"/>
                <w:szCs w:val="18"/>
              </w:rPr>
            </w:pPr>
            <w:r>
              <w:rPr>
                <w:rFonts w:eastAsia="Times New Roman"/>
                <w:sz w:val="18"/>
                <w:szCs w:val="18"/>
              </w:rPr>
              <w:t>0,</w:t>
            </w:r>
            <w:r w:rsidR="0018367D" w:rsidRPr="00351C3D">
              <w:rPr>
                <w:rFonts w:eastAsia="Times New Roman"/>
                <w:sz w:val="18"/>
                <w:szCs w:val="18"/>
              </w:rPr>
              <w:t>7</w:t>
            </w:r>
          </w:p>
        </w:tc>
      </w:tr>
      <w:tr w:rsidR="0018367D" w:rsidRPr="00351C3D" w14:paraId="1E7EE923" w14:textId="77777777" w:rsidTr="000709B3">
        <w:trPr>
          <w:trHeight w:val="255"/>
        </w:trPr>
        <w:tc>
          <w:tcPr>
            <w:tcW w:w="6941" w:type="dxa"/>
            <w:shd w:val="clear" w:color="auto" w:fill="auto"/>
            <w:hideMark/>
          </w:tcPr>
          <w:p w14:paraId="613DB324"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Latvijas valsts simtgadē uzsākto iniciatīvu ilgtspēja - Latvijas skolas soma</w:t>
            </w:r>
          </w:p>
        </w:tc>
        <w:tc>
          <w:tcPr>
            <w:tcW w:w="851" w:type="dxa"/>
            <w:shd w:val="clear" w:color="auto" w:fill="auto"/>
            <w:noWrap/>
            <w:hideMark/>
          </w:tcPr>
          <w:p w14:paraId="170E54AE" w14:textId="794A0DE2" w:rsidR="0018367D" w:rsidRPr="00351C3D" w:rsidRDefault="00FF64FB" w:rsidP="00351C3D">
            <w:pPr>
              <w:spacing w:after="0"/>
              <w:ind w:hanging="6"/>
              <w:jc w:val="right"/>
              <w:rPr>
                <w:rFonts w:eastAsia="Times New Roman"/>
                <w:sz w:val="18"/>
                <w:szCs w:val="18"/>
              </w:rPr>
            </w:pPr>
            <w:r>
              <w:rPr>
                <w:rFonts w:eastAsia="Times New Roman"/>
                <w:sz w:val="18"/>
                <w:szCs w:val="18"/>
              </w:rPr>
              <w:t>2,</w:t>
            </w:r>
            <w:r w:rsidR="0018367D" w:rsidRPr="00351C3D">
              <w:rPr>
                <w:rFonts w:eastAsia="Times New Roman"/>
                <w:sz w:val="18"/>
                <w:szCs w:val="18"/>
              </w:rPr>
              <w:t>5</w:t>
            </w:r>
          </w:p>
        </w:tc>
        <w:tc>
          <w:tcPr>
            <w:tcW w:w="711" w:type="dxa"/>
            <w:shd w:val="clear" w:color="auto" w:fill="auto"/>
            <w:noWrap/>
            <w:hideMark/>
          </w:tcPr>
          <w:p w14:paraId="1BD36091" w14:textId="7167296F"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5</w:t>
            </w:r>
          </w:p>
        </w:tc>
        <w:tc>
          <w:tcPr>
            <w:tcW w:w="709" w:type="dxa"/>
            <w:shd w:val="clear" w:color="auto" w:fill="auto"/>
            <w:noWrap/>
            <w:hideMark/>
          </w:tcPr>
          <w:p w14:paraId="172C6DD9" w14:textId="2D689659"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5</w:t>
            </w:r>
          </w:p>
        </w:tc>
      </w:tr>
      <w:tr w:rsidR="0018367D" w:rsidRPr="00351C3D" w14:paraId="7C32DB63" w14:textId="77777777" w:rsidTr="000709B3">
        <w:trPr>
          <w:trHeight w:val="255"/>
        </w:trPr>
        <w:tc>
          <w:tcPr>
            <w:tcW w:w="6941" w:type="dxa"/>
            <w:shd w:val="clear" w:color="000000" w:fill="9BC2E6"/>
            <w:noWrap/>
            <w:hideMark/>
          </w:tcPr>
          <w:p w14:paraId="05C2AC40" w14:textId="77777777" w:rsidR="0018367D" w:rsidRPr="00351C3D" w:rsidRDefault="0018367D" w:rsidP="00351C3D">
            <w:pPr>
              <w:spacing w:after="0"/>
              <w:ind w:left="34" w:firstLine="0"/>
              <w:rPr>
                <w:rFonts w:eastAsia="Times New Roman"/>
                <w:b/>
                <w:bCs/>
                <w:color w:val="000000"/>
                <w:sz w:val="18"/>
                <w:szCs w:val="18"/>
              </w:rPr>
            </w:pPr>
            <w:r w:rsidRPr="00351C3D">
              <w:rPr>
                <w:rFonts w:eastAsia="Times New Roman"/>
                <w:b/>
                <w:bCs/>
                <w:color w:val="000000"/>
                <w:sz w:val="18"/>
                <w:szCs w:val="18"/>
              </w:rPr>
              <w:t>Veselības ministrija</w:t>
            </w:r>
          </w:p>
        </w:tc>
        <w:tc>
          <w:tcPr>
            <w:tcW w:w="851" w:type="dxa"/>
            <w:shd w:val="clear" w:color="000000" w:fill="9BC2E6"/>
            <w:noWrap/>
            <w:hideMark/>
          </w:tcPr>
          <w:p w14:paraId="1856C023"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11" w:type="dxa"/>
            <w:shd w:val="clear" w:color="000000" w:fill="9BC2E6"/>
            <w:noWrap/>
            <w:hideMark/>
          </w:tcPr>
          <w:p w14:paraId="5315AA9F"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09" w:type="dxa"/>
            <w:shd w:val="clear" w:color="000000" w:fill="9BC2E6"/>
            <w:noWrap/>
            <w:hideMark/>
          </w:tcPr>
          <w:p w14:paraId="013F808A"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r>
      <w:tr w:rsidR="0018367D" w:rsidRPr="00351C3D" w14:paraId="303A409F" w14:textId="77777777" w:rsidTr="000709B3">
        <w:trPr>
          <w:trHeight w:val="255"/>
        </w:trPr>
        <w:tc>
          <w:tcPr>
            <w:tcW w:w="6941" w:type="dxa"/>
            <w:shd w:val="clear" w:color="auto" w:fill="auto"/>
            <w:hideMark/>
          </w:tcPr>
          <w:p w14:paraId="46175A14"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Ārstniecības personu darba samaksas pieauguma nodrošināšana</w:t>
            </w:r>
          </w:p>
        </w:tc>
        <w:tc>
          <w:tcPr>
            <w:tcW w:w="851" w:type="dxa"/>
            <w:shd w:val="clear" w:color="auto" w:fill="auto"/>
            <w:noWrap/>
            <w:hideMark/>
          </w:tcPr>
          <w:p w14:paraId="08E7930D" w14:textId="426163B0" w:rsidR="0018367D" w:rsidRPr="00351C3D" w:rsidRDefault="00FF64FB" w:rsidP="00351C3D">
            <w:pPr>
              <w:spacing w:after="0"/>
              <w:ind w:hanging="6"/>
              <w:jc w:val="right"/>
              <w:rPr>
                <w:rFonts w:eastAsia="Times New Roman"/>
                <w:sz w:val="18"/>
                <w:szCs w:val="18"/>
              </w:rPr>
            </w:pPr>
            <w:r>
              <w:rPr>
                <w:rFonts w:eastAsia="Times New Roman"/>
                <w:sz w:val="18"/>
                <w:szCs w:val="18"/>
              </w:rPr>
              <w:t>35,</w:t>
            </w:r>
            <w:r w:rsidR="0018367D" w:rsidRPr="00351C3D">
              <w:rPr>
                <w:rFonts w:eastAsia="Times New Roman"/>
                <w:sz w:val="18"/>
                <w:szCs w:val="18"/>
              </w:rPr>
              <w:t>0</w:t>
            </w:r>
          </w:p>
        </w:tc>
        <w:tc>
          <w:tcPr>
            <w:tcW w:w="711" w:type="dxa"/>
            <w:shd w:val="clear" w:color="auto" w:fill="auto"/>
            <w:noWrap/>
            <w:hideMark/>
          </w:tcPr>
          <w:p w14:paraId="37010EC6" w14:textId="6EFDEAC6" w:rsidR="0018367D" w:rsidRPr="00351C3D" w:rsidRDefault="00FF64FB" w:rsidP="00351C3D">
            <w:pPr>
              <w:spacing w:after="0"/>
              <w:ind w:hanging="6"/>
              <w:jc w:val="right"/>
              <w:rPr>
                <w:rFonts w:eastAsia="Times New Roman"/>
                <w:sz w:val="18"/>
                <w:szCs w:val="18"/>
              </w:rPr>
            </w:pPr>
            <w:r>
              <w:rPr>
                <w:rFonts w:eastAsia="Times New Roman"/>
                <w:sz w:val="18"/>
                <w:szCs w:val="18"/>
              </w:rPr>
              <w:t>35,</w:t>
            </w:r>
            <w:r w:rsidR="0018367D" w:rsidRPr="00351C3D">
              <w:rPr>
                <w:rFonts w:eastAsia="Times New Roman"/>
                <w:sz w:val="18"/>
                <w:szCs w:val="18"/>
              </w:rPr>
              <w:t>0</w:t>
            </w:r>
          </w:p>
        </w:tc>
        <w:tc>
          <w:tcPr>
            <w:tcW w:w="709" w:type="dxa"/>
            <w:shd w:val="clear" w:color="auto" w:fill="auto"/>
            <w:noWrap/>
            <w:hideMark/>
          </w:tcPr>
          <w:p w14:paraId="3EA08C7C" w14:textId="08C58199" w:rsidR="0018367D" w:rsidRPr="00351C3D" w:rsidRDefault="00FF64FB" w:rsidP="00351C3D">
            <w:pPr>
              <w:spacing w:after="0"/>
              <w:ind w:hanging="6"/>
              <w:jc w:val="right"/>
              <w:rPr>
                <w:rFonts w:eastAsia="Times New Roman"/>
                <w:sz w:val="18"/>
                <w:szCs w:val="18"/>
              </w:rPr>
            </w:pPr>
            <w:r>
              <w:rPr>
                <w:rFonts w:eastAsia="Times New Roman"/>
                <w:sz w:val="18"/>
                <w:szCs w:val="18"/>
              </w:rPr>
              <w:t>35,</w:t>
            </w:r>
            <w:r w:rsidR="0018367D" w:rsidRPr="00351C3D">
              <w:rPr>
                <w:rFonts w:eastAsia="Times New Roman"/>
                <w:sz w:val="18"/>
                <w:szCs w:val="18"/>
              </w:rPr>
              <w:t>0</w:t>
            </w:r>
          </w:p>
        </w:tc>
      </w:tr>
      <w:tr w:rsidR="0018367D" w:rsidRPr="00351C3D" w14:paraId="1CE22F20" w14:textId="77777777" w:rsidTr="000709B3">
        <w:trPr>
          <w:trHeight w:val="510"/>
        </w:trPr>
        <w:tc>
          <w:tcPr>
            <w:tcW w:w="6941" w:type="dxa"/>
            <w:shd w:val="clear" w:color="auto" w:fill="auto"/>
            <w:hideMark/>
          </w:tcPr>
          <w:p w14:paraId="45CDE9DB"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Darba samaksas nodrošināšana rezidentiem, kuru rezidentūras studijas netiek apmaksātas no valsts budžeta līdzekļiem</w:t>
            </w:r>
          </w:p>
        </w:tc>
        <w:tc>
          <w:tcPr>
            <w:tcW w:w="851" w:type="dxa"/>
            <w:shd w:val="clear" w:color="auto" w:fill="auto"/>
            <w:noWrap/>
            <w:hideMark/>
          </w:tcPr>
          <w:p w14:paraId="07914516" w14:textId="76FCE3BF" w:rsidR="0018367D" w:rsidRPr="00351C3D" w:rsidRDefault="00FF64FB" w:rsidP="00351C3D">
            <w:pPr>
              <w:spacing w:after="0"/>
              <w:ind w:hanging="6"/>
              <w:jc w:val="right"/>
              <w:rPr>
                <w:rFonts w:eastAsia="Times New Roman"/>
                <w:sz w:val="18"/>
                <w:szCs w:val="18"/>
              </w:rPr>
            </w:pPr>
            <w:r>
              <w:rPr>
                <w:rFonts w:eastAsia="Times New Roman"/>
                <w:sz w:val="18"/>
                <w:szCs w:val="18"/>
              </w:rPr>
              <w:t>5,</w:t>
            </w:r>
            <w:r w:rsidR="0018367D" w:rsidRPr="00351C3D">
              <w:rPr>
                <w:rFonts w:eastAsia="Times New Roman"/>
                <w:sz w:val="18"/>
                <w:szCs w:val="18"/>
              </w:rPr>
              <w:t>6</w:t>
            </w:r>
          </w:p>
        </w:tc>
        <w:tc>
          <w:tcPr>
            <w:tcW w:w="711" w:type="dxa"/>
            <w:shd w:val="clear" w:color="auto" w:fill="auto"/>
            <w:noWrap/>
            <w:hideMark/>
          </w:tcPr>
          <w:p w14:paraId="6B141E41" w14:textId="1BF6435A" w:rsidR="0018367D" w:rsidRPr="00351C3D" w:rsidRDefault="00FF64FB" w:rsidP="00351C3D">
            <w:pPr>
              <w:spacing w:after="0"/>
              <w:ind w:hanging="6"/>
              <w:jc w:val="right"/>
              <w:rPr>
                <w:rFonts w:eastAsia="Times New Roman"/>
                <w:sz w:val="18"/>
                <w:szCs w:val="18"/>
              </w:rPr>
            </w:pPr>
            <w:r>
              <w:rPr>
                <w:rFonts w:eastAsia="Times New Roman"/>
                <w:sz w:val="18"/>
                <w:szCs w:val="18"/>
              </w:rPr>
              <w:t>5,</w:t>
            </w:r>
            <w:r w:rsidR="0018367D" w:rsidRPr="00351C3D">
              <w:rPr>
                <w:rFonts w:eastAsia="Times New Roman"/>
                <w:sz w:val="18"/>
                <w:szCs w:val="18"/>
              </w:rPr>
              <w:t>6</w:t>
            </w:r>
          </w:p>
        </w:tc>
        <w:tc>
          <w:tcPr>
            <w:tcW w:w="709" w:type="dxa"/>
            <w:shd w:val="clear" w:color="auto" w:fill="auto"/>
            <w:noWrap/>
            <w:hideMark/>
          </w:tcPr>
          <w:p w14:paraId="7DD98577" w14:textId="3ED521A7" w:rsidR="0018367D" w:rsidRPr="00351C3D" w:rsidRDefault="00FF64FB" w:rsidP="00351C3D">
            <w:pPr>
              <w:spacing w:after="0"/>
              <w:ind w:hanging="6"/>
              <w:jc w:val="right"/>
              <w:rPr>
                <w:rFonts w:eastAsia="Times New Roman"/>
                <w:sz w:val="18"/>
                <w:szCs w:val="18"/>
              </w:rPr>
            </w:pPr>
            <w:r>
              <w:rPr>
                <w:rFonts w:eastAsia="Times New Roman"/>
                <w:sz w:val="18"/>
                <w:szCs w:val="18"/>
              </w:rPr>
              <w:t>5,</w:t>
            </w:r>
            <w:r w:rsidR="0018367D" w:rsidRPr="00351C3D">
              <w:rPr>
                <w:rFonts w:eastAsia="Times New Roman"/>
                <w:sz w:val="18"/>
                <w:szCs w:val="18"/>
              </w:rPr>
              <w:t>6</w:t>
            </w:r>
          </w:p>
        </w:tc>
      </w:tr>
      <w:tr w:rsidR="0018367D" w:rsidRPr="00351C3D" w14:paraId="525C3648" w14:textId="77777777" w:rsidTr="000709B3">
        <w:trPr>
          <w:trHeight w:val="510"/>
        </w:trPr>
        <w:tc>
          <w:tcPr>
            <w:tcW w:w="6941" w:type="dxa"/>
            <w:shd w:val="clear" w:color="auto" w:fill="auto"/>
            <w:hideMark/>
          </w:tcPr>
          <w:p w14:paraId="2C36B312" w14:textId="4AA9B119" w:rsidR="0018367D" w:rsidRPr="00351C3D" w:rsidRDefault="0018367D" w:rsidP="00351C3D">
            <w:pPr>
              <w:spacing w:after="0"/>
              <w:ind w:left="34" w:firstLine="0"/>
              <w:rPr>
                <w:rFonts w:eastAsia="Times New Roman"/>
                <w:sz w:val="18"/>
                <w:szCs w:val="18"/>
              </w:rPr>
            </w:pPr>
            <w:r w:rsidRPr="00351C3D">
              <w:rPr>
                <w:rFonts w:eastAsia="Times New Roman"/>
                <w:sz w:val="18"/>
                <w:szCs w:val="18"/>
              </w:rPr>
              <w:t>Veselības aprūpes pakalpojumu onkoloģijas jomā uzlabo</w:t>
            </w:r>
            <w:r w:rsidR="00FF64FB">
              <w:rPr>
                <w:rFonts w:eastAsia="Times New Roman"/>
                <w:sz w:val="18"/>
                <w:szCs w:val="18"/>
              </w:rPr>
              <w:t>šana, tai skaitā aprīkojums Bērnu klīniskās un universitātes slimnīcai</w:t>
            </w:r>
            <w:r w:rsidRPr="00351C3D">
              <w:rPr>
                <w:rFonts w:eastAsia="Times New Roman"/>
                <w:sz w:val="18"/>
                <w:szCs w:val="18"/>
              </w:rPr>
              <w:t xml:space="preserve">, </w:t>
            </w:r>
            <w:r w:rsidR="00FF64FB" w:rsidRPr="00FF64FB">
              <w:rPr>
                <w:rFonts w:eastAsia="Times New Roman"/>
                <w:sz w:val="18"/>
                <w:szCs w:val="18"/>
              </w:rPr>
              <w:t xml:space="preserve">Rīgas Austrumu </w:t>
            </w:r>
            <w:r w:rsidR="00FF64FB">
              <w:rPr>
                <w:rFonts w:eastAsia="Times New Roman"/>
                <w:sz w:val="18"/>
                <w:szCs w:val="18"/>
              </w:rPr>
              <w:t>klīniskā universitātes slimnīcai un</w:t>
            </w:r>
            <w:r w:rsidRPr="00351C3D">
              <w:rPr>
                <w:rFonts w:eastAsia="Times New Roman"/>
                <w:sz w:val="18"/>
                <w:szCs w:val="18"/>
              </w:rPr>
              <w:t xml:space="preserve"> </w:t>
            </w:r>
            <w:r w:rsidR="00FF64FB" w:rsidRPr="00FF64FB">
              <w:rPr>
                <w:rFonts w:eastAsia="Times New Roman"/>
                <w:sz w:val="18"/>
                <w:szCs w:val="18"/>
              </w:rPr>
              <w:t>Paula Stradiņa klīniskā universitātes slimnīca</w:t>
            </w:r>
            <w:r w:rsidR="000709B3">
              <w:rPr>
                <w:rFonts w:eastAsia="Times New Roman"/>
                <w:sz w:val="18"/>
                <w:szCs w:val="18"/>
              </w:rPr>
              <w:t>i</w:t>
            </w:r>
          </w:p>
        </w:tc>
        <w:tc>
          <w:tcPr>
            <w:tcW w:w="851" w:type="dxa"/>
            <w:shd w:val="clear" w:color="auto" w:fill="auto"/>
            <w:noWrap/>
            <w:hideMark/>
          </w:tcPr>
          <w:p w14:paraId="49808837" w14:textId="3BF6BAB7" w:rsidR="0018367D" w:rsidRPr="00351C3D" w:rsidRDefault="00FF64FB" w:rsidP="00351C3D">
            <w:pPr>
              <w:spacing w:after="0"/>
              <w:ind w:hanging="6"/>
              <w:jc w:val="right"/>
              <w:rPr>
                <w:rFonts w:eastAsia="Times New Roman"/>
                <w:sz w:val="18"/>
                <w:szCs w:val="18"/>
              </w:rPr>
            </w:pPr>
            <w:r>
              <w:rPr>
                <w:rFonts w:eastAsia="Times New Roman"/>
                <w:sz w:val="18"/>
                <w:szCs w:val="18"/>
              </w:rPr>
              <w:t>30,</w:t>
            </w:r>
            <w:r w:rsidR="0018367D" w:rsidRPr="00351C3D">
              <w:rPr>
                <w:rFonts w:eastAsia="Times New Roman"/>
                <w:sz w:val="18"/>
                <w:szCs w:val="18"/>
              </w:rPr>
              <w:t>0</w:t>
            </w:r>
          </w:p>
        </w:tc>
        <w:tc>
          <w:tcPr>
            <w:tcW w:w="711" w:type="dxa"/>
            <w:shd w:val="clear" w:color="auto" w:fill="auto"/>
            <w:noWrap/>
            <w:hideMark/>
          </w:tcPr>
          <w:p w14:paraId="62F6752E" w14:textId="61292C3C" w:rsidR="0018367D" w:rsidRPr="00351C3D" w:rsidRDefault="00FF64FB" w:rsidP="00351C3D">
            <w:pPr>
              <w:spacing w:after="0"/>
              <w:ind w:hanging="6"/>
              <w:jc w:val="right"/>
              <w:rPr>
                <w:rFonts w:eastAsia="Times New Roman"/>
                <w:sz w:val="18"/>
                <w:szCs w:val="18"/>
              </w:rPr>
            </w:pPr>
            <w:r>
              <w:rPr>
                <w:rFonts w:eastAsia="Times New Roman"/>
                <w:sz w:val="18"/>
                <w:szCs w:val="18"/>
              </w:rPr>
              <w:t>30,</w:t>
            </w:r>
            <w:r w:rsidR="0018367D" w:rsidRPr="00351C3D">
              <w:rPr>
                <w:rFonts w:eastAsia="Times New Roman"/>
                <w:sz w:val="18"/>
                <w:szCs w:val="18"/>
              </w:rPr>
              <w:t>0</w:t>
            </w:r>
          </w:p>
        </w:tc>
        <w:tc>
          <w:tcPr>
            <w:tcW w:w="709" w:type="dxa"/>
            <w:shd w:val="clear" w:color="auto" w:fill="auto"/>
            <w:noWrap/>
            <w:hideMark/>
          </w:tcPr>
          <w:p w14:paraId="23FA3F54" w14:textId="1035A4DE" w:rsidR="0018367D" w:rsidRPr="00351C3D" w:rsidRDefault="00FF64FB" w:rsidP="00351C3D">
            <w:pPr>
              <w:spacing w:after="0"/>
              <w:ind w:hanging="6"/>
              <w:jc w:val="right"/>
              <w:rPr>
                <w:rFonts w:eastAsia="Times New Roman"/>
                <w:sz w:val="18"/>
                <w:szCs w:val="18"/>
              </w:rPr>
            </w:pPr>
            <w:r>
              <w:rPr>
                <w:rFonts w:eastAsia="Times New Roman"/>
                <w:sz w:val="18"/>
                <w:szCs w:val="18"/>
              </w:rPr>
              <w:t>30,</w:t>
            </w:r>
            <w:r w:rsidR="0018367D" w:rsidRPr="00351C3D">
              <w:rPr>
                <w:rFonts w:eastAsia="Times New Roman"/>
                <w:sz w:val="18"/>
                <w:szCs w:val="18"/>
              </w:rPr>
              <w:t>0</w:t>
            </w:r>
          </w:p>
        </w:tc>
      </w:tr>
      <w:tr w:rsidR="0018367D" w:rsidRPr="00351C3D" w14:paraId="71E88C8D" w14:textId="77777777" w:rsidTr="000709B3">
        <w:trPr>
          <w:trHeight w:val="510"/>
        </w:trPr>
        <w:tc>
          <w:tcPr>
            <w:tcW w:w="6941" w:type="dxa"/>
            <w:shd w:val="clear" w:color="auto" w:fill="auto"/>
            <w:hideMark/>
          </w:tcPr>
          <w:p w14:paraId="369B4DE9"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 xml:space="preserve">Pasākumi, lai samazinātu ilglaicīgu negatīvo ietekmi uz sabiedrības psihisko veselību, ko rada COVID-19 pandēmija </w:t>
            </w:r>
          </w:p>
        </w:tc>
        <w:tc>
          <w:tcPr>
            <w:tcW w:w="851" w:type="dxa"/>
            <w:shd w:val="clear" w:color="auto" w:fill="auto"/>
            <w:noWrap/>
            <w:hideMark/>
          </w:tcPr>
          <w:p w14:paraId="7F08B0BE" w14:textId="2D90F6E1" w:rsidR="0018367D" w:rsidRPr="00351C3D" w:rsidRDefault="00FF64FB" w:rsidP="00351C3D">
            <w:pPr>
              <w:spacing w:after="0"/>
              <w:ind w:hanging="6"/>
              <w:jc w:val="right"/>
              <w:rPr>
                <w:rFonts w:eastAsia="Times New Roman"/>
                <w:sz w:val="18"/>
                <w:szCs w:val="18"/>
              </w:rPr>
            </w:pPr>
            <w:r>
              <w:rPr>
                <w:rFonts w:eastAsia="Times New Roman"/>
                <w:sz w:val="18"/>
                <w:szCs w:val="18"/>
              </w:rPr>
              <w:t>5,</w:t>
            </w:r>
            <w:r w:rsidR="0018367D" w:rsidRPr="00351C3D">
              <w:rPr>
                <w:rFonts w:eastAsia="Times New Roman"/>
                <w:sz w:val="18"/>
                <w:szCs w:val="18"/>
              </w:rPr>
              <w:t>0</w:t>
            </w:r>
          </w:p>
        </w:tc>
        <w:tc>
          <w:tcPr>
            <w:tcW w:w="711" w:type="dxa"/>
            <w:shd w:val="clear" w:color="auto" w:fill="auto"/>
            <w:noWrap/>
            <w:hideMark/>
          </w:tcPr>
          <w:p w14:paraId="0B7165B5" w14:textId="2038213B" w:rsidR="0018367D" w:rsidRPr="00351C3D" w:rsidRDefault="00FF64FB" w:rsidP="00351C3D">
            <w:pPr>
              <w:spacing w:after="0"/>
              <w:ind w:hanging="6"/>
              <w:jc w:val="right"/>
              <w:rPr>
                <w:rFonts w:eastAsia="Times New Roman"/>
                <w:sz w:val="18"/>
                <w:szCs w:val="18"/>
              </w:rPr>
            </w:pPr>
            <w:r>
              <w:rPr>
                <w:rFonts w:eastAsia="Times New Roman"/>
                <w:sz w:val="18"/>
                <w:szCs w:val="18"/>
              </w:rPr>
              <w:t>5,</w:t>
            </w:r>
            <w:r w:rsidR="0018367D" w:rsidRPr="00351C3D">
              <w:rPr>
                <w:rFonts w:eastAsia="Times New Roman"/>
                <w:sz w:val="18"/>
                <w:szCs w:val="18"/>
              </w:rPr>
              <w:t>0</w:t>
            </w:r>
          </w:p>
        </w:tc>
        <w:tc>
          <w:tcPr>
            <w:tcW w:w="709" w:type="dxa"/>
            <w:shd w:val="clear" w:color="auto" w:fill="auto"/>
            <w:noWrap/>
            <w:hideMark/>
          </w:tcPr>
          <w:p w14:paraId="18578DD3" w14:textId="05348E21" w:rsidR="0018367D" w:rsidRPr="00351C3D" w:rsidRDefault="00FF64FB" w:rsidP="00351C3D">
            <w:pPr>
              <w:spacing w:after="0"/>
              <w:ind w:hanging="6"/>
              <w:jc w:val="right"/>
              <w:rPr>
                <w:rFonts w:eastAsia="Times New Roman"/>
                <w:sz w:val="18"/>
                <w:szCs w:val="18"/>
              </w:rPr>
            </w:pPr>
            <w:r>
              <w:rPr>
                <w:rFonts w:eastAsia="Times New Roman"/>
                <w:sz w:val="18"/>
                <w:szCs w:val="18"/>
              </w:rPr>
              <w:t>5,</w:t>
            </w:r>
            <w:r w:rsidR="0018367D" w:rsidRPr="00351C3D">
              <w:rPr>
                <w:rFonts w:eastAsia="Times New Roman"/>
                <w:sz w:val="18"/>
                <w:szCs w:val="18"/>
              </w:rPr>
              <w:t>0</w:t>
            </w:r>
          </w:p>
        </w:tc>
      </w:tr>
      <w:tr w:rsidR="0018367D" w:rsidRPr="00351C3D" w14:paraId="6DDB8220" w14:textId="77777777" w:rsidTr="000709B3">
        <w:trPr>
          <w:trHeight w:val="510"/>
        </w:trPr>
        <w:tc>
          <w:tcPr>
            <w:tcW w:w="6941" w:type="dxa"/>
            <w:shd w:val="clear" w:color="auto" w:fill="auto"/>
            <w:hideMark/>
          </w:tcPr>
          <w:p w14:paraId="0164E035" w14:textId="251A1856" w:rsidR="0018367D" w:rsidRPr="00351C3D" w:rsidRDefault="0018367D" w:rsidP="00351C3D">
            <w:pPr>
              <w:spacing w:after="0"/>
              <w:ind w:left="34" w:firstLine="0"/>
              <w:rPr>
                <w:rFonts w:eastAsia="Times New Roman"/>
                <w:sz w:val="18"/>
                <w:szCs w:val="18"/>
              </w:rPr>
            </w:pPr>
            <w:r w:rsidRPr="00351C3D">
              <w:rPr>
                <w:rFonts w:eastAsia="Times New Roman"/>
                <w:sz w:val="18"/>
                <w:szCs w:val="18"/>
              </w:rPr>
              <w:t>Līdzmaksājuma kompensācija personām ar 2.</w:t>
            </w:r>
            <w:r w:rsidR="000709B3">
              <w:rPr>
                <w:rFonts w:eastAsia="Times New Roman"/>
                <w:sz w:val="18"/>
                <w:szCs w:val="18"/>
              </w:rPr>
              <w:t xml:space="preserve"> </w:t>
            </w:r>
            <w:r w:rsidRPr="00351C3D">
              <w:rPr>
                <w:rFonts w:eastAsia="Times New Roman"/>
                <w:sz w:val="18"/>
                <w:szCs w:val="18"/>
              </w:rPr>
              <w:t>grupas invaliditāti (Veselības aprūpes finansēšanas likuma normas ar 01.01.2022)</w:t>
            </w:r>
          </w:p>
        </w:tc>
        <w:tc>
          <w:tcPr>
            <w:tcW w:w="851" w:type="dxa"/>
            <w:shd w:val="clear" w:color="auto" w:fill="auto"/>
            <w:noWrap/>
            <w:hideMark/>
          </w:tcPr>
          <w:p w14:paraId="15FA02C9" w14:textId="59FFCB19" w:rsidR="0018367D" w:rsidRPr="00351C3D" w:rsidRDefault="00FF64FB" w:rsidP="00351C3D">
            <w:pPr>
              <w:spacing w:after="0"/>
              <w:ind w:hanging="6"/>
              <w:jc w:val="right"/>
              <w:rPr>
                <w:rFonts w:eastAsia="Times New Roman"/>
                <w:sz w:val="18"/>
                <w:szCs w:val="18"/>
              </w:rPr>
            </w:pPr>
            <w:r>
              <w:rPr>
                <w:rFonts w:eastAsia="Times New Roman"/>
                <w:sz w:val="18"/>
                <w:szCs w:val="18"/>
              </w:rPr>
              <w:t>8,</w:t>
            </w:r>
            <w:r w:rsidR="0018367D" w:rsidRPr="00351C3D">
              <w:rPr>
                <w:rFonts w:eastAsia="Times New Roman"/>
                <w:sz w:val="18"/>
                <w:szCs w:val="18"/>
              </w:rPr>
              <w:t>2</w:t>
            </w:r>
          </w:p>
        </w:tc>
        <w:tc>
          <w:tcPr>
            <w:tcW w:w="711" w:type="dxa"/>
            <w:shd w:val="clear" w:color="auto" w:fill="auto"/>
            <w:noWrap/>
            <w:hideMark/>
          </w:tcPr>
          <w:p w14:paraId="33498EF8" w14:textId="261C94BF" w:rsidR="0018367D" w:rsidRPr="00351C3D" w:rsidRDefault="00FF64FB" w:rsidP="00351C3D">
            <w:pPr>
              <w:spacing w:after="0"/>
              <w:ind w:hanging="6"/>
              <w:jc w:val="right"/>
              <w:rPr>
                <w:rFonts w:eastAsia="Times New Roman"/>
                <w:sz w:val="18"/>
                <w:szCs w:val="18"/>
              </w:rPr>
            </w:pPr>
            <w:r>
              <w:rPr>
                <w:rFonts w:eastAsia="Times New Roman"/>
                <w:sz w:val="18"/>
                <w:szCs w:val="18"/>
              </w:rPr>
              <w:t>8,</w:t>
            </w:r>
            <w:r w:rsidR="0018367D" w:rsidRPr="00351C3D">
              <w:rPr>
                <w:rFonts w:eastAsia="Times New Roman"/>
                <w:sz w:val="18"/>
                <w:szCs w:val="18"/>
              </w:rPr>
              <w:t>2</w:t>
            </w:r>
          </w:p>
        </w:tc>
        <w:tc>
          <w:tcPr>
            <w:tcW w:w="709" w:type="dxa"/>
            <w:shd w:val="clear" w:color="auto" w:fill="auto"/>
            <w:noWrap/>
            <w:hideMark/>
          </w:tcPr>
          <w:p w14:paraId="27FE9D0B" w14:textId="76E43E05" w:rsidR="0018367D" w:rsidRPr="00351C3D" w:rsidRDefault="00FF64FB" w:rsidP="00351C3D">
            <w:pPr>
              <w:spacing w:after="0"/>
              <w:ind w:hanging="6"/>
              <w:jc w:val="right"/>
              <w:rPr>
                <w:rFonts w:eastAsia="Times New Roman"/>
                <w:sz w:val="18"/>
                <w:szCs w:val="18"/>
              </w:rPr>
            </w:pPr>
            <w:r>
              <w:rPr>
                <w:rFonts w:eastAsia="Times New Roman"/>
                <w:sz w:val="18"/>
                <w:szCs w:val="18"/>
              </w:rPr>
              <w:t>8,</w:t>
            </w:r>
            <w:r w:rsidR="0018367D" w:rsidRPr="00351C3D">
              <w:rPr>
                <w:rFonts w:eastAsia="Times New Roman"/>
                <w:sz w:val="18"/>
                <w:szCs w:val="18"/>
              </w:rPr>
              <w:t>2</w:t>
            </w:r>
          </w:p>
        </w:tc>
      </w:tr>
      <w:tr w:rsidR="0018367D" w:rsidRPr="00351C3D" w14:paraId="16BCDF4D" w14:textId="77777777" w:rsidTr="000709B3">
        <w:trPr>
          <w:trHeight w:val="255"/>
        </w:trPr>
        <w:tc>
          <w:tcPr>
            <w:tcW w:w="6941" w:type="dxa"/>
            <w:shd w:val="clear" w:color="auto" w:fill="auto"/>
            <w:hideMark/>
          </w:tcPr>
          <w:p w14:paraId="191C06FE"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Paliatīvas aprūpes nodrošināšana</w:t>
            </w:r>
          </w:p>
        </w:tc>
        <w:tc>
          <w:tcPr>
            <w:tcW w:w="851" w:type="dxa"/>
            <w:shd w:val="clear" w:color="auto" w:fill="auto"/>
            <w:noWrap/>
            <w:hideMark/>
          </w:tcPr>
          <w:p w14:paraId="6344F5CB" w14:textId="5FA19879" w:rsidR="0018367D" w:rsidRPr="00351C3D" w:rsidRDefault="00FF64FB" w:rsidP="00351C3D">
            <w:pPr>
              <w:spacing w:after="0"/>
              <w:ind w:hanging="6"/>
              <w:jc w:val="right"/>
              <w:rPr>
                <w:rFonts w:eastAsia="Times New Roman"/>
                <w:sz w:val="18"/>
                <w:szCs w:val="18"/>
              </w:rPr>
            </w:pPr>
            <w:r>
              <w:rPr>
                <w:rFonts w:eastAsia="Times New Roman"/>
                <w:sz w:val="18"/>
                <w:szCs w:val="18"/>
              </w:rPr>
              <w:t>4,</w:t>
            </w:r>
            <w:r w:rsidR="0018367D" w:rsidRPr="00351C3D">
              <w:rPr>
                <w:rFonts w:eastAsia="Times New Roman"/>
                <w:sz w:val="18"/>
                <w:szCs w:val="18"/>
              </w:rPr>
              <w:t>6</w:t>
            </w:r>
          </w:p>
        </w:tc>
        <w:tc>
          <w:tcPr>
            <w:tcW w:w="711" w:type="dxa"/>
            <w:shd w:val="clear" w:color="auto" w:fill="auto"/>
            <w:noWrap/>
            <w:hideMark/>
          </w:tcPr>
          <w:p w14:paraId="67965D70" w14:textId="565DD526" w:rsidR="0018367D" w:rsidRPr="00351C3D" w:rsidRDefault="00FF64FB" w:rsidP="00351C3D">
            <w:pPr>
              <w:spacing w:after="0"/>
              <w:ind w:hanging="6"/>
              <w:jc w:val="right"/>
              <w:rPr>
                <w:rFonts w:eastAsia="Times New Roman"/>
                <w:sz w:val="18"/>
                <w:szCs w:val="18"/>
              </w:rPr>
            </w:pPr>
            <w:r>
              <w:rPr>
                <w:rFonts w:eastAsia="Times New Roman"/>
                <w:sz w:val="18"/>
                <w:szCs w:val="18"/>
              </w:rPr>
              <w:t>4,</w:t>
            </w:r>
            <w:r w:rsidR="0018367D" w:rsidRPr="00351C3D">
              <w:rPr>
                <w:rFonts w:eastAsia="Times New Roman"/>
                <w:sz w:val="18"/>
                <w:szCs w:val="18"/>
              </w:rPr>
              <w:t>6</w:t>
            </w:r>
          </w:p>
        </w:tc>
        <w:tc>
          <w:tcPr>
            <w:tcW w:w="709" w:type="dxa"/>
            <w:shd w:val="clear" w:color="auto" w:fill="auto"/>
            <w:noWrap/>
            <w:hideMark/>
          </w:tcPr>
          <w:p w14:paraId="0E8B72B9" w14:textId="1D629633" w:rsidR="0018367D" w:rsidRPr="00351C3D" w:rsidRDefault="00FF64FB" w:rsidP="00351C3D">
            <w:pPr>
              <w:spacing w:after="0"/>
              <w:ind w:hanging="6"/>
              <w:jc w:val="right"/>
              <w:rPr>
                <w:rFonts w:eastAsia="Times New Roman"/>
                <w:sz w:val="18"/>
                <w:szCs w:val="18"/>
              </w:rPr>
            </w:pPr>
            <w:r>
              <w:rPr>
                <w:rFonts w:eastAsia="Times New Roman"/>
                <w:sz w:val="18"/>
                <w:szCs w:val="18"/>
              </w:rPr>
              <w:t>4,</w:t>
            </w:r>
            <w:r w:rsidR="0018367D" w:rsidRPr="00351C3D">
              <w:rPr>
                <w:rFonts w:eastAsia="Times New Roman"/>
                <w:sz w:val="18"/>
                <w:szCs w:val="18"/>
              </w:rPr>
              <w:t>6</w:t>
            </w:r>
          </w:p>
        </w:tc>
      </w:tr>
      <w:tr w:rsidR="0018367D" w:rsidRPr="00351C3D" w14:paraId="77B94767" w14:textId="77777777" w:rsidTr="000709B3">
        <w:trPr>
          <w:trHeight w:val="255"/>
        </w:trPr>
        <w:tc>
          <w:tcPr>
            <w:tcW w:w="6941" w:type="dxa"/>
            <w:shd w:val="clear" w:color="auto" w:fill="auto"/>
            <w:hideMark/>
          </w:tcPr>
          <w:p w14:paraId="66CF5A5F"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Veselības pakalpojumu palielināšana (t.sk. retās slimības u.c.)</w:t>
            </w:r>
          </w:p>
        </w:tc>
        <w:tc>
          <w:tcPr>
            <w:tcW w:w="851" w:type="dxa"/>
            <w:shd w:val="clear" w:color="auto" w:fill="auto"/>
            <w:noWrap/>
            <w:hideMark/>
          </w:tcPr>
          <w:p w14:paraId="3BCAE0B4" w14:textId="3625833F" w:rsidR="0018367D" w:rsidRPr="00351C3D" w:rsidRDefault="00FF64FB" w:rsidP="00351C3D">
            <w:pPr>
              <w:spacing w:after="0"/>
              <w:ind w:hanging="6"/>
              <w:jc w:val="right"/>
              <w:rPr>
                <w:rFonts w:eastAsia="Times New Roman"/>
                <w:sz w:val="18"/>
                <w:szCs w:val="18"/>
              </w:rPr>
            </w:pPr>
            <w:r>
              <w:rPr>
                <w:rFonts w:eastAsia="Times New Roman"/>
                <w:sz w:val="18"/>
                <w:szCs w:val="18"/>
              </w:rPr>
              <w:t>5,</w:t>
            </w:r>
            <w:r w:rsidR="0018367D" w:rsidRPr="00351C3D">
              <w:rPr>
                <w:rFonts w:eastAsia="Times New Roman"/>
                <w:sz w:val="18"/>
                <w:szCs w:val="18"/>
              </w:rPr>
              <w:t>4</w:t>
            </w:r>
          </w:p>
        </w:tc>
        <w:tc>
          <w:tcPr>
            <w:tcW w:w="711" w:type="dxa"/>
            <w:shd w:val="clear" w:color="auto" w:fill="auto"/>
            <w:noWrap/>
            <w:hideMark/>
          </w:tcPr>
          <w:p w14:paraId="711B2C55" w14:textId="46C3AB76" w:rsidR="0018367D" w:rsidRPr="00351C3D" w:rsidRDefault="00FF64FB" w:rsidP="00351C3D">
            <w:pPr>
              <w:spacing w:after="0"/>
              <w:ind w:hanging="6"/>
              <w:jc w:val="right"/>
              <w:rPr>
                <w:rFonts w:eastAsia="Times New Roman"/>
                <w:sz w:val="18"/>
                <w:szCs w:val="18"/>
              </w:rPr>
            </w:pPr>
            <w:r>
              <w:rPr>
                <w:rFonts w:eastAsia="Times New Roman"/>
                <w:sz w:val="18"/>
                <w:szCs w:val="18"/>
              </w:rPr>
              <w:t>5,</w:t>
            </w:r>
            <w:r w:rsidR="0018367D" w:rsidRPr="00351C3D">
              <w:rPr>
                <w:rFonts w:eastAsia="Times New Roman"/>
                <w:sz w:val="18"/>
                <w:szCs w:val="18"/>
              </w:rPr>
              <w:t>5</w:t>
            </w:r>
          </w:p>
        </w:tc>
        <w:tc>
          <w:tcPr>
            <w:tcW w:w="709" w:type="dxa"/>
            <w:shd w:val="clear" w:color="auto" w:fill="auto"/>
            <w:noWrap/>
            <w:hideMark/>
          </w:tcPr>
          <w:p w14:paraId="3A80BC01" w14:textId="1142B5AA" w:rsidR="0018367D" w:rsidRPr="00351C3D" w:rsidRDefault="00FF64FB" w:rsidP="00351C3D">
            <w:pPr>
              <w:spacing w:after="0"/>
              <w:ind w:hanging="6"/>
              <w:jc w:val="right"/>
              <w:rPr>
                <w:rFonts w:eastAsia="Times New Roman"/>
                <w:sz w:val="18"/>
                <w:szCs w:val="18"/>
              </w:rPr>
            </w:pPr>
            <w:r>
              <w:rPr>
                <w:rFonts w:eastAsia="Times New Roman"/>
                <w:sz w:val="18"/>
                <w:szCs w:val="18"/>
              </w:rPr>
              <w:t>5,</w:t>
            </w:r>
            <w:r w:rsidR="0018367D" w:rsidRPr="00351C3D">
              <w:rPr>
                <w:rFonts w:eastAsia="Times New Roman"/>
                <w:sz w:val="18"/>
                <w:szCs w:val="18"/>
              </w:rPr>
              <w:t>5</w:t>
            </w:r>
          </w:p>
        </w:tc>
      </w:tr>
      <w:tr w:rsidR="0018367D" w:rsidRPr="00351C3D" w14:paraId="34435748" w14:textId="77777777" w:rsidTr="000709B3">
        <w:trPr>
          <w:trHeight w:val="510"/>
        </w:trPr>
        <w:tc>
          <w:tcPr>
            <w:tcW w:w="6941" w:type="dxa"/>
            <w:shd w:val="clear" w:color="auto" w:fill="auto"/>
            <w:hideMark/>
          </w:tcPr>
          <w:p w14:paraId="19F540D8" w14:textId="3C8EEB7E" w:rsidR="0018367D" w:rsidRPr="00351C3D" w:rsidRDefault="0018367D" w:rsidP="00351C3D">
            <w:pPr>
              <w:spacing w:after="0"/>
              <w:ind w:left="34" w:firstLine="0"/>
              <w:rPr>
                <w:rFonts w:eastAsia="Times New Roman"/>
                <w:sz w:val="18"/>
                <w:szCs w:val="18"/>
              </w:rPr>
            </w:pPr>
            <w:r w:rsidRPr="00351C3D">
              <w:rPr>
                <w:rFonts w:eastAsia="Times New Roman"/>
                <w:sz w:val="18"/>
                <w:szCs w:val="18"/>
              </w:rPr>
              <w:t xml:space="preserve">Kapitālieguldījumi un investīcijas Veselības ministrijas padotības iestādēs un </w:t>
            </w:r>
            <w:r w:rsidR="000709B3">
              <w:rPr>
                <w:rFonts w:eastAsia="Times New Roman"/>
                <w:sz w:val="18"/>
                <w:szCs w:val="18"/>
              </w:rPr>
              <w:t>Bērnu klīniskās universitātes slimnīcas</w:t>
            </w:r>
            <w:r w:rsidRPr="00351C3D">
              <w:rPr>
                <w:rFonts w:eastAsia="Times New Roman"/>
                <w:sz w:val="18"/>
                <w:szCs w:val="18"/>
              </w:rPr>
              <w:t xml:space="preserve"> investīcijas</w:t>
            </w:r>
          </w:p>
        </w:tc>
        <w:tc>
          <w:tcPr>
            <w:tcW w:w="851" w:type="dxa"/>
            <w:shd w:val="clear" w:color="auto" w:fill="auto"/>
            <w:noWrap/>
            <w:hideMark/>
          </w:tcPr>
          <w:p w14:paraId="70C54CD9" w14:textId="6D731CCA" w:rsidR="0018367D" w:rsidRPr="00351C3D" w:rsidRDefault="00FF64FB" w:rsidP="00351C3D">
            <w:pPr>
              <w:spacing w:after="0"/>
              <w:ind w:hanging="6"/>
              <w:jc w:val="right"/>
              <w:rPr>
                <w:rFonts w:eastAsia="Times New Roman"/>
                <w:sz w:val="18"/>
                <w:szCs w:val="18"/>
              </w:rPr>
            </w:pPr>
            <w:r>
              <w:rPr>
                <w:rFonts w:eastAsia="Times New Roman"/>
                <w:sz w:val="18"/>
                <w:szCs w:val="18"/>
              </w:rPr>
              <w:t>4,</w:t>
            </w:r>
            <w:r w:rsidR="0018367D" w:rsidRPr="00351C3D">
              <w:rPr>
                <w:rFonts w:eastAsia="Times New Roman"/>
                <w:sz w:val="18"/>
                <w:szCs w:val="18"/>
              </w:rPr>
              <w:t>7</w:t>
            </w:r>
          </w:p>
        </w:tc>
        <w:tc>
          <w:tcPr>
            <w:tcW w:w="711" w:type="dxa"/>
            <w:shd w:val="clear" w:color="auto" w:fill="auto"/>
            <w:noWrap/>
            <w:hideMark/>
          </w:tcPr>
          <w:p w14:paraId="5C220B61"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211B6D78"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1FE5F3AE" w14:textId="77777777" w:rsidTr="000709B3">
        <w:trPr>
          <w:trHeight w:val="345"/>
        </w:trPr>
        <w:tc>
          <w:tcPr>
            <w:tcW w:w="6941" w:type="dxa"/>
            <w:shd w:val="clear" w:color="auto" w:fill="auto"/>
            <w:hideMark/>
          </w:tcPr>
          <w:p w14:paraId="167831F6"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 xml:space="preserve">Konceptuālā ziņojuma "Par māsas profesijas turpmāko attīstību" ieviešana </w:t>
            </w:r>
          </w:p>
        </w:tc>
        <w:tc>
          <w:tcPr>
            <w:tcW w:w="851" w:type="dxa"/>
            <w:shd w:val="clear" w:color="auto" w:fill="auto"/>
            <w:noWrap/>
            <w:hideMark/>
          </w:tcPr>
          <w:p w14:paraId="1C2164D0" w14:textId="548ED3C4"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1</w:t>
            </w:r>
          </w:p>
        </w:tc>
        <w:tc>
          <w:tcPr>
            <w:tcW w:w="711" w:type="dxa"/>
            <w:shd w:val="clear" w:color="auto" w:fill="auto"/>
            <w:noWrap/>
            <w:hideMark/>
          </w:tcPr>
          <w:p w14:paraId="48254D1D" w14:textId="3F099C96"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1</w:t>
            </w:r>
          </w:p>
        </w:tc>
        <w:tc>
          <w:tcPr>
            <w:tcW w:w="709" w:type="dxa"/>
            <w:shd w:val="clear" w:color="auto" w:fill="auto"/>
            <w:noWrap/>
            <w:hideMark/>
          </w:tcPr>
          <w:p w14:paraId="5A0C2B4C" w14:textId="51333843" w:rsidR="0018367D" w:rsidRPr="00351C3D" w:rsidRDefault="00FF64FB"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1</w:t>
            </w:r>
          </w:p>
        </w:tc>
      </w:tr>
      <w:tr w:rsidR="0018367D" w:rsidRPr="00351C3D" w14:paraId="680C8477" w14:textId="77777777" w:rsidTr="000709B3">
        <w:trPr>
          <w:trHeight w:val="510"/>
        </w:trPr>
        <w:tc>
          <w:tcPr>
            <w:tcW w:w="6941" w:type="dxa"/>
            <w:shd w:val="clear" w:color="auto" w:fill="auto"/>
            <w:hideMark/>
          </w:tcPr>
          <w:p w14:paraId="53C2115B"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Ar Covid-19 krīzes seku pārvarēšanu un ekonomikas atlabšanu saistītu augstas gatavības projektu īstenošana</w:t>
            </w:r>
          </w:p>
        </w:tc>
        <w:tc>
          <w:tcPr>
            <w:tcW w:w="851" w:type="dxa"/>
            <w:shd w:val="clear" w:color="auto" w:fill="auto"/>
            <w:noWrap/>
            <w:hideMark/>
          </w:tcPr>
          <w:p w14:paraId="5720C445" w14:textId="441CA123" w:rsidR="0018367D" w:rsidRPr="00351C3D" w:rsidRDefault="00FF64FB" w:rsidP="00351C3D">
            <w:pPr>
              <w:spacing w:after="0"/>
              <w:ind w:hanging="6"/>
              <w:jc w:val="right"/>
              <w:rPr>
                <w:rFonts w:eastAsia="Times New Roman"/>
                <w:sz w:val="18"/>
                <w:szCs w:val="18"/>
              </w:rPr>
            </w:pPr>
            <w:r>
              <w:rPr>
                <w:rFonts w:eastAsia="Times New Roman"/>
                <w:sz w:val="18"/>
                <w:szCs w:val="18"/>
              </w:rPr>
              <w:t>27,</w:t>
            </w:r>
            <w:r w:rsidR="0018367D" w:rsidRPr="00351C3D">
              <w:rPr>
                <w:rFonts w:eastAsia="Times New Roman"/>
                <w:sz w:val="18"/>
                <w:szCs w:val="18"/>
              </w:rPr>
              <w:t>6</w:t>
            </w:r>
          </w:p>
        </w:tc>
        <w:tc>
          <w:tcPr>
            <w:tcW w:w="711" w:type="dxa"/>
            <w:shd w:val="clear" w:color="auto" w:fill="auto"/>
            <w:noWrap/>
            <w:hideMark/>
          </w:tcPr>
          <w:p w14:paraId="1F1680B5"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3D5459F9"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33A486C8" w14:textId="77777777" w:rsidTr="000709B3">
        <w:trPr>
          <w:trHeight w:val="255"/>
        </w:trPr>
        <w:tc>
          <w:tcPr>
            <w:tcW w:w="6941" w:type="dxa"/>
            <w:shd w:val="clear" w:color="000000" w:fill="9BC2E6"/>
            <w:noWrap/>
            <w:hideMark/>
          </w:tcPr>
          <w:p w14:paraId="4342AF5C" w14:textId="77777777" w:rsidR="0018367D" w:rsidRPr="00351C3D" w:rsidRDefault="0018367D" w:rsidP="00351C3D">
            <w:pPr>
              <w:spacing w:after="0"/>
              <w:ind w:left="34" w:firstLine="0"/>
              <w:rPr>
                <w:rFonts w:eastAsia="Times New Roman"/>
                <w:b/>
                <w:bCs/>
                <w:color w:val="000000"/>
                <w:sz w:val="18"/>
                <w:szCs w:val="18"/>
              </w:rPr>
            </w:pPr>
            <w:r w:rsidRPr="00351C3D">
              <w:rPr>
                <w:rFonts w:eastAsia="Times New Roman"/>
                <w:b/>
                <w:bCs/>
                <w:color w:val="000000"/>
                <w:sz w:val="18"/>
                <w:szCs w:val="18"/>
              </w:rPr>
              <w:t>Dotācija pašvaldībām</w:t>
            </w:r>
          </w:p>
        </w:tc>
        <w:tc>
          <w:tcPr>
            <w:tcW w:w="851" w:type="dxa"/>
            <w:shd w:val="clear" w:color="000000" w:fill="9BC2E6"/>
            <w:noWrap/>
            <w:hideMark/>
          </w:tcPr>
          <w:p w14:paraId="704E2600"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11" w:type="dxa"/>
            <w:shd w:val="clear" w:color="000000" w:fill="9BC2E6"/>
            <w:noWrap/>
            <w:hideMark/>
          </w:tcPr>
          <w:p w14:paraId="0114B614"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09" w:type="dxa"/>
            <w:shd w:val="clear" w:color="000000" w:fill="9BC2E6"/>
            <w:noWrap/>
            <w:hideMark/>
          </w:tcPr>
          <w:p w14:paraId="1299DC49"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r>
      <w:tr w:rsidR="0018367D" w:rsidRPr="00351C3D" w14:paraId="1DF250C9" w14:textId="77777777" w:rsidTr="000709B3">
        <w:trPr>
          <w:trHeight w:val="255"/>
        </w:trPr>
        <w:tc>
          <w:tcPr>
            <w:tcW w:w="6941" w:type="dxa"/>
            <w:shd w:val="clear" w:color="auto" w:fill="auto"/>
            <w:hideMark/>
          </w:tcPr>
          <w:p w14:paraId="49D376B8"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PFI speciālās dotācijas korekcija</w:t>
            </w:r>
          </w:p>
        </w:tc>
        <w:tc>
          <w:tcPr>
            <w:tcW w:w="851" w:type="dxa"/>
            <w:shd w:val="clear" w:color="auto" w:fill="auto"/>
            <w:noWrap/>
            <w:hideMark/>
          </w:tcPr>
          <w:p w14:paraId="507E3AAF" w14:textId="5249322B" w:rsidR="0018367D" w:rsidRPr="00351C3D" w:rsidRDefault="000709B3" w:rsidP="00351C3D">
            <w:pPr>
              <w:spacing w:after="0"/>
              <w:ind w:hanging="6"/>
              <w:jc w:val="right"/>
              <w:rPr>
                <w:rFonts w:eastAsia="Times New Roman"/>
                <w:sz w:val="18"/>
                <w:szCs w:val="18"/>
              </w:rPr>
            </w:pPr>
            <w:r>
              <w:rPr>
                <w:rFonts w:eastAsia="Times New Roman"/>
                <w:sz w:val="18"/>
                <w:szCs w:val="18"/>
              </w:rPr>
              <w:t>-31,</w:t>
            </w:r>
            <w:r w:rsidR="0018367D" w:rsidRPr="00351C3D">
              <w:rPr>
                <w:rFonts w:eastAsia="Times New Roman"/>
                <w:sz w:val="18"/>
                <w:szCs w:val="18"/>
              </w:rPr>
              <w:t>1</w:t>
            </w:r>
          </w:p>
        </w:tc>
        <w:tc>
          <w:tcPr>
            <w:tcW w:w="711" w:type="dxa"/>
            <w:shd w:val="clear" w:color="auto" w:fill="auto"/>
            <w:noWrap/>
            <w:hideMark/>
          </w:tcPr>
          <w:p w14:paraId="159E38D3" w14:textId="5D229D63" w:rsidR="0018367D" w:rsidRPr="00351C3D" w:rsidRDefault="000709B3" w:rsidP="00351C3D">
            <w:pPr>
              <w:spacing w:after="0"/>
              <w:ind w:hanging="6"/>
              <w:jc w:val="right"/>
              <w:rPr>
                <w:rFonts w:eastAsia="Times New Roman"/>
                <w:sz w:val="18"/>
                <w:szCs w:val="18"/>
              </w:rPr>
            </w:pPr>
            <w:r>
              <w:rPr>
                <w:rFonts w:eastAsia="Times New Roman"/>
                <w:sz w:val="18"/>
                <w:szCs w:val="18"/>
              </w:rPr>
              <w:t>-82,</w:t>
            </w:r>
            <w:r w:rsidR="0018367D" w:rsidRPr="00351C3D">
              <w:rPr>
                <w:rFonts w:eastAsia="Times New Roman"/>
                <w:sz w:val="18"/>
                <w:szCs w:val="18"/>
              </w:rPr>
              <w:t>8</w:t>
            </w:r>
          </w:p>
        </w:tc>
        <w:tc>
          <w:tcPr>
            <w:tcW w:w="709" w:type="dxa"/>
            <w:shd w:val="clear" w:color="auto" w:fill="auto"/>
            <w:noWrap/>
            <w:hideMark/>
          </w:tcPr>
          <w:p w14:paraId="71F6A3AE" w14:textId="7A4B8629" w:rsidR="0018367D" w:rsidRPr="00351C3D" w:rsidRDefault="000709B3" w:rsidP="00351C3D">
            <w:pPr>
              <w:spacing w:after="0"/>
              <w:ind w:hanging="6"/>
              <w:jc w:val="right"/>
              <w:rPr>
                <w:rFonts w:eastAsia="Times New Roman"/>
                <w:sz w:val="18"/>
                <w:szCs w:val="18"/>
              </w:rPr>
            </w:pPr>
            <w:r>
              <w:rPr>
                <w:rFonts w:eastAsia="Times New Roman"/>
                <w:sz w:val="18"/>
                <w:szCs w:val="18"/>
              </w:rPr>
              <w:t>-165,</w:t>
            </w:r>
            <w:r w:rsidR="0018367D" w:rsidRPr="00351C3D">
              <w:rPr>
                <w:rFonts w:eastAsia="Times New Roman"/>
                <w:sz w:val="18"/>
                <w:szCs w:val="18"/>
              </w:rPr>
              <w:t>7</w:t>
            </w:r>
          </w:p>
        </w:tc>
      </w:tr>
      <w:tr w:rsidR="0018367D" w:rsidRPr="00351C3D" w14:paraId="69E09BD6" w14:textId="77777777" w:rsidTr="000709B3">
        <w:trPr>
          <w:trHeight w:val="255"/>
        </w:trPr>
        <w:tc>
          <w:tcPr>
            <w:tcW w:w="6941" w:type="dxa"/>
            <w:shd w:val="clear" w:color="000000" w:fill="9BC2E6"/>
            <w:noWrap/>
            <w:hideMark/>
          </w:tcPr>
          <w:p w14:paraId="7411EB2F" w14:textId="77777777" w:rsidR="0018367D" w:rsidRPr="00351C3D" w:rsidRDefault="0018367D" w:rsidP="00351C3D">
            <w:pPr>
              <w:spacing w:after="0"/>
              <w:ind w:left="34" w:firstLine="0"/>
              <w:rPr>
                <w:rFonts w:eastAsia="Times New Roman"/>
                <w:b/>
                <w:bCs/>
                <w:color w:val="000000"/>
                <w:sz w:val="18"/>
                <w:szCs w:val="18"/>
              </w:rPr>
            </w:pPr>
            <w:r w:rsidRPr="00351C3D">
              <w:rPr>
                <w:rFonts w:eastAsia="Times New Roman"/>
                <w:b/>
                <w:bCs/>
                <w:color w:val="000000"/>
                <w:sz w:val="18"/>
                <w:szCs w:val="18"/>
              </w:rPr>
              <w:t>Gadskārtējā valsts budžeta izpildes procesā pārdalāmais finansējums</w:t>
            </w:r>
          </w:p>
        </w:tc>
        <w:tc>
          <w:tcPr>
            <w:tcW w:w="851" w:type="dxa"/>
            <w:shd w:val="clear" w:color="000000" w:fill="9BC2E6"/>
            <w:noWrap/>
            <w:hideMark/>
          </w:tcPr>
          <w:p w14:paraId="6E7864CE"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11" w:type="dxa"/>
            <w:shd w:val="clear" w:color="000000" w:fill="9BC2E6"/>
            <w:noWrap/>
            <w:hideMark/>
          </w:tcPr>
          <w:p w14:paraId="1BC0210F"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c>
          <w:tcPr>
            <w:tcW w:w="709" w:type="dxa"/>
            <w:shd w:val="clear" w:color="000000" w:fill="9BC2E6"/>
            <w:noWrap/>
            <w:hideMark/>
          </w:tcPr>
          <w:p w14:paraId="34C0F76B" w14:textId="77777777" w:rsidR="0018367D" w:rsidRPr="00351C3D" w:rsidRDefault="0018367D" w:rsidP="00351C3D">
            <w:pPr>
              <w:spacing w:after="0"/>
              <w:ind w:hanging="6"/>
              <w:rPr>
                <w:rFonts w:eastAsia="Times New Roman"/>
                <w:b/>
                <w:bCs/>
                <w:color w:val="000000"/>
                <w:sz w:val="18"/>
                <w:szCs w:val="18"/>
              </w:rPr>
            </w:pPr>
            <w:r w:rsidRPr="00351C3D">
              <w:rPr>
                <w:rFonts w:eastAsia="Times New Roman"/>
                <w:b/>
                <w:bCs/>
                <w:color w:val="000000"/>
                <w:sz w:val="18"/>
                <w:szCs w:val="18"/>
              </w:rPr>
              <w:t> </w:t>
            </w:r>
          </w:p>
        </w:tc>
      </w:tr>
      <w:tr w:rsidR="0018367D" w:rsidRPr="00351C3D" w14:paraId="2BD715D6" w14:textId="77777777" w:rsidTr="000709B3">
        <w:trPr>
          <w:trHeight w:val="255"/>
        </w:trPr>
        <w:tc>
          <w:tcPr>
            <w:tcW w:w="6941" w:type="dxa"/>
            <w:shd w:val="clear" w:color="auto" w:fill="auto"/>
            <w:hideMark/>
          </w:tcPr>
          <w:p w14:paraId="68C74405" w14:textId="75C512A5" w:rsidR="0018367D" w:rsidRPr="00351C3D" w:rsidRDefault="0018367D" w:rsidP="00351C3D">
            <w:pPr>
              <w:spacing w:after="0"/>
              <w:ind w:left="34" w:firstLine="0"/>
              <w:rPr>
                <w:rFonts w:eastAsia="Times New Roman"/>
                <w:sz w:val="18"/>
                <w:szCs w:val="18"/>
              </w:rPr>
            </w:pPr>
            <w:r w:rsidRPr="00351C3D">
              <w:rPr>
                <w:rFonts w:eastAsia="Times New Roman"/>
                <w:sz w:val="18"/>
                <w:szCs w:val="18"/>
              </w:rPr>
              <w:t>Fina</w:t>
            </w:r>
            <w:r w:rsidR="000709B3">
              <w:rPr>
                <w:rFonts w:eastAsia="Times New Roman"/>
                <w:sz w:val="18"/>
                <w:szCs w:val="18"/>
              </w:rPr>
              <w:t>nsējuma korekcijas atbilstoši Ministru kabineta</w:t>
            </w:r>
            <w:r w:rsidRPr="00351C3D">
              <w:rPr>
                <w:rFonts w:eastAsia="Times New Roman"/>
                <w:sz w:val="18"/>
                <w:szCs w:val="18"/>
              </w:rPr>
              <w:t xml:space="preserve"> 24.09.2021 sēdē pieņemtajam lēmumam</w:t>
            </w:r>
          </w:p>
        </w:tc>
        <w:tc>
          <w:tcPr>
            <w:tcW w:w="851" w:type="dxa"/>
            <w:shd w:val="clear" w:color="auto" w:fill="auto"/>
            <w:noWrap/>
            <w:hideMark/>
          </w:tcPr>
          <w:p w14:paraId="3F896782" w14:textId="7925B94F" w:rsidR="0018367D" w:rsidRPr="00351C3D" w:rsidRDefault="000709B3" w:rsidP="00351C3D">
            <w:pPr>
              <w:spacing w:after="0"/>
              <w:ind w:hanging="6"/>
              <w:jc w:val="right"/>
              <w:rPr>
                <w:rFonts w:eastAsia="Times New Roman"/>
                <w:sz w:val="18"/>
                <w:szCs w:val="18"/>
              </w:rPr>
            </w:pPr>
            <w:r>
              <w:rPr>
                <w:rFonts w:eastAsia="Times New Roman"/>
                <w:sz w:val="18"/>
                <w:szCs w:val="18"/>
              </w:rPr>
              <w:t>74,</w:t>
            </w:r>
            <w:r w:rsidR="0018367D" w:rsidRPr="00351C3D">
              <w:rPr>
                <w:rFonts w:eastAsia="Times New Roman"/>
                <w:sz w:val="18"/>
                <w:szCs w:val="18"/>
              </w:rPr>
              <w:t>2</w:t>
            </w:r>
          </w:p>
        </w:tc>
        <w:tc>
          <w:tcPr>
            <w:tcW w:w="711" w:type="dxa"/>
            <w:shd w:val="clear" w:color="auto" w:fill="auto"/>
            <w:noWrap/>
            <w:hideMark/>
          </w:tcPr>
          <w:p w14:paraId="1554AB17" w14:textId="5F57FC73" w:rsidR="0018367D" w:rsidRPr="00351C3D" w:rsidRDefault="000709B3" w:rsidP="00351C3D">
            <w:pPr>
              <w:spacing w:after="0"/>
              <w:ind w:hanging="6"/>
              <w:jc w:val="right"/>
              <w:rPr>
                <w:rFonts w:eastAsia="Times New Roman"/>
                <w:sz w:val="18"/>
                <w:szCs w:val="18"/>
              </w:rPr>
            </w:pPr>
            <w:r>
              <w:rPr>
                <w:rFonts w:eastAsia="Times New Roman"/>
                <w:sz w:val="18"/>
                <w:szCs w:val="18"/>
              </w:rPr>
              <w:t>0,</w:t>
            </w:r>
            <w:r w:rsidR="0018367D" w:rsidRPr="00351C3D">
              <w:rPr>
                <w:rFonts w:eastAsia="Times New Roman"/>
                <w:sz w:val="18"/>
                <w:szCs w:val="18"/>
              </w:rPr>
              <w:t>3</w:t>
            </w:r>
          </w:p>
        </w:tc>
        <w:tc>
          <w:tcPr>
            <w:tcW w:w="709" w:type="dxa"/>
            <w:shd w:val="clear" w:color="auto" w:fill="auto"/>
            <w:noWrap/>
            <w:hideMark/>
          </w:tcPr>
          <w:p w14:paraId="6C34420E" w14:textId="01CAC11E" w:rsidR="0018367D" w:rsidRPr="00351C3D" w:rsidRDefault="000709B3" w:rsidP="00351C3D">
            <w:pPr>
              <w:spacing w:after="0"/>
              <w:ind w:hanging="6"/>
              <w:jc w:val="right"/>
              <w:rPr>
                <w:rFonts w:eastAsia="Times New Roman"/>
                <w:sz w:val="18"/>
                <w:szCs w:val="18"/>
              </w:rPr>
            </w:pPr>
            <w:r>
              <w:rPr>
                <w:rFonts w:eastAsia="Times New Roman"/>
                <w:sz w:val="18"/>
                <w:szCs w:val="18"/>
              </w:rPr>
              <w:t>80,</w:t>
            </w:r>
            <w:r w:rsidR="0018367D" w:rsidRPr="00351C3D">
              <w:rPr>
                <w:rFonts w:eastAsia="Times New Roman"/>
                <w:sz w:val="18"/>
                <w:szCs w:val="18"/>
              </w:rPr>
              <w:t>5</w:t>
            </w:r>
          </w:p>
        </w:tc>
      </w:tr>
      <w:tr w:rsidR="0018367D" w:rsidRPr="00351C3D" w14:paraId="7024E2D9" w14:textId="77777777" w:rsidTr="000709B3">
        <w:trPr>
          <w:trHeight w:val="255"/>
        </w:trPr>
        <w:tc>
          <w:tcPr>
            <w:tcW w:w="6941" w:type="dxa"/>
            <w:shd w:val="clear" w:color="auto" w:fill="auto"/>
            <w:hideMark/>
          </w:tcPr>
          <w:p w14:paraId="756D8B3B" w14:textId="053E8769" w:rsidR="0018367D" w:rsidRPr="00351C3D" w:rsidRDefault="0018367D" w:rsidP="00351C3D">
            <w:pPr>
              <w:spacing w:after="0"/>
              <w:ind w:left="34" w:firstLine="0"/>
              <w:rPr>
                <w:rFonts w:eastAsia="Times New Roman"/>
                <w:sz w:val="18"/>
                <w:szCs w:val="18"/>
              </w:rPr>
            </w:pPr>
            <w:r w:rsidRPr="00351C3D">
              <w:rPr>
                <w:rFonts w:eastAsia="Times New Roman"/>
                <w:sz w:val="18"/>
                <w:szCs w:val="18"/>
              </w:rPr>
              <w:t>Fina</w:t>
            </w:r>
            <w:r w:rsidR="000709B3">
              <w:rPr>
                <w:rFonts w:eastAsia="Times New Roman"/>
                <w:sz w:val="18"/>
                <w:szCs w:val="18"/>
              </w:rPr>
              <w:t>nsējuma korekcijas atbilstoši Ministru kabineta</w:t>
            </w:r>
            <w:r w:rsidRPr="00351C3D">
              <w:rPr>
                <w:rFonts w:eastAsia="Times New Roman"/>
                <w:sz w:val="18"/>
                <w:szCs w:val="18"/>
              </w:rPr>
              <w:t xml:space="preserve"> 29.09.2021 sēdē pieņemtajam lēmumam</w:t>
            </w:r>
          </w:p>
        </w:tc>
        <w:tc>
          <w:tcPr>
            <w:tcW w:w="851" w:type="dxa"/>
            <w:shd w:val="clear" w:color="auto" w:fill="auto"/>
            <w:noWrap/>
            <w:hideMark/>
          </w:tcPr>
          <w:p w14:paraId="06834422" w14:textId="45DC292C" w:rsidR="0018367D" w:rsidRPr="00351C3D" w:rsidRDefault="000709B3" w:rsidP="00351C3D">
            <w:pPr>
              <w:spacing w:after="0"/>
              <w:ind w:hanging="6"/>
              <w:jc w:val="right"/>
              <w:rPr>
                <w:rFonts w:eastAsia="Times New Roman"/>
                <w:sz w:val="18"/>
                <w:szCs w:val="18"/>
              </w:rPr>
            </w:pPr>
            <w:r>
              <w:rPr>
                <w:rFonts w:eastAsia="Times New Roman"/>
                <w:sz w:val="18"/>
                <w:szCs w:val="18"/>
              </w:rPr>
              <w:t>-2,</w:t>
            </w:r>
            <w:r w:rsidR="0018367D" w:rsidRPr="00351C3D">
              <w:rPr>
                <w:rFonts w:eastAsia="Times New Roman"/>
                <w:sz w:val="18"/>
                <w:szCs w:val="18"/>
              </w:rPr>
              <w:t>6</w:t>
            </w:r>
          </w:p>
        </w:tc>
        <w:tc>
          <w:tcPr>
            <w:tcW w:w="711" w:type="dxa"/>
            <w:shd w:val="clear" w:color="auto" w:fill="auto"/>
            <w:noWrap/>
            <w:hideMark/>
          </w:tcPr>
          <w:p w14:paraId="74D97CD4" w14:textId="765BE0E9" w:rsidR="0018367D" w:rsidRPr="00351C3D" w:rsidRDefault="000709B3" w:rsidP="00351C3D">
            <w:pPr>
              <w:spacing w:after="0"/>
              <w:ind w:hanging="6"/>
              <w:jc w:val="right"/>
              <w:rPr>
                <w:rFonts w:eastAsia="Times New Roman"/>
                <w:sz w:val="18"/>
                <w:szCs w:val="18"/>
              </w:rPr>
            </w:pPr>
            <w:r>
              <w:rPr>
                <w:rFonts w:eastAsia="Times New Roman"/>
                <w:sz w:val="18"/>
                <w:szCs w:val="18"/>
              </w:rPr>
              <w:t>-5,</w:t>
            </w:r>
            <w:r w:rsidR="0018367D" w:rsidRPr="00351C3D">
              <w:rPr>
                <w:rFonts w:eastAsia="Times New Roman"/>
                <w:sz w:val="18"/>
                <w:szCs w:val="18"/>
              </w:rPr>
              <w:t>7</w:t>
            </w:r>
          </w:p>
        </w:tc>
        <w:tc>
          <w:tcPr>
            <w:tcW w:w="709" w:type="dxa"/>
            <w:shd w:val="clear" w:color="auto" w:fill="auto"/>
            <w:noWrap/>
            <w:hideMark/>
          </w:tcPr>
          <w:p w14:paraId="5696BEDC" w14:textId="722A1D45" w:rsidR="0018367D" w:rsidRPr="00351C3D" w:rsidRDefault="000709B3" w:rsidP="00351C3D">
            <w:pPr>
              <w:spacing w:after="0"/>
              <w:ind w:hanging="6"/>
              <w:jc w:val="right"/>
              <w:rPr>
                <w:rFonts w:eastAsia="Times New Roman"/>
                <w:sz w:val="18"/>
                <w:szCs w:val="18"/>
              </w:rPr>
            </w:pPr>
            <w:r>
              <w:rPr>
                <w:rFonts w:eastAsia="Times New Roman"/>
                <w:sz w:val="18"/>
                <w:szCs w:val="18"/>
              </w:rPr>
              <w:t>-6,</w:t>
            </w:r>
            <w:r w:rsidR="0018367D" w:rsidRPr="00351C3D">
              <w:rPr>
                <w:rFonts w:eastAsia="Times New Roman"/>
                <w:sz w:val="18"/>
                <w:szCs w:val="18"/>
              </w:rPr>
              <w:t>1</w:t>
            </w:r>
          </w:p>
        </w:tc>
      </w:tr>
      <w:tr w:rsidR="0018367D" w:rsidRPr="00351C3D" w14:paraId="492C3717" w14:textId="77777777" w:rsidTr="000709B3">
        <w:trPr>
          <w:trHeight w:val="255"/>
        </w:trPr>
        <w:tc>
          <w:tcPr>
            <w:tcW w:w="6941" w:type="dxa"/>
            <w:shd w:val="clear" w:color="auto" w:fill="auto"/>
            <w:hideMark/>
          </w:tcPr>
          <w:p w14:paraId="521F925F"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Precizēts finansējums Covid-19 vakcīnu iegādei</w:t>
            </w:r>
          </w:p>
        </w:tc>
        <w:tc>
          <w:tcPr>
            <w:tcW w:w="851" w:type="dxa"/>
            <w:shd w:val="clear" w:color="auto" w:fill="auto"/>
            <w:noWrap/>
            <w:hideMark/>
          </w:tcPr>
          <w:p w14:paraId="203F23F3" w14:textId="79592DA1" w:rsidR="0018367D" w:rsidRPr="00351C3D" w:rsidRDefault="000709B3" w:rsidP="00351C3D">
            <w:pPr>
              <w:spacing w:after="0"/>
              <w:ind w:hanging="6"/>
              <w:jc w:val="right"/>
              <w:rPr>
                <w:rFonts w:eastAsia="Times New Roman"/>
                <w:sz w:val="18"/>
                <w:szCs w:val="18"/>
              </w:rPr>
            </w:pPr>
            <w:r>
              <w:rPr>
                <w:rFonts w:eastAsia="Times New Roman"/>
                <w:sz w:val="18"/>
                <w:szCs w:val="18"/>
              </w:rPr>
              <w:t>26,</w:t>
            </w:r>
            <w:r w:rsidR="0018367D" w:rsidRPr="00351C3D">
              <w:rPr>
                <w:rFonts w:eastAsia="Times New Roman"/>
                <w:sz w:val="18"/>
                <w:szCs w:val="18"/>
              </w:rPr>
              <w:t>6</w:t>
            </w:r>
          </w:p>
        </w:tc>
        <w:tc>
          <w:tcPr>
            <w:tcW w:w="711" w:type="dxa"/>
            <w:shd w:val="clear" w:color="auto" w:fill="auto"/>
            <w:noWrap/>
            <w:hideMark/>
          </w:tcPr>
          <w:p w14:paraId="3152E829" w14:textId="2D3C166B" w:rsidR="0018367D" w:rsidRPr="00351C3D" w:rsidRDefault="000709B3" w:rsidP="00351C3D">
            <w:pPr>
              <w:spacing w:after="0"/>
              <w:ind w:hanging="6"/>
              <w:jc w:val="right"/>
              <w:rPr>
                <w:rFonts w:eastAsia="Times New Roman"/>
                <w:sz w:val="18"/>
                <w:szCs w:val="18"/>
              </w:rPr>
            </w:pPr>
            <w:r>
              <w:rPr>
                <w:rFonts w:eastAsia="Times New Roman"/>
                <w:sz w:val="18"/>
                <w:szCs w:val="18"/>
              </w:rPr>
              <w:t>0,</w:t>
            </w:r>
            <w:r w:rsidR="0018367D" w:rsidRPr="00351C3D">
              <w:rPr>
                <w:rFonts w:eastAsia="Times New Roman"/>
                <w:sz w:val="18"/>
                <w:szCs w:val="18"/>
              </w:rPr>
              <w:t>6</w:t>
            </w:r>
          </w:p>
        </w:tc>
        <w:tc>
          <w:tcPr>
            <w:tcW w:w="709" w:type="dxa"/>
            <w:shd w:val="clear" w:color="auto" w:fill="auto"/>
            <w:noWrap/>
            <w:hideMark/>
          </w:tcPr>
          <w:p w14:paraId="54A1404A" w14:textId="50CACBC6" w:rsidR="0018367D" w:rsidRPr="00351C3D" w:rsidRDefault="000709B3" w:rsidP="00351C3D">
            <w:pPr>
              <w:spacing w:after="0"/>
              <w:ind w:hanging="6"/>
              <w:jc w:val="right"/>
              <w:rPr>
                <w:rFonts w:eastAsia="Times New Roman"/>
                <w:sz w:val="18"/>
                <w:szCs w:val="18"/>
              </w:rPr>
            </w:pPr>
            <w:r>
              <w:rPr>
                <w:rFonts w:eastAsia="Times New Roman"/>
                <w:sz w:val="18"/>
                <w:szCs w:val="18"/>
              </w:rPr>
              <w:t>0,</w:t>
            </w:r>
            <w:r w:rsidR="0018367D" w:rsidRPr="00351C3D">
              <w:rPr>
                <w:rFonts w:eastAsia="Times New Roman"/>
                <w:sz w:val="18"/>
                <w:szCs w:val="18"/>
              </w:rPr>
              <w:t>0</w:t>
            </w:r>
          </w:p>
        </w:tc>
      </w:tr>
      <w:tr w:rsidR="0018367D" w:rsidRPr="00351C3D" w14:paraId="2FC20332" w14:textId="77777777" w:rsidTr="000709B3">
        <w:trPr>
          <w:trHeight w:val="255"/>
        </w:trPr>
        <w:tc>
          <w:tcPr>
            <w:tcW w:w="6941" w:type="dxa"/>
            <w:shd w:val="clear" w:color="auto" w:fill="auto"/>
            <w:hideMark/>
          </w:tcPr>
          <w:p w14:paraId="404A4FE3"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Finansējuma pārdale augstas gatavības projektu īstenošanai</w:t>
            </w:r>
          </w:p>
        </w:tc>
        <w:tc>
          <w:tcPr>
            <w:tcW w:w="851" w:type="dxa"/>
            <w:shd w:val="clear" w:color="auto" w:fill="auto"/>
            <w:noWrap/>
            <w:hideMark/>
          </w:tcPr>
          <w:p w14:paraId="7DE78BD5" w14:textId="65DD5F18" w:rsidR="0018367D" w:rsidRPr="00351C3D" w:rsidRDefault="000709B3" w:rsidP="00351C3D">
            <w:pPr>
              <w:spacing w:after="0"/>
              <w:ind w:hanging="6"/>
              <w:jc w:val="right"/>
              <w:rPr>
                <w:rFonts w:eastAsia="Times New Roman"/>
                <w:sz w:val="18"/>
                <w:szCs w:val="18"/>
              </w:rPr>
            </w:pPr>
            <w:r>
              <w:rPr>
                <w:rFonts w:eastAsia="Times New Roman"/>
                <w:sz w:val="18"/>
                <w:szCs w:val="18"/>
              </w:rPr>
              <w:t>-85</w:t>
            </w:r>
            <w:r w:rsidR="0018367D" w:rsidRPr="00351C3D">
              <w:rPr>
                <w:rFonts w:eastAsia="Times New Roman"/>
                <w:sz w:val="18"/>
                <w:szCs w:val="18"/>
              </w:rPr>
              <w:t>6</w:t>
            </w:r>
          </w:p>
        </w:tc>
        <w:tc>
          <w:tcPr>
            <w:tcW w:w="711" w:type="dxa"/>
            <w:shd w:val="clear" w:color="auto" w:fill="auto"/>
            <w:noWrap/>
            <w:hideMark/>
          </w:tcPr>
          <w:p w14:paraId="36EC5873" w14:textId="69611633" w:rsidR="0018367D" w:rsidRPr="00351C3D" w:rsidRDefault="000709B3" w:rsidP="00351C3D">
            <w:pPr>
              <w:spacing w:after="0"/>
              <w:ind w:hanging="6"/>
              <w:jc w:val="right"/>
              <w:rPr>
                <w:rFonts w:eastAsia="Times New Roman"/>
                <w:sz w:val="18"/>
                <w:szCs w:val="18"/>
              </w:rPr>
            </w:pPr>
            <w:r>
              <w:rPr>
                <w:rFonts w:eastAsia="Times New Roman"/>
                <w:sz w:val="18"/>
                <w:szCs w:val="18"/>
              </w:rPr>
              <w:t>0,</w:t>
            </w:r>
            <w:r w:rsidR="0018367D" w:rsidRPr="00351C3D">
              <w:rPr>
                <w:rFonts w:eastAsia="Times New Roman"/>
                <w:sz w:val="18"/>
                <w:szCs w:val="18"/>
              </w:rPr>
              <w:t>0</w:t>
            </w:r>
          </w:p>
        </w:tc>
        <w:tc>
          <w:tcPr>
            <w:tcW w:w="709" w:type="dxa"/>
            <w:shd w:val="clear" w:color="auto" w:fill="auto"/>
            <w:noWrap/>
            <w:hideMark/>
          </w:tcPr>
          <w:p w14:paraId="240A072D" w14:textId="306AB6B5" w:rsidR="0018367D" w:rsidRPr="00351C3D" w:rsidRDefault="000709B3" w:rsidP="00351C3D">
            <w:pPr>
              <w:spacing w:after="0"/>
              <w:ind w:hanging="6"/>
              <w:jc w:val="right"/>
              <w:rPr>
                <w:rFonts w:eastAsia="Times New Roman"/>
                <w:sz w:val="18"/>
                <w:szCs w:val="18"/>
              </w:rPr>
            </w:pPr>
            <w:r>
              <w:rPr>
                <w:rFonts w:eastAsia="Times New Roman"/>
                <w:sz w:val="18"/>
                <w:szCs w:val="18"/>
              </w:rPr>
              <w:t>0,</w:t>
            </w:r>
            <w:r w:rsidR="0018367D" w:rsidRPr="00351C3D">
              <w:rPr>
                <w:rFonts w:eastAsia="Times New Roman"/>
                <w:sz w:val="18"/>
                <w:szCs w:val="18"/>
              </w:rPr>
              <w:t>0</w:t>
            </w:r>
          </w:p>
        </w:tc>
      </w:tr>
      <w:tr w:rsidR="0018367D" w:rsidRPr="00351C3D" w14:paraId="7DFC2F63" w14:textId="77777777" w:rsidTr="000709B3">
        <w:trPr>
          <w:trHeight w:val="510"/>
        </w:trPr>
        <w:tc>
          <w:tcPr>
            <w:tcW w:w="6941" w:type="dxa"/>
            <w:shd w:val="clear" w:color="auto" w:fill="auto"/>
            <w:hideMark/>
          </w:tcPr>
          <w:p w14:paraId="41015155"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Palielināts finansējums  reformām, kas saistīta ar ievēlēto, apstiprināto un iecelto amatpersonu atlīdzību nodrošināšanu</w:t>
            </w:r>
          </w:p>
        </w:tc>
        <w:tc>
          <w:tcPr>
            <w:tcW w:w="851" w:type="dxa"/>
            <w:shd w:val="clear" w:color="auto" w:fill="auto"/>
            <w:noWrap/>
            <w:hideMark/>
          </w:tcPr>
          <w:p w14:paraId="6A99FE3F"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11" w:type="dxa"/>
            <w:shd w:val="clear" w:color="auto" w:fill="auto"/>
            <w:noWrap/>
            <w:hideMark/>
          </w:tcPr>
          <w:p w14:paraId="30BBA4F5" w14:textId="5072A7E9" w:rsidR="0018367D" w:rsidRPr="00351C3D" w:rsidRDefault="000709B3" w:rsidP="00351C3D">
            <w:pPr>
              <w:spacing w:after="0"/>
              <w:ind w:hanging="6"/>
              <w:jc w:val="right"/>
              <w:rPr>
                <w:rFonts w:eastAsia="Times New Roman"/>
                <w:sz w:val="18"/>
                <w:szCs w:val="18"/>
              </w:rPr>
            </w:pPr>
            <w:r>
              <w:rPr>
                <w:rFonts w:eastAsia="Times New Roman"/>
                <w:sz w:val="18"/>
                <w:szCs w:val="18"/>
              </w:rPr>
              <w:t>6,</w:t>
            </w:r>
            <w:r w:rsidR="0018367D" w:rsidRPr="00351C3D">
              <w:rPr>
                <w:rFonts w:eastAsia="Times New Roman"/>
                <w:sz w:val="18"/>
                <w:szCs w:val="18"/>
              </w:rPr>
              <w:t>3</w:t>
            </w:r>
          </w:p>
        </w:tc>
        <w:tc>
          <w:tcPr>
            <w:tcW w:w="709" w:type="dxa"/>
            <w:shd w:val="clear" w:color="auto" w:fill="auto"/>
            <w:noWrap/>
            <w:hideMark/>
          </w:tcPr>
          <w:p w14:paraId="29B41E53" w14:textId="02DFCA93" w:rsidR="0018367D" w:rsidRPr="00351C3D" w:rsidRDefault="000709B3" w:rsidP="00351C3D">
            <w:pPr>
              <w:spacing w:after="0"/>
              <w:ind w:hanging="6"/>
              <w:jc w:val="right"/>
              <w:rPr>
                <w:rFonts w:eastAsia="Times New Roman"/>
                <w:sz w:val="18"/>
                <w:szCs w:val="18"/>
              </w:rPr>
            </w:pPr>
            <w:r>
              <w:rPr>
                <w:rFonts w:eastAsia="Times New Roman"/>
                <w:sz w:val="18"/>
                <w:szCs w:val="18"/>
              </w:rPr>
              <w:t>6,</w:t>
            </w:r>
            <w:r w:rsidR="0018367D" w:rsidRPr="00351C3D">
              <w:rPr>
                <w:rFonts w:eastAsia="Times New Roman"/>
                <w:sz w:val="18"/>
                <w:szCs w:val="18"/>
              </w:rPr>
              <w:t>8</w:t>
            </w:r>
          </w:p>
        </w:tc>
      </w:tr>
      <w:tr w:rsidR="0018367D" w:rsidRPr="00351C3D" w14:paraId="131D744F" w14:textId="77777777" w:rsidTr="000709B3">
        <w:trPr>
          <w:trHeight w:val="255"/>
        </w:trPr>
        <w:tc>
          <w:tcPr>
            <w:tcW w:w="6941" w:type="dxa"/>
            <w:shd w:val="clear" w:color="auto" w:fill="auto"/>
            <w:hideMark/>
          </w:tcPr>
          <w:p w14:paraId="4EB2F5FB" w14:textId="77777777" w:rsidR="0018367D" w:rsidRPr="00351C3D" w:rsidRDefault="0018367D" w:rsidP="00351C3D">
            <w:pPr>
              <w:spacing w:after="0"/>
              <w:ind w:left="34" w:firstLine="0"/>
              <w:rPr>
                <w:rFonts w:eastAsia="Times New Roman"/>
                <w:sz w:val="18"/>
                <w:szCs w:val="18"/>
              </w:rPr>
            </w:pPr>
            <w:r w:rsidRPr="00351C3D">
              <w:rPr>
                <w:rFonts w:eastAsia="Times New Roman"/>
                <w:sz w:val="18"/>
                <w:szCs w:val="18"/>
              </w:rPr>
              <w:t>Demogrāfijas pasākumu nodrošināšanai</w:t>
            </w:r>
          </w:p>
        </w:tc>
        <w:tc>
          <w:tcPr>
            <w:tcW w:w="851" w:type="dxa"/>
            <w:shd w:val="clear" w:color="auto" w:fill="auto"/>
            <w:noWrap/>
            <w:hideMark/>
          </w:tcPr>
          <w:p w14:paraId="42937254" w14:textId="127540BC" w:rsidR="0018367D" w:rsidRPr="00351C3D" w:rsidRDefault="000709B3" w:rsidP="00351C3D">
            <w:pPr>
              <w:spacing w:after="0"/>
              <w:ind w:hanging="6"/>
              <w:jc w:val="right"/>
              <w:rPr>
                <w:rFonts w:eastAsia="Times New Roman"/>
                <w:sz w:val="18"/>
                <w:szCs w:val="18"/>
              </w:rPr>
            </w:pPr>
            <w:r>
              <w:rPr>
                <w:rFonts w:eastAsia="Times New Roman"/>
                <w:sz w:val="18"/>
                <w:szCs w:val="18"/>
              </w:rPr>
              <w:t>3,</w:t>
            </w:r>
            <w:r w:rsidR="0018367D" w:rsidRPr="00351C3D">
              <w:rPr>
                <w:rFonts w:eastAsia="Times New Roman"/>
                <w:sz w:val="18"/>
                <w:szCs w:val="18"/>
              </w:rPr>
              <w:t>5</w:t>
            </w:r>
          </w:p>
        </w:tc>
        <w:tc>
          <w:tcPr>
            <w:tcW w:w="711" w:type="dxa"/>
            <w:shd w:val="clear" w:color="auto" w:fill="auto"/>
            <w:noWrap/>
            <w:hideMark/>
          </w:tcPr>
          <w:p w14:paraId="2D95D9AF"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c>
          <w:tcPr>
            <w:tcW w:w="709" w:type="dxa"/>
            <w:shd w:val="clear" w:color="auto" w:fill="auto"/>
            <w:noWrap/>
            <w:hideMark/>
          </w:tcPr>
          <w:p w14:paraId="68CCC7E4" w14:textId="77777777" w:rsidR="0018367D" w:rsidRPr="00351C3D" w:rsidRDefault="0018367D" w:rsidP="00351C3D">
            <w:pPr>
              <w:spacing w:after="0"/>
              <w:ind w:hanging="6"/>
              <w:rPr>
                <w:rFonts w:eastAsia="Times New Roman"/>
                <w:sz w:val="18"/>
                <w:szCs w:val="18"/>
              </w:rPr>
            </w:pPr>
            <w:r w:rsidRPr="00351C3D">
              <w:rPr>
                <w:rFonts w:eastAsia="Times New Roman"/>
                <w:sz w:val="18"/>
                <w:szCs w:val="18"/>
              </w:rPr>
              <w:t> </w:t>
            </w:r>
          </w:p>
        </w:tc>
      </w:tr>
      <w:tr w:rsidR="0018367D" w:rsidRPr="00351C3D" w14:paraId="4F1CEB58" w14:textId="77777777" w:rsidTr="000709B3">
        <w:trPr>
          <w:trHeight w:val="278"/>
        </w:trPr>
        <w:tc>
          <w:tcPr>
            <w:tcW w:w="6941" w:type="dxa"/>
            <w:shd w:val="clear" w:color="000000" w:fill="9BC2E6"/>
            <w:hideMark/>
          </w:tcPr>
          <w:p w14:paraId="6C03C58D" w14:textId="77777777" w:rsidR="0018367D" w:rsidRPr="00351C3D" w:rsidRDefault="0018367D" w:rsidP="00351C3D">
            <w:pPr>
              <w:spacing w:after="0"/>
              <w:ind w:left="34" w:firstLine="0"/>
              <w:rPr>
                <w:rFonts w:eastAsia="Times New Roman"/>
                <w:b/>
                <w:bCs/>
                <w:color w:val="000000"/>
                <w:sz w:val="18"/>
                <w:szCs w:val="18"/>
              </w:rPr>
            </w:pPr>
            <w:r w:rsidRPr="00351C3D">
              <w:rPr>
                <w:rFonts w:eastAsia="Times New Roman"/>
                <w:b/>
                <w:bCs/>
                <w:color w:val="000000"/>
                <w:sz w:val="18"/>
                <w:szCs w:val="18"/>
              </w:rPr>
              <w:t>Aizņēmuma limita palielināšana pašvaldībām (prognozētā ietekme uz budžeta bilanci)</w:t>
            </w:r>
          </w:p>
        </w:tc>
        <w:tc>
          <w:tcPr>
            <w:tcW w:w="851" w:type="dxa"/>
            <w:shd w:val="clear" w:color="000000" w:fill="9BC2E6"/>
            <w:noWrap/>
            <w:hideMark/>
          </w:tcPr>
          <w:p w14:paraId="67BE9DAB" w14:textId="074178B0" w:rsidR="0018367D" w:rsidRPr="00351C3D" w:rsidRDefault="000709B3" w:rsidP="00351C3D">
            <w:pPr>
              <w:spacing w:after="0"/>
              <w:ind w:hanging="6"/>
              <w:jc w:val="right"/>
              <w:rPr>
                <w:rFonts w:eastAsia="Times New Roman"/>
                <w:color w:val="000000"/>
                <w:sz w:val="18"/>
                <w:szCs w:val="18"/>
              </w:rPr>
            </w:pPr>
            <w:r>
              <w:rPr>
                <w:rFonts w:eastAsia="Times New Roman"/>
                <w:color w:val="000000"/>
                <w:sz w:val="18"/>
                <w:szCs w:val="18"/>
              </w:rPr>
              <w:t>60,</w:t>
            </w:r>
            <w:r w:rsidR="0018367D" w:rsidRPr="00351C3D">
              <w:rPr>
                <w:rFonts w:eastAsia="Times New Roman"/>
                <w:color w:val="000000"/>
                <w:sz w:val="18"/>
                <w:szCs w:val="18"/>
              </w:rPr>
              <w:t>0</w:t>
            </w:r>
          </w:p>
        </w:tc>
        <w:tc>
          <w:tcPr>
            <w:tcW w:w="711" w:type="dxa"/>
            <w:shd w:val="clear" w:color="000000" w:fill="9BC2E6"/>
            <w:noWrap/>
            <w:hideMark/>
          </w:tcPr>
          <w:p w14:paraId="16B3953F" w14:textId="77777777" w:rsidR="0018367D" w:rsidRPr="00351C3D" w:rsidRDefault="0018367D" w:rsidP="00351C3D">
            <w:pPr>
              <w:spacing w:after="0"/>
              <w:ind w:hanging="6"/>
              <w:rPr>
                <w:rFonts w:eastAsia="Times New Roman"/>
                <w:color w:val="000000"/>
                <w:sz w:val="18"/>
                <w:szCs w:val="18"/>
              </w:rPr>
            </w:pPr>
            <w:r w:rsidRPr="00351C3D">
              <w:rPr>
                <w:rFonts w:eastAsia="Times New Roman"/>
                <w:color w:val="000000"/>
                <w:sz w:val="18"/>
                <w:szCs w:val="18"/>
              </w:rPr>
              <w:t> </w:t>
            </w:r>
          </w:p>
        </w:tc>
        <w:tc>
          <w:tcPr>
            <w:tcW w:w="709" w:type="dxa"/>
            <w:shd w:val="clear" w:color="000000" w:fill="9BC2E6"/>
            <w:noWrap/>
            <w:hideMark/>
          </w:tcPr>
          <w:p w14:paraId="0271497D" w14:textId="77777777" w:rsidR="0018367D" w:rsidRPr="00351C3D" w:rsidRDefault="0018367D" w:rsidP="00351C3D">
            <w:pPr>
              <w:spacing w:after="0"/>
              <w:ind w:hanging="6"/>
              <w:rPr>
                <w:rFonts w:eastAsia="Times New Roman"/>
                <w:color w:val="000000"/>
                <w:sz w:val="18"/>
                <w:szCs w:val="18"/>
              </w:rPr>
            </w:pPr>
            <w:r w:rsidRPr="00351C3D">
              <w:rPr>
                <w:rFonts w:eastAsia="Times New Roman"/>
                <w:color w:val="000000"/>
                <w:sz w:val="18"/>
                <w:szCs w:val="18"/>
              </w:rPr>
              <w:t> </w:t>
            </w:r>
          </w:p>
        </w:tc>
      </w:tr>
    </w:tbl>
    <w:p w14:paraId="325219EA" w14:textId="58EDFA90" w:rsidR="000709B3" w:rsidRDefault="000709B3" w:rsidP="00EB7D26">
      <w:pPr>
        <w:widowControl w:val="0"/>
        <w:ind w:firstLine="0"/>
        <w:rPr>
          <w:rFonts w:eastAsia="Times New Roman" w:cs="Times New Roman"/>
          <w:b/>
          <w:color w:val="000000"/>
        </w:rPr>
      </w:pPr>
    </w:p>
    <w:p w14:paraId="02579B1D" w14:textId="727B9F5B" w:rsidR="00B243D9" w:rsidRDefault="00B243D9" w:rsidP="00CA119A">
      <w:pPr>
        <w:widowControl w:val="0"/>
        <w:jc w:val="center"/>
        <w:rPr>
          <w:rFonts w:eastAsia="Times New Roman" w:cs="Times New Roman"/>
          <w:b/>
          <w:color w:val="000000"/>
        </w:rPr>
      </w:pPr>
    </w:p>
    <w:p w14:paraId="0B9D4A8A" w14:textId="77777777" w:rsidR="00E862CD" w:rsidRDefault="00E862CD" w:rsidP="00CA119A">
      <w:pPr>
        <w:widowControl w:val="0"/>
        <w:jc w:val="center"/>
        <w:rPr>
          <w:rFonts w:eastAsia="Times New Roman" w:cs="Times New Roman"/>
          <w:b/>
          <w:color w:val="000000"/>
        </w:rPr>
      </w:pPr>
    </w:p>
    <w:p w14:paraId="243EB946" w14:textId="4B9A87C6" w:rsidR="004C5F53" w:rsidRPr="00CA119A" w:rsidRDefault="004C5F53" w:rsidP="00CA119A">
      <w:pPr>
        <w:widowControl w:val="0"/>
        <w:jc w:val="center"/>
        <w:rPr>
          <w:rFonts w:eastAsia="Times New Roman" w:cs="Times New Roman"/>
          <w:b/>
          <w:color w:val="000000"/>
        </w:rPr>
      </w:pPr>
      <w:r w:rsidRPr="004C5F53">
        <w:rPr>
          <w:rFonts w:eastAsia="Times New Roman" w:cs="Times New Roman"/>
          <w:b/>
          <w:color w:val="000000"/>
        </w:rPr>
        <w:lastRenderedPageBreak/>
        <w:t>Diskrecionāro politikas lēmumu ietekme uz publisko</w:t>
      </w:r>
      <w:r w:rsidR="00CA119A">
        <w:rPr>
          <w:rFonts w:eastAsia="Times New Roman" w:cs="Times New Roman"/>
          <w:b/>
          <w:color w:val="000000"/>
        </w:rPr>
        <w:t xml:space="preserve"> finanšu ilgtermiņa stabilitāti</w:t>
      </w:r>
    </w:p>
    <w:p w14:paraId="15567C63" w14:textId="72F866D2" w:rsidR="004C5F53" w:rsidRPr="004C5F53" w:rsidRDefault="004C5F53" w:rsidP="004C5F53">
      <w:pPr>
        <w:widowControl w:val="0"/>
        <w:rPr>
          <w:rFonts w:ascii="Calibri" w:eastAsia="Calibri" w:hAnsi="Calibri" w:cs="Calibri"/>
          <w:sz w:val="22"/>
        </w:rPr>
      </w:pPr>
      <w:r w:rsidRPr="004C5F53">
        <w:rPr>
          <w:rFonts w:eastAsia="Times New Roman" w:cs="Times New Roman"/>
        </w:rPr>
        <w:t xml:space="preserve">Saskaņā ar </w:t>
      </w:r>
      <w:r w:rsidR="000709B3">
        <w:rPr>
          <w:rFonts w:eastAsia="Times New Roman" w:cs="Times New Roman"/>
        </w:rPr>
        <w:t>likumu “Fiskālās disciplīnas likums”</w:t>
      </w:r>
      <w:r w:rsidRPr="004C5F53">
        <w:rPr>
          <w:rFonts w:eastAsia="Times New Roman" w:cs="Times New Roman"/>
        </w:rPr>
        <w:t xml:space="preserve"> fiskālās politikas īstenošanā tiek ievērots ilgtspējīgas fiskālās politikas princips – fiskālās politikas mērķis ir nodrošināt, lai vispārējās valdības parāda apjoms neuzliek nesamērīgu slogu ekonomikai, bet veicina tās attīstību ilgtermiņā. Savukārt, saskaņā ar Direktīvas 2011/85/ES </w:t>
      </w:r>
      <w:r w:rsidRPr="004C5F53">
        <w:rPr>
          <w:rFonts w:eastAsia="Times New Roman" w:cs="Times New Roman"/>
          <w:color w:val="000000"/>
        </w:rPr>
        <w:t>9.</w:t>
      </w:r>
      <w:r w:rsidR="000709B3">
        <w:rPr>
          <w:rFonts w:eastAsia="Times New Roman" w:cs="Times New Roman"/>
          <w:color w:val="000000"/>
        </w:rPr>
        <w:t xml:space="preserve"> panta otrā punkta d) </w:t>
      </w:r>
      <w:r w:rsidRPr="004C5F53">
        <w:rPr>
          <w:rFonts w:eastAsia="Times New Roman" w:cs="Times New Roman"/>
          <w:color w:val="000000"/>
        </w:rPr>
        <w:t xml:space="preserve">apakšpunktu, dalībvalstīm ir jāveic izvērtējums par to, kā paredzētie politikas lēmumi, ņemot vērā to tiešu ilgtermiņa ietekmi uz vispārējās valdības finansēm, varētu iespaidot publisko finanšu ilgtermiņa stabilitāti. </w:t>
      </w:r>
    </w:p>
    <w:p w14:paraId="31EEA028" w14:textId="4182D928" w:rsidR="004C5F53" w:rsidRPr="004C5F53" w:rsidRDefault="004C5F53" w:rsidP="004C5F53">
      <w:pPr>
        <w:widowControl w:val="0"/>
        <w:rPr>
          <w:rFonts w:eastAsia="Times New Roman" w:cs="Times New Roman"/>
          <w:color w:val="000000"/>
        </w:rPr>
      </w:pPr>
      <w:r w:rsidRPr="004C5F53">
        <w:rPr>
          <w:rFonts w:eastAsia="Times New Roman" w:cs="Times New Roman"/>
          <w:color w:val="000000"/>
        </w:rPr>
        <w:t xml:space="preserve">Līdz ar to  šajā sadaļā tiek </w:t>
      </w:r>
      <w:r w:rsidR="000709B3">
        <w:rPr>
          <w:rFonts w:eastAsia="Times New Roman" w:cs="Times New Roman"/>
          <w:color w:val="000000"/>
        </w:rPr>
        <w:t>veikts ilgtspējas novērtējums Ministru kabineta</w:t>
      </w:r>
      <w:r w:rsidRPr="004C5F53">
        <w:rPr>
          <w:rFonts w:eastAsia="Times New Roman" w:cs="Times New Roman"/>
          <w:color w:val="000000"/>
        </w:rPr>
        <w:t xml:space="preserve"> un Saeimas pieņemtajiem diskrecionārajiem lēmumiem, analizējot vai jauno politikas pasākumu tiešā ietekme nerada riskus publisko finanšu ilgtermiņa stabilitātei. </w:t>
      </w:r>
    </w:p>
    <w:p w14:paraId="2A82EF3B" w14:textId="047B20FF" w:rsidR="004C5F53" w:rsidRPr="004C5F53" w:rsidRDefault="004C5F53" w:rsidP="004C5F53">
      <w:pPr>
        <w:widowControl w:val="0"/>
        <w:rPr>
          <w:rFonts w:eastAsia="Times New Roman" w:cs="Times New Roman"/>
          <w:color w:val="000000"/>
        </w:rPr>
      </w:pPr>
      <w:r w:rsidRPr="004C5F53">
        <w:rPr>
          <w:rFonts w:eastAsia="Times New Roman" w:cs="Times New Roman"/>
          <w:color w:val="000000"/>
        </w:rPr>
        <w:t>Analizēti tiek tikai tādi</w:t>
      </w:r>
      <w:r w:rsidR="000709B3">
        <w:rPr>
          <w:rFonts w:eastAsia="Times New Roman" w:cs="Times New Roman"/>
          <w:color w:val="000000"/>
        </w:rPr>
        <w:t xml:space="preserve"> Ministru kabineta</w:t>
      </w:r>
      <w:r w:rsidRPr="004C5F53">
        <w:rPr>
          <w:rFonts w:eastAsia="Times New Roman" w:cs="Times New Roman"/>
          <w:color w:val="000000"/>
        </w:rPr>
        <w:t xml:space="preserve"> pieņemtie politikas pasākumi, kam ir tieša negatīva ietekme uz vispārējās valdības budžeta bilanci, proti, ieņēmumus samazinoši pasākumi un izdevumus palielinoši pasākumi. Politikas pasākumi, kam ir tieša pozitīva ietekme uz vispārējās valdības budžeta bilanci, netiek izvērtēti. Tāpat tiek pieņemts, ka ilgtermiņa ietekme ir tikai tādiem pasākumiem, kam ir bāzes efekts uz turpmākajiem gadiem. Līdz ar to netiek analizēti pasākumi, kam ir vienreizējs raksturs. Ja politikas pasākums ir ar bāzes efektu, kam fiskālās ietekmes apmērs nominālā izteiksmē ir laikā nemainīgs, politikas pasākums nerada draudus ilgtermiņa publisko finanšu stabi</w:t>
      </w:r>
      <w:r w:rsidR="000709B3">
        <w:rPr>
          <w:rFonts w:eastAsia="Times New Roman" w:cs="Times New Roman"/>
          <w:color w:val="000000"/>
        </w:rPr>
        <w:t>litātei, jo pie augoša reālā iekšzemes kopprodukta</w:t>
      </w:r>
      <w:r w:rsidRPr="004C5F53">
        <w:rPr>
          <w:rFonts w:eastAsia="Times New Roman" w:cs="Times New Roman"/>
          <w:color w:val="000000"/>
        </w:rPr>
        <w:t xml:space="preserve"> un cenu līmeņa pieauguma, politikas pasākuma tiešā fiskālā ietekme procentos pret </w:t>
      </w:r>
      <w:r w:rsidR="000709B3">
        <w:rPr>
          <w:rFonts w:eastAsia="Times New Roman" w:cs="Times New Roman"/>
          <w:color w:val="000000"/>
        </w:rPr>
        <w:t>iekšzemes kopproduktu</w:t>
      </w:r>
      <w:r w:rsidRPr="004C5F53">
        <w:rPr>
          <w:rFonts w:eastAsia="Times New Roman" w:cs="Times New Roman"/>
          <w:color w:val="000000"/>
        </w:rPr>
        <w:t xml:space="preserve"> laikā samazinās. Attiecīgi kritērijs tam, vai jaunā politikas prioritāte rada riskus publisko finanšu ilgtspējai</w:t>
      </w:r>
      <w:r w:rsidR="000709B3">
        <w:rPr>
          <w:rFonts w:eastAsia="Times New Roman" w:cs="Times New Roman"/>
          <w:color w:val="000000"/>
        </w:rPr>
        <w:t>,</w:t>
      </w:r>
      <w:r w:rsidRPr="004C5F53">
        <w:rPr>
          <w:rFonts w:eastAsia="Times New Roman" w:cs="Times New Roman"/>
          <w:color w:val="000000"/>
        </w:rPr>
        <w:t xml:space="preserve"> ir pieņemtā politikas pasākuma fiskālās ietekmes pret </w:t>
      </w:r>
      <w:r w:rsidR="000709B3">
        <w:rPr>
          <w:rFonts w:eastAsia="Times New Roman" w:cs="Times New Roman"/>
          <w:color w:val="000000"/>
        </w:rPr>
        <w:t>iekšzemes kopproduktu</w:t>
      </w:r>
      <w:r w:rsidRPr="004C5F53">
        <w:rPr>
          <w:rFonts w:eastAsia="Times New Roman" w:cs="Times New Roman"/>
          <w:color w:val="000000"/>
        </w:rPr>
        <w:t xml:space="preserve"> dinamika.</w:t>
      </w:r>
    </w:p>
    <w:p w14:paraId="466D2674" w14:textId="77777777" w:rsidR="003F3F04" w:rsidRDefault="004C5F53" w:rsidP="003F3F04">
      <w:pPr>
        <w:widowControl w:val="0"/>
        <w:rPr>
          <w:rFonts w:eastAsia="Times New Roman" w:cs="Times New Roman"/>
          <w:b/>
          <w:szCs w:val="28"/>
        </w:rPr>
      </w:pPr>
      <w:r w:rsidRPr="004C5F53">
        <w:rPr>
          <w:rFonts w:eastAsia="Times New Roman" w:cs="Times New Roman"/>
          <w:color w:val="000000"/>
        </w:rPr>
        <w:t>Izvērtējot šī vidēja termiņa budžeta ietvara likumprojekta izstrādes laikā pieņem</w:t>
      </w:r>
      <w:r w:rsidR="000709B3">
        <w:rPr>
          <w:rFonts w:eastAsia="Times New Roman" w:cs="Times New Roman"/>
          <w:color w:val="000000"/>
        </w:rPr>
        <w:t>tos Ministru kabineta</w:t>
      </w:r>
      <w:r w:rsidRPr="004C5F53">
        <w:rPr>
          <w:rFonts w:eastAsia="Times New Roman" w:cs="Times New Roman"/>
          <w:color w:val="000000"/>
        </w:rPr>
        <w:t xml:space="preserve"> lēmumus, tika secināts, ka nav pieņemti tādi pasākumi, kuri rada risku pu</w:t>
      </w:r>
      <w:r w:rsidR="000709B3">
        <w:rPr>
          <w:rFonts w:eastAsia="Times New Roman" w:cs="Times New Roman"/>
          <w:color w:val="000000"/>
        </w:rPr>
        <w:t>blisko finanšu ilgtspējai, jo Ministru kabinets</w:t>
      </w:r>
      <w:r w:rsidRPr="004C5F53">
        <w:rPr>
          <w:rFonts w:eastAsia="Times New Roman" w:cs="Times New Roman"/>
          <w:color w:val="000000"/>
        </w:rPr>
        <w:t xml:space="preserve"> pieņēma lēmumu tikai par tādiem pasākumiem, kuriem ir vienreizējs raksturs vai arī tie ir ar bāzes efektu uz turpmākajiem gadiem, bet to apmērs nominālā izteiksmē laikā ir nemainīgs.</w:t>
      </w:r>
      <w:r w:rsidR="003F3F04">
        <w:rPr>
          <w:rFonts w:eastAsia="Times New Roman" w:cs="Times New Roman"/>
          <w:b/>
          <w:szCs w:val="28"/>
        </w:rPr>
        <w:t xml:space="preserve"> </w:t>
      </w:r>
    </w:p>
    <w:p w14:paraId="1975EC9D" w14:textId="77777777" w:rsidR="003F3F04" w:rsidRDefault="003F3F04" w:rsidP="003F3F04">
      <w:pPr>
        <w:widowControl w:val="0"/>
        <w:rPr>
          <w:rFonts w:eastAsia="Times New Roman" w:cs="Times New Roman"/>
          <w:b/>
          <w:szCs w:val="28"/>
        </w:rPr>
      </w:pPr>
    </w:p>
    <w:p w14:paraId="4C702ACC" w14:textId="77777777" w:rsidR="003F3F04" w:rsidRDefault="003F3F04" w:rsidP="003F3F04">
      <w:pPr>
        <w:widowControl w:val="0"/>
        <w:rPr>
          <w:rFonts w:eastAsia="Times New Roman" w:cs="Times New Roman"/>
          <w:b/>
          <w:szCs w:val="28"/>
        </w:rPr>
      </w:pPr>
    </w:p>
    <w:p w14:paraId="045218C9" w14:textId="77777777" w:rsidR="003F3F04" w:rsidRDefault="003F3F04" w:rsidP="003F3F04">
      <w:pPr>
        <w:widowControl w:val="0"/>
        <w:rPr>
          <w:rFonts w:eastAsia="Times New Roman" w:cs="Times New Roman"/>
          <w:b/>
          <w:szCs w:val="28"/>
        </w:rPr>
      </w:pPr>
    </w:p>
    <w:p w14:paraId="231EE141" w14:textId="77777777" w:rsidR="003F3F04" w:rsidRDefault="003F3F04" w:rsidP="003F3F04">
      <w:pPr>
        <w:widowControl w:val="0"/>
        <w:rPr>
          <w:rFonts w:eastAsia="Times New Roman" w:cs="Times New Roman"/>
          <w:b/>
          <w:szCs w:val="28"/>
        </w:rPr>
      </w:pPr>
    </w:p>
    <w:p w14:paraId="6C216B0C" w14:textId="77777777" w:rsidR="003F3F04" w:rsidRDefault="003F3F04" w:rsidP="003F3F04">
      <w:pPr>
        <w:widowControl w:val="0"/>
        <w:rPr>
          <w:rFonts w:eastAsia="Times New Roman" w:cs="Times New Roman"/>
          <w:b/>
          <w:szCs w:val="28"/>
        </w:rPr>
      </w:pPr>
    </w:p>
    <w:p w14:paraId="05F5EDE7" w14:textId="77777777" w:rsidR="003F3F04" w:rsidRDefault="003F3F04" w:rsidP="003F3F04">
      <w:pPr>
        <w:widowControl w:val="0"/>
        <w:rPr>
          <w:rFonts w:eastAsia="Times New Roman" w:cs="Times New Roman"/>
          <w:b/>
          <w:szCs w:val="28"/>
        </w:rPr>
      </w:pPr>
    </w:p>
    <w:p w14:paraId="25AD910A" w14:textId="77777777" w:rsidR="003F3F04" w:rsidRDefault="003F3F04" w:rsidP="003F3F04">
      <w:pPr>
        <w:widowControl w:val="0"/>
        <w:rPr>
          <w:rFonts w:eastAsia="Times New Roman" w:cs="Times New Roman"/>
          <w:b/>
          <w:szCs w:val="28"/>
        </w:rPr>
      </w:pPr>
    </w:p>
    <w:p w14:paraId="197019A0" w14:textId="77777777" w:rsidR="003F3F04" w:rsidRDefault="003F3F04" w:rsidP="003F3F04">
      <w:pPr>
        <w:widowControl w:val="0"/>
        <w:rPr>
          <w:rFonts w:eastAsia="Times New Roman" w:cs="Times New Roman"/>
          <w:b/>
          <w:szCs w:val="28"/>
        </w:rPr>
      </w:pPr>
    </w:p>
    <w:p w14:paraId="3A1761D2" w14:textId="77777777" w:rsidR="003F3F04" w:rsidRDefault="003F3F04" w:rsidP="003F3F04">
      <w:pPr>
        <w:widowControl w:val="0"/>
        <w:rPr>
          <w:rFonts w:eastAsia="Times New Roman" w:cs="Times New Roman"/>
          <w:b/>
          <w:szCs w:val="28"/>
        </w:rPr>
      </w:pPr>
    </w:p>
    <w:p w14:paraId="79BFCC95" w14:textId="4F086814" w:rsidR="003F3F04" w:rsidRDefault="003F3F04" w:rsidP="003F3F04">
      <w:pPr>
        <w:widowControl w:val="0"/>
        <w:rPr>
          <w:rFonts w:eastAsia="Times New Roman" w:cs="Times New Roman"/>
          <w:b/>
          <w:szCs w:val="28"/>
        </w:rPr>
      </w:pPr>
    </w:p>
    <w:p w14:paraId="4264FB00" w14:textId="074E756F" w:rsidR="00FD5F28" w:rsidRPr="00CA119A" w:rsidRDefault="003F3F04" w:rsidP="003F3F04">
      <w:pPr>
        <w:pStyle w:val="Heading1"/>
        <w:jc w:val="center"/>
        <w:rPr>
          <w:rFonts w:eastAsia="Times New Roman"/>
        </w:rPr>
      </w:pPr>
      <w:bookmarkStart w:id="64" w:name="_Toc84756419"/>
      <w:r>
        <w:rPr>
          <w:rFonts w:eastAsia="Times New Roman"/>
        </w:rPr>
        <w:lastRenderedPageBreak/>
        <w:t xml:space="preserve">3. </w:t>
      </w:r>
      <w:r w:rsidR="000548A5" w:rsidRPr="00AC087C">
        <w:rPr>
          <w:rFonts w:eastAsia="Times New Roman"/>
        </w:rPr>
        <w:t>Kopbudžeta nodokļu</w:t>
      </w:r>
      <w:r w:rsidR="00AC087C" w:rsidRPr="00AC087C">
        <w:rPr>
          <w:rFonts w:eastAsia="Times New Roman"/>
          <w:vertAlign w:val="superscript"/>
        </w:rPr>
        <w:footnoteReference w:id="18"/>
      </w:r>
      <w:r w:rsidR="000548A5" w:rsidRPr="00AC087C">
        <w:rPr>
          <w:rFonts w:eastAsia="Times New Roman"/>
        </w:rPr>
        <w:t xml:space="preserve"> un nenodokļu ieņēmumu prognozes</w:t>
      </w:r>
      <w:bookmarkEnd w:id="64"/>
    </w:p>
    <w:p w14:paraId="1512FDDD" w14:textId="546080CC" w:rsidR="003F3FCD" w:rsidRPr="00AC087C" w:rsidRDefault="000548A5" w:rsidP="00401A5B">
      <w:pPr>
        <w:pStyle w:val="Heading2"/>
        <w:spacing w:before="0"/>
        <w:ind w:firstLine="567"/>
        <w:jc w:val="center"/>
        <w:rPr>
          <w:rFonts w:eastAsia="Times New Roman" w:cs="Times New Roman"/>
          <w:szCs w:val="32"/>
        </w:rPr>
      </w:pPr>
      <w:bookmarkStart w:id="65" w:name="_Toc84756420"/>
      <w:r w:rsidRPr="00AC087C">
        <w:rPr>
          <w:rFonts w:eastAsia="Times New Roman" w:cs="Times New Roman"/>
          <w:szCs w:val="32"/>
        </w:rPr>
        <w:t>3.1. Nodokļu politikas aktualitātes</w:t>
      </w:r>
      <w:bookmarkEnd w:id="65"/>
    </w:p>
    <w:p w14:paraId="06F00721" w14:textId="74BCF68E" w:rsidR="00651B6D" w:rsidRPr="00E81457" w:rsidRDefault="00651B6D" w:rsidP="00DB5C3D">
      <w:pPr>
        <w:rPr>
          <w:szCs w:val="24"/>
        </w:rPr>
      </w:pPr>
      <w:r w:rsidRPr="00E81457">
        <w:rPr>
          <w:szCs w:val="24"/>
        </w:rPr>
        <w:t>Nodokļu politikas stratēģisko virzienu skaidrība un stabilitāte ir būtiska gan uzņēmējdarbības, gan sabiedrisko pakalpojumu un investīciju efektīvai plānošanai. Svarīga ir arī to sasaiste ar valsts vispārējiem attīstības mērķiem.</w:t>
      </w:r>
      <w:r w:rsidR="00DB5C3D">
        <w:rPr>
          <w:szCs w:val="24"/>
        </w:rPr>
        <w:t xml:space="preserve"> </w:t>
      </w:r>
      <w:r w:rsidRPr="00E81457">
        <w:rPr>
          <w:szCs w:val="24"/>
        </w:rPr>
        <w:t>Tādējādi</w:t>
      </w:r>
      <w:r w:rsidR="00DB5C3D">
        <w:rPr>
          <w:szCs w:val="24"/>
        </w:rPr>
        <w:t xml:space="preserve"> arī būtiskākie nodokļu pasākumi</w:t>
      </w:r>
      <w:r w:rsidRPr="00E81457">
        <w:rPr>
          <w:szCs w:val="24"/>
        </w:rPr>
        <w:t xml:space="preserve"> ir vērsti, lai ar nodokļu politiku uzlabotu darbaspēka nodokļu konkurētspēju un mazinātu ienākumu nevienlīdzību strādājošiem iedzīvotājiem.</w:t>
      </w:r>
    </w:p>
    <w:p w14:paraId="6F559A85" w14:textId="149FD81F" w:rsidR="00651B6D" w:rsidRPr="00E81457" w:rsidRDefault="00651B6D" w:rsidP="009D6AA1">
      <w:pPr>
        <w:rPr>
          <w:szCs w:val="24"/>
        </w:rPr>
      </w:pPr>
      <w:r w:rsidRPr="00E81457">
        <w:rPr>
          <w:szCs w:val="24"/>
        </w:rPr>
        <w:t>Nodokļu ieņēmumu prognozes ir sagatavotas, pamatojoties uz vidēja termiņa makroekonomisko rādītāju prognozēm, kā arī, ņemot vērā 2021</w:t>
      </w:r>
      <w:r>
        <w:rPr>
          <w:szCs w:val="24"/>
        </w:rPr>
        <w:t>. gad</w:t>
      </w:r>
      <w:r w:rsidRPr="00E81457">
        <w:rPr>
          <w:szCs w:val="24"/>
        </w:rPr>
        <w:t>a pirmā pusgada faktisko izpildi, iepriekš pieņemtās izmaiņas likumdošanā un Covid-19 krīzes laikā pieņemtos nodokļu atbalsta pasākumus.</w:t>
      </w:r>
      <w:r w:rsidR="009D6AA1">
        <w:rPr>
          <w:szCs w:val="24"/>
        </w:rPr>
        <w:t xml:space="preserve"> </w:t>
      </w:r>
      <w:r w:rsidRPr="00B2555A">
        <w:rPr>
          <w:noProof/>
          <w:szCs w:val="24"/>
        </w:rPr>
        <w:t xml:space="preserve">Nodokļu ieņēmumu prognozēs netiek ietverti </w:t>
      </w:r>
      <w:r w:rsidRPr="00332582">
        <w:rPr>
          <w:szCs w:val="24"/>
        </w:rPr>
        <w:t>nesadalītie nodokļu ieņēmumus vienotajā kontā.</w:t>
      </w:r>
    </w:p>
    <w:p w14:paraId="4215E05E" w14:textId="5E027E8B" w:rsidR="00651B6D" w:rsidRPr="00E81457" w:rsidRDefault="00651B6D" w:rsidP="00651B6D">
      <w:pPr>
        <w:spacing w:before="240" w:after="240"/>
        <w:ind w:left="2977" w:hanging="850"/>
        <w:jc w:val="right"/>
        <w:rPr>
          <w:b/>
          <w:bCs/>
          <w:i/>
          <w:iCs/>
          <w:szCs w:val="24"/>
        </w:rPr>
      </w:pPr>
      <w:r w:rsidRPr="00E81457">
        <w:rPr>
          <w:b/>
          <w:bCs/>
          <w:i/>
          <w:iCs/>
          <w:szCs w:val="24"/>
        </w:rPr>
        <w:t>3.1</w:t>
      </w:r>
      <w:r>
        <w:rPr>
          <w:b/>
          <w:bCs/>
          <w:i/>
          <w:iCs/>
          <w:szCs w:val="24"/>
        </w:rPr>
        <w:t>. tab</w:t>
      </w:r>
      <w:r w:rsidRPr="00E81457">
        <w:rPr>
          <w:b/>
          <w:bCs/>
          <w:i/>
          <w:iCs/>
          <w:szCs w:val="24"/>
        </w:rPr>
        <w:t>ula. Pasākumi, kas ietekmē nodokļu un valsts pamatbudžeta nenodokļu ieņēmumus no 2022</w:t>
      </w:r>
      <w:r>
        <w:rPr>
          <w:b/>
          <w:bCs/>
          <w:i/>
          <w:iCs/>
          <w:szCs w:val="24"/>
        </w:rPr>
        <w:t>. gad</w:t>
      </w:r>
      <w:r w:rsidRPr="00E81457">
        <w:rPr>
          <w:b/>
          <w:bCs/>
          <w:i/>
          <w:iCs/>
          <w:szCs w:val="24"/>
        </w:rPr>
        <w:t>a</w:t>
      </w:r>
      <w:r>
        <w:rPr>
          <w:b/>
          <w:bCs/>
          <w:i/>
          <w:iCs/>
          <w:szCs w:val="24"/>
        </w:rPr>
        <w:t>, milj.</w:t>
      </w:r>
      <w:r w:rsidRPr="00E81457">
        <w:rPr>
          <w:b/>
          <w:bCs/>
          <w:i/>
          <w:iCs/>
          <w:szCs w:val="24"/>
        </w:rPr>
        <w:t xml:space="preserve"> </w:t>
      </w:r>
      <w:r w:rsidRPr="004F46D3">
        <w:rPr>
          <w:b/>
          <w:bCs/>
          <w:i/>
          <w:iCs/>
          <w:szCs w:val="24"/>
        </w:rPr>
        <w:t>euro</w:t>
      </w:r>
      <w:r w:rsidR="00A47624">
        <w:rPr>
          <w:b/>
          <w:bCs/>
          <w:i/>
          <w:iCs/>
          <w:szCs w:val="24"/>
        </w:rPr>
        <w:t xml:space="preserve"> (pēc naudas plūsmas)</w:t>
      </w:r>
    </w:p>
    <w:tbl>
      <w:tblPr>
        <w:tblStyle w:val="TableGrid"/>
        <w:tblW w:w="0" w:type="auto"/>
        <w:tblLayout w:type="fixed"/>
        <w:tblLook w:val="04A0" w:firstRow="1" w:lastRow="0" w:firstColumn="1" w:lastColumn="0" w:noHBand="0" w:noVBand="1"/>
      </w:tblPr>
      <w:tblGrid>
        <w:gridCol w:w="3390"/>
        <w:gridCol w:w="2701"/>
        <w:gridCol w:w="992"/>
        <w:gridCol w:w="992"/>
        <w:gridCol w:w="986"/>
      </w:tblGrid>
      <w:tr w:rsidR="00651B6D" w:rsidRPr="00E81457" w14:paraId="59B7C7D5" w14:textId="77777777" w:rsidTr="00651B6D">
        <w:trPr>
          <w:cantSplit/>
          <w:trHeight w:val="355"/>
          <w:tblHeader/>
        </w:trPr>
        <w:tc>
          <w:tcPr>
            <w:tcW w:w="339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C4D6052" w14:textId="77777777" w:rsidR="00651B6D" w:rsidRPr="00E81457" w:rsidRDefault="00651B6D" w:rsidP="00651B6D">
            <w:pPr>
              <w:ind w:firstLine="0"/>
              <w:jc w:val="center"/>
              <w:rPr>
                <w:b/>
                <w:bCs/>
                <w:noProof/>
                <w:sz w:val="18"/>
                <w:szCs w:val="18"/>
                <w:highlight w:val="yellow"/>
              </w:rPr>
            </w:pPr>
            <w:r w:rsidRPr="00E81457">
              <w:rPr>
                <w:b/>
                <w:bCs/>
                <w:noProof/>
                <w:sz w:val="18"/>
                <w:szCs w:val="18"/>
              </w:rPr>
              <w:t>Priekšlikums</w:t>
            </w:r>
          </w:p>
        </w:tc>
        <w:tc>
          <w:tcPr>
            <w:tcW w:w="270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1F751264" w14:textId="77777777" w:rsidR="00651B6D" w:rsidRPr="00E81457" w:rsidRDefault="00651B6D" w:rsidP="00651B6D">
            <w:pPr>
              <w:ind w:firstLine="0"/>
              <w:jc w:val="center"/>
              <w:rPr>
                <w:b/>
                <w:bCs/>
                <w:noProof/>
                <w:sz w:val="18"/>
                <w:szCs w:val="18"/>
              </w:rPr>
            </w:pPr>
            <w:r w:rsidRPr="00E81457">
              <w:rPr>
                <w:b/>
                <w:bCs/>
                <w:noProof/>
                <w:sz w:val="18"/>
                <w:szCs w:val="18"/>
              </w:rPr>
              <w:t>Ieņēmumu veids</w:t>
            </w:r>
          </w:p>
        </w:tc>
        <w:tc>
          <w:tcPr>
            <w:tcW w:w="992" w:type="dxa"/>
            <w:tcBorders>
              <w:top w:val="single" w:sz="4" w:space="0" w:color="auto"/>
              <w:left w:val="single" w:sz="4" w:space="0" w:color="auto"/>
              <w:right w:val="single" w:sz="4" w:space="0" w:color="auto"/>
            </w:tcBorders>
            <w:shd w:val="clear" w:color="auto" w:fill="9CC2E5" w:themeFill="accent1" w:themeFillTint="99"/>
            <w:vAlign w:val="center"/>
            <w:hideMark/>
          </w:tcPr>
          <w:p w14:paraId="694F4FAE" w14:textId="77777777" w:rsidR="00651B6D" w:rsidRPr="00E81457" w:rsidRDefault="00651B6D" w:rsidP="00651B6D">
            <w:pPr>
              <w:ind w:firstLine="0"/>
              <w:jc w:val="center"/>
              <w:rPr>
                <w:b/>
                <w:bCs/>
                <w:noProof/>
                <w:sz w:val="18"/>
                <w:szCs w:val="18"/>
              </w:rPr>
            </w:pPr>
            <w:r w:rsidRPr="00E81457">
              <w:rPr>
                <w:b/>
                <w:bCs/>
                <w:noProof/>
                <w:sz w:val="18"/>
                <w:szCs w:val="18"/>
              </w:rPr>
              <w:t>2022</w:t>
            </w:r>
          </w:p>
        </w:tc>
        <w:tc>
          <w:tcPr>
            <w:tcW w:w="992" w:type="dxa"/>
            <w:tcBorders>
              <w:top w:val="single" w:sz="4" w:space="0" w:color="auto"/>
              <w:left w:val="single" w:sz="4" w:space="0" w:color="auto"/>
              <w:right w:val="single" w:sz="4" w:space="0" w:color="auto"/>
            </w:tcBorders>
            <w:shd w:val="clear" w:color="auto" w:fill="9CC2E5" w:themeFill="accent1" w:themeFillTint="99"/>
            <w:vAlign w:val="center"/>
            <w:hideMark/>
          </w:tcPr>
          <w:p w14:paraId="22B0BFBF" w14:textId="77777777" w:rsidR="00651B6D" w:rsidRPr="00E81457" w:rsidRDefault="00651B6D" w:rsidP="00651B6D">
            <w:pPr>
              <w:ind w:firstLine="0"/>
              <w:jc w:val="center"/>
              <w:rPr>
                <w:b/>
                <w:bCs/>
                <w:noProof/>
                <w:sz w:val="18"/>
                <w:szCs w:val="18"/>
              </w:rPr>
            </w:pPr>
            <w:r w:rsidRPr="00E81457">
              <w:rPr>
                <w:b/>
                <w:bCs/>
                <w:noProof/>
                <w:sz w:val="18"/>
                <w:szCs w:val="18"/>
              </w:rPr>
              <w:t>2023</w:t>
            </w:r>
          </w:p>
        </w:tc>
        <w:tc>
          <w:tcPr>
            <w:tcW w:w="986" w:type="dxa"/>
            <w:tcBorders>
              <w:top w:val="single" w:sz="4" w:space="0" w:color="auto"/>
              <w:left w:val="single" w:sz="4" w:space="0" w:color="auto"/>
              <w:right w:val="single" w:sz="4" w:space="0" w:color="auto"/>
            </w:tcBorders>
            <w:shd w:val="clear" w:color="auto" w:fill="9CC2E5" w:themeFill="accent1" w:themeFillTint="99"/>
            <w:vAlign w:val="center"/>
            <w:hideMark/>
          </w:tcPr>
          <w:p w14:paraId="71B8CDB0" w14:textId="77777777" w:rsidR="00651B6D" w:rsidRPr="00E81457" w:rsidRDefault="00651B6D" w:rsidP="00651B6D">
            <w:pPr>
              <w:ind w:firstLine="0"/>
              <w:jc w:val="center"/>
              <w:rPr>
                <w:b/>
                <w:bCs/>
                <w:noProof/>
                <w:sz w:val="18"/>
                <w:szCs w:val="18"/>
              </w:rPr>
            </w:pPr>
            <w:r w:rsidRPr="00E81457">
              <w:rPr>
                <w:b/>
                <w:bCs/>
                <w:noProof/>
                <w:sz w:val="18"/>
                <w:szCs w:val="18"/>
              </w:rPr>
              <w:t>2024</w:t>
            </w:r>
          </w:p>
        </w:tc>
      </w:tr>
      <w:tr w:rsidR="00651B6D" w:rsidRPr="000D752B" w14:paraId="36D01166" w14:textId="77777777" w:rsidTr="00651B6D">
        <w:trPr>
          <w:cantSplit/>
          <w:trHeight w:val="326"/>
        </w:trPr>
        <w:tc>
          <w:tcPr>
            <w:tcW w:w="9061" w:type="dxa"/>
            <w:gridSpan w:val="5"/>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A7A099F" w14:textId="77777777" w:rsidR="00651B6D" w:rsidRPr="000D752B" w:rsidRDefault="00651B6D" w:rsidP="00651B6D">
            <w:pPr>
              <w:ind w:left="113" w:firstLine="0"/>
              <w:jc w:val="left"/>
              <w:rPr>
                <w:bCs/>
                <w:noProof/>
                <w:sz w:val="18"/>
                <w:szCs w:val="18"/>
              </w:rPr>
            </w:pPr>
            <w:r w:rsidRPr="000D752B">
              <w:rPr>
                <w:bCs/>
                <w:noProof/>
                <w:sz w:val="18"/>
                <w:szCs w:val="18"/>
              </w:rPr>
              <w:t>Iepriekš pieņemti nodokļu pasākumi, kas ietekmēs nodokļu ieņēmumus no 2022. gada</w:t>
            </w:r>
          </w:p>
        </w:tc>
      </w:tr>
      <w:tr w:rsidR="00651B6D" w:rsidRPr="00E81457" w14:paraId="56A44878" w14:textId="77777777" w:rsidTr="00651B6D">
        <w:trPr>
          <w:cantSplit/>
          <w:trHeight w:val="195"/>
        </w:trPr>
        <w:tc>
          <w:tcPr>
            <w:tcW w:w="3390" w:type="dxa"/>
            <w:tcBorders>
              <w:top w:val="single" w:sz="4" w:space="0" w:color="auto"/>
              <w:left w:val="single" w:sz="4" w:space="0" w:color="auto"/>
              <w:bottom w:val="single" w:sz="4" w:space="0" w:color="auto"/>
              <w:right w:val="single" w:sz="4" w:space="0" w:color="auto"/>
            </w:tcBorders>
            <w:hideMark/>
          </w:tcPr>
          <w:p w14:paraId="67383A9D" w14:textId="77777777" w:rsidR="00651B6D" w:rsidRPr="00E81457" w:rsidRDefault="00651B6D" w:rsidP="00651B6D">
            <w:pPr>
              <w:ind w:left="57" w:firstLine="0"/>
              <w:jc w:val="left"/>
              <w:rPr>
                <w:noProof/>
                <w:sz w:val="18"/>
                <w:szCs w:val="18"/>
              </w:rPr>
            </w:pPr>
            <w:r w:rsidRPr="00E81457">
              <w:rPr>
                <w:noProof/>
                <w:sz w:val="18"/>
                <w:szCs w:val="18"/>
              </w:rPr>
              <w:t>Dabas resursu nodokļa likmju paaugstināšana atsevišķiem objektiem un nodokļa ieņēmumu sadalījuma maiņa starp valsts un pašvaldību budžetiem. Izmaiņas ar 2022. un 2023</w:t>
            </w:r>
            <w:r>
              <w:rPr>
                <w:noProof/>
                <w:sz w:val="18"/>
                <w:szCs w:val="18"/>
              </w:rPr>
              <w:t>. gad</w:t>
            </w:r>
            <w:r w:rsidRPr="00E81457">
              <w:rPr>
                <w:noProof/>
                <w:sz w:val="18"/>
                <w:szCs w:val="18"/>
              </w:rPr>
              <w:t xml:space="preserve">a </w:t>
            </w:r>
            <w:r>
              <w:rPr>
                <w:noProof/>
                <w:sz w:val="18"/>
                <w:szCs w:val="18"/>
              </w:rPr>
              <w:t>1. janv</w:t>
            </w:r>
            <w:r w:rsidRPr="00E81457">
              <w:rPr>
                <w:noProof/>
                <w:sz w:val="18"/>
                <w:szCs w:val="18"/>
              </w:rPr>
              <w:t>āri</w:t>
            </w:r>
          </w:p>
        </w:tc>
        <w:tc>
          <w:tcPr>
            <w:tcW w:w="2701" w:type="dxa"/>
            <w:tcBorders>
              <w:top w:val="single" w:sz="4" w:space="0" w:color="auto"/>
              <w:left w:val="single" w:sz="4" w:space="0" w:color="auto"/>
              <w:bottom w:val="single" w:sz="4" w:space="0" w:color="auto"/>
              <w:right w:val="single" w:sz="4" w:space="0" w:color="auto"/>
            </w:tcBorders>
            <w:hideMark/>
          </w:tcPr>
          <w:p w14:paraId="732D7A97" w14:textId="77777777" w:rsidR="00651B6D" w:rsidRPr="00E81457" w:rsidRDefault="00651B6D" w:rsidP="00651B6D">
            <w:pPr>
              <w:ind w:firstLine="0"/>
              <w:jc w:val="left"/>
              <w:rPr>
                <w:noProof/>
                <w:sz w:val="18"/>
                <w:szCs w:val="18"/>
              </w:rPr>
            </w:pPr>
            <w:r w:rsidRPr="00E81457">
              <w:rPr>
                <w:noProof/>
                <w:sz w:val="18"/>
                <w:szCs w:val="18"/>
              </w:rPr>
              <w:t>Dabas resursu nodoklis</w:t>
            </w:r>
          </w:p>
        </w:tc>
        <w:tc>
          <w:tcPr>
            <w:tcW w:w="992" w:type="dxa"/>
            <w:tcBorders>
              <w:top w:val="single" w:sz="4" w:space="0" w:color="auto"/>
              <w:left w:val="single" w:sz="4" w:space="0" w:color="auto"/>
              <w:bottom w:val="single" w:sz="4" w:space="0" w:color="auto"/>
              <w:right w:val="single" w:sz="4" w:space="0" w:color="auto"/>
            </w:tcBorders>
            <w:hideMark/>
          </w:tcPr>
          <w:p w14:paraId="32C4DFBA" w14:textId="77777777" w:rsidR="00651B6D" w:rsidRPr="00E81457" w:rsidRDefault="00651B6D" w:rsidP="00651B6D">
            <w:pPr>
              <w:ind w:firstLine="0"/>
              <w:jc w:val="right"/>
              <w:rPr>
                <w:noProof/>
                <w:sz w:val="18"/>
                <w:szCs w:val="18"/>
              </w:rPr>
            </w:pPr>
            <w:r w:rsidRPr="00E81457">
              <w:rPr>
                <w:noProof/>
                <w:sz w:val="18"/>
                <w:szCs w:val="18"/>
              </w:rPr>
              <w:t>+5,2</w:t>
            </w:r>
          </w:p>
        </w:tc>
        <w:tc>
          <w:tcPr>
            <w:tcW w:w="992" w:type="dxa"/>
            <w:tcBorders>
              <w:top w:val="single" w:sz="4" w:space="0" w:color="auto"/>
              <w:left w:val="single" w:sz="4" w:space="0" w:color="auto"/>
              <w:bottom w:val="single" w:sz="4" w:space="0" w:color="auto"/>
              <w:right w:val="single" w:sz="4" w:space="0" w:color="auto"/>
            </w:tcBorders>
          </w:tcPr>
          <w:p w14:paraId="45C7B990" w14:textId="77777777" w:rsidR="00651B6D" w:rsidRPr="00E81457" w:rsidRDefault="00651B6D" w:rsidP="00651B6D">
            <w:pPr>
              <w:ind w:firstLine="0"/>
              <w:jc w:val="right"/>
              <w:rPr>
                <w:noProof/>
                <w:sz w:val="18"/>
                <w:szCs w:val="18"/>
              </w:rPr>
            </w:pPr>
            <w:r w:rsidRPr="00E81457">
              <w:rPr>
                <w:noProof/>
                <w:sz w:val="18"/>
                <w:szCs w:val="18"/>
              </w:rPr>
              <w:t>+7,3</w:t>
            </w:r>
          </w:p>
        </w:tc>
        <w:tc>
          <w:tcPr>
            <w:tcW w:w="986" w:type="dxa"/>
            <w:tcBorders>
              <w:top w:val="single" w:sz="4" w:space="0" w:color="auto"/>
              <w:left w:val="single" w:sz="4" w:space="0" w:color="auto"/>
              <w:bottom w:val="single" w:sz="4" w:space="0" w:color="auto"/>
              <w:right w:val="single" w:sz="4" w:space="0" w:color="auto"/>
            </w:tcBorders>
          </w:tcPr>
          <w:p w14:paraId="1A269EBC" w14:textId="77777777" w:rsidR="00651B6D" w:rsidRPr="00E81457" w:rsidRDefault="00651B6D" w:rsidP="00651B6D">
            <w:pPr>
              <w:ind w:firstLine="0"/>
              <w:jc w:val="right"/>
              <w:rPr>
                <w:noProof/>
                <w:sz w:val="18"/>
                <w:szCs w:val="18"/>
              </w:rPr>
            </w:pPr>
          </w:p>
        </w:tc>
      </w:tr>
      <w:tr w:rsidR="00651B6D" w:rsidRPr="00E81457" w14:paraId="74A40E58" w14:textId="77777777" w:rsidTr="00651B6D">
        <w:trPr>
          <w:cantSplit/>
          <w:trHeight w:val="476"/>
        </w:trPr>
        <w:tc>
          <w:tcPr>
            <w:tcW w:w="3390" w:type="dxa"/>
            <w:vMerge w:val="restart"/>
            <w:tcBorders>
              <w:top w:val="single" w:sz="4" w:space="0" w:color="auto"/>
              <w:left w:val="single" w:sz="4" w:space="0" w:color="auto"/>
              <w:bottom w:val="single" w:sz="4" w:space="0" w:color="auto"/>
              <w:right w:val="single" w:sz="4" w:space="0" w:color="auto"/>
            </w:tcBorders>
            <w:hideMark/>
          </w:tcPr>
          <w:p w14:paraId="777D09F1" w14:textId="77777777" w:rsidR="00651B6D" w:rsidRPr="00E81457" w:rsidRDefault="00651B6D" w:rsidP="00651B6D">
            <w:pPr>
              <w:ind w:left="57" w:firstLine="0"/>
              <w:jc w:val="left"/>
              <w:rPr>
                <w:noProof/>
                <w:sz w:val="18"/>
                <w:szCs w:val="18"/>
              </w:rPr>
            </w:pPr>
            <w:r w:rsidRPr="00E81457">
              <w:rPr>
                <w:noProof/>
                <w:sz w:val="18"/>
                <w:szCs w:val="18"/>
              </w:rPr>
              <w:t>Akcīzes nodokļa likmju paaugstināšana cigaretēm, cigāriem, cigarillām, smēķējamai, karsējamai tabakai un e-cigarešu šķidrumiem un akcīzes nodokļa paaugstināšana no tabakas aizstājējproduktiem (piemēram, nikotīnu saturošiem spilventiņiem)</w:t>
            </w:r>
          </w:p>
        </w:tc>
        <w:tc>
          <w:tcPr>
            <w:tcW w:w="2701" w:type="dxa"/>
            <w:tcBorders>
              <w:top w:val="single" w:sz="4" w:space="0" w:color="auto"/>
              <w:left w:val="single" w:sz="4" w:space="0" w:color="auto"/>
              <w:bottom w:val="nil"/>
              <w:right w:val="single" w:sz="4" w:space="0" w:color="auto"/>
            </w:tcBorders>
            <w:hideMark/>
          </w:tcPr>
          <w:p w14:paraId="12F36767" w14:textId="77777777" w:rsidR="00651B6D" w:rsidRPr="00E81457" w:rsidRDefault="00651B6D" w:rsidP="00651B6D">
            <w:pPr>
              <w:ind w:firstLine="0"/>
              <w:jc w:val="left"/>
              <w:rPr>
                <w:noProof/>
                <w:sz w:val="18"/>
                <w:szCs w:val="18"/>
              </w:rPr>
            </w:pPr>
            <w:r w:rsidRPr="00E81457">
              <w:rPr>
                <w:noProof/>
                <w:sz w:val="18"/>
                <w:szCs w:val="18"/>
              </w:rPr>
              <w:t>Kopā, t.sk.:</w:t>
            </w:r>
          </w:p>
        </w:tc>
        <w:tc>
          <w:tcPr>
            <w:tcW w:w="992" w:type="dxa"/>
            <w:tcBorders>
              <w:top w:val="single" w:sz="4" w:space="0" w:color="auto"/>
              <w:left w:val="single" w:sz="4" w:space="0" w:color="auto"/>
              <w:bottom w:val="nil"/>
              <w:right w:val="single" w:sz="4" w:space="0" w:color="auto"/>
            </w:tcBorders>
          </w:tcPr>
          <w:p w14:paraId="1ED28FD8" w14:textId="77777777" w:rsidR="00651B6D" w:rsidRPr="00E81457" w:rsidRDefault="00651B6D" w:rsidP="00651B6D">
            <w:pPr>
              <w:ind w:firstLine="0"/>
              <w:jc w:val="right"/>
              <w:rPr>
                <w:noProof/>
                <w:sz w:val="18"/>
                <w:szCs w:val="18"/>
              </w:rPr>
            </w:pPr>
            <w:r w:rsidRPr="00E81457">
              <w:rPr>
                <w:noProof/>
                <w:sz w:val="18"/>
                <w:szCs w:val="18"/>
              </w:rPr>
              <w:t>+13,9</w:t>
            </w:r>
          </w:p>
        </w:tc>
        <w:tc>
          <w:tcPr>
            <w:tcW w:w="992" w:type="dxa"/>
            <w:tcBorders>
              <w:top w:val="single" w:sz="4" w:space="0" w:color="auto"/>
              <w:left w:val="single" w:sz="4" w:space="0" w:color="auto"/>
              <w:bottom w:val="nil"/>
              <w:right w:val="single" w:sz="4" w:space="0" w:color="auto"/>
            </w:tcBorders>
          </w:tcPr>
          <w:p w14:paraId="0EE51881" w14:textId="77777777" w:rsidR="00651B6D" w:rsidRPr="00E81457" w:rsidRDefault="00651B6D" w:rsidP="00651B6D">
            <w:pPr>
              <w:ind w:firstLine="0"/>
              <w:jc w:val="right"/>
              <w:rPr>
                <w:noProof/>
                <w:sz w:val="18"/>
                <w:szCs w:val="18"/>
              </w:rPr>
            </w:pPr>
            <w:r w:rsidRPr="00E81457">
              <w:rPr>
                <w:noProof/>
                <w:sz w:val="18"/>
                <w:szCs w:val="18"/>
              </w:rPr>
              <w:t>+17,5</w:t>
            </w:r>
          </w:p>
        </w:tc>
        <w:tc>
          <w:tcPr>
            <w:tcW w:w="986" w:type="dxa"/>
            <w:tcBorders>
              <w:top w:val="single" w:sz="4" w:space="0" w:color="auto"/>
              <w:left w:val="single" w:sz="4" w:space="0" w:color="auto"/>
              <w:bottom w:val="nil"/>
              <w:right w:val="single" w:sz="4" w:space="0" w:color="auto"/>
            </w:tcBorders>
          </w:tcPr>
          <w:p w14:paraId="05E9C7D6" w14:textId="77777777" w:rsidR="00651B6D" w:rsidRPr="00E81457" w:rsidRDefault="00651B6D" w:rsidP="00651B6D">
            <w:pPr>
              <w:ind w:firstLine="0"/>
              <w:jc w:val="right"/>
              <w:rPr>
                <w:noProof/>
                <w:sz w:val="18"/>
                <w:szCs w:val="18"/>
              </w:rPr>
            </w:pPr>
          </w:p>
        </w:tc>
      </w:tr>
      <w:tr w:rsidR="00651B6D" w:rsidRPr="00E81457" w14:paraId="6BBB1117" w14:textId="77777777" w:rsidTr="00651B6D">
        <w:trPr>
          <w:cantSplit/>
          <w:trHeight w:val="476"/>
        </w:trPr>
        <w:tc>
          <w:tcPr>
            <w:tcW w:w="3390" w:type="dxa"/>
            <w:vMerge/>
            <w:tcBorders>
              <w:top w:val="single" w:sz="4" w:space="0" w:color="auto"/>
              <w:left w:val="single" w:sz="4" w:space="0" w:color="auto"/>
              <w:bottom w:val="single" w:sz="4" w:space="0" w:color="auto"/>
              <w:right w:val="single" w:sz="4" w:space="0" w:color="auto"/>
            </w:tcBorders>
            <w:hideMark/>
          </w:tcPr>
          <w:p w14:paraId="54C7293F" w14:textId="77777777" w:rsidR="00651B6D" w:rsidRPr="00E81457" w:rsidRDefault="00651B6D" w:rsidP="00651B6D">
            <w:pPr>
              <w:ind w:left="57" w:firstLine="0"/>
              <w:jc w:val="left"/>
              <w:rPr>
                <w:noProof/>
                <w:sz w:val="18"/>
                <w:szCs w:val="18"/>
              </w:rPr>
            </w:pPr>
          </w:p>
        </w:tc>
        <w:tc>
          <w:tcPr>
            <w:tcW w:w="2701" w:type="dxa"/>
            <w:tcBorders>
              <w:top w:val="nil"/>
              <w:left w:val="single" w:sz="4" w:space="0" w:color="auto"/>
              <w:bottom w:val="nil"/>
              <w:right w:val="single" w:sz="4" w:space="0" w:color="auto"/>
            </w:tcBorders>
            <w:hideMark/>
          </w:tcPr>
          <w:p w14:paraId="778649A6" w14:textId="77777777" w:rsidR="00651B6D" w:rsidRPr="00E81457" w:rsidRDefault="00651B6D" w:rsidP="00651B6D">
            <w:pPr>
              <w:ind w:left="188" w:right="113" w:firstLine="0"/>
              <w:jc w:val="left"/>
              <w:rPr>
                <w:i/>
                <w:iCs/>
                <w:noProof/>
                <w:sz w:val="18"/>
                <w:szCs w:val="18"/>
              </w:rPr>
            </w:pPr>
            <w:r w:rsidRPr="00E81457">
              <w:rPr>
                <w:i/>
                <w:iCs/>
                <w:noProof/>
                <w:sz w:val="18"/>
                <w:szCs w:val="18"/>
              </w:rPr>
              <w:t>Akcīzes nodoklis</w:t>
            </w:r>
          </w:p>
        </w:tc>
        <w:tc>
          <w:tcPr>
            <w:tcW w:w="992" w:type="dxa"/>
            <w:tcBorders>
              <w:top w:val="nil"/>
              <w:left w:val="single" w:sz="4" w:space="0" w:color="auto"/>
              <w:bottom w:val="nil"/>
              <w:right w:val="single" w:sz="4" w:space="0" w:color="auto"/>
            </w:tcBorders>
          </w:tcPr>
          <w:p w14:paraId="75C4577E" w14:textId="77777777" w:rsidR="00651B6D" w:rsidRPr="00E81457" w:rsidRDefault="00651B6D" w:rsidP="00651B6D">
            <w:pPr>
              <w:ind w:firstLine="0"/>
              <w:jc w:val="right"/>
              <w:rPr>
                <w:i/>
                <w:iCs/>
                <w:noProof/>
                <w:sz w:val="18"/>
                <w:szCs w:val="18"/>
              </w:rPr>
            </w:pPr>
            <w:r w:rsidRPr="00E81457">
              <w:rPr>
                <w:i/>
                <w:iCs/>
                <w:noProof/>
                <w:sz w:val="18"/>
                <w:szCs w:val="18"/>
              </w:rPr>
              <w:t>+11,5</w:t>
            </w:r>
          </w:p>
        </w:tc>
        <w:tc>
          <w:tcPr>
            <w:tcW w:w="992" w:type="dxa"/>
            <w:tcBorders>
              <w:top w:val="nil"/>
              <w:left w:val="single" w:sz="4" w:space="0" w:color="auto"/>
              <w:bottom w:val="nil"/>
              <w:right w:val="single" w:sz="4" w:space="0" w:color="auto"/>
            </w:tcBorders>
          </w:tcPr>
          <w:p w14:paraId="085D7616" w14:textId="77777777" w:rsidR="00651B6D" w:rsidRPr="00E81457" w:rsidRDefault="00651B6D" w:rsidP="00651B6D">
            <w:pPr>
              <w:ind w:firstLine="0"/>
              <w:jc w:val="right"/>
              <w:rPr>
                <w:i/>
                <w:iCs/>
                <w:noProof/>
                <w:sz w:val="18"/>
                <w:szCs w:val="18"/>
              </w:rPr>
            </w:pPr>
            <w:r w:rsidRPr="00E81457">
              <w:rPr>
                <w:i/>
                <w:iCs/>
                <w:noProof/>
                <w:sz w:val="18"/>
                <w:szCs w:val="18"/>
              </w:rPr>
              <w:t>+14,5</w:t>
            </w:r>
          </w:p>
        </w:tc>
        <w:tc>
          <w:tcPr>
            <w:tcW w:w="986" w:type="dxa"/>
            <w:tcBorders>
              <w:top w:val="nil"/>
              <w:left w:val="single" w:sz="4" w:space="0" w:color="auto"/>
              <w:bottom w:val="nil"/>
              <w:right w:val="single" w:sz="4" w:space="0" w:color="auto"/>
            </w:tcBorders>
          </w:tcPr>
          <w:p w14:paraId="0487E078" w14:textId="77777777" w:rsidR="00651B6D" w:rsidRPr="00E81457" w:rsidRDefault="00651B6D" w:rsidP="00651B6D">
            <w:pPr>
              <w:ind w:firstLine="0"/>
              <w:jc w:val="right"/>
              <w:rPr>
                <w:i/>
                <w:iCs/>
                <w:noProof/>
                <w:sz w:val="18"/>
                <w:szCs w:val="18"/>
              </w:rPr>
            </w:pPr>
          </w:p>
        </w:tc>
      </w:tr>
      <w:tr w:rsidR="00651B6D" w:rsidRPr="00E81457" w14:paraId="19F238FB" w14:textId="77777777" w:rsidTr="00651B6D">
        <w:trPr>
          <w:cantSplit/>
          <w:trHeight w:val="477"/>
        </w:trPr>
        <w:tc>
          <w:tcPr>
            <w:tcW w:w="3390" w:type="dxa"/>
            <w:vMerge/>
            <w:tcBorders>
              <w:top w:val="single" w:sz="4" w:space="0" w:color="auto"/>
              <w:left w:val="single" w:sz="4" w:space="0" w:color="auto"/>
              <w:bottom w:val="single" w:sz="4" w:space="0" w:color="auto"/>
              <w:right w:val="single" w:sz="4" w:space="0" w:color="auto"/>
            </w:tcBorders>
            <w:hideMark/>
          </w:tcPr>
          <w:p w14:paraId="028B93B9" w14:textId="77777777" w:rsidR="00651B6D" w:rsidRPr="00E81457" w:rsidRDefault="00651B6D" w:rsidP="00651B6D">
            <w:pPr>
              <w:ind w:left="57" w:firstLine="0"/>
              <w:jc w:val="left"/>
              <w:rPr>
                <w:noProof/>
                <w:sz w:val="18"/>
                <w:szCs w:val="18"/>
              </w:rPr>
            </w:pPr>
          </w:p>
        </w:tc>
        <w:tc>
          <w:tcPr>
            <w:tcW w:w="2701" w:type="dxa"/>
            <w:tcBorders>
              <w:top w:val="nil"/>
              <w:left w:val="single" w:sz="4" w:space="0" w:color="auto"/>
              <w:bottom w:val="single" w:sz="4" w:space="0" w:color="auto"/>
              <w:right w:val="single" w:sz="4" w:space="0" w:color="auto"/>
            </w:tcBorders>
            <w:hideMark/>
          </w:tcPr>
          <w:p w14:paraId="3FAED721" w14:textId="77777777" w:rsidR="00651B6D" w:rsidRPr="00E81457" w:rsidRDefault="00651B6D" w:rsidP="00651B6D">
            <w:pPr>
              <w:ind w:left="188" w:right="113" w:firstLine="0"/>
              <w:jc w:val="left"/>
              <w:rPr>
                <w:i/>
                <w:iCs/>
                <w:noProof/>
                <w:sz w:val="18"/>
                <w:szCs w:val="18"/>
              </w:rPr>
            </w:pPr>
            <w:r w:rsidRPr="00E81457">
              <w:rPr>
                <w:i/>
                <w:iCs/>
                <w:noProof/>
                <w:sz w:val="18"/>
                <w:szCs w:val="18"/>
              </w:rPr>
              <w:t>Pievienotās vērtības nodoklis</w:t>
            </w:r>
          </w:p>
        </w:tc>
        <w:tc>
          <w:tcPr>
            <w:tcW w:w="992" w:type="dxa"/>
            <w:tcBorders>
              <w:top w:val="nil"/>
              <w:left w:val="single" w:sz="4" w:space="0" w:color="auto"/>
              <w:bottom w:val="single" w:sz="4" w:space="0" w:color="auto"/>
              <w:right w:val="single" w:sz="4" w:space="0" w:color="auto"/>
            </w:tcBorders>
          </w:tcPr>
          <w:p w14:paraId="317FEC4D" w14:textId="77777777" w:rsidR="00651B6D" w:rsidRPr="00E81457" w:rsidRDefault="00651B6D" w:rsidP="00651B6D">
            <w:pPr>
              <w:ind w:firstLine="0"/>
              <w:jc w:val="right"/>
              <w:rPr>
                <w:i/>
                <w:iCs/>
                <w:noProof/>
                <w:sz w:val="18"/>
                <w:szCs w:val="18"/>
              </w:rPr>
            </w:pPr>
            <w:r w:rsidRPr="00E81457">
              <w:rPr>
                <w:i/>
                <w:iCs/>
                <w:noProof/>
                <w:sz w:val="18"/>
                <w:szCs w:val="18"/>
              </w:rPr>
              <w:t>+2,4</w:t>
            </w:r>
          </w:p>
        </w:tc>
        <w:tc>
          <w:tcPr>
            <w:tcW w:w="992" w:type="dxa"/>
            <w:tcBorders>
              <w:top w:val="nil"/>
              <w:left w:val="single" w:sz="4" w:space="0" w:color="auto"/>
              <w:bottom w:val="single" w:sz="4" w:space="0" w:color="auto"/>
              <w:right w:val="single" w:sz="4" w:space="0" w:color="auto"/>
            </w:tcBorders>
          </w:tcPr>
          <w:p w14:paraId="13991241" w14:textId="77777777" w:rsidR="00651B6D" w:rsidRPr="00E81457" w:rsidRDefault="00651B6D" w:rsidP="00651B6D">
            <w:pPr>
              <w:ind w:firstLine="0"/>
              <w:jc w:val="right"/>
              <w:rPr>
                <w:i/>
                <w:iCs/>
                <w:noProof/>
                <w:sz w:val="18"/>
                <w:szCs w:val="18"/>
              </w:rPr>
            </w:pPr>
            <w:r w:rsidRPr="00E81457">
              <w:rPr>
                <w:i/>
                <w:iCs/>
                <w:noProof/>
                <w:sz w:val="18"/>
                <w:szCs w:val="18"/>
              </w:rPr>
              <w:t>+3,0</w:t>
            </w:r>
          </w:p>
        </w:tc>
        <w:tc>
          <w:tcPr>
            <w:tcW w:w="986" w:type="dxa"/>
            <w:tcBorders>
              <w:top w:val="nil"/>
              <w:left w:val="single" w:sz="4" w:space="0" w:color="auto"/>
              <w:bottom w:val="single" w:sz="4" w:space="0" w:color="auto"/>
              <w:right w:val="single" w:sz="4" w:space="0" w:color="auto"/>
            </w:tcBorders>
          </w:tcPr>
          <w:p w14:paraId="725DF7A4" w14:textId="77777777" w:rsidR="00651B6D" w:rsidRPr="00E81457" w:rsidRDefault="00651B6D" w:rsidP="00651B6D">
            <w:pPr>
              <w:ind w:firstLine="0"/>
              <w:jc w:val="right"/>
              <w:rPr>
                <w:i/>
                <w:iCs/>
                <w:noProof/>
                <w:sz w:val="18"/>
                <w:szCs w:val="18"/>
              </w:rPr>
            </w:pPr>
          </w:p>
        </w:tc>
      </w:tr>
      <w:tr w:rsidR="00651B6D" w:rsidRPr="00E81457" w14:paraId="410A076B" w14:textId="77777777" w:rsidTr="00651B6D">
        <w:trPr>
          <w:cantSplit/>
          <w:trHeight w:val="195"/>
        </w:trPr>
        <w:tc>
          <w:tcPr>
            <w:tcW w:w="3390" w:type="dxa"/>
            <w:tcBorders>
              <w:top w:val="single" w:sz="4" w:space="0" w:color="auto"/>
              <w:left w:val="single" w:sz="4" w:space="0" w:color="auto"/>
              <w:bottom w:val="single" w:sz="4" w:space="0" w:color="auto"/>
              <w:right w:val="single" w:sz="4" w:space="0" w:color="auto"/>
            </w:tcBorders>
            <w:hideMark/>
          </w:tcPr>
          <w:p w14:paraId="7C80A5F5" w14:textId="77777777" w:rsidR="00651B6D" w:rsidRPr="00E81457" w:rsidRDefault="00651B6D" w:rsidP="00651B6D">
            <w:pPr>
              <w:ind w:left="57" w:firstLine="0"/>
              <w:jc w:val="left"/>
              <w:rPr>
                <w:noProof/>
                <w:sz w:val="18"/>
                <w:szCs w:val="18"/>
              </w:rPr>
            </w:pPr>
            <w:r w:rsidRPr="00E81457">
              <w:rPr>
                <w:noProof/>
                <w:sz w:val="18"/>
                <w:szCs w:val="18"/>
              </w:rPr>
              <w:t>2022</w:t>
            </w:r>
            <w:r>
              <w:rPr>
                <w:noProof/>
                <w:sz w:val="18"/>
                <w:szCs w:val="18"/>
              </w:rPr>
              <w:t>. gad</w:t>
            </w:r>
            <w:r w:rsidRPr="00E81457">
              <w:rPr>
                <w:noProof/>
                <w:sz w:val="18"/>
                <w:szCs w:val="18"/>
              </w:rPr>
              <w:t xml:space="preserve">a </w:t>
            </w:r>
            <w:r>
              <w:rPr>
                <w:noProof/>
                <w:sz w:val="18"/>
                <w:szCs w:val="18"/>
              </w:rPr>
              <w:t>1. janv</w:t>
            </w:r>
            <w:r w:rsidRPr="00E81457">
              <w:rPr>
                <w:noProof/>
                <w:sz w:val="18"/>
                <w:szCs w:val="18"/>
              </w:rPr>
              <w:t>āri bezalkoholiskajiem dzērieniem ar cukura saturu no 8 gramiem uz 100 mililitriem noteiks paaugstinātu akcīzes nodokļa likmi 14,0</w:t>
            </w:r>
            <w:r>
              <w:rPr>
                <w:noProof/>
                <w:sz w:val="18"/>
                <w:szCs w:val="18"/>
              </w:rPr>
              <w:t>0 </w:t>
            </w:r>
            <w:r w:rsidRPr="00651B6D">
              <w:rPr>
                <w:i/>
                <w:noProof/>
                <w:sz w:val="18"/>
                <w:szCs w:val="18"/>
              </w:rPr>
              <w:t>euro</w:t>
            </w:r>
            <w:r w:rsidRPr="00E81457">
              <w:rPr>
                <w:noProof/>
                <w:sz w:val="18"/>
                <w:szCs w:val="18"/>
              </w:rPr>
              <w:t xml:space="preserve"> par 100 litriem</w:t>
            </w:r>
          </w:p>
        </w:tc>
        <w:tc>
          <w:tcPr>
            <w:tcW w:w="2701" w:type="dxa"/>
            <w:tcBorders>
              <w:top w:val="single" w:sz="4" w:space="0" w:color="auto"/>
              <w:left w:val="single" w:sz="4" w:space="0" w:color="auto"/>
              <w:bottom w:val="single" w:sz="4" w:space="0" w:color="auto"/>
              <w:right w:val="single" w:sz="4" w:space="0" w:color="auto"/>
            </w:tcBorders>
          </w:tcPr>
          <w:p w14:paraId="6E6BB1B8" w14:textId="77777777" w:rsidR="00651B6D" w:rsidRPr="00E81457" w:rsidRDefault="00651B6D" w:rsidP="00651B6D">
            <w:pPr>
              <w:ind w:firstLine="0"/>
              <w:jc w:val="left"/>
              <w:rPr>
                <w:noProof/>
                <w:sz w:val="18"/>
                <w:szCs w:val="18"/>
              </w:rPr>
            </w:pPr>
            <w:r w:rsidRPr="00E81457">
              <w:rPr>
                <w:noProof/>
                <w:sz w:val="18"/>
                <w:szCs w:val="18"/>
              </w:rPr>
              <w:t>Akcīzes nodoklis</w:t>
            </w:r>
          </w:p>
        </w:tc>
        <w:tc>
          <w:tcPr>
            <w:tcW w:w="2970" w:type="dxa"/>
            <w:gridSpan w:val="3"/>
            <w:tcBorders>
              <w:top w:val="single" w:sz="4" w:space="0" w:color="auto"/>
              <w:left w:val="single" w:sz="4" w:space="0" w:color="auto"/>
              <w:bottom w:val="single" w:sz="4" w:space="0" w:color="auto"/>
              <w:right w:val="single" w:sz="4" w:space="0" w:color="auto"/>
            </w:tcBorders>
            <w:vAlign w:val="center"/>
          </w:tcPr>
          <w:p w14:paraId="348DDAA7" w14:textId="77777777" w:rsidR="00651B6D" w:rsidRPr="00E81457" w:rsidRDefault="00651B6D" w:rsidP="00651B6D">
            <w:pPr>
              <w:ind w:firstLine="0"/>
              <w:jc w:val="center"/>
              <w:rPr>
                <w:b/>
                <w:bCs/>
                <w:noProof/>
                <w:sz w:val="18"/>
                <w:szCs w:val="18"/>
              </w:rPr>
            </w:pPr>
            <w:r w:rsidRPr="00E81457">
              <w:rPr>
                <w:noProof/>
                <w:sz w:val="18"/>
                <w:szCs w:val="18"/>
              </w:rPr>
              <w:t>Fiskālā ietekme nav aprēkināma</w:t>
            </w:r>
          </w:p>
        </w:tc>
      </w:tr>
      <w:tr w:rsidR="00651B6D" w:rsidRPr="000D752B" w14:paraId="6EAFD720" w14:textId="77777777" w:rsidTr="00651B6D">
        <w:trPr>
          <w:cantSplit/>
          <w:trHeight w:val="399"/>
        </w:trPr>
        <w:tc>
          <w:tcPr>
            <w:tcW w:w="9061" w:type="dxa"/>
            <w:gridSpan w:val="5"/>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8CB6A0A" w14:textId="77777777" w:rsidR="00651B6D" w:rsidRPr="000D752B" w:rsidRDefault="00651B6D" w:rsidP="00651B6D">
            <w:pPr>
              <w:ind w:left="113" w:firstLine="0"/>
              <w:jc w:val="left"/>
              <w:rPr>
                <w:bCs/>
                <w:noProof/>
                <w:sz w:val="18"/>
                <w:szCs w:val="18"/>
              </w:rPr>
            </w:pPr>
            <w:r w:rsidRPr="000D752B">
              <w:rPr>
                <w:bCs/>
                <w:noProof/>
                <w:sz w:val="18"/>
                <w:szCs w:val="18"/>
              </w:rPr>
              <w:t>Likumprojekta “Par valsts budžetu 2022. gadam” izstrādes gaitā Ministru kabinetā atbalstītie pasākumi</w:t>
            </w:r>
          </w:p>
        </w:tc>
      </w:tr>
      <w:tr w:rsidR="00651B6D" w:rsidRPr="000D752B" w14:paraId="33433638" w14:textId="77777777" w:rsidTr="00B243D9">
        <w:trPr>
          <w:cantSplit/>
          <w:trHeight w:val="399"/>
        </w:trPr>
        <w:tc>
          <w:tcPr>
            <w:tcW w:w="9061" w:type="dxa"/>
            <w:gridSpan w:val="5"/>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ADCCA21" w14:textId="77777777" w:rsidR="00651B6D" w:rsidRPr="00EB4346" w:rsidRDefault="00651B6D" w:rsidP="00651B6D">
            <w:pPr>
              <w:ind w:left="113" w:firstLine="0"/>
              <w:jc w:val="center"/>
              <w:rPr>
                <w:bCs/>
                <w:i/>
                <w:iCs/>
                <w:noProof/>
                <w:sz w:val="18"/>
                <w:szCs w:val="18"/>
              </w:rPr>
            </w:pPr>
            <w:r w:rsidRPr="00EB4346">
              <w:rPr>
                <w:bCs/>
                <w:i/>
                <w:iCs/>
                <w:noProof/>
                <w:sz w:val="18"/>
                <w:szCs w:val="18"/>
              </w:rPr>
              <w:t>Nodokļu pasākumi</w:t>
            </w:r>
          </w:p>
        </w:tc>
      </w:tr>
      <w:tr w:rsidR="00651B6D" w:rsidRPr="00E81457" w14:paraId="233D163B" w14:textId="77777777" w:rsidTr="00B243D9">
        <w:trPr>
          <w:cantSplit/>
          <w:trHeight w:val="414"/>
        </w:trPr>
        <w:tc>
          <w:tcPr>
            <w:tcW w:w="3390" w:type="dxa"/>
            <w:vMerge w:val="restart"/>
            <w:tcBorders>
              <w:top w:val="single" w:sz="4" w:space="0" w:color="auto"/>
              <w:left w:val="single" w:sz="4" w:space="0" w:color="auto"/>
              <w:bottom w:val="single" w:sz="4" w:space="0" w:color="auto"/>
              <w:right w:val="single" w:sz="4" w:space="0" w:color="auto"/>
            </w:tcBorders>
          </w:tcPr>
          <w:p w14:paraId="3483E147" w14:textId="77777777" w:rsidR="00651B6D" w:rsidRPr="00E81457" w:rsidRDefault="00651B6D" w:rsidP="00651B6D">
            <w:pPr>
              <w:ind w:left="57" w:firstLine="0"/>
              <w:jc w:val="left"/>
              <w:rPr>
                <w:noProof/>
                <w:sz w:val="18"/>
                <w:szCs w:val="18"/>
              </w:rPr>
            </w:pPr>
            <w:r w:rsidRPr="00E81457">
              <w:rPr>
                <w:noProof/>
                <w:sz w:val="18"/>
                <w:szCs w:val="18"/>
              </w:rPr>
              <w:t>Diferencētā neapliekamā minimuma un pensionāru neapliekamā minimuma palielināšana no 2022</w:t>
            </w:r>
            <w:r>
              <w:rPr>
                <w:noProof/>
                <w:sz w:val="18"/>
                <w:szCs w:val="18"/>
              </w:rPr>
              <w:t>. gad</w:t>
            </w:r>
            <w:r w:rsidRPr="00E81457">
              <w:rPr>
                <w:noProof/>
                <w:sz w:val="18"/>
                <w:szCs w:val="18"/>
              </w:rPr>
              <w:t xml:space="preserve">a </w:t>
            </w:r>
            <w:r>
              <w:rPr>
                <w:noProof/>
                <w:sz w:val="18"/>
                <w:szCs w:val="18"/>
              </w:rPr>
              <w:t>1. janv</w:t>
            </w:r>
            <w:r w:rsidRPr="00E81457">
              <w:rPr>
                <w:noProof/>
                <w:sz w:val="18"/>
                <w:szCs w:val="18"/>
              </w:rPr>
              <w:t>āra, attiecīgi no 300 līdz 35</w:t>
            </w:r>
            <w:r>
              <w:rPr>
                <w:noProof/>
                <w:sz w:val="18"/>
                <w:szCs w:val="18"/>
              </w:rPr>
              <w:t>0 </w:t>
            </w:r>
            <w:r w:rsidRPr="00651B6D">
              <w:rPr>
                <w:i/>
                <w:noProof/>
                <w:sz w:val="18"/>
                <w:szCs w:val="18"/>
              </w:rPr>
              <w:t>euro</w:t>
            </w:r>
            <w:r w:rsidRPr="00E81457">
              <w:rPr>
                <w:noProof/>
                <w:sz w:val="18"/>
                <w:szCs w:val="18"/>
              </w:rPr>
              <w:t xml:space="preserve"> mēnesī un </w:t>
            </w:r>
            <w:r w:rsidRPr="00E81457">
              <w:rPr>
                <w:noProof/>
                <w:sz w:val="18"/>
                <w:szCs w:val="18"/>
              </w:rPr>
              <w:lastRenderedPageBreak/>
              <w:t>no 330 līdz 35</w:t>
            </w:r>
            <w:r>
              <w:rPr>
                <w:noProof/>
                <w:sz w:val="18"/>
                <w:szCs w:val="18"/>
              </w:rPr>
              <w:t>0 </w:t>
            </w:r>
            <w:r w:rsidRPr="00651B6D">
              <w:rPr>
                <w:i/>
                <w:noProof/>
                <w:sz w:val="18"/>
                <w:szCs w:val="18"/>
              </w:rPr>
              <w:t>euro</w:t>
            </w:r>
            <w:r w:rsidRPr="00E81457">
              <w:rPr>
                <w:noProof/>
                <w:sz w:val="18"/>
                <w:szCs w:val="18"/>
              </w:rPr>
              <w:t xml:space="preserve"> mēnesī, un abu neapliekamo minimumu palielināšana no 2022</w:t>
            </w:r>
            <w:r>
              <w:rPr>
                <w:noProof/>
                <w:sz w:val="18"/>
                <w:szCs w:val="18"/>
              </w:rPr>
              <w:t>. gad</w:t>
            </w:r>
            <w:r w:rsidRPr="00E81457">
              <w:rPr>
                <w:noProof/>
                <w:sz w:val="18"/>
                <w:szCs w:val="18"/>
              </w:rPr>
              <w:t>a 1.jūlija līdz 50</w:t>
            </w:r>
            <w:r>
              <w:rPr>
                <w:noProof/>
                <w:sz w:val="18"/>
                <w:szCs w:val="18"/>
              </w:rPr>
              <w:t>0 </w:t>
            </w:r>
            <w:r w:rsidRPr="00651B6D">
              <w:rPr>
                <w:i/>
                <w:noProof/>
                <w:sz w:val="18"/>
                <w:szCs w:val="18"/>
              </w:rPr>
              <w:t xml:space="preserve">euro </w:t>
            </w:r>
            <w:r w:rsidRPr="00E81457">
              <w:rPr>
                <w:noProof/>
                <w:sz w:val="18"/>
                <w:szCs w:val="18"/>
              </w:rPr>
              <w:t>mēnesī</w:t>
            </w:r>
          </w:p>
        </w:tc>
        <w:tc>
          <w:tcPr>
            <w:tcW w:w="2701" w:type="dxa"/>
            <w:tcBorders>
              <w:top w:val="single" w:sz="4" w:space="0" w:color="auto"/>
              <w:left w:val="single" w:sz="4" w:space="0" w:color="auto"/>
              <w:bottom w:val="single" w:sz="4" w:space="0" w:color="auto"/>
              <w:right w:val="single" w:sz="4" w:space="0" w:color="auto"/>
            </w:tcBorders>
          </w:tcPr>
          <w:p w14:paraId="42663FF4" w14:textId="77777777" w:rsidR="00651B6D" w:rsidRPr="00E81457" w:rsidRDefault="00651B6D" w:rsidP="00651B6D">
            <w:pPr>
              <w:ind w:firstLine="0"/>
              <w:jc w:val="left"/>
              <w:rPr>
                <w:noProof/>
                <w:sz w:val="18"/>
                <w:szCs w:val="18"/>
              </w:rPr>
            </w:pPr>
            <w:r w:rsidRPr="00E81457">
              <w:rPr>
                <w:noProof/>
                <w:sz w:val="18"/>
                <w:szCs w:val="18"/>
              </w:rPr>
              <w:lastRenderedPageBreak/>
              <w:t>Kopā, t.sk.:</w:t>
            </w:r>
          </w:p>
        </w:tc>
        <w:tc>
          <w:tcPr>
            <w:tcW w:w="992" w:type="dxa"/>
            <w:tcBorders>
              <w:top w:val="single" w:sz="4" w:space="0" w:color="auto"/>
              <w:left w:val="single" w:sz="4" w:space="0" w:color="auto"/>
              <w:bottom w:val="single" w:sz="4" w:space="0" w:color="auto"/>
              <w:right w:val="single" w:sz="4" w:space="0" w:color="auto"/>
            </w:tcBorders>
          </w:tcPr>
          <w:p w14:paraId="67B04157" w14:textId="77777777" w:rsidR="00651B6D" w:rsidRPr="00E81457" w:rsidRDefault="00651B6D" w:rsidP="00651B6D">
            <w:pPr>
              <w:ind w:firstLine="0"/>
              <w:jc w:val="right"/>
              <w:rPr>
                <w:noProof/>
                <w:sz w:val="18"/>
                <w:szCs w:val="18"/>
              </w:rPr>
            </w:pPr>
            <w:r w:rsidRPr="00E81457">
              <w:rPr>
                <w:noProof/>
                <w:sz w:val="18"/>
                <w:szCs w:val="18"/>
              </w:rPr>
              <w:t>-93,8</w:t>
            </w:r>
          </w:p>
        </w:tc>
        <w:tc>
          <w:tcPr>
            <w:tcW w:w="992" w:type="dxa"/>
            <w:tcBorders>
              <w:top w:val="single" w:sz="4" w:space="0" w:color="auto"/>
              <w:left w:val="single" w:sz="4" w:space="0" w:color="auto"/>
              <w:bottom w:val="single" w:sz="4" w:space="0" w:color="auto"/>
              <w:right w:val="single" w:sz="4" w:space="0" w:color="auto"/>
            </w:tcBorders>
          </w:tcPr>
          <w:p w14:paraId="6FC78E4E" w14:textId="77777777" w:rsidR="00651B6D" w:rsidRPr="00E81457" w:rsidRDefault="00651B6D" w:rsidP="00651B6D">
            <w:pPr>
              <w:ind w:firstLine="0"/>
              <w:jc w:val="right"/>
              <w:rPr>
                <w:noProof/>
                <w:sz w:val="18"/>
                <w:szCs w:val="18"/>
              </w:rPr>
            </w:pPr>
            <w:r w:rsidRPr="00E81457">
              <w:rPr>
                <w:noProof/>
                <w:sz w:val="18"/>
                <w:szCs w:val="18"/>
              </w:rPr>
              <w:t>-152,9</w:t>
            </w:r>
          </w:p>
        </w:tc>
        <w:tc>
          <w:tcPr>
            <w:tcW w:w="986" w:type="dxa"/>
            <w:tcBorders>
              <w:top w:val="single" w:sz="4" w:space="0" w:color="auto"/>
              <w:left w:val="single" w:sz="4" w:space="0" w:color="auto"/>
              <w:bottom w:val="single" w:sz="4" w:space="0" w:color="auto"/>
              <w:right w:val="single" w:sz="4" w:space="0" w:color="auto"/>
            </w:tcBorders>
          </w:tcPr>
          <w:p w14:paraId="55AB2F29" w14:textId="77777777" w:rsidR="00651B6D" w:rsidRPr="00E81457" w:rsidRDefault="00651B6D" w:rsidP="00651B6D">
            <w:pPr>
              <w:ind w:firstLine="0"/>
              <w:jc w:val="right"/>
              <w:rPr>
                <w:noProof/>
                <w:sz w:val="18"/>
                <w:szCs w:val="18"/>
              </w:rPr>
            </w:pPr>
            <w:r w:rsidRPr="00E81457">
              <w:rPr>
                <w:noProof/>
                <w:sz w:val="18"/>
                <w:szCs w:val="18"/>
              </w:rPr>
              <w:t>-152,8</w:t>
            </w:r>
          </w:p>
        </w:tc>
      </w:tr>
      <w:tr w:rsidR="00651B6D" w:rsidRPr="00E81457" w14:paraId="1E07DD14" w14:textId="77777777" w:rsidTr="00B243D9">
        <w:trPr>
          <w:cantSplit/>
          <w:trHeight w:val="414"/>
        </w:trPr>
        <w:tc>
          <w:tcPr>
            <w:tcW w:w="3390" w:type="dxa"/>
            <w:vMerge/>
            <w:tcBorders>
              <w:top w:val="single" w:sz="4" w:space="0" w:color="auto"/>
              <w:left w:val="single" w:sz="4" w:space="0" w:color="auto"/>
              <w:bottom w:val="single" w:sz="4" w:space="0" w:color="auto"/>
              <w:right w:val="single" w:sz="4" w:space="0" w:color="auto"/>
            </w:tcBorders>
          </w:tcPr>
          <w:p w14:paraId="798AA335" w14:textId="77777777" w:rsidR="00651B6D" w:rsidRPr="00E81457" w:rsidRDefault="00651B6D" w:rsidP="00651B6D">
            <w:pPr>
              <w:ind w:left="57" w:firstLine="0"/>
              <w:jc w:val="left"/>
              <w:rPr>
                <w:noProof/>
                <w:sz w:val="18"/>
                <w:szCs w:val="18"/>
              </w:rPr>
            </w:pPr>
          </w:p>
        </w:tc>
        <w:tc>
          <w:tcPr>
            <w:tcW w:w="2701" w:type="dxa"/>
            <w:tcBorders>
              <w:top w:val="single" w:sz="4" w:space="0" w:color="auto"/>
              <w:left w:val="single" w:sz="4" w:space="0" w:color="auto"/>
              <w:bottom w:val="single" w:sz="4" w:space="0" w:color="auto"/>
              <w:right w:val="single" w:sz="4" w:space="0" w:color="auto"/>
            </w:tcBorders>
          </w:tcPr>
          <w:p w14:paraId="56A416EC" w14:textId="77777777" w:rsidR="00651B6D" w:rsidRPr="00E81457" w:rsidRDefault="00651B6D" w:rsidP="00651B6D">
            <w:pPr>
              <w:ind w:left="187" w:firstLine="0"/>
              <w:jc w:val="left"/>
              <w:rPr>
                <w:i/>
                <w:iCs/>
                <w:noProof/>
                <w:sz w:val="18"/>
                <w:szCs w:val="18"/>
              </w:rPr>
            </w:pPr>
            <w:r w:rsidRPr="00E81457">
              <w:rPr>
                <w:i/>
                <w:iCs/>
                <w:noProof/>
                <w:sz w:val="18"/>
                <w:szCs w:val="18"/>
              </w:rPr>
              <w:t>Iedzīvotāju ienākuma nodoklis</w:t>
            </w:r>
          </w:p>
        </w:tc>
        <w:tc>
          <w:tcPr>
            <w:tcW w:w="992" w:type="dxa"/>
            <w:tcBorders>
              <w:top w:val="single" w:sz="4" w:space="0" w:color="auto"/>
              <w:left w:val="single" w:sz="4" w:space="0" w:color="auto"/>
              <w:bottom w:val="single" w:sz="4" w:space="0" w:color="auto"/>
              <w:right w:val="single" w:sz="4" w:space="0" w:color="auto"/>
            </w:tcBorders>
          </w:tcPr>
          <w:p w14:paraId="70104083" w14:textId="77777777" w:rsidR="00651B6D" w:rsidRPr="00E81457" w:rsidRDefault="00651B6D" w:rsidP="00651B6D">
            <w:pPr>
              <w:ind w:firstLine="0"/>
              <w:jc w:val="right"/>
              <w:rPr>
                <w:i/>
                <w:iCs/>
                <w:noProof/>
                <w:sz w:val="18"/>
                <w:szCs w:val="18"/>
              </w:rPr>
            </w:pPr>
            <w:r w:rsidRPr="00E81457">
              <w:rPr>
                <w:i/>
                <w:iCs/>
                <w:noProof/>
                <w:sz w:val="18"/>
                <w:szCs w:val="18"/>
              </w:rPr>
              <w:t>-106,2</w:t>
            </w:r>
          </w:p>
        </w:tc>
        <w:tc>
          <w:tcPr>
            <w:tcW w:w="992" w:type="dxa"/>
            <w:tcBorders>
              <w:top w:val="single" w:sz="4" w:space="0" w:color="auto"/>
              <w:left w:val="single" w:sz="4" w:space="0" w:color="auto"/>
              <w:bottom w:val="single" w:sz="4" w:space="0" w:color="auto"/>
              <w:right w:val="single" w:sz="4" w:space="0" w:color="auto"/>
            </w:tcBorders>
          </w:tcPr>
          <w:p w14:paraId="3A87C731" w14:textId="77777777" w:rsidR="00651B6D" w:rsidRPr="00E81457" w:rsidRDefault="00651B6D" w:rsidP="00651B6D">
            <w:pPr>
              <w:ind w:firstLine="0"/>
              <w:jc w:val="right"/>
              <w:rPr>
                <w:i/>
                <w:iCs/>
                <w:noProof/>
                <w:sz w:val="18"/>
                <w:szCs w:val="18"/>
              </w:rPr>
            </w:pPr>
            <w:r w:rsidRPr="00E81457">
              <w:rPr>
                <w:i/>
                <w:iCs/>
                <w:noProof/>
                <w:sz w:val="18"/>
                <w:szCs w:val="18"/>
              </w:rPr>
              <w:t>-173,0</w:t>
            </w:r>
          </w:p>
        </w:tc>
        <w:tc>
          <w:tcPr>
            <w:tcW w:w="986" w:type="dxa"/>
            <w:tcBorders>
              <w:top w:val="single" w:sz="4" w:space="0" w:color="auto"/>
              <w:left w:val="single" w:sz="4" w:space="0" w:color="auto"/>
              <w:bottom w:val="single" w:sz="4" w:space="0" w:color="auto"/>
              <w:right w:val="single" w:sz="4" w:space="0" w:color="auto"/>
            </w:tcBorders>
          </w:tcPr>
          <w:p w14:paraId="05F18855" w14:textId="77777777" w:rsidR="00651B6D" w:rsidRPr="00E81457" w:rsidRDefault="00651B6D" w:rsidP="00651B6D">
            <w:pPr>
              <w:ind w:firstLine="0"/>
              <w:jc w:val="right"/>
              <w:rPr>
                <w:i/>
                <w:iCs/>
                <w:noProof/>
                <w:sz w:val="18"/>
                <w:szCs w:val="18"/>
              </w:rPr>
            </w:pPr>
            <w:r w:rsidRPr="00E81457">
              <w:rPr>
                <w:i/>
                <w:iCs/>
                <w:noProof/>
                <w:sz w:val="18"/>
                <w:szCs w:val="18"/>
              </w:rPr>
              <w:t>-173,0</w:t>
            </w:r>
          </w:p>
        </w:tc>
      </w:tr>
      <w:tr w:rsidR="00651B6D" w:rsidRPr="00E81457" w14:paraId="2FC9229B" w14:textId="77777777" w:rsidTr="00B243D9">
        <w:trPr>
          <w:cantSplit/>
          <w:trHeight w:val="414"/>
        </w:trPr>
        <w:tc>
          <w:tcPr>
            <w:tcW w:w="3390" w:type="dxa"/>
            <w:vMerge/>
            <w:tcBorders>
              <w:top w:val="single" w:sz="4" w:space="0" w:color="auto"/>
              <w:left w:val="single" w:sz="4" w:space="0" w:color="auto"/>
              <w:right w:val="single" w:sz="4" w:space="0" w:color="auto"/>
            </w:tcBorders>
          </w:tcPr>
          <w:p w14:paraId="2EB90496" w14:textId="77777777" w:rsidR="00651B6D" w:rsidRPr="00E81457" w:rsidRDefault="00651B6D" w:rsidP="00651B6D">
            <w:pPr>
              <w:ind w:left="57" w:firstLine="0"/>
              <w:jc w:val="left"/>
              <w:rPr>
                <w:noProof/>
                <w:sz w:val="18"/>
                <w:szCs w:val="18"/>
              </w:rPr>
            </w:pPr>
          </w:p>
        </w:tc>
        <w:tc>
          <w:tcPr>
            <w:tcW w:w="2701" w:type="dxa"/>
            <w:tcBorders>
              <w:top w:val="single" w:sz="4" w:space="0" w:color="auto"/>
              <w:left w:val="single" w:sz="4" w:space="0" w:color="auto"/>
              <w:bottom w:val="nil"/>
              <w:right w:val="single" w:sz="4" w:space="0" w:color="auto"/>
            </w:tcBorders>
          </w:tcPr>
          <w:p w14:paraId="0AF1AA70" w14:textId="77777777" w:rsidR="00651B6D" w:rsidRPr="00E81457" w:rsidRDefault="00651B6D" w:rsidP="00651B6D">
            <w:pPr>
              <w:ind w:left="188" w:right="113" w:firstLine="0"/>
              <w:jc w:val="left"/>
              <w:rPr>
                <w:i/>
                <w:iCs/>
                <w:noProof/>
                <w:sz w:val="18"/>
                <w:szCs w:val="18"/>
              </w:rPr>
            </w:pPr>
            <w:r w:rsidRPr="00E81457">
              <w:rPr>
                <w:i/>
                <w:iCs/>
                <w:noProof/>
                <w:sz w:val="18"/>
                <w:szCs w:val="18"/>
              </w:rPr>
              <w:t>Pievienotās vērtības nodoklis</w:t>
            </w:r>
          </w:p>
        </w:tc>
        <w:tc>
          <w:tcPr>
            <w:tcW w:w="992" w:type="dxa"/>
            <w:tcBorders>
              <w:top w:val="single" w:sz="4" w:space="0" w:color="auto"/>
              <w:left w:val="single" w:sz="4" w:space="0" w:color="auto"/>
              <w:bottom w:val="nil"/>
              <w:right w:val="single" w:sz="4" w:space="0" w:color="auto"/>
            </w:tcBorders>
          </w:tcPr>
          <w:p w14:paraId="74244A26" w14:textId="77777777" w:rsidR="00651B6D" w:rsidRPr="00E81457" w:rsidRDefault="00651B6D" w:rsidP="00651B6D">
            <w:pPr>
              <w:ind w:firstLine="0"/>
              <w:jc w:val="right"/>
              <w:rPr>
                <w:i/>
                <w:iCs/>
                <w:noProof/>
                <w:sz w:val="18"/>
                <w:szCs w:val="18"/>
              </w:rPr>
            </w:pPr>
            <w:r w:rsidRPr="00E81457">
              <w:rPr>
                <w:i/>
                <w:iCs/>
                <w:noProof/>
                <w:sz w:val="18"/>
                <w:szCs w:val="18"/>
              </w:rPr>
              <w:t>+12,4</w:t>
            </w:r>
          </w:p>
        </w:tc>
        <w:tc>
          <w:tcPr>
            <w:tcW w:w="992" w:type="dxa"/>
            <w:tcBorders>
              <w:top w:val="single" w:sz="4" w:space="0" w:color="auto"/>
              <w:left w:val="single" w:sz="4" w:space="0" w:color="auto"/>
              <w:bottom w:val="single" w:sz="4" w:space="0" w:color="auto"/>
              <w:right w:val="single" w:sz="4" w:space="0" w:color="auto"/>
            </w:tcBorders>
          </w:tcPr>
          <w:p w14:paraId="2F3D8E3D" w14:textId="77777777" w:rsidR="00651B6D" w:rsidRPr="00E81457" w:rsidRDefault="00651B6D" w:rsidP="00651B6D">
            <w:pPr>
              <w:ind w:firstLine="0"/>
              <w:jc w:val="right"/>
              <w:rPr>
                <w:i/>
                <w:iCs/>
                <w:noProof/>
                <w:sz w:val="18"/>
                <w:szCs w:val="18"/>
              </w:rPr>
            </w:pPr>
            <w:r w:rsidRPr="00E81457">
              <w:rPr>
                <w:i/>
                <w:iCs/>
                <w:noProof/>
                <w:sz w:val="18"/>
                <w:szCs w:val="18"/>
              </w:rPr>
              <w:t>+20,2</w:t>
            </w:r>
          </w:p>
        </w:tc>
        <w:tc>
          <w:tcPr>
            <w:tcW w:w="986" w:type="dxa"/>
            <w:tcBorders>
              <w:top w:val="single" w:sz="4" w:space="0" w:color="auto"/>
              <w:left w:val="single" w:sz="4" w:space="0" w:color="auto"/>
              <w:bottom w:val="single" w:sz="4" w:space="0" w:color="auto"/>
              <w:right w:val="single" w:sz="4" w:space="0" w:color="auto"/>
            </w:tcBorders>
          </w:tcPr>
          <w:p w14:paraId="67868C81" w14:textId="77777777" w:rsidR="00651B6D" w:rsidRPr="00E81457" w:rsidRDefault="00651B6D" w:rsidP="00651B6D">
            <w:pPr>
              <w:ind w:firstLine="0"/>
              <w:jc w:val="right"/>
              <w:rPr>
                <w:i/>
                <w:iCs/>
                <w:noProof/>
                <w:sz w:val="18"/>
                <w:szCs w:val="18"/>
              </w:rPr>
            </w:pPr>
            <w:r w:rsidRPr="00E81457">
              <w:rPr>
                <w:i/>
                <w:iCs/>
                <w:noProof/>
                <w:sz w:val="18"/>
                <w:szCs w:val="18"/>
              </w:rPr>
              <w:t>+20,2</w:t>
            </w:r>
          </w:p>
        </w:tc>
      </w:tr>
      <w:tr w:rsidR="00651B6D" w:rsidRPr="00E81457" w14:paraId="0D86C519" w14:textId="77777777" w:rsidTr="00651B6D">
        <w:trPr>
          <w:cantSplit/>
          <w:trHeight w:val="271"/>
        </w:trPr>
        <w:tc>
          <w:tcPr>
            <w:tcW w:w="3390" w:type="dxa"/>
            <w:vMerge w:val="restart"/>
            <w:tcBorders>
              <w:left w:val="single" w:sz="4" w:space="0" w:color="auto"/>
              <w:right w:val="single" w:sz="4" w:space="0" w:color="auto"/>
            </w:tcBorders>
          </w:tcPr>
          <w:p w14:paraId="524163CF" w14:textId="77777777" w:rsidR="00651B6D" w:rsidRPr="00E81457" w:rsidRDefault="00651B6D" w:rsidP="00651B6D">
            <w:pPr>
              <w:ind w:left="57" w:firstLine="0"/>
              <w:jc w:val="left"/>
              <w:rPr>
                <w:noProof/>
                <w:sz w:val="18"/>
                <w:szCs w:val="18"/>
              </w:rPr>
            </w:pPr>
            <w:r w:rsidRPr="00E81457">
              <w:rPr>
                <w:noProof/>
                <w:sz w:val="18"/>
                <w:szCs w:val="18"/>
              </w:rPr>
              <w:t>Atalgojuma palielināšana prioritārajām nozarēm</w:t>
            </w:r>
          </w:p>
        </w:tc>
        <w:tc>
          <w:tcPr>
            <w:tcW w:w="2701" w:type="dxa"/>
            <w:tcBorders>
              <w:top w:val="single" w:sz="4" w:space="0" w:color="auto"/>
              <w:left w:val="single" w:sz="4" w:space="0" w:color="auto"/>
              <w:bottom w:val="nil"/>
              <w:right w:val="single" w:sz="4" w:space="0" w:color="auto"/>
            </w:tcBorders>
          </w:tcPr>
          <w:p w14:paraId="319ECB53" w14:textId="77777777" w:rsidR="00651B6D" w:rsidRPr="00E81457" w:rsidRDefault="00651B6D" w:rsidP="00651B6D">
            <w:pPr>
              <w:ind w:right="113" w:firstLine="0"/>
              <w:jc w:val="left"/>
              <w:rPr>
                <w:i/>
                <w:iCs/>
                <w:noProof/>
                <w:sz w:val="18"/>
                <w:szCs w:val="18"/>
              </w:rPr>
            </w:pPr>
            <w:r w:rsidRPr="00E81457">
              <w:rPr>
                <w:noProof/>
                <w:sz w:val="18"/>
                <w:szCs w:val="18"/>
              </w:rPr>
              <w:t>Kopā, t.sk.,</w:t>
            </w:r>
          </w:p>
        </w:tc>
        <w:tc>
          <w:tcPr>
            <w:tcW w:w="992" w:type="dxa"/>
            <w:tcBorders>
              <w:top w:val="single" w:sz="4" w:space="0" w:color="auto"/>
              <w:left w:val="single" w:sz="4" w:space="0" w:color="auto"/>
              <w:bottom w:val="nil"/>
              <w:right w:val="single" w:sz="4" w:space="0" w:color="auto"/>
            </w:tcBorders>
          </w:tcPr>
          <w:p w14:paraId="33EB01CD" w14:textId="77777777" w:rsidR="00651B6D" w:rsidRPr="00E81457" w:rsidRDefault="00651B6D" w:rsidP="00651B6D">
            <w:pPr>
              <w:ind w:firstLine="0"/>
              <w:jc w:val="right"/>
              <w:rPr>
                <w:noProof/>
                <w:sz w:val="18"/>
                <w:szCs w:val="18"/>
              </w:rPr>
            </w:pPr>
            <w:r w:rsidRPr="00E81457">
              <w:rPr>
                <w:noProof/>
                <w:sz w:val="18"/>
                <w:szCs w:val="18"/>
              </w:rPr>
              <w:t>+48,0</w:t>
            </w:r>
          </w:p>
        </w:tc>
        <w:tc>
          <w:tcPr>
            <w:tcW w:w="992" w:type="dxa"/>
            <w:tcBorders>
              <w:top w:val="single" w:sz="4" w:space="0" w:color="auto"/>
              <w:left w:val="single" w:sz="4" w:space="0" w:color="auto"/>
              <w:bottom w:val="nil"/>
              <w:right w:val="single" w:sz="4" w:space="0" w:color="auto"/>
            </w:tcBorders>
          </w:tcPr>
          <w:p w14:paraId="59B0D65C" w14:textId="77777777" w:rsidR="00651B6D" w:rsidRPr="00E81457" w:rsidRDefault="00651B6D" w:rsidP="00651B6D">
            <w:pPr>
              <w:ind w:firstLine="0"/>
              <w:jc w:val="right"/>
              <w:rPr>
                <w:noProof/>
                <w:sz w:val="18"/>
                <w:szCs w:val="18"/>
              </w:rPr>
            </w:pPr>
            <w:r w:rsidRPr="00E81457">
              <w:rPr>
                <w:noProof/>
                <w:sz w:val="18"/>
                <w:szCs w:val="18"/>
              </w:rPr>
              <w:t>+59,4</w:t>
            </w:r>
          </w:p>
        </w:tc>
        <w:tc>
          <w:tcPr>
            <w:tcW w:w="986" w:type="dxa"/>
            <w:tcBorders>
              <w:top w:val="single" w:sz="4" w:space="0" w:color="auto"/>
              <w:left w:val="single" w:sz="4" w:space="0" w:color="auto"/>
              <w:bottom w:val="nil"/>
              <w:right w:val="single" w:sz="4" w:space="0" w:color="auto"/>
            </w:tcBorders>
          </w:tcPr>
          <w:p w14:paraId="701C6CCC" w14:textId="77777777" w:rsidR="00651B6D" w:rsidRPr="00E81457" w:rsidRDefault="00651B6D" w:rsidP="00651B6D">
            <w:pPr>
              <w:ind w:firstLine="0"/>
              <w:jc w:val="right"/>
              <w:rPr>
                <w:noProof/>
                <w:sz w:val="18"/>
                <w:szCs w:val="18"/>
              </w:rPr>
            </w:pPr>
            <w:r w:rsidRPr="00E81457">
              <w:rPr>
                <w:noProof/>
                <w:sz w:val="18"/>
                <w:szCs w:val="18"/>
              </w:rPr>
              <w:t>+58,1</w:t>
            </w:r>
          </w:p>
        </w:tc>
      </w:tr>
      <w:tr w:rsidR="00651B6D" w:rsidRPr="00E81457" w14:paraId="407C44F3" w14:textId="77777777" w:rsidTr="00651B6D">
        <w:trPr>
          <w:cantSplit/>
          <w:trHeight w:val="135"/>
        </w:trPr>
        <w:tc>
          <w:tcPr>
            <w:tcW w:w="3390" w:type="dxa"/>
            <w:vMerge/>
            <w:tcBorders>
              <w:left w:val="single" w:sz="4" w:space="0" w:color="auto"/>
              <w:right w:val="single" w:sz="4" w:space="0" w:color="auto"/>
            </w:tcBorders>
          </w:tcPr>
          <w:p w14:paraId="064414A5" w14:textId="77777777" w:rsidR="00651B6D" w:rsidRPr="00E81457" w:rsidRDefault="00651B6D" w:rsidP="00651B6D">
            <w:pPr>
              <w:ind w:left="57" w:firstLine="0"/>
              <w:jc w:val="left"/>
              <w:rPr>
                <w:noProof/>
                <w:sz w:val="18"/>
                <w:szCs w:val="18"/>
              </w:rPr>
            </w:pPr>
          </w:p>
        </w:tc>
        <w:tc>
          <w:tcPr>
            <w:tcW w:w="2701" w:type="dxa"/>
            <w:tcBorders>
              <w:top w:val="nil"/>
              <w:left w:val="single" w:sz="4" w:space="0" w:color="auto"/>
              <w:bottom w:val="nil"/>
              <w:right w:val="single" w:sz="4" w:space="0" w:color="auto"/>
            </w:tcBorders>
          </w:tcPr>
          <w:p w14:paraId="7CD8B922" w14:textId="77777777" w:rsidR="00651B6D" w:rsidRPr="00E81457" w:rsidRDefault="00651B6D" w:rsidP="00651B6D">
            <w:pPr>
              <w:ind w:left="188" w:right="113" w:firstLine="0"/>
              <w:jc w:val="left"/>
              <w:rPr>
                <w:i/>
                <w:iCs/>
                <w:noProof/>
                <w:sz w:val="18"/>
                <w:szCs w:val="18"/>
              </w:rPr>
            </w:pPr>
            <w:r w:rsidRPr="00E81457">
              <w:rPr>
                <w:i/>
                <w:iCs/>
                <w:noProof/>
                <w:sz w:val="18"/>
                <w:szCs w:val="18"/>
              </w:rPr>
              <w:t>Iedzīvotāju ienākuma nodoklis</w:t>
            </w:r>
          </w:p>
        </w:tc>
        <w:tc>
          <w:tcPr>
            <w:tcW w:w="992" w:type="dxa"/>
            <w:tcBorders>
              <w:top w:val="nil"/>
              <w:left w:val="single" w:sz="4" w:space="0" w:color="auto"/>
              <w:bottom w:val="nil"/>
              <w:right w:val="single" w:sz="4" w:space="0" w:color="auto"/>
            </w:tcBorders>
          </w:tcPr>
          <w:p w14:paraId="21433A39" w14:textId="77777777" w:rsidR="00651B6D" w:rsidRPr="00E81457" w:rsidRDefault="00651B6D" w:rsidP="00651B6D">
            <w:pPr>
              <w:ind w:firstLine="0"/>
              <w:jc w:val="right"/>
              <w:rPr>
                <w:i/>
                <w:iCs/>
                <w:noProof/>
                <w:sz w:val="18"/>
                <w:szCs w:val="18"/>
              </w:rPr>
            </w:pPr>
            <w:r w:rsidRPr="00E81457">
              <w:rPr>
                <w:i/>
                <w:iCs/>
                <w:noProof/>
                <w:sz w:val="18"/>
                <w:szCs w:val="18"/>
              </w:rPr>
              <w:t>+16,8</w:t>
            </w:r>
          </w:p>
        </w:tc>
        <w:tc>
          <w:tcPr>
            <w:tcW w:w="992" w:type="dxa"/>
            <w:tcBorders>
              <w:top w:val="nil"/>
              <w:left w:val="single" w:sz="4" w:space="0" w:color="auto"/>
              <w:bottom w:val="nil"/>
              <w:right w:val="single" w:sz="4" w:space="0" w:color="auto"/>
            </w:tcBorders>
          </w:tcPr>
          <w:p w14:paraId="2B1D73B3" w14:textId="77777777" w:rsidR="00651B6D" w:rsidRPr="00E81457" w:rsidRDefault="00651B6D" w:rsidP="00651B6D">
            <w:pPr>
              <w:ind w:firstLine="0"/>
              <w:jc w:val="right"/>
              <w:rPr>
                <w:i/>
                <w:iCs/>
                <w:noProof/>
                <w:sz w:val="18"/>
                <w:szCs w:val="18"/>
              </w:rPr>
            </w:pPr>
            <w:r w:rsidRPr="00E81457">
              <w:rPr>
                <w:i/>
                <w:iCs/>
                <w:noProof/>
                <w:sz w:val="18"/>
                <w:szCs w:val="18"/>
              </w:rPr>
              <w:t>+20,8</w:t>
            </w:r>
          </w:p>
        </w:tc>
        <w:tc>
          <w:tcPr>
            <w:tcW w:w="986" w:type="dxa"/>
            <w:tcBorders>
              <w:top w:val="nil"/>
              <w:left w:val="single" w:sz="4" w:space="0" w:color="auto"/>
              <w:bottom w:val="nil"/>
              <w:right w:val="single" w:sz="4" w:space="0" w:color="auto"/>
            </w:tcBorders>
          </w:tcPr>
          <w:p w14:paraId="23EC6F73" w14:textId="77777777" w:rsidR="00651B6D" w:rsidRPr="00E81457" w:rsidRDefault="00651B6D" w:rsidP="00651B6D">
            <w:pPr>
              <w:ind w:firstLine="0"/>
              <w:jc w:val="right"/>
              <w:rPr>
                <w:i/>
                <w:iCs/>
                <w:noProof/>
                <w:sz w:val="18"/>
                <w:szCs w:val="18"/>
              </w:rPr>
            </w:pPr>
            <w:r w:rsidRPr="00E81457">
              <w:rPr>
                <w:i/>
                <w:iCs/>
                <w:noProof/>
                <w:sz w:val="18"/>
                <w:szCs w:val="18"/>
              </w:rPr>
              <w:t>+20,3</w:t>
            </w:r>
          </w:p>
        </w:tc>
      </w:tr>
      <w:tr w:rsidR="00651B6D" w:rsidRPr="00E81457" w14:paraId="77C6A65A" w14:textId="77777777" w:rsidTr="00651B6D">
        <w:trPr>
          <w:cantSplit/>
          <w:trHeight w:val="414"/>
        </w:trPr>
        <w:tc>
          <w:tcPr>
            <w:tcW w:w="3390" w:type="dxa"/>
            <w:vMerge/>
            <w:tcBorders>
              <w:left w:val="single" w:sz="4" w:space="0" w:color="auto"/>
              <w:right w:val="single" w:sz="4" w:space="0" w:color="auto"/>
            </w:tcBorders>
          </w:tcPr>
          <w:p w14:paraId="7A6E04A0" w14:textId="77777777" w:rsidR="00651B6D" w:rsidRPr="00E81457" w:rsidRDefault="00651B6D" w:rsidP="00651B6D">
            <w:pPr>
              <w:ind w:left="57" w:firstLine="0"/>
              <w:jc w:val="left"/>
              <w:rPr>
                <w:noProof/>
                <w:sz w:val="18"/>
                <w:szCs w:val="18"/>
              </w:rPr>
            </w:pPr>
          </w:p>
        </w:tc>
        <w:tc>
          <w:tcPr>
            <w:tcW w:w="2701" w:type="dxa"/>
            <w:tcBorders>
              <w:top w:val="nil"/>
              <w:left w:val="single" w:sz="4" w:space="0" w:color="auto"/>
              <w:bottom w:val="nil"/>
              <w:right w:val="single" w:sz="4" w:space="0" w:color="auto"/>
            </w:tcBorders>
          </w:tcPr>
          <w:p w14:paraId="69B472F8" w14:textId="77777777" w:rsidR="00651B6D" w:rsidRPr="00E81457" w:rsidRDefault="00651B6D" w:rsidP="00651B6D">
            <w:pPr>
              <w:ind w:left="188" w:right="113" w:firstLine="0"/>
              <w:jc w:val="left"/>
              <w:rPr>
                <w:i/>
                <w:iCs/>
                <w:noProof/>
                <w:sz w:val="18"/>
                <w:szCs w:val="18"/>
              </w:rPr>
            </w:pPr>
            <w:r w:rsidRPr="00E81457">
              <w:rPr>
                <w:i/>
                <w:sz w:val="18"/>
                <w:szCs w:val="18"/>
              </w:rPr>
              <w:t>Sociālās apdrošināšanas iemaksas</w:t>
            </w:r>
          </w:p>
        </w:tc>
        <w:tc>
          <w:tcPr>
            <w:tcW w:w="992" w:type="dxa"/>
            <w:tcBorders>
              <w:top w:val="nil"/>
              <w:left w:val="single" w:sz="4" w:space="0" w:color="auto"/>
              <w:bottom w:val="nil"/>
              <w:right w:val="single" w:sz="4" w:space="0" w:color="auto"/>
            </w:tcBorders>
          </w:tcPr>
          <w:p w14:paraId="4AAB963E" w14:textId="77777777" w:rsidR="00651B6D" w:rsidRPr="00E81457" w:rsidRDefault="00651B6D" w:rsidP="00651B6D">
            <w:pPr>
              <w:ind w:firstLine="0"/>
              <w:jc w:val="right"/>
              <w:rPr>
                <w:i/>
                <w:iCs/>
                <w:noProof/>
                <w:sz w:val="18"/>
                <w:szCs w:val="18"/>
              </w:rPr>
            </w:pPr>
            <w:r w:rsidRPr="00E81457">
              <w:rPr>
                <w:i/>
                <w:iCs/>
                <w:noProof/>
                <w:sz w:val="18"/>
                <w:szCs w:val="18"/>
              </w:rPr>
              <w:t>+26,7</w:t>
            </w:r>
          </w:p>
        </w:tc>
        <w:tc>
          <w:tcPr>
            <w:tcW w:w="992" w:type="dxa"/>
            <w:tcBorders>
              <w:top w:val="nil"/>
              <w:left w:val="single" w:sz="4" w:space="0" w:color="auto"/>
              <w:bottom w:val="nil"/>
              <w:right w:val="single" w:sz="4" w:space="0" w:color="auto"/>
            </w:tcBorders>
          </w:tcPr>
          <w:p w14:paraId="33AFB5EB" w14:textId="77777777" w:rsidR="00651B6D" w:rsidRPr="00E81457" w:rsidRDefault="00651B6D" w:rsidP="00651B6D">
            <w:pPr>
              <w:ind w:firstLine="0"/>
              <w:jc w:val="right"/>
              <w:rPr>
                <w:i/>
                <w:iCs/>
                <w:noProof/>
                <w:sz w:val="18"/>
                <w:szCs w:val="18"/>
              </w:rPr>
            </w:pPr>
            <w:r w:rsidRPr="00E81457">
              <w:rPr>
                <w:i/>
                <w:iCs/>
                <w:noProof/>
                <w:sz w:val="18"/>
                <w:szCs w:val="18"/>
              </w:rPr>
              <w:t>+33,0</w:t>
            </w:r>
          </w:p>
        </w:tc>
        <w:tc>
          <w:tcPr>
            <w:tcW w:w="986" w:type="dxa"/>
            <w:tcBorders>
              <w:top w:val="nil"/>
              <w:left w:val="single" w:sz="4" w:space="0" w:color="auto"/>
              <w:bottom w:val="nil"/>
              <w:right w:val="single" w:sz="4" w:space="0" w:color="auto"/>
            </w:tcBorders>
          </w:tcPr>
          <w:p w14:paraId="76E2D9B3" w14:textId="77777777" w:rsidR="00651B6D" w:rsidRPr="00E81457" w:rsidRDefault="00651B6D" w:rsidP="00651B6D">
            <w:pPr>
              <w:ind w:firstLine="0"/>
              <w:jc w:val="right"/>
              <w:rPr>
                <w:i/>
                <w:iCs/>
                <w:noProof/>
                <w:sz w:val="18"/>
                <w:szCs w:val="18"/>
              </w:rPr>
            </w:pPr>
            <w:r w:rsidRPr="00E81457">
              <w:rPr>
                <w:i/>
                <w:iCs/>
                <w:noProof/>
                <w:sz w:val="18"/>
                <w:szCs w:val="18"/>
              </w:rPr>
              <w:t>+32,3</w:t>
            </w:r>
          </w:p>
        </w:tc>
      </w:tr>
      <w:tr w:rsidR="00651B6D" w:rsidRPr="00E81457" w14:paraId="2083D31C" w14:textId="77777777" w:rsidTr="00651B6D">
        <w:trPr>
          <w:cantSplit/>
          <w:trHeight w:val="131"/>
        </w:trPr>
        <w:tc>
          <w:tcPr>
            <w:tcW w:w="3390" w:type="dxa"/>
            <w:vMerge/>
            <w:tcBorders>
              <w:left w:val="single" w:sz="4" w:space="0" w:color="auto"/>
              <w:right w:val="single" w:sz="4" w:space="0" w:color="auto"/>
            </w:tcBorders>
          </w:tcPr>
          <w:p w14:paraId="1AE8D47E" w14:textId="77777777" w:rsidR="00651B6D" w:rsidRPr="00E81457" w:rsidRDefault="00651B6D" w:rsidP="00651B6D">
            <w:pPr>
              <w:ind w:left="57" w:firstLine="0"/>
              <w:jc w:val="left"/>
              <w:rPr>
                <w:noProof/>
                <w:sz w:val="18"/>
                <w:szCs w:val="18"/>
              </w:rPr>
            </w:pPr>
          </w:p>
        </w:tc>
        <w:tc>
          <w:tcPr>
            <w:tcW w:w="2701" w:type="dxa"/>
            <w:tcBorders>
              <w:top w:val="nil"/>
              <w:left w:val="single" w:sz="4" w:space="0" w:color="auto"/>
              <w:bottom w:val="single" w:sz="4" w:space="0" w:color="auto"/>
              <w:right w:val="single" w:sz="4" w:space="0" w:color="auto"/>
            </w:tcBorders>
          </w:tcPr>
          <w:p w14:paraId="712C9ABF" w14:textId="77777777" w:rsidR="00651B6D" w:rsidRPr="00E81457" w:rsidRDefault="00651B6D" w:rsidP="00651B6D">
            <w:pPr>
              <w:ind w:left="188" w:right="113" w:firstLine="0"/>
              <w:jc w:val="left"/>
              <w:rPr>
                <w:i/>
                <w:iCs/>
                <w:noProof/>
                <w:sz w:val="18"/>
                <w:szCs w:val="18"/>
              </w:rPr>
            </w:pPr>
            <w:r w:rsidRPr="00E81457">
              <w:rPr>
                <w:i/>
                <w:iCs/>
                <w:noProof/>
                <w:sz w:val="18"/>
                <w:szCs w:val="18"/>
              </w:rPr>
              <w:t>Pievienotās vērtības nodoklis</w:t>
            </w:r>
          </w:p>
        </w:tc>
        <w:tc>
          <w:tcPr>
            <w:tcW w:w="992" w:type="dxa"/>
            <w:tcBorders>
              <w:top w:val="nil"/>
              <w:left w:val="single" w:sz="4" w:space="0" w:color="auto"/>
              <w:bottom w:val="single" w:sz="4" w:space="0" w:color="auto"/>
              <w:right w:val="single" w:sz="4" w:space="0" w:color="auto"/>
            </w:tcBorders>
          </w:tcPr>
          <w:p w14:paraId="57397B56" w14:textId="77777777" w:rsidR="00651B6D" w:rsidRPr="00E81457" w:rsidRDefault="00651B6D" w:rsidP="00651B6D">
            <w:pPr>
              <w:ind w:firstLine="0"/>
              <w:jc w:val="right"/>
              <w:rPr>
                <w:i/>
                <w:iCs/>
                <w:noProof/>
                <w:sz w:val="18"/>
                <w:szCs w:val="18"/>
              </w:rPr>
            </w:pPr>
            <w:r w:rsidRPr="00E81457">
              <w:rPr>
                <w:i/>
                <w:iCs/>
                <w:noProof/>
                <w:sz w:val="18"/>
                <w:szCs w:val="18"/>
              </w:rPr>
              <w:t>+4,6</w:t>
            </w:r>
          </w:p>
        </w:tc>
        <w:tc>
          <w:tcPr>
            <w:tcW w:w="992" w:type="dxa"/>
            <w:tcBorders>
              <w:top w:val="nil"/>
              <w:left w:val="single" w:sz="4" w:space="0" w:color="auto"/>
              <w:bottom w:val="single" w:sz="4" w:space="0" w:color="auto"/>
              <w:right w:val="single" w:sz="4" w:space="0" w:color="auto"/>
            </w:tcBorders>
          </w:tcPr>
          <w:p w14:paraId="533D6616" w14:textId="77777777" w:rsidR="00651B6D" w:rsidRPr="00E81457" w:rsidRDefault="00651B6D" w:rsidP="00651B6D">
            <w:pPr>
              <w:ind w:firstLine="0"/>
              <w:jc w:val="right"/>
              <w:rPr>
                <w:i/>
                <w:iCs/>
                <w:noProof/>
                <w:sz w:val="18"/>
                <w:szCs w:val="18"/>
              </w:rPr>
            </w:pPr>
            <w:r w:rsidRPr="00E81457">
              <w:rPr>
                <w:i/>
                <w:iCs/>
                <w:noProof/>
                <w:sz w:val="18"/>
                <w:szCs w:val="18"/>
              </w:rPr>
              <w:t>+5,6</w:t>
            </w:r>
          </w:p>
        </w:tc>
        <w:tc>
          <w:tcPr>
            <w:tcW w:w="986" w:type="dxa"/>
            <w:tcBorders>
              <w:top w:val="nil"/>
              <w:left w:val="single" w:sz="4" w:space="0" w:color="auto"/>
              <w:bottom w:val="single" w:sz="4" w:space="0" w:color="auto"/>
              <w:right w:val="single" w:sz="4" w:space="0" w:color="auto"/>
            </w:tcBorders>
          </w:tcPr>
          <w:p w14:paraId="75823DA5" w14:textId="77777777" w:rsidR="00651B6D" w:rsidRPr="00E81457" w:rsidRDefault="00651B6D" w:rsidP="00651B6D">
            <w:pPr>
              <w:ind w:firstLine="0"/>
              <w:jc w:val="right"/>
              <w:rPr>
                <w:i/>
                <w:iCs/>
                <w:noProof/>
                <w:sz w:val="18"/>
                <w:szCs w:val="18"/>
              </w:rPr>
            </w:pPr>
            <w:r w:rsidRPr="00E81457">
              <w:rPr>
                <w:i/>
                <w:iCs/>
                <w:noProof/>
                <w:sz w:val="18"/>
                <w:szCs w:val="18"/>
              </w:rPr>
              <w:t>+5,5</w:t>
            </w:r>
          </w:p>
        </w:tc>
      </w:tr>
      <w:tr w:rsidR="00651B6D" w:rsidRPr="00E81457" w14:paraId="6488E8B6" w14:textId="77777777" w:rsidTr="00651B6D">
        <w:trPr>
          <w:cantSplit/>
          <w:trHeight w:val="281"/>
        </w:trPr>
        <w:tc>
          <w:tcPr>
            <w:tcW w:w="3390" w:type="dxa"/>
            <w:vMerge w:val="restart"/>
            <w:tcBorders>
              <w:left w:val="single" w:sz="4" w:space="0" w:color="auto"/>
              <w:right w:val="single" w:sz="4" w:space="0" w:color="auto"/>
            </w:tcBorders>
          </w:tcPr>
          <w:p w14:paraId="7C46AFDC" w14:textId="77777777" w:rsidR="00651B6D" w:rsidRPr="00E81457" w:rsidRDefault="00651B6D" w:rsidP="00651B6D">
            <w:pPr>
              <w:ind w:left="57" w:firstLine="0"/>
              <w:jc w:val="left"/>
              <w:rPr>
                <w:noProof/>
                <w:sz w:val="18"/>
                <w:szCs w:val="18"/>
              </w:rPr>
            </w:pPr>
            <w:r w:rsidRPr="00E81457">
              <w:rPr>
                <w:noProof/>
                <w:sz w:val="18"/>
                <w:szCs w:val="18"/>
              </w:rPr>
              <w:t>Darba devēja veselības pakalpojuma limita paaugstināšana</w:t>
            </w:r>
          </w:p>
        </w:tc>
        <w:tc>
          <w:tcPr>
            <w:tcW w:w="2701" w:type="dxa"/>
            <w:tcBorders>
              <w:top w:val="single" w:sz="4" w:space="0" w:color="auto"/>
              <w:left w:val="single" w:sz="4" w:space="0" w:color="auto"/>
              <w:bottom w:val="nil"/>
              <w:right w:val="single" w:sz="4" w:space="0" w:color="auto"/>
            </w:tcBorders>
          </w:tcPr>
          <w:p w14:paraId="3ED59132" w14:textId="77777777" w:rsidR="00651B6D" w:rsidRPr="00E81457" w:rsidRDefault="00651B6D" w:rsidP="00651B6D">
            <w:pPr>
              <w:keepNext/>
              <w:ind w:right="113" w:firstLine="0"/>
              <w:jc w:val="left"/>
              <w:rPr>
                <w:i/>
                <w:iCs/>
                <w:noProof/>
                <w:sz w:val="18"/>
                <w:szCs w:val="18"/>
              </w:rPr>
            </w:pPr>
            <w:r w:rsidRPr="00E81457">
              <w:rPr>
                <w:noProof/>
                <w:sz w:val="18"/>
                <w:szCs w:val="18"/>
              </w:rPr>
              <w:t>Kopā, t.sk.:</w:t>
            </w:r>
          </w:p>
        </w:tc>
        <w:tc>
          <w:tcPr>
            <w:tcW w:w="992" w:type="dxa"/>
            <w:tcBorders>
              <w:top w:val="single" w:sz="4" w:space="0" w:color="auto"/>
              <w:left w:val="single" w:sz="4" w:space="0" w:color="auto"/>
              <w:bottom w:val="nil"/>
              <w:right w:val="single" w:sz="4" w:space="0" w:color="auto"/>
            </w:tcBorders>
          </w:tcPr>
          <w:p w14:paraId="222FF1D3" w14:textId="77777777" w:rsidR="00651B6D" w:rsidRPr="00E81457" w:rsidRDefault="00651B6D" w:rsidP="00651B6D">
            <w:pPr>
              <w:ind w:firstLine="0"/>
              <w:jc w:val="right"/>
              <w:rPr>
                <w:i/>
                <w:iCs/>
                <w:noProof/>
                <w:sz w:val="18"/>
                <w:szCs w:val="18"/>
              </w:rPr>
            </w:pPr>
            <w:r w:rsidRPr="00E81457">
              <w:rPr>
                <w:i/>
                <w:iCs/>
                <w:noProof/>
                <w:sz w:val="18"/>
                <w:szCs w:val="18"/>
              </w:rPr>
              <w:t>-1,4</w:t>
            </w:r>
          </w:p>
        </w:tc>
        <w:tc>
          <w:tcPr>
            <w:tcW w:w="992" w:type="dxa"/>
            <w:tcBorders>
              <w:top w:val="single" w:sz="4" w:space="0" w:color="auto"/>
              <w:left w:val="single" w:sz="4" w:space="0" w:color="auto"/>
              <w:bottom w:val="nil"/>
              <w:right w:val="single" w:sz="4" w:space="0" w:color="auto"/>
            </w:tcBorders>
          </w:tcPr>
          <w:p w14:paraId="245CEA25" w14:textId="77777777" w:rsidR="00651B6D" w:rsidRPr="00E81457" w:rsidRDefault="00651B6D" w:rsidP="00651B6D">
            <w:pPr>
              <w:ind w:firstLine="0"/>
              <w:jc w:val="right"/>
              <w:rPr>
                <w:noProof/>
                <w:sz w:val="18"/>
                <w:szCs w:val="18"/>
              </w:rPr>
            </w:pPr>
            <w:r w:rsidRPr="00E81457">
              <w:rPr>
                <w:noProof/>
                <w:sz w:val="18"/>
                <w:szCs w:val="18"/>
              </w:rPr>
              <w:t>-1,4</w:t>
            </w:r>
          </w:p>
        </w:tc>
        <w:tc>
          <w:tcPr>
            <w:tcW w:w="986" w:type="dxa"/>
            <w:tcBorders>
              <w:top w:val="single" w:sz="4" w:space="0" w:color="auto"/>
              <w:left w:val="single" w:sz="4" w:space="0" w:color="auto"/>
              <w:bottom w:val="nil"/>
              <w:right w:val="single" w:sz="4" w:space="0" w:color="auto"/>
            </w:tcBorders>
          </w:tcPr>
          <w:p w14:paraId="1B8F53A7" w14:textId="77777777" w:rsidR="00651B6D" w:rsidRPr="00E81457" w:rsidRDefault="00651B6D" w:rsidP="00651B6D">
            <w:pPr>
              <w:ind w:firstLine="0"/>
              <w:jc w:val="right"/>
              <w:rPr>
                <w:noProof/>
                <w:sz w:val="18"/>
                <w:szCs w:val="18"/>
              </w:rPr>
            </w:pPr>
            <w:r w:rsidRPr="00E81457">
              <w:rPr>
                <w:noProof/>
                <w:sz w:val="18"/>
                <w:szCs w:val="18"/>
              </w:rPr>
              <w:t>-1,4</w:t>
            </w:r>
          </w:p>
        </w:tc>
      </w:tr>
      <w:tr w:rsidR="00651B6D" w:rsidRPr="00E81457" w14:paraId="3E2084DD" w14:textId="77777777" w:rsidTr="00651B6D">
        <w:trPr>
          <w:cantSplit/>
          <w:trHeight w:val="116"/>
        </w:trPr>
        <w:tc>
          <w:tcPr>
            <w:tcW w:w="3390" w:type="dxa"/>
            <w:vMerge/>
            <w:tcBorders>
              <w:left w:val="single" w:sz="4" w:space="0" w:color="auto"/>
              <w:right w:val="single" w:sz="4" w:space="0" w:color="auto"/>
            </w:tcBorders>
          </w:tcPr>
          <w:p w14:paraId="73546D0C" w14:textId="77777777" w:rsidR="00651B6D" w:rsidRPr="00E81457" w:rsidRDefault="00651B6D" w:rsidP="00651B6D">
            <w:pPr>
              <w:ind w:left="57" w:firstLine="0"/>
              <w:jc w:val="left"/>
              <w:rPr>
                <w:noProof/>
                <w:sz w:val="18"/>
                <w:szCs w:val="18"/>
              </w:rPr>
            </w:pPr>
          </w:p>
        </w:tc>
        <w:tc>
          <w:tcPr>
            <w:tcW w:w="2701" w:type="dxa"/>
            <w:tcBorders>
              <w:top w:val="nil"/>
              <w:left w:val="single" w:sz="4" w:space="0" w:color="auto"/>
              <w:bottom w:val="nil"/>
              <w:right w:val="single" w:sz="4" w:space="0" w:color="auto"/>
            </w:tcBorders>
          </w:tcPr>
          <w:p w14:paraId="08E86AE3" w14:textId="77777777" w:rsidR="00651B6D" w:rsidRPr="00E81457" w:rsidRDefault="00651B6D" w:rsidP="00651B6D">
            <w:pPr>
              <w:ind w:left="187" w:right="113" w:firstLine="0"/>
              <w:jc w:val="left"/>
              <w:rPr>
                <w:noProof/>
                <w:sz w:val="18"/>
                <w:szCs w:val="18"/>
              </w:rPr>
            </w:pPr>
            <w:r w:rsidRPr="00E81457">
              <w:rPr>
                <w:i/>
                <w:iCs/>
                <w:noProof/>
                <w:sz w:val="18"/>
                <w:szCs w:val="18"/>
              </w:rPr>
              <w:t>Iedzīvotāju ienākuma nodoklis</w:t>
            </w:r>
          </w:p>
        </w:tc>
        <w:tc>
          <w:tcPr>
            <w:tcW w:w="992" w:type="dxa"/>
            <w:tcBorders>
              <w:top w:val="nil"/>
              <w:left w:val="single" w:sz="4" w:space="0" w:color="auto"/>
              <w:bottom w:val="nil"/>
              <w:right w:val="single" w:sz="4" w:space="0" w:color="auto"/>
            </w:tcBorders>
          </w:tcPr>
          <w:p w14:paraId="57592DF3" w14:textId="77777777" w:rsidR="00651B6D" w:rsidRPr="00E81457" w:rsidRDefault="00651B6D" w:rsidP="00651B6D">
            <w:pPr>
              <w:ind w:firstLine="0"/>
              <w:jc w:val="right"/>
              <w:rPr>
                <w:noProof/>
                <w:sz w:val="18"/>
                <w:szCs w:val="18"/>
              </w:rPr>
            </w:pPr>
            <w:r w:rsidRPr="00E81457">
              <w:rPr>
                <w:i/>
                <w:iCs/>
                <w:noProof/>
                <w:sz w:val="18"/>
                <w:szCs w:val="18"/>
              </w:rPr>
              <w:t>-0,5</w:t>
            </w:r>
          </w:p>
        </w:tc>
        <w:tc>
          <w:tcPr>
            <w:tcW w:w="992" w:type="dxa"/>
            <w:tcBorders>
              <w:top w:val="nil"/>
              <w:left w:val="single" w:sz="4" w:space="0" w:color="auto"/>
              <w:bottom w:val="nil"/>
              <w:right w:val="single" w:sz="4" w:space="0" w:color="auto"/>
            </w:tcBorders>
          </w:tcPr>
          <w:p w14:paraId="1344B8EB" w14:textId="77777777" w:rsidR="00651B6D" w:rsidRPr="00E81457" w:rsidRDefault="00651B6D" w:rsidP="00651B6D">
            <w:pPr>
              <w:ind w:firstLine="0"/>
              <w:jc w:val="right"/>
              <w:rPr>
                <w:noProof/>
                <w:sz w:val="18"/>
                <w:szCs w:val="18"/>
              </w:rPr>
            </w:pPr>
            <w:r w:rsidRPr="00E81457">
              <w:rPr>
                <w:i/>
                <w:iCs/>
                <w:noProof/>
                <w:sz w:val="18"/>
                <w:szCs w:val="18"/>
              </w:rPr>
              <w:t>-0,5</w:t>
            </w:r>
          </w:p>
        </w:tc>
        <w:tc>
          <w:tcPr>
            <w:tcW w:w="986" w:type="dxa"/>
            <w:tcBorders>
              <w:top w:val="nil"/>
              <w:left w:val="single" w:sz="4" w:space="0" w:color="auto"/>
              <w:bottom w:val="nil"/>
              <w:right w:val="single" w:sz="4" w:space="0" w:color="auto"/>
            </w:tcBorders>
          </w:tcPr>
          <w:p w14:paraId="4E76C997" w14:textId="77777777" w:rsidR="00651B6D" w:rsidRPr="00E81457" w:rsidRDefault="00651B6D" w:rsidP="00651B6D">
            <w:pPr>
              <w:ind w:firstLine="0"/>
              <w:jc w:val="right"/>
              <w:rPr>
                <w:i/>
                <w:iCs/>
                <w:noProof/>
                <w:sz w:val="18"/>
                <w:szCs w:val="18"/>
              </w:rPr>
            </w:pPr>
            <w:r w:rsidRPr="00E81457">
              <w:rPr>
                <w:i/>
                <w:iCs/>
                <w:noProof/>
                <w:sz w:val="18"/>
                <w:szCs w:val="18"/>
              </w:rPr>
              <w:t>-0,5</w:t>
            </w:r>
          </w:p>
        </w:tc>
      </w:tr>
      <w:tr w:rsidR="00651B6D" w:rsidRPr="00E81457" w14:paraId="200BD971" w14:textId="77777777" w:rsidTr="00651B6D">
        <w:trPr>
          <w:cantSplit/>
          <w:trHeight w:val="121"/>
        </w:trPr>
        <w:tc>
          <w:tcPr>
            <w:tcW w:w="3390" w:type="dxa"/>
            <w:vMerge/>
            <w:tcBorders>
              <w:left w:val="single" w:sz="4" w:space="0" w:color="auto"/>
              <w:right w:val="single" w:sz="4" w:space="0" w:color="auto"/>
            </w:tcBorders>
          </w:tcPr>
          <w:p w14:paraId="0095F86B" w14:textId="77777777" w:rsidR="00651B6D" w:rsidRPr="00E81457" w:rsidRDefault="00651B6D" w:rsidP="00651B6D">
            <w:pPr>
              <w:ind w:left="57" w:firstLine="0"/>
              <w:jc w:val="left"/>
              <w:rPr>
                <w:noProof/>
                <w:sz w:val="18"/>
                <w:szCs w:val="18"/>
              </w:rPr>
            </w:pPr>
          </w:p>
        </w:tc>
        <w:tc>
          <w:tcPr>
            <w:tcW w:w="2701" w:type="dxa"/>
            <w:tcBorders>
              <w:top w:val="nil"/>
              <w:left w:val="single" w:sz="4" w:space="0" w:color="auto"/>
              <w:bottom w:val="nil"/>
              <w:right w:val="single" w:sz="4" w:space="0" w:color="auto"/>
            </w:tcBorders>
          </w:tcPr>
          <w:p w14:paraId="1467C417" w14:textId="77777777" w:rsidR="00651B6D" w:rsidRPr="00E81457" w:rsidRDefault="00651B6D" w:rsidP="00651B6D">
            <w:pPr>
              <w:ind w:left="188" w:right="113" w:firstLine="0"/>
              <w:jc w:val="left"/>
              <w:rPr>
                <w:noProof/>
                <w:sz w:val="18"/>
                <w:szCs w:val="18"/>
              </w:rPr>
            </w:pPr>
            <w:r w:rsidRPr="00E81457">
              <w:rPr>
                <w:i/>
                <w:sz w:val="18"/>
                <w:szCs w:val="18"/>
              </w:rPr>
              <w:t>Sociālās apdrošināšanas iemaksas</w:t>
            </w:r>
          </w:p>
        </w:tc>
        <w:tc>
          <w:tcPr>
            <w:tcW w:w="992" w:type="dxa"/>
            <w:tcBorders>
              <w:top w:val="nil"/>
              <w:left w:val="single" w:sz="4" w:space="0" w:color="auto"/>
              <w:bottom w:val="single" w:sz="4" w:space="0" w:color="auto"/>
              <w:right w:val="single" w:sz="4" w:space="0" w:color="auto"/>
            </w:tcBorders>
          </w:tcPr>
          <w:p w14:paraId="6BDA6811" w14:textId="77777777" w:rsidR="00651B6D" w:rsidRPr="00E81457" w:rsidRDefault="00651B6D" w:rsidP="00651B6D">
            <w:pPr>
              <w:ind w:firstLine="0"/>
              <w:jc w:val="right"/>
              <w:rPr>
                <w:noProof/>
                <w:sz w:val="18"/>
                <w:szCs w:val="18"/>
              </w:rPr>
            </w:pPr>
            <w:r w:rsidRPr="00E81457">
              <w:rPr>
                <w:i/>
                <w:iCs/>
                <w:noProof/>
                <w:sz w:val="18"/>
                <w:szCs w:val="18"/>
              </w:rPr>
              <w:t>-0,9</w:t>
            </w:r>
          </w:p>
        </w:tc>
        <w:tc>
          <w:tcPr>
            <w:tcW w:w="992" w:type="dxa"/>
            <w:tcBorders>
              <w:top w:val="nil"/>
              <w:left w:val="single" w:sz="4" w:space="0" w:color="auto"/>
              <w:bottom w:val="single" w:sz="4" w:space="0" w:color="auto"/>
              <w:right w:val="single" w:sz="4" w:space="0" w:color="auto"/>
            </w:tcBorders>
          </w:tcPr>
          <w:p w14:paraId="34D744FB" w14:textId="77777777" w:rsidR="00651B6D" w:rsidRPr="00E81457" w:rsidRDefault="00651B6D" w:rsidP="00651B6D">
            <w:pPr>
              <w:ind w:firstLine="0"/>
              <w:jc w:val="right"/>
              <w:rPr>
                <w:noProof/>
                <w:sz w:val="18"/>
                <w:szCs w:val="18"/>
              </w:rPr>
            </w:pPr>
            <w:r w:rsidRPr="00E81457">
              <w:rPr>
                <w:i/>
                <w:iCs/>
                <w:noProof/>
                <w:sz w:val="18"/>
                <w:szCs w:val="18"/>
              </w:rPr>
              <w:t>-0,9</w:t>
            </w:r>
          </w:p>
        </w:tc>
        <w:tc>
          <w:tcPr>
            <w:tcW w:w="986" w:type="dxa"/>
            <w:tcBorders>
              <w:top w:val="nil"/>
              <w:left w:val="single" w:sz="4" w:space="0" w:color="auto"/>
              <w:bottom w:val="single" w:sz="4" w:space="0" w:color="auto"/>
              <w:right w:val="single" w:sz="4" w:space="0" w:color="auto"/>
            </w:tcBorders>
          </w:tcPr>
          <w:p w14:paraId="417E2986" w14:textId="77777777" w:rsidR="00651B6D" w:rsidRPr="00E81457" w:rsidRDefault="00651B6D" w:rsidP="00651B6D">
            <w:pPr>
              <w:ind w:firstLine="0"/>
              <w:jc w:val="right"/>
              <w:rPr>
                <w:i/>
                <w:iCs/>
                <w:noProof/>
                <w:sz w:val="18"/>
                <w:szCs w:val="18"/>
              </w:rPr>
            </w:pPr>
            <w:r w:rsidRPr="00E81457">
              <w:rPr>
                <w:i/>
                <w:iCs/>
                <w:noProof/>
                <w:sz w:val="18"/>
                <w:szCs w:val="18"/>
              </w:rPr>
              <w:t>-0,9</w:t>
            </w:r>
          </w:p>
        </w:tc>
      </w:tr>
      <w:tr w:rsidR="00651B6D" w:rsidRPr="00E81457" w14:paraId="638E1AB7" w14:textId="77777777" w:rsidTr="00651B6D">
        <w:trPr>
          <w:cantSplit/>
          <w:trHeight w:val="414"/>
        </w:trPr>
        <w:tc>
          <w:tcPr>
            <w:tcW w:w="3390" w:type="dxa"/>
            <w:tcBorders>
              <w:left w:val="single" w:sz="4" w:space="0" w:color="auto"/>
              <w:right w:val="single" w:sz="4" w:space="0" w:color="auto"/>
            </w:tcBorders>
          </w:tcPr>
          <w:p w14:paraId="01A17CC7" w14:textId="1B8314FB" w:rsidR="00651B6D" w:rsidRPr="00E81457" w:rsidRDefault="00651B6D" w:rsidP="00651B6D">
            <w:pPr>
              <w:ind w:left="57" w:firstLine="0"/>
              <w:jc w:val="left"/>
              <w:rPr>
                <w:noProof/>
                <w:sz w:val="18"/>
                <w:szCs w:val="18"/>
              </w:rPr>
            </w:pPr>
            <w:r>
              <w:rPr>
                <w:noProof/>
                <w:sz w:val="18"/>
                <w:szCs w:val="18"/>
              </w:rPr>
              <w:t>Pievienotās vērtības nodokļa</w:t>
            </w:r>
            <w:r w:rsidRPr="00E81457">
              <w:rPr>
                <w:noProof/>
                <w:sz w:val="18"/>
                <w:szCs w:val="18"/>
              </w:rPr>
              <w:t xml:space="preserve"> likmes samazināšana no 12% līdz 5% grāmatu piegādei un preses un citu masu informācijas līdzekļu izdevumu vai publikāciju piegādei un to abonentmaksai</w:t>
            </w:r>
          </w:p>
        </w:tc>
        <w:tc>
          <w:tcPr>
            <w:tcW w:w="2701" w:type="dxa"/>
            <w:tcBorders>
              <w:top w:val="single" w:sz="4" w:space="0" w:color="auto"/>
              <w:left w:val="single" w:sz="4" w:space="0" w:color="auto"/>
              <w:bottom w:val="single" w:sz="4" w:space="0" w:color="auto"/>
              <w:right w:val="single" w:sz="4" w:space="0" w:color="auto"/>
            </w:tcBorders>
          </w:tcPr>
          <w:p w14:paraId="2B3C7EAA" w14:textId="77777777" w:rsidR="00651B6D" w:rsidRPr="00E81457" w:rsidRDefault="00651B6D" w:rsidP="00651B6D">
            <w:pPr>
              <w:ind w:right="113" w:firstLine="0"/>
              <w:jc w:val="left"/>
              <w:rPr>
                <w:noProof/>
                <w:sz w:val="18"/>
                <w:szCs w:val="18"/>
              </w:rPr>
            </w:pPr>
            <w:r w:rsidRPr="00E81457">
              <w:rPr>
                <w:noProof/>
                <w:sz w:val="18"/>
                <w:szCs w:val="18"/>
              </w:rPr>
              <w:t>Pievienotās vērtības nodoklis</w:t>
            </w:r>
          </w:p>
        </w:tc>
        <w:tc>
          <w:tcPr>
            <w:tcW w:w="992" w:type="dxa"/>
            <w:tcBorders>
              <w:top w:val="single" w:sz="4" w:space="0" w:color="auto"/>
              <w:left w:val="single" w:sz="4" w:space="0" w:color="auto"/>
              <w:bottom w:val="single" w:sz="4" w:space="0" w:color="auto"/>
              <w:right w:val="single" w:sz="4" w:space="0" w:color="auto"/>
            </w:tcBorders>
          </w:tcPr>
          <w:p w14:paraId="4AD40538" w14:textId="77777777" w:rsidR="00651B6D" w:rsidRPr="00E81457" w:rsidRDefault="00651B6D" w:rsidP="00651B6D">
            <w:pPr>
              <w:ind w:firstLine="0"/>
              <w:jc w:val="right"/>
              <w:rPr>
                <w:noProof/>
                <w:sz w:val="18"/>
                <w:szCs w:val="18"/>
              </w:rPr>
            </w:pPr>
            <w:r w:rsidRPr="00E81457">
              <w:rPr>
                <w:noProof/>
                <w:sz w:val="18"/>
                <w:szCs w:val="18"/>
              </w:rPr>
              <w:t>-4,8</w:t>
            </w:r>
          </w:p>
        </w:tc>
        <w:tc>
          <w:tcPr>
            <w:tcW w:w="992" w:type="dxa"/>
            <w:tcBorders>
              <w:top w:val="single" w:sz="4" w:space="0" w:color="auto"/>
              <w:left w:val="single" w:sz="4" w:space="0" w:color="auto"/>
              <w:bottom w:val="single" w:sz="4" w:space="0" w:color="auto"/>
              <w:right w:val="single" w:sz="4" w:space="0" w:color="auto"/>
            </w:tcBorders>
          </w:tcPr>
          <w:p w14:paraId="42D902EF" w14:textId="77777777" w:rsidR="00651B6D" w:rsidRPr="00E81457" w:rsidRDefault="00651B6D" w:rsidP="00651B6D">
            <w:pPr>
              <w:ind w:firstLine="0"/>
              <w:jc w:val="right"/>
              <w:rPr>
                <w:noProof/>
                <w:sz w:val="18"/>
                <w:szCs w:val="18"/>
              </w:rPr>
            </w:pPr>
            <w:r w:rsidRPr="00E81457">
              <w:rPr>
                <w:noProof/>
                <w:sz w:val="18"/>
                <w:szCs w:val="18"/>
              </w:rPr>
              <w:t>-4,8</w:t>
            </w:r>
          </w:p>
        </w:tc>
        <w:tc>
          <w:tcPr>
            <w:tcW w:w="986" w:type="dxa"/>
            <w:tcBorders>
              <w:top w:val="single" w:sz="4" w:space="0" w:color="auto"/>
              <w:left w:val="single" w:sz="4" w:space="0" w:color="auto"/>
              <w:bottom w:val="single" w:sz="4" w:space="0" w:color="auto"/>
              <w:right w:val="single" w:sz="4" w:space="0" w:color="auto"/>
            </w:tcBorders>
          </w:tcPr>
          <w:p w14:paraId="1A5254DB" w14:textId="77777777" w:rsidR="00651B6D" w:rsidRPr="00E81457" w:rsidRDefault="00651B6D" w:rsidP="00651B6D">
            <w:pPr>
              <w:ind w:firstLine="0"/>
              <w:jc w:val="right"/>
              <w:rPr>
                <w:noProof/>
                <w:sz w:val="18"/>
                <w:szCs w:val="18"/>
              </w:rPr>
            </w:pPr>
            <w:r w:rsidRPr="00E81457">
              <w:rPr>
                <w:noProof/>
                <w:sz w:val="18"/>
                <w:szCs w:val="18"/>
              </w:rPr>
              <w:t>-4,8</w:t>
            </w:r>
          </w:p>
        </w:tc>
      </w:tr>
      <w:tr w:rsidR="00651B6D" w:rsidRPr="00E81457" w14:paraId="20D75E94" w14:textId="77777777" w:rsidTr="00651B6D">
        <w:trPr>
          <w:cantSplit/>
          <w:trHeight w:val="311"/>
        </w:trPr>
        <w:tc>
          <w:tcPr>
            <w:tcW w:w="3390" w:type="dxa"/>
            <w:vMerge w:val="restart"/>
            <w:tcBorders>
              <w:left w:val="single" w:sz="4" w:space="0" w:color="auto"/>
              <w:right w:val="single" w:sz="4" w:space="0" w:color="auto"/>
            </w:tcBorders>
          </w:tcPr>
          <w:p w14:paraId="5DA3D16B" w14:textId="77777777" w:rsidR="00651B6D" w:rsidRPr="00AE64DF" w:rsidRDefault="00651B6D" w:rsidP="00651B6D">
            <w:pPr>
              <w:ind w:left="57" w:firstLine="0"/>
              <w:jc w:val="left"/>
              <w:rPr>
                <w:noProof/>
                <w:sz w:val="18"/>
                <w:szCs w:val="18"/>
              </w:rPr>
            </w:pPr>
            <w:r w:rsidRPr="00AE64DF">
              <w:rPr>
                <w:noProof/>
                <w:sz w:val="18"/>
                <w:szCs w:val="18"/>
              </w:rPr>
              <w:t>Valsts sociālās apdrošināšanas obligāto iemaksu maksimālā objekta palielināšana no 62 800 līdz 78 100 </w:t>
            </w:r>
            <w:r w:rsidRPr="00651B6D">
              <w:rPr>
                <w:i/>
                <w:noProof/>
                <w:sz w:val="18"/>
                <w:szCs w:val="18"/>
              </w:rPr>
              <w:t>euro</w:t>
            </w:r>
          </w:p>
        </w:tc>
        <w:tc>
          <w:tcPr>
            <w:tcW w:w="2701" w:type="dxa"/>
            <w:tcBorders>
              <w:top w:val="single" w:sz="4" w:space="0" w:color="auto"/>
              <w:left w:val="single" w:sz="4" w:space="0" w:color="auto"/>
              <w:bottom w:val="nil"/>
              <w:right w:val="single" w:sz="4" w:space="0" w:color="auto"/>
            </w:tcBorders>
          </w:tcPr>
          <w:p w14:paraId="70A5E822" w14:textId="77777777" w:rsidR="00651B6D" w:rsidRPr="00E81457" w:rsidRDefault="00651B6D" w:rsidP="00651B6D">
            <w:pPr>
              <w:ind w:right="113" w:firstLine="0"/>
              <w:jc w:val="left"/>
              <w:rPr>
                <w:noProof/>
                <w:sz w:val="18"/>
                <w:szCs w:val="18"/>
              </w:rPr>
            </w:pPr>
            <w:r w:rsidRPr="00E81457">
              <w:rPr>
                <w:noProof/>
                <w:sz w:val="18"/>
                <w:szCs w:val="18"/>
              </w:rPr>
              <w:t>Kopā, t.sk.:</w:t>
            </w:r>
          </w:p>
        </w:tc>
        <w:tc>
          <w:tcPr>
            <w:tcW w:w="992" w:type="dxa"/>
            <w:tcBorders>
              <w:top w:val="single" w:sz="4" w:space="0" w:color="auto"/>
              <w:left w:val="single" w:sz="4" w:space="0" w:color="auto"/>
              <w:bottom w:val="nil"/>
              <w:right w:val="single" w:sz="4" w:space="0" w:color="auto"/>
            </w:tcBorders>
          </w:tcPr>
          <w:p w14:paraId="27C760A1" w14:textId="77777777" w:rsidR="00651B6D" w:rsidRPr="00E81457" w:rsidRDefault="00651B6D" w:rsidP="00651B6D">
            <w:pPr>
              <w:ind w:firstLine="0"/>
              <w:jc w:val="right"/>
              <w:rPr>
                <w:noProof/>
                <w:sz w:val="18"/>
                <w:szCs w:val="18"/>
              </w:rPr>
            </w:pPr>
            <w:r w:rsidRPr="00E81457">
              <w:rPr>
                <w:noProof/>
                <w:sz w:val="18"/>
                <w:szCs w:val="18"/>
              </w:rPr>
              <w:t>+1,3</w:t>
            </w:r>
          </w:p>
        </w:tc>
        <w:tc>
          <w:tcPr>
            <w:tcW w:w="992" w:type="dxa"/>
            <w:tcBorders>
              <w:top w:val="single" w:sz="4" w:space="0" w:color="auto"/>
              <w:left w:val="single" w:sz="4" w:space="0" w:color="auto"/>
              <w:bottom w:val="nil"/>
              <w:right w:val="single" w:sz="4" w:space="0" w:color="auto"/>
            </w:tcBorders>
          </w:tcPr>
          <w:p w14:paraId="26D2D921" w14:textId="77777777" w:rsidR="00651B6D" w:rsidRPr="00E81457" w:rsidRDefault="00651B6D" w:rsidP="00651B6D">
            <w:pPr>
              <w:ind w:firstLine="0"/>
              <w:jc w:val="right"/>
              <w:rPr>
                <w:noProof/>
                <w:sz w:val="18"/>
                <w:szCs w:val="18"/>
              </w:rPr>
            </w:pPr>
            <w:r w:rsidRPr="00E81457">
              <w:rPr>
                <w:noProof/>
                <w:sz w:val="18"/>
                <w:szCs w:val="18"/>
              </w:rPr>
              <w:t>+2,6</w:t>
            </w:r>
          </w:p>
        </w:tc>
        <w:tc>
          <w:tcPr>
            <w:tcW w:w="986" w:type="dxa"/>
            <w:tcBorders>
              <w:top w:val="single" w:sz="4" w:space="0" w:color="auto"/>
              <w:left w:val="single" w:sz="4" w:space="0" w:color="auto"/>
              <w:bottom w:val="nil"/>
              <w:right w:val="single" w:sz="4" w:space="0" w:color="auto"/>
            </w:tcBorders>
          </w:tcPr>
          <w:p w14:paraId="01E09C43" w14:textId="77777777" w:rsidR="00651B6D" w:rsidRPr="00E81457" w:rsidRDefault="00651B6D" w:rsidP="00651B6D">
            <w:pPr>
              <w:ind w:firstLine="0"/>
              <w:jc w:val="right"/>
              <w:rPr>
                <w:noProof/>
                <w:sz w:val="18"/>
                <w:szCs w:val="18"/>
              </w:rPr>
            </w:pPr>
            <w:r w:rsidRPr="00E81457">
              <w:rPr>
                <w:noProof/>
                <w:sz w:val="18"/>
                <w:szCs w:val="18"/>
              </w:rPr>
              <w:t>+2,7</w:t>
            </w:r>
          </w:p>
        </w:tc>
      </w:tr>
      <w:tr w:rsidR="00651B6D" w:rsidRPr="00E81457" w14:paraId="605BEB0C" w14:textId="77777777" w:rsidTr="00651B6D">
        <w:trPr>
          <w:cantSplit/>
          <w:trHeight w:val="70"/>
        </w:trPr>
        <w:tc>
          <w:tcPr>
            <w:tcW w:w="3390" w:type="dxa"/>
            <w:vMerge/>
            <w:tcBorders>
              <w:left w:val="single" w:sz="4" w:space="0" w:color="auto"/>
              <w:right w:val="single" w:sz="4" w:space="0" w:color="auto"/>
            </w:tcBorders>
          </w:tcPr>
          <w:p w14:paraId="01541C01" w14:textId="77777777" w:rsidR="00651B6D" w:rsidRPr="00E81457" w:rsidRDefault="00651B6D" w:rsidP="00651B6D">
            <w:pPr>
              <w:ind w:left="57" w:firstLine="0"/>
              <w:jc w:val="left"/>
              <w:rPr>
                <w:noProof/>
                <w:sz w:val="18"/>
                <w:szCs w:val="18"/>
              </w:rPr>
            </w:pPr>
          </w:p>
        </w:tc>
        <w:tc>
          <w:tcPr>
            <w:tcW w:w="2701" w:type="dxa"/>
            <w:tcBorders>
              <w:top w:val="nil"/>
              <w:left w:val="single" w:sz="4" w:space="0" w:color="auto"/>
              <w:bottom w:val="nil"/>
              <w:right w:val="single" w:sz="4" w:space="0" w:color="auto"/>
            </w:tcBorders>
          </w:tcPr>
          <w:p w14:paraId="12C2FA61" w14:textId="77777777" w:rsidR="00651B6D" w:rsidRPr="00E81457" w:rsidRDefault="00651B6D" w:rsidP="00651B6D">
            <w:pPr>
              <w:ind w:left="187" w:right="113" w:firstLine="0"/>
              <w:jc w:val="left"/>
              <w:rPr>
                <w:noProof/>
                <w:sz w:val="18"/>
                <w:szCs w:val="18"/>
              </w:rPr>
            </w:pPr>
            <w:r w:rsidRPr="00E81457">
              <w:rPr>
                <w:i/>
                <w:iCs/>
                <w:noProof/>
                <w:sz w:val="18"/>
                <w:szCs w:val="18"/>
              </w:rPr>
              <w:t>Iedzīvotāju ienākuma nodoklis</w:t>
            </w:r>
          </w:p>
        </w:tc>
        <w:tc>
          <w:tcPr>
            <w:tcW w:w="992" w:type="dxa"/>
            <w:tcBorders>
              <w:top w:val="nil"/>
              <w:left w:val="single" w:sz="4" w:space="0" w:color="auto"/>
              <w:bottom w:val="nil"/>
              <w:right w:val="single" w:sz="4" w:space="0" w:color="auto"/>
            </w:tcBorders>
          </w:tcPr>
          <w:p w14:paraId="5D0C0E90" w14:textId="77777777" w:rsidR="00651B6D" w:rsidRPr="00E81457" w:rsidRDefault="00651B6D" w:rsidP="00651B6D">
            <w:pPr>
              <w:ind w:firstLine="0"/>
              <w:jc w:val="right"/>
              <w:rPr>
                <w:i/>
                <w:noProof/>
                <w:sz w:val="18"/>
                <w:szCs w:val="18"/>
              </w:rPr>
            </w:pPr>
            <w:r w:rsidRPr="00E81457">
              <w:rPr>
                <w:i/>
                <w:noProof/>
                <w:sz w:val="18"/>
                <w:szCs w:val="18"/>
              </w:rPr>
              <w:t>-3,1</w:t>
            </w:r>
          </w:p>
        </w:tc>
        <w:tc>
          <w:tcPr>
            <w:tcW w:w="992" w:type="dxa"/>
            <w:tcBorders>
              <w:top w:val="nil"/>
              <w:left w:val="single" w:sz="4" w:space="0" w:color="auto"/>
              <w:bottom w:val="nil"/>
              <w:right w:val="single" w:sz="4" w:space="0" w:color="auto"/>
            </w:tcBorders>
          </w:tcPr>
          <w:p w14:paraId="32979FEA" w14:textId="77777777" w:rsidR="00651B6D" w:rsidRPr="00E81457" w:rsidRDefault="00651B6D" w:rsidP="00651B6D">
            <w:pPr>
              <w:ind w:firstLine="0"/>
              <w:jc w:val="right"/>
              <w:rPr>
                <w:i/>
                <w:noProof/>
                <w:sz w:val="18"/>
                <w:szCs w:val="18"/>
              </w:rPr>
            </w:pPr>
            <w:r w:rsidRPr="00E81457">
              <w:rPr>
                <w:i/>
                <w:noProof/>
                <w:sz w:val="18"/>
                <w:szCs w:val="18"/>
              </w:rPr>
              <w:t>-7,0</w:t>
            </w:r>
          </w:p>
        </w:tc>
        <w:tc>
          <w:tcPr>
            <w:tcW w:w="986" w:type="dxa"/>
            <w:tcBorders>
              <w:top w:val="nil"/>
              <w:left w:val="single" w:sz="4" w:space="0" w:color="auto"/>
              <w:bottom w:val="nil"/>
              <w:right w:val="single" w:sz="4" w:space="0" w:color="auto"/>
            </w:tcBorders>
          </w:tcPr>
          <w:p w14:paraId="7DDE9DE2" w14:textId="77777777" w:rsidR="00651B6D" w:rsidRPr="00E81457" w:rsidRDefault="00651B6D" w:rsidP="00651B6D">
            <w:pPr>
              <w:ind w:firstLine="0"/>
              <w:jc w:val="right"/>
              <w:rPr>
                <w:i/>
                <w:noProof/>
                <w:sz w:val="18"/>
                <w:szCs w:val="18"/>
              </w:rPr>
            </w:pPr>
            <w:r w:rsidRPr="00E81457">
              <w:rPr>
                <w:i/>
                <w:noProof/>
                <w:sz w:val="18"/>
                <w:szCs w:val="18"/>
              </w:rPr>
              <w:t>-7,5</w:t>
            </w:r>
          </w:p>
        </w:tc>
      </w:tr>
      <w:tr w:rsidR="00651B6D" w:rsidRPr="00E81457" w14:paraId="54FC3388" w14:textId="77777777" w:rsidTr="00651B6D">
        <w:trPr>
          <w:cantSplit/>
          <w:trHeight w:val="341"/>
        </w:trPr>
        <w:tc>
          <w:tcPr>
            <w:tcW w:w="3390" w:type="dxa"/>
            <w:vMerge/>
            <w:tcBorders>
              <w:left w:val="single" w:sz="4" w:space="0" w:color="auto"/>
              <w:right w:val="single" w:sz="4" w:space="0" w:color="auto"/>
            </w:tcBorders>
          </w:tcPr>
          <w:p w14:paraId="4155269E" w14:textId="77777777" w:rsidR="00651B6D" w:rsidRPr="00E81457" w:rsidRDefault="00651B6D" w:rsidP="00651B6D">
            <w:pPr>
              <w:ind w:left="57" w:firstLine="0"/>
              <w:jc w:val="left"/>
              <w:rPr>
                <w:noProof/>
                <w:sz w:val="18"/>
                <w:szCs w:val="18"/>
              </w:rPr>
            </w:pPr>
          </w:p>
        </w:tc>
        <w:tc>
          <w:tcPr>
            <w:tcW w:w="2701" w:type="dxa"/>
            <w:tcBorders>
              <w:top w:val="nil"/>
              <w:left w:val="single" w:sz="4" w:space="0" w:color="auto"/>
              <w:bottom w:val="single" w:sz="4" w:space="0" w:color="auto"/>
              <w:right w:val="single" w:sz="4" w:space="0" w:color="auto"/>
            </w:tcBorders>
          </w:tcPr>
          <w:p w14:paraId="7AB74D84" w14:textId="77777777" w:rsidR="00651B6D" w:rsidRPr="00E81457" w:rsidRDefault="00651B6D" w:rsidP="00651B6D">
            <w:pPr>
              <w:ind w:left="187" w:right="113" w:firstLine="0"/>
              <w:jc w:val="left"/>
              <w:rPr>
                <w:noProof/>
                <w:sz w:val="18"/>
                <w:szCs w:val="18"/>
              </w:rPr>
            </w:pPr>
            <w:r w:rsidRPr="00E81457">
              <w:rPr>
                <w:i/>
                <w:sz w:val="18"/>
                <w:szCs w:val="18"/>
              </w:rPr>
              <w:t>Sociālās apdrošināšanas iemaksas</w:t>
            </w:r>
          </w:p>
        </w:tc>
        <w:tc>
          <w:tcPr>
            <w:tcW w:w="992" w:type="dxa"/>
            <w:tcBorders>
              <w:top w:val="nil"/>
              <w:left w:val="single" w:sz="4" w:space="0" w:color="auto"/>
              <w:bottom w:val="single" w:sz="4" w:space="0" w:color="auto"/>
              <w:right w:val="single" w:sz="4" w:space="0" w:color="auto"/>
            </w:tcBorders>
          </w:tcPr>
          <w:p w14:paraId="6525C427" w14:textId="77777777" w:rsidR="00651B6D" w:rsidRPr="00E81457" w:rsidRDefault="00651B6D" w:rsidP="00651B6D">
            <w:pPr>
              <w:ind w:firstLine="0"/>
              <w:jc w:val="right"/>
              <w:rPr>
                <w:i/>
                <w:noProof/>
                <w:sz w:val="18"/>
                <w:szCs w:val="18"/>
              </w:rPr>
            </w:pPr>
            <w:r w:rsidRPr="00E81457">
              <w:rPr>
                <w:i/>
                <w:noProof/>
                <w:sz w:val="18"/>
                <w:szCs w:val="18"/>
              </w:rPr>
              <w:t>+4,4</w:t>
            </w:r>
          </w:p>
        </w:tc>
        <w:tc>
          <w:tcPr>
            <w:tcW w:w="992" w:type="dxa"/>
            <w:tcBorders>
              <w:top w:val="nil"/>
              <w:left w:val="single" w:sz="4" w:space="0" w:color="auto"/>
              <w:bottom w:val="single" w:sz="4" w:space="0" w:color="auto"/>
              <w:right w:val="single" w:sz="4" w:space="0" w:color="auto"/>
            </w:tcBorders>
          </w:tcPr>
          <w:p w14:paraId="74E2E81A" w14:textId="77777777" w:rsidR="00651B6D" w:rsidRPr="00E81457" w:rsidRDefault="00651B6D" w:rsidP="00651B6D">
            <w:pPr>
              <w:ind w:firstLine="0"/>
              <w:jc w:val="right"/>
              <w:rPr>
                <w:i/>
                <w:noProof/>
                <w:sz w:val="18"/>
                <w:szCs w:val="18"/>
              </w:rPr>
            </w:pPr>
            <w:r w:rsidRPr="00E81457">
              <w:rPr>
                <w:i/>
                <w:noProof/>
                <w:sz w:val="18"/>
                <w:szCs w:val="18"/>
              </w:rPr>
              <w:t>+9,5</w:t>
            </w:r>
          </w:p>
        </w:tc>
        <w:tc>
          <w:tcPr>
            <w:tcW w:w="986" w:type="dxa"/>
            <w:tcBorders>
              <w:top w:val="nil"/>
              <w:left w:val="single" w:sz="4" w:space="0" w:color="auto"/>
              <w:bottom w:val="single" w:sz="4" w:space="0" w:color="auto"/>
              <w:right w:val="single" w:sz="4" w:space="0" w:color="auto"/>
            </w:tcBorders>
          </w:tcPr>
          <w:p w14:paraId="3FEF28C7" w14:textId="77777777" w:rsidR="00651B6D" w:rsidRPr="00E81457" w:rsidRDefault="00651B6D" w:rsidP="00651B6D">
            <w:pPr>
              <w:ind w:firstLine="0"/>
              <w:jc w:val="right"/>
              <w:rPr>
                <w:i/>
                <w:noProof/>
                <w:sz w:val="18"/>
                <w:szCs w:val="18"/>
              </w:rPr>
            </w:pPr>
            <w:r w:rsidRPr="00E81457">
              <w:rPr>
                <w:i/>
                <w:noProof/>
                <w:sz w:val="18"/>
                <w:szCs w:val="18"/>
              </w:rPr>
              <w:t>+10,2</w:t>
            </w:r>
          </w:p>
        </w:tc>
      </w:tr>
      <w:tr w:rsidR="00651B6D" w:rsidRPr="00EB4346" w14:paraId="5F814671" w14:textId="77777777" w:rsidTr="00651B6D">
        <w:trPr>
          <w:cantSplit/>
          <w:trHeight w:val="399"/>
        </w:trPr>
        <w:tc>
          <w:tcPr>
            <w:tcW w:w="9061" w:type="dxa"/>
            <w:gridSpan w:val="5"/>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A51CF0E" w14:textId="77777777" w:rsidR="00651B6D" w:rsidRPr="00EB4346" w:rsidRDefault="00651B6D" w:rsidP="00651B6D">
            <w:pPr>
              <w:ind w:left="113" w:firstLine="0"/>
              <w:jc w:val="center"/>
              <w:rPr>
                <w:bCs/>
                <w:i/>
                <w:iCs/>
                <w:noProof/>
                <w:sz w:val="18"/>
                <w:szCs w:val="18"/>
              </w:rPr>
            </w:pPr>
            <w:r w:rsidRPr="00EB4346">
              <w:rPr>
                <w:bCs/>
                <w:i/>
                <w:iCs/>
                <w:noProof/>
                <w:sz w:val="18"/>
                <w:szCs w:val="18"/>
              </w:rPr>
              <w:t>N</w:t>
            </w:r>
            <w:r>
              <w:rPr>
                <w:bCs/>
                <w:i/>
                <w:iCs/>
                <w:noProof/>
                <w:sz w:val="18"/>
                <w:szCs w:val="18"/>
              </w:rPr>
              <w:t xml:space="preserve">enodokļu </w:t>
            </w:r>
            <w:r w:rsidRPr="00EB4346">
              <w:rPr>
                <w:bCs/>
                <w:i/>
                <w:iCs/>
                <w:noProof/>
                <w:sz w:val="18"/>
                <w:szCs w:val="18"/>
              </w:rPr>
              <w:t xml:space="preserve"> pasākumi</w:t>
            </w:r>
          </w:p>
        </w:tc>
      </w:tr>
      <w:tr w:rsidR="00651B6D" w:rsidRPr="00E81457" w14:paraId="2ADB5FA1" w14:textId="77777777" w:rsidTr="00651B6D">
        <w:trPr>
          <w:cantSplit/>
          <w:trHeight w:val="397"/>
        </w:trPr>
        <w:tc>
          <w:tcPr>
            <w:tcW w:w="3390" w:type="dxa"/>
            <w:tcBorders>
              <w:top w:val="single" w:sz="4" w:space="0" w:color="auto"/>
              <w:left w:val="single" w:sz="4" w:space="0" w:color="auto"/>
              <w:bottom w:val="single" w:sz="4" w:space="0" w:color="auto"/>
              <w:right w:val="single" w:sz="4" w:space="0" w:color="auto"/>
            </w:tcBorders>
            <w:hideMark/>
          </w:tcPr>
          <w:p w14:paraId="7D784EA3" w14:textId="77777777" w:rsidR="00651B6D" w:rsidRPr="00E81457" w:rsidRDefault="00651B6D" w:rsidP="00651B6D">
            <w:pPr>
              <w:ind w:left="57" w:firstLine="0"/>
              <w:jc w:val="left"/>
              <w:rPr>
                <w:b/>
                <w:bCs/>
                <w:noProof/>
                <w:sz w:val="18"/>
                <w:szCs w:val="18"/>
                <w:highlight w:val="yellow"/>
              </w:rPr>
            </w:pPr>
            <w:r w:rsidRPr="00E81457">
              <w:rPr>
                <w:noProof/>
                <w:sz w:val="18"/>
                <w:szCs w:val="18"/>
              </w:rPr>
              <w:t>Ieņēmumu prognozes papielināšana valsts nodevai par grāmatvedības ārpakalpojuma sniedzēju licencēšanu</w:t>
            </w:r>
          </w:p>
        </w:tc>
        <w:tc>
          <w:tcPr>
            <w:tcW w:w="2701" w:type="dxa"/>
            <w:tcBorders>
              <w:top w:val="single" w:sz="4" w:space="0" w:color="auto"/>
              <w:left w:val="single" w:sz="4" w:space="0" w:color="auto"/>
              <w:bottom w:val="single" w:sz="4" w:space="0" w:color="auto"/>
              <w:right w:val="single" w:sz="4" w:space="0" w:color="auto"/>
            </w:tcBorders>
            <w:hideMark/>
          </w:tcPr>
          <w:p w14:paraId="0B6DD182" w14:textId="77777777" w:rsidR="00651B6D" w:rsidRPr="00E81457" w:rsidRDefault="00651B6D" w:rsidP="00651B6D">
            <w:pPr>
              <w:ind w:firstLine="0"/>
              <w:jc w:val="left"/>
              <w:rPr>
                <w:noProof/>
                <w:sz w:val="18"/>
                <w:szCs w:val="18"/>
              </w:rPr>
            </w:pPr>
            <w:r w:rsidRPr="00E81457">
              <w:rPr>
                <w:noProof/>
                <w:sz w:val="18"/>
                <w:szCs w:val="18"/>
              </w:rPr>
              <w:t>Nenodokļi</w:t>
            </w:r>
          </w:p>
        </w:tc>
        <w:tc>
          <w:tcPr>
            <w:tcW w:w="992" w:type="dxa"/>
            <w:tcBorders>
              <w:top w:val="single" w:sz="4" w:space="0" w:color="auto"/>
              <w:left w:val="single" w:sz="4" w:space="0" w:color="auto"/>
              <w:bottom w:val="single" w:sz="4" w:space="0" w:color="auto"/>
              <w:right w:val="single" w:sz="4" w:space="0" w:color="auto"/>
            </w:tcBorders>
            <w:hideMark/>
          </w:tcPr>
          <w:p w14:paraId="0F0B194F" w14:textId="77777777" w:rsidR="00651B6D" w:rsidRPr="00E81457" w:rsidRDefault="00651B6D" w:rsidP="00651B6D">
            <w:pPr>
              <w:ind w:firstLine="0"/>
              <w:jc w:val="right"/>
              <w:rPr>
                <w:noProof/>
                <w:sz w:val="18"/>
                <w:szCs w:val="18"/>
              </w:rPr>
            </w:pPr>
            <w:r w:rsidRPr="00E81457">
              <w:rPr>
                <w:noProof/>
                <w:sz w:val="18"/>
                <w:szCs w:val="18"/>
              </w:rPr>
              <w:t>+0,6</w:t>
            </w:r>
          </w:p>
        </w:tc>
        <w:tc>
          <w:tcPr>
            <w:tcW w:w="992" w:type="dxa"/>
            <w:tcBorders>
              <w:top w:val="single" w:sz="4" w:space="0" w:color="auto"/>
              <w:left w:val="single" w:sz="4" w:space="0" w:color="auto"/>
              <w:bottom w:val="single" w:sz="4" w:space="0" w:color="auto"/>
              <w:right w:val="single" w:sz="4" w:space="0" w:color="auto"/>
            </w:tcBorders>
          </w:tcPr>
          <w:p w14:paraId="37D69E34" w14:textId="77777777" w:rsidR="00651B6D" w:rsidRPr="00E81457" w:rsidRDefault="00651B6D" w:rsidP="00651B6D">
            <w:pPr>
              <w:ind w:firstLine="0"/>
              <w:jc w:val="right"/>
              <w:rPr>
                <w:noProof/>
                <w:sz w:val="18"/>
                <w:szCs w:val="18"/>
              </w:rPr>
            </w:pPr>
            <w:r w:rsidRPr="00E81457">
              <w:rPr>
                <w:noProof/>
                <w:sz w:val="18"/>
                <w:szCs w:val="18"/>
              </w:rPr>
              <w:t>+0,08</w:t>
            </w:r>
          </w:p>
        </w:tc>
        <w:tc>
          <w:tcPr>
            <w:tcW w:w="986" w:type="dxa"/>
            <w:tcBorders>
              <w:top w:val="single" w:sz="4" w:space="0" w:color="auto"/>
              <w:left w:val="single" w:sz="4" w:space="0" w:color="auto"/>
              <w:bottom w:val="single" w:sz="4" w:space="0" w:color="auto"/>
              <w:right w:val="single" w:sz="4" w:space="0" w:color="auto"/>
            </w:tcBorders>
          </w:tcPr>
          <w:p w14:paraId="3F7FF4B3" w14:textId="77777777" w:rsidR="00651B6D" w:rsidRPr="00E81457" w:rsidRDefault="00651B6D" w:rsidP="00651B6D">
            <w:pPr>
              <w:ind w:firstLine="0"/>
              <w:jc w:val="right"/>
              <w:rPr>
                <w:noProof/>
                <w:sz w:val="18"/>
                <w:szCs w:val="18"/>
              </w:rPr>
            </w:pPr>
            <w:r w:rsidRPr="00E81457">
              <w:rPr>
                <w:noProof/>
                <w:sz w:val="18"/>
                <w:szCs w:val="18"/>
              </w:rPr>
              <w:t>+0,05</w:t>
            </w:r>
          </w:p>
        </w:tc>
      </w:tr>
      <w:tr w:rsidR="00651B6D" w:rsidRPr="00E81457" w14:paraId="1D86963F" w14:textId="77777777" w:rsidTr="00651B6D">
        <w:trPr>
          <w:cantSplit/>
          <w:trHeight w:val="468"/>
        </w:trPr>
        <w:tc>
          <w:tcPr>
            <w:tcW w:w="3390" w:type="dxa"/>
            <w:tcBorders>
              <w:top w:val="single" w:sz="4" w:space="0" w:color="auto"/>
              <w:left w:val="single" w:sz="4" w:space="0" w:color="auto"/>
              <w:bottom w:val="single" w:sz="4" w:space="0" w:color="auto"/>
              <w:right w:val="single" w:sz="4" w:space="0" w:color="auto"/>
            </w:tcBorders>
            <w:hideMark/>
          </w:tcPr>
          <w:p w14:paraId="3CF06CD8" w14:textId="77777777" w:rsidR="00651B6D" w:rsidRPr="00E81457" w:rsidRDefault="00651B6D" w:rsidP="00651B6D">
            <w:pPr>
              <w:ind w:left="57" w:firstLine="0"/>
              <w:jc w:val="left"/>
              <w:rPr>
                <w:b/>
                <w:bCs/>
                <w:noProof/>
                <w:sz w:val="18"/>
                <w:szCs w:val="18"/>
                <w:highlight w:val="yellow"/>
              </w:rPr>
            </w:pPr>
            <w:r w:rsidRPr="00E81457">
              <w:rPr>
                <w:noProof/>
                <w:sz w:val="18"/>
                <w:szCs w:val="18"/>
              </w:rPr>
              <w:t>Ieņēmumu palielināšana no naudas sodiem, ko uzliek Valsts policija par procesuālajiem izdevumiem administratīvajās lietās</w:t>
            </w:r>
          </w:p>
        </w:tc>
        <w:tc>
          <w:tcPr>
            <w:tcW w:w="2701" w:type="dxa"/>
            <w:tcBorders>
              <w:top w:val="single" w:sz="4" w:space="0" w:color="auto"/>
              <w:left w:val="single" w:sz="4" w:space="0" w:color="auto"/>
              <w:bottom w:val="single" w:sz="4" w:space="0" w:color="auto"/>
              <w:right w:val="single" w:sz="4" w:space="0" w:color="auto"/>
            </w:tcBorders>
            <w:hideMark/>
          </w:tcPr>
          <w:p w14:paraId="6E8C6DA3" w14:textId="77777777" w:rsidR="00651B6D" w:rsidRPr="00E81457" w:rsidRDefault="00651B6D" w:rsidP="00651B6D">
            <w:pPr>
              <w:ind w:firstLine="0"/>
              <w:jc w:val="left"/>
              <w:rPr>
                <w:noProof/>
                <w:sz w:val="18"/>
                <w:szCs w:val="18"/>
              </w:rPr>
            </w:pPr>
            <w:r w:rsidRPr="00E81457">
              <w:rPr>
                <w:noProof/>
                <w:sz w:val="18"/>
                <w:szCs w:val="18"/>
              </w:rPr>
              <w:t>Nenodokļi</w:t>
            </w:r>
          </w:p>
        </w:tc>
        <w:tc>
          <w:tcPr>
            <w:tcW w:w="992" w:type="dxa"/>
            <w:tcBorders>
              <w:top w:val="single" w:sz="4" w:space="0" w:color="auto"/>
              <w:left w:val="single" w:sz="4" w:space="0" w:color="auto"/>
              <w:bottom w:val="single" w:sz="4" w:space="0" w:color="auto"/>
              <w:right w:val="single" w:sz="4" w:space="0" w:color="auto"/>
            </w:tcBorders>
            <w:hideMark/>
          </w:tcPr>
          <w:p w14:paraId="1C56F7E2" w14:textId="77777777" w:rsidR="00651B6D" w:rsidRPr="00E81457" w:rsidRDefault="00651B6D" w:rsidP="00651B6D">
            <w:pPr>
              <w:ind w:firstLine="0"/>
              <w:jc w:val="right"/>
              <w:rPr>
                <w:noProof/>
                <w:sz w:val="18"/>
                <w:szCs w:val="18"/>
                <w:highlight w:val="yellow"/>
              </w:rPr>
            </w:pPr>
            <w:r w:rsidRPr="00E81457">
              <w:rPr>
                <w:noProof/>
                <w:sz w:val="18"/>
                <w:szCs w:val="18"/>
              </w:rPr>
              <w:t>+0,02</w:t>
            </w:r>
          </w:p>
        </w:tc>
        <w:tc>
          <w:tcPr>
            <w:tcW w:w="992" w:type="dxa"/>
            <w:tcBorders>
              <w:top w:val="single" w:sz="4" w:space="0" w:color="auto"/>
              <w:left w:val="single" w:sz="4" w:space="0" w:color="auto"/>
              <w:bottom w:val="single" w:sz="4" w:space="0" w:color="auto"/>
              <w:right w:val="single" w:sz="4" w:space="0" w:color="auto"/>
            </w:tcBorders>
          </w:tcPr>
          <w:p w14:paraId="4F7061B5" w14:textId="77777777" w:rsidR="00651B6D" w:rsidRPr="00E81457" w:rsidRDefault="00651B6D" w:rsidP="00651B6D">
            <w:pPr>
              <w:ind w:firstLine="0"/>
              <w:jc w:val="right"/>
              <w:rPr>
                <w:noProof/>
                <w:sz w:val="18"/>
                <w:szCs w:val="18"/>
              </w:rPr>
            </w:pPr>
            <w:r w:rsidRPr="00E81457">
              <w:rPr>
                <w:noProof/>
                <w:sz w:val="18"/>
                <w:szCs w:val="18"/>
              </w:rPr>
              <w:t>+0,02</w:t>
            </w:r>
          </w:p>
        </w:tc>
        <w:tc>
          <w:tcPr>
            <w:tcW w:w="986" w:type="dxa"/>
            <w:tcBorders>
              <w:top w:val="single" w:sz="4" w:space="0" w:color="auto"/>
              <w:left w:val="single" w:sz="4" w:space="0" w:color="auto"/>
              <w:bottom w:val="single" w:sz="4" w:space="0" w:color="auto"/>
              <w:right w:val="single" w:sz="4" w:space="0" w:color="auto"/>
            </w:tcBorders>
          </w:tcPr>
          <w:p w14:paraId="256136F8" w14:textId="77777777" w:rsidR="00651B6D" w:rsidRPr="00E81457" w:rsidRDefault="00651B6D" w:rsidP="00651B6D">
            <w:pPr>
              <w:ind w:firstLine="0"/>
              <w:jc w:val="right"/>
              <w:rPr>
                <w:noProof/>
                <w:sz w:val="18"/>
                <w:szCs w:val="18"/>
              </w:rPr>
            </w:pPr>
            <w:r w:rsidRPr="00E81457">
              <w:rPr>
                <w:noProof/>
                <w:sz w:val="18"/>
                <w:szCs w:val="18"/>
              </w:rPr>
              <w:t>+0,02</w:t>
            </w:r>
          </w:p>
        </w:tc>
      </w:tr>
      <w:tr w:rsidR="00651B6D" w:rsidRPr="00E81457" w14:paraId="0610F0A5" w14:textId="77777777" w:rsidTr="00651B6D">
        <w:trPr>
          <w:cantSplit/>
          <w:trHeight w:val="480"/>
        </w:trPr>
        <w:tc>
          <w:tcPr>
            <w:tcW w:w="3390" w:type="dxa"/>
            <w:tcBorders>
              <w:top w:val="single" w:sz="4" w:space="0" w:color="auto"/>
              <w:left w:val="single" w:sz="4" w:space="0" w:color="auto"/>
              <w:bottom w:val="single" w:sz="4" w:space="0" w:color="auto"/>
              <w:right w:val="single" w:sz="4" w:space="0" w:color="auto"/>
            </w:tcBorders>
            <w:hideMark/>
          </w:tcPr>
          <w:p w14:paraId="4F3EB3AC" w14:textId="77777777" w:rsidR="00651B6D" w:rsidRPr="00E81457" w:rsidRDefault="00651B6D" w:rsidP="00651B6D">
            <w:pPr>
              <w:ind w:left="57" w:firstLine="0"/>
              <w:jc w:val="left"/>
              <w:rPr>
                <w:b/>
                <w:bCs/>
                <w:noProof/>
                <w:sz w:val="18"/>
                <w:szCs w:val="18"/>
              </w:rPr>
            </w:pPr>
            <w:r w:rsidRPr="00E81457">
              <w:rPr>
                <w:noProof/>
                <w:sz w:val="18"/>
                <w:szCs w:val="18"/>
              </w:rPr>
              <w:t>Ieņēmumu palielināšana no pārējiem naudas sodiem, ko uzliek Valsts policija par pārkāpumiem ceļu satiksmē</w:t>
            </w:r>
          </w:p>
        </w:tc>
        <w:tc>
          <w:tcPr>
            <w:tcW w:w="2701" w:type="dxa"/>
            <w:tcBorders>
              <w:top w:val="single" w:sz="4" w:space="0" w:color="auto"/>
              <w:left w:val="single" w:sz="4" w:space="0" w:color="auto"/>
              <w:bottom w:val="single" w:sz="4" w:space="0" w:color="auto"/>
              <w:right w:val="single" w:sz="4" w:space="0" w:color="auto"/>
            </w:tcBorders>
            <w:hideMark/>
          </w:tcPr>
          <w:p w14:paraId="337F9D95" w14:textId="77777777" w:rsidR="00651B6D" w:rsidRPr="00E81457" w:rsidRDefault="00651B6D" w:rsidP="00651B6D">
            <w:pPr>
              <w:ind w:firstLine="0"/>
              <w:jc w:val="left"/>
              <w:rPr>
                <w:noProof/>
                <w:sz w:val="18"/>
                <w:szCs w:val="18"/>
              </w:rPr>
            </w:pPr>
            <w:r w:rsidRPr="00E81457">
              <w:rPr>
                <w:noProof/>
                <w:sz w:val="18"/>
                <w:szCs w:val="18"/>
              </w:rPr>
              <w:t>Nenodokļi</w:t>
            </w:r>
          </w:p>
        </w:tc>
        <w:tc>
          <w:tcPr>
            <w:tcW w:w="992" w:type="dxa"/>
            <w:tcBorders>
              <w:top w:val="single" w:sz="4" w:space="0" w:color="auto"/>
              <w:left w:val="single" w:sz="4" w:space="0" w:color="auto"/>
              <w:bottom w:val="single" w:sz="4" w:space="0" w:color="auto"/>
              <w:right w:val="single" w:sz="4" w:space="0" w:color="auto"/>
            </w:tcBorders>
            <w:hideMark/>
          </w:tcPr>
          <w:p w14:paraId="41CD3DA3" w14:textId="77777777" w:rsidR="00651B6D" w:rsidRPr="00E81457" w:rsidRDefault="00651B6D" w:rsidP="00651B6D">
            <w:pPr>
              <w:ind w:firstLine="0"/>
              <w:jc w:val="right"/>
              <w:rPr>
                <w:noProof/>
                <w:sz w:val="18"/>
                <w:szCs w:val="18"/>
              </w:rPr>
            </w:pPr>
            <w:r w:rsidRPr="00E81457">
              <w:rPr>
                <w:noProof/>
                <w:sz w:val="18"/>
                <w:szCs w:val="18"/>
              </w:rPr>
              <w:t>+0,2</w:t>
            </w:r>
          </w:p>
        </w:tc>
        <w:tc>
          <w:tcPr>
            <w:tcW w:w="992" w:type="dxa"/>
            <w:tcBorders>
              <w:top w:val="single" w:sz="4" w:space="0" w:color="auto"/>
              <w:left w:val="single" w:sz="4" w:space="0" w:color="auto"/>
              <w:bottom w:val="single" w:sz="4" w:space="0" w:color="auto"/>
              <w:right w:val="single" w:sz="4" w:space="0" w:color="auto"/>
            </w:tcBorders>
          </w:tcPr>
          <w:p w14:paraId="79C26E41" w14:textId="77777777" w:rsidR="00651B6D" w:rsidRPr="00E81457" w:rsidRDefault="00651B6D" w:rsidP="00651B6D">
            <w:pPr>
              <w:ind w:firstLine="0"/>
              <w:jc w:val="right"/>
              <w:rPr>
                <w:noProof/>
                <w:sz w:val="18"/>
                <w:szCs w:val="18"/>
              </w:rPr>
            </w:pPr>
          </w:p>
        </w:tc>
        <w:tc>
          <w:tcPr>
            <w:tcW w:w="986" w:type="dxa"/>
            <w:tcBorders>
              <w:top w:val="single" w:sz="4" w:space="0" w:color="auto"/>
              <w:left w:val="single" w:sz="4" w:space="0" w:color="auto"/>
              <w:bottom w:val="single" w:sz="4" w:space="0" w:color="auto"/>
              <w:right w:val="single" w:sz="4" w:space="0" w:color="auto"/>
            </w:tcBorders>
          </w:tcPr>
          <w:p w14:paraId="330C9DDD" w14:textId="77777777" w:rsidR="00651B6D" w:rsidRPr="00E81457" w:rsidRDefault="00651B6D" w:rsidP="00651B6D">
            <w:pPr>
              <w:ind w:firstLine="0"/>
              <w:jc w:val="right"/>
              <w:rPr>
                <w:noProof/>
                <w:sz w:val="18"/>
                <w:szCs w:val="18"/>
              </w:rPr>
            </w:pPr>
          </w:p>
        </w:tc>
      </w:tr>
      <w:tr w:rsidR="00651B6D" w:rsidRPr="00E81457" w14:paraId="6431028A" w14:textId="77777777" w:rsidTr="00651B6D">
        <w:trPr>
          <w:cantSplit/>
          <w:trHeight w:val="295"/>
        </w:trPr>
        <w:tc>
          <w:tcPr>
            <w:tcW w:w="3390" w:type="dxa"/>
            <w:vMerge w:val="restart"/>
            <w:tcBorders>
              <w:top w:val="single" w:sz="4" w:space="0" w:color="auto"/>
              <w:left w:val="single" w:sz="4" w:space="0" w:color="auto"/>
              <w:bottom w:val="single" w:sz="4" w:space="0" w:color="auto"/>
              <w:right w:val="single" w:sz="4" w:space="0" w:color="auto"/>
            </w:tcBorders>
            <w:hideMark/>
          </w:tcPr>
          <w:p w14:paraId="52EC96BF" w14:textId="384831FC" w:rsidR="00651B6D" w:rsidRPr="00E81457" w:rsidRDefault="00651B6D" w:rsidP="00651B6D">
            <w:pPr>
              <w:ind w:left="57" w:firstLine="0"/>
              <w:jc w:val="left"/>
              <w:rPr>
                <w:b/>
                <w:bCs/>
                <w:noProof/>
                <w:sz w:val="18"/>
                <w:szCs w:val="18"/>
              </w:rPr>
            </w:pPr>
            <w:r>
              <w:rPr>
                <w:noProof/>
                <w:sz w:val="18"/>
                <w:szCs w:val="18"/>
              </w:rPr>
              <w:t>Papildus i</w:t>
            </w:r>
            <w:r w:rsidRPr="00E81457">
              <w:rPr>
                <w:noProof/>
                <w:sz w:val="18"/>
                <w:szCs w:val="18"/>
              </w:rPr>
              <w:t>eņēmum</w:t>
            </w:r>
            <w:r>
              <w:rPr>
                <w:noProof/>
                <w:sz w:val="18"/>
                <w:szCs w:val="18"/>
              </w:rPr>
              <w:t>i no akciju sabiedrības</w:t>
            </w:r>
            <w:r w:rsidRPr="00E81457">
              <w:rPr>
                <w:noProof/>
                <w:sz w:val="18"/>
                <w:szCs w:val="18"/>
              </w:rPr>
              <w:t xml:space="preserve"> "Latvijas valsts meži" dividendēs izmaksājamās peļņas daļas par 2021</w:t>
            </w:r>
            <w:r>
              <w:rPr>
                <w:noProof/>
                <w:sz w:val="18"/>
                <w:szCs w:val="18"/>
              </w:rPr>
              <w:t>. gad</w:t>
            </w:r>
            <w:r w:rsidRPr="00E81457">
              <w:rPr>
                <w:noProof/>
                <w:sz w:val="18"/>
                <w:szCs w:val="18"/>
              </w:rPr>
              <w:t>u</w:t>
            </w:r>
          </w:p>
        </w:tc>
        <w:tc>
          <w:tcPr>
            <w:tcW w:w="2701" w:type="dxa"/>
            <w:tcBorders>
              <w:top w:val="single" w:sz="4" w:space="0" w:color="auto"/>
              <w:left w:val="single" w:sz="4" w:space="0" w:color="auto"/>
              <w:bottom w:val="nil"/>
              <w:right w:val="single" w:sz="4" w:space="0" w:color="auto"/>
            </w:tcBorders>
            <w:hideMark/>
          </w:tcPr>
          <w:p w14:paraId="59600F0D" w14:textId="77777777" w:rsidR="00651B6D" w:rsidRPr="00E81457" w:rsidRDefault="00651B6D" w:rsidP="00651B6D">
            <w:pPr>
              <w:ind w:firstLine="0"/>
              <w:jc w:val="left"/>
              <w:rPr>
                <w:noProof/>
                <w:sz w:val="18"/>
                <w:szCs w:val="18"/>
              </w:rPr>
            </w:pPr>
            <w:r w:rsidRPr="00E81457">
              <w:rPr>
                <w:noProof/>
                <w:sz w:val="18"/>
                <w:szCs w:val="18"/>
              </w:rPr>
              <w:t>Kopā, t.sk.:</w:t>
            </w:r>
          </w:p>
        </w:tc>
        <w:tc>
          <w:tcPr>
            <w:tcW w:w="992" w:type="dxa"/>
            <w:tcBorders>
              <w:top w:val="single" w:sz="4" w:space="0" w:color="auto"/>
              <w:left w:val="single" w:sz="4" w:space="0" w:color="auto"/>
              <w:bottom w:val="nil"/>
              <w:right w:val="single" w:sz="4" w:space="0" w:color="auto"/>
            </w:tcBorders>
            <w:hideMark/>
          </w:tcPr>
          <w:p w14:paraId="552E549E" w14:textId="77777777" w:rsidR="00651B6D" w:rsidRPr="00E81457" w:rsidRDefault="00651B6D" w:rsidP="00651B6D">
            <w:pPr>
              <w:ind w:firstLine="0"/>
              <w:jc w:val="right"/>
              <w:rPr>
                <w:noProof/>
                <w:sz w:val="18"/>
                <w:szCs w:val="18"/>
              </w:rPr>
            </w:pPr>
            <w:r w:rsidRPr="00E81457">
              <w:rPr>
                <w:noProof/>
                <w:sz w:val="18"/>
                <w:szCs w:val="18"/>
              </w:rPr>
              <w:t>+32,0</w:t>
            </w:r>
          </w:p>
        </w:tc>
        <w:tc>
          <w:tcPr>
            <w:tcW w:w="992" w:type="dxa"/>
            <w:tcBorders>
              <w:top w:val="single" w:sz="4" w:space="0" w:color="auto"/>
              <w:left w:val="single" w:sz="4" w:space="0" w:color="auto"/>
              <w:bottom w:val="nil"/>
              <w:right w:val="single" w:sz="4" w:space="0" w:color="auto"/>
            </w:tcBorders>
          </w:tcPr>
          <w:p w14:paraId="6D7104A4" w14:textId="77777777" w:rsidR="00651B6D" w:rsidRPr="00E81457" w:rsidRDefault="00651B6D" w:rsidP="00651B6D">
            <w:pPr>
              <w:ind w:firstLine="0"/>
              <w:jc w:val="right"/>
              <w:rPr>
                <w:noProof/>
                <w:sz w:val="18"/>
                <w:szCs w:val="18"/>
              </w:rPr>
            </w:pPr>
          </w:p>
        </w:tc>
        <w:tc>
          <w:tcPr>
            <w:tcW w:w="986" w:type="dxa"/>
            <w:tcBorders>
              <w:top w:val="single" w:sz="4" w:space="0" w:color="auto"/>
              <w:left w:val="single" w:sz="4" w:space="0" w:color="auto"/>
              <w:bottom w:val="nil"/>
              <w:right w:val="single" w:sz="4" w:space="0" w:color="auto"/>
            </w:tcBorders>
          </w:tcPr>
          <w:p w14:paraId="23CC0037" w14:textId="77777777" w:rsidR="00651B6D" w:rsidRPr="00E81457" w:rsidRDefault="00651B6D" w:rsidP="00651B6D">
            <w:pPr>
              <w:ind w:firstLine="0"/>
              <w:jc w:val="right"/>
              <w:rPr>
                <w:noProof/>
                <w:sz w:val="18"/>
                <w:szCs w:val="18"/>
              </w:rPr>
            </w:pPr>
          </w:p>
        </w:tc>
      </w:tr>
      <w:tr w:rsidR="00651B6D" w:rsidRPr="00E81457" w14:paraId="0510AFC3" w14:textId="77777777" w:rsidTr="00651B6D">
        <w:trPr>
          <w:cantSplit/>
          <w:trHeight w:val="257"/>
        </w:trPr>
        <w:tc>
          <w:tcPr>
            <w:tcW w:w="3390" w:type="dxa"/>
            <w:vMerge/>
            <w:tcBorders>
              <w:top w:val="single" w:sz="4" w:space="0" w:color="auto"/>
              <w:left w:val="single" w:sz="4" w:space="0" w:color="auto"/>
              <w:bottom w:val="single" w:sz="4" w:space="0" w:color="auto"/>
              <w:right w:val="single" w:sz="4" w:space="0" w:color="auto"/>
            </w:tcBorders>
            <w:hideMark/>
          </w:tcPr>
          <w:p w14:paraId="473B49B0" w14:textId="77777777" w:rsidR="00651B6D" w:rsidRPr="00E81457" w:rsidRDefault="00651B6D" w:rsidP="00651B6D">
            <w:pPr>
              <w:ind w:left="57"/>
              <w:jc w:val="left"/>
              <w:rPr>
                <w:b/>
                <w:bCs/>
                <w:noProof/>
                <w:sz w:val="18"/>
                <w:szCs w:val="18"/>
              </w:rPr>
            </w:pPr>
          </w:p>
        </w:tc>
        <w:tc>
          <w:tcPr>
            <w:tcW w:w="2701" w:type="dxa"/>
            <w:tcBorders>
              <w:top w:val="nil"/>
              <w:left w:val="single" w:sz="4" w:space="0" w:color="auto"/>
              <w:bottom w:val="nil"/>
              <w:right w:val="single" w:sz="4" w:space="0" w:color="auto"/>
            </w:tcBorders>
            <w:hideMark/>
          </w:tcPr>
          <w:p w14:paraId="4886D1CF" w14:textId="77777777" w:rsidR="00651B6D" w:rsidRPr="00E81457" w:rsidRDefault="00651B6D" w:rsidP="00651B6D">
            <w:pPr>
              <w:ind w:left="188" w:right="113" w:firstLine="0"/>
              <w:jc w:val="left"/>
              <w:rPr>
                <w:i/>
                <w:iCs/>
                <w:noProof/>
                <w:sz w:val="18"/>
                <w:szCs w:val="18"/>
              </w:rPr>
            </w:pPr>
            <w:r w:rsidRPr="00E81457">
              <w:rPr>
                <w:i/>
                <w:iCs/>
                <w:noProof/>
                <w:sz w:val="18"/>
                <w:szCs w:val="18"/>
              </w:rPr>
              <w:t>Uzņēmumu ienākuma nodoklis</w:t>
            </w:r>
          </w:p>
        </w:tc>
        <w:tc>
          <w:tcPr>
            <w:tcW w:w="992" w:type="dxa"/>
            <w:tcBorders>
              <w:top w:val="nil"/>
              <w:left w:val="single" w:sz="4" w:space="0" w:color="auto"/>
              <w:bottom w:val="nil"/>
              <w:right w:val="single" w:sz="4" w:space="0" w:color="auto"/>
            </w:tcBorders>
            <w:hideMark/>
          </w:tcPr>
          <w:p w14:paraId="772BC91D" w14:textId="77777777" w:rsidR="00651B6D" w:rsidRPr="00E81457" w:rsidRDefault="00651B6D" w:rsidP="00651B6D">
            <w:pPr>
              <w:ind w:firstLine="0"/>
              <w:jc w:val="right"/>
              <w:rPr>
                <w:i/>
                <w:iCs/>
                <w:noProof/>
                <w:sz w:val="18"/>
                <w:szCs w:val="18"/>
              </w:rPr>
            </w:pPr>
            <w:r w:rsidRPr="00E81457">
              <w:rPr>
                <w:i/>
                <w:iCs/>
                <w:noProof/>
                <w:sz w:val="18"/>
                <w:szCs w:val="18"/>
              </w:rPr>
              <w:t>+6,4</w:t>
            </w:r>
          </w:p>
        </w:tc>
        <w:tc>
          <w:tcPr>
            <w:tcW w:w="992" w:type="dxa"/>
            <w:tcBorders>
              <w:top w:val="nil"/>
              <w:left w:val="single" w:sz="4" w:space="0" w:color="auto"/>
              <w:bottom w:val="nil"/>
              <w:right w:val="single" w:sz="4" w:space="0" w:color="auto"/>
            </w:tcBorders>
          </w:tcPr>
          <w:p w14:paraId="65CF5259" w14:textId="77777777" w:rsidR="00651B6D" w:rsidRPr="00E81457" w:rsidRDefault="00651B6D" w:rsidP="00651B6D">
            <w:pPr>
              <w:ind w:firstLine="0"/>
              <w:jc w:val="right"/>
              <w:rPr>
                <w:i/>
                <w:iCs/>
                <w:noProof/>
                <w:sz w:val="18"/>
                <w:szCs w:val="18"/>
              </w:rPr>
            </w:pPr>
          </w:p>
        </w:tc>
        <w:tc>
          <w:tcPr>
            <w:tcW w:w="986" w:type="dxa"/>
            <w:tcBorders>
              <w:top w:val="nil"/>
              <w:left w:val="single" w:sz="4" w:space="0" w:color="auto"/>
              <w:bottom w:val="nil"/>
              <w:right w:val="single" w:sz="4" w:space="0" w:color="auto"/>
            </w:tcBorders>
          </w:tcPr>
          <w:p w14:paraId="5D970110" w14:textId="77777777" w:rsidR="00651B6D" w:rsidRPr="00E81457" w:rsidRDefault="00651B6D" w:rsidP="00651B6D">
            <w:pPr>
              <w:ind w:firstLine="0"/>
              <w:jc w:val="right"/>
              <w:rPr>
                <w:i/>
                <w:iCs/>
                <w:noProof/>
                <w:sz w:val="18"/>
                <w:szCs w:val="18"/>
              </w:rPr>
            </w:pPr>
          </w:p>
        </w:tc>
      </w:tr>
      <w:tr w:rsidR="00651B6D" w:rsidRPr="00E81457" w14:paraId="3A286BF1" w14:textId="77777777" w:rsidTr="00651B6D">
        <w:trPr>
          <w:cantSplit/>
          <w:trHeight w:val="414"/>
        </w:trPr>
        <w:tc>
          <w:tcPr>
            <w:tcW w:w="3390" w:type="dxa"/>
            <w:vMerge/>
            <w:tcBorders>
              <w:top w:val="single" w:sz="4" w:space="0" w:color="auto"/>
              <w:left w:val="single" w:sz="4" w:space="0" w:color="auto"/>
              <w:bottom w:val="single" w:sz="4" w:space="0" w:color="auto"/>
              <w:right w:val="single" w:sz="4" w:space="0" w:color="auto"/>
            </w:tcBorders>
            <w:hideMark/>
          </w:tcPr>
          <w:p w14:paraId="6C33835C" w14:textId="77777777" w:rsidR="00651B6D" w:rsidRPr="00E81457" w:rsidRDefault="00651B6D" w:rsidP="00651B6D">
            <w:pPr>
              <w:ind w:left="57"/>
              <w:jc w:val="left"/>
              <w:rPr>
                <w:b/>
                <w:bCs/>
                <w:noProof/>
                <w:sz w:val="18"/>
                <w:szCs w:val="18"/>
              </w:rPr>
            </w:pPr>
          </w:p>
        </w:tc>
        <w:tc>
          <w:tcPr>
            <w:tcW w:w="2701" w:type="dxa"/>
            <w:tcBorders>
              <w:top w:val="nil"/>
              <w:left w:val="single" w:sz="4" w:space="0" w:color="auto"/>
              <w:bottom w:val="single" w:sz="4" w:space="0" w:color="auto"/>
              <w:right w:val="single" w:sz="4" w:space="0" w:color="auto"/>
            </w:tcBorders>
            <w:hideMark/>
          </w:tcPr>
          <w:p w14:paraId="0F43511E" w14:textId="77777777" w:rsidR="00651B6D" w:rsidRPr="00E81457" w:rsidRDefault="00651B6D" w:rsidP="00651B6D">
            <w:pPr>
              <w:ind w:left="188" w:right="113" w:firstLine="0"/>
              <w:jc w:val="left"/>
              <w:rPr>
                <w:i/>
                <w:iCs/>
                <w:noProof/>
                <w:sz w:val="18"/>
                <w:szCs w:val="18"/>
              </w:rPr>
            </w:pPr>
            <w:r w:rsidRPr="00E81457">
              <w:rPr>
                <w:i/>
                <w:iCs/>
                <w:noProof/>
                <w:sz w:val="18"/>
                <w:szCs w:val="18"/>
              </w:rPr>
              <w:t>Nenodokļi</w:t>
            </w:r>
          </w:p>
        </w:tc>
        <w:tc>
          <w:tcPr>
            <w:tcW w:w="992" w:type="dxa"/>
            <w:tcBorders>
              <w:top w:val="nil"/>
              <w:left w:val="single" w:sz="4" w:space="0" w:color="auto"/>
              <w:bottom w:val="single" w:sz="4" w:space="0" w:color="auto"/>
              <w:right w:val="single" w:sz="4" w:space="0" w:color="auto"/>
            </w:tcBorders>
            <w:hideMark/>
          </w:tcPr>
          <w:p w14:paraId="248BA692" w14:textId="77777777" w:rsidR="00651B6D" w:rsidRPr="00E81457" w:rsidRDefault="00651B6D" w:rsidP="00651B6D">
            <w:pPr>
              <w:ind w:firstLine="0"/>
              <w:jc w:val="right"/>
              <w:rPr>
                <w:i/>
                <w:iCs/>
                <w:noProof/>
                <w:sz w:val="18"/>
                <w:szCs w:val="18"/>
              </w:rPr>
            </w:pPr>
            <w:r w:rsidRPr="00E81457">
              <w:rPr>
                <w:i/>
                <w:iCs/>
                <w:noProof/>
                <w:sz w:val="18"/>
                <w:szCs w:val="18"/>
              </w:rPr>
              <w:t>+25,6</w:t>
            </w:r>
          </w:p>
        </w:tc>
        <w:tc>
          <w:tcPr>
            <w:tcW w:w="992" w:type="dxa"/>
            <w:tcBorders>
              <w:top w:val="nil"/>
              <w:left w:val="single" w:sz="4" w:space="0" w:color="auto"/>
              <w:bottom w:val="single" w:sz="4" w:space="0" w:color="auto"/>
              <w:right w:val="single" w:sz="4" w:space="0" w:color="auto"/>
            </w:tcBorders>
          </w:tcPr>
          <w:p w14:paraId="1C81EB22" w14:textId="77777777" w:rsidR="00651B6D" w:rsidRPr="00E81457" w:rsidRDefault="00651B6D" w:rsidP="00651B6D">
            <w:pPr>
              <w:ind w:firstLine="0"/>
              <w:jc w:val="right"/>
              <w:rPr>
                <w:i/>
                <w:iCs/>
                <w:noProof/>
                <w:sz w:val="18"/>
                <w:szCs w:val="18"/>
              </w:rPr>
            </w:pPr>
          </w:p>
        </w:tc>
        <w:tc>
          <w:tcPr>
            <w:tcW w:w="986" w:type="dxa"/>
            <w:tcBorders>
              <w:top w:val="nil"/>
              <w:left w:val="single" w:sz="4" w:space="0" w:color="auto"/>
              <w:bottom w:val="single" w:sz="4" w:space="0" w:color="auto"/>
              <w:right w:val="single" w:sz="4" w:space="0" w:color="auto"/>
            </w:tcBorders>
          </w:tcPr>
          <w:p w14:paraId="3F2644C1" w14:textId="77777777" w:rsidR="00651B6D" w:rsidRPr="00E81457" w:rsidRDefault="00651B6D" w:rsidP="00651B6D">
            <w:pPr>
              <w:ind w:firstLine="0"/>
              <w:jc w:val="right"/>
              <w:rPr>
                <w:i/>
                <w:iCs/>
                <w:noProof/>
                <w:sz w:val="18"/>
                <w:szCs w:val="18"/>
              </w:rPr>
            </w:pPr>
          </w:p>
        </w:tc>
      </w:tr>
      <w:tr w:rsidR="00651B6D" w:rsidRPr="00E81457" w14:paraId="2078D431" w14:textId="77777777" w:rsidTr="00651B6D">
        <w:trPr>
          <w:cantSplit/>
          <w:trHeight w:val="468"/>
        </w:trPr>
        <w:tc>
          <w:tcPr>
            <w:tcW w:w="3390" w:type="dxa"/>
            <w:tcBorders>
              <w:top w:val="single" w:sz="4" w:space="0" w:color="auto"/>
              <w:left w:val="single" w:sz="4" w:space="0" w:color="auto"/>
              <w:bottom w:val="single" w:sz="4" w:space="0" w:color="auto"/>
              <w:right w:val="single" w:sz="4" w:space="0" w:color="auto"/>
            </w:tcBorders>
            <w:hideMark/>
          </w:tcPr>
          <w:p w14:paraId="3BC1CF7F" w14:textId="77777777" w:rsidR="00651B6D" w:rsidRPr="00E81457" w:rsidRDefault="00651B6D" w:rsidP="00651B6D">
            <w:pPr>
              <w:ind w:left="57" w:firstLine="0"/>
              <w:jc w:val="left"/>
              <w:rPr>
                <w:noProof/>
                <w:sz w:val="18"/>
                <w:szCs w:val="18"/>
              </w:rPr>
            </w:pPr>
            <w:r w:rsidRPr="00E81457">
              <w:rPr>
                <w:noProof/>
                <w:sz w:val="18"/>
                <w:szCs w:val="18"/>
              </w:rPr>
              <w:t>Ieņēmumu prognožu palielināšana maksājumam par valsts kapitāla izmantošanu no valsts akciju sabiedrības "Latvijas Loto" dividendēs izmaksājamās peļņas daļas</w:t>
            </w:r>
          </w:p>
        </w:tc>
        <w:tc>
          <w:tcPr>
            <w:tcW w:w="2701" w:type="dxa"/>
            <w:tcBorders>
              <w:top w:val="single" w:sz="4" w:space="0" w:color="auto"/>
              <w:left w:val="single" w:sz="4" w:space="0" w:color="auto"/>
              <w:bottom w:val="single" w:sz="4" w:space="0" w:color="auto"/>
              <w:right w:val="single" w:sz="4" w:space="0" w:color="auto"/>
            </w:tcBorders>
            <w:hideMark/>
          </w:tcPr>
          <w:p w14:paraId="154217E7" w14:textId="77777777" w:rsidR="00651B6D" w:rsidRPr="00E81457" w:rsidRDefault="00651B6D" w:rsidP="00651B6D">
            <w:pPr>
              <w:ind w:firstLine="0"/>
              <w:jc w:val="left"/>
              <w:rPr>
                <w:noProof/>
                <w:sz w:val="18"/>
                <w:szCs w:val="18"/>
              </w:rPr>
            </w:pPr>
            <w:r w:rsidRPr="00E81457">
              <w:rPr>
                <w:noProof/>
                <w:sz w:val="18"/>
                <w:szCs w:val="18"/>
              </w:rPr>
              <w:t>Nenodokļi</w:t>
            </w:r>
          </w:p>
        </w:tc>
        <w:tc>
          <w:tcPr>
            <w:tcW w:w="992" w:type="dxa"/>
            <w:tcBorders>
              <w:top w:val="single" w:sz="4" w:space="0" w:color="auto"/>
              <w:left w:val="single" w:sz="4" w:space="0" w:color="auto"/>
              <w:bottom w:val="single" w:sz="4" w:space="0" w:color="auto"/>
              <w:right w:val="single" w:sz="4" w:space="0" w:color="auto"/>
            </w:tcBorders>
            <w:hideMark/>
          </w:tcPr>
          <w:p w14:paraId="239BA773" w14:textId="77777777" w:rsidR="00651B6D" w:rsidRPr="00E81457" w:rsidRDefault="00651B6D" w:rsidP="00651B6D">
            <w:pPr>
              <w:ind w:firstLine="0"/>
              <w:jc w:val="right"/>
              <w:rPr>
                <w:noProof/>
                <w:sz w:val="18"/>
                <w:szCs w:val="18"/>
              </w:rPr>
            </w:pPr>
            <w:r w:rsidRPr="00E81457">
              <w:rPr>
                <w:noProof/>
                <w:sz w:val="18"/>
                <w:szCs w:val="18"/>
              </w:rPr>
              <w:t>+0,2</w:t>
            </w:r>
          </w:p>
        </w:tc>
        <w:tc>
          <w:tcPr>
            <w:tcW w:w="992" w:type="dxa"/>
            <w:tcBorders>
              <w:top w:val="single" w:sz="4" w:space="0" w:color="auto"/>
              <w:left w:val="single" w:sz="4" w:space="0" w:color="auto"/>
              <w:bottom w:val="single" w:sz="4" w:space="0" w:color="auto"/>
              <w:right w:val="single" w:sz="4" w:space="0" w:color="auto"/>
            </w:tcBorders>
          </w:tcPr>
          <w:p w14:paraId="2573B8E7" w14:textId="77777777" w:rsidR="00651B6D" w:rsidRPr="00E81457" w:rsidRDefault="00651B6D" w:rsidP="00651B6D">
            <w:pPr>
              <w:ind w:firstLine="0"/>
              <w:jc w:val="right"/>
              <w:rPr>
                <w:noProof/>
                <w:sz w:val="18"/>
                <w:szCs w:val="18"/>
              </w:rPr>
            </w:pPr>
            <w:r w:rsidRPr="00E81457">
              <w:rPr>
                <w:noProof/>
                <w:sz w:val="18"/>
                <w:szCs w:val="18"/>
              </w:rPr>
              <w:t>+0,2</w:t>
            </w:r>
          </w:p>
        </w:tc>
        <w:tc>
          <w:tcPr>
            <w:tcW w:w="986" w:type="dxa"/>
            <w:tcBorders>
              <w:top w:val="single" w:sz="4" w:space="0" w:color="auto"/>
              <w:left w:val="single" w:sz="4" w:space="0" w:color="auto"/>
              <w:bottom w:val="single" w:sz="4" w:space="0" w:color="auto"/>
              <w:right w:val="single" w:sz="4" w:space="0" w:color="auto"/>
            </w:tcBorders>
          </w:tcPr>
          <w:p w14:paraId="63892C64" w14:textId="77777777" w:rsidR="00651B6D" w:rsidRPr="00E81457" w:rsidRDefault="00651B6D" w:rsidP="00651B6D">
            <w:pPr>
              <w:ind w:firstLine="0"/>
              <w:jc w:val="right"/>
              <w:rPr>
                <w:noProof/>
                <w:sz w:val="18"/>
                <w:szCs w:val="18"/>
              </w:rPr>
            </w:pPr>
            <w:r w:rsidRPr="00E81457">
              <w:rPr>
                <w:noProof/>
                <w:sz w:val="18"/>
                <w:szCs w:val="18"/>
              </w:rPr>
              <w:t>+0,2</w:t>
            </w:r>
          </w:p>
        </w:tc>
      </w:tr>
      <w:tr w:rsidR="00651B6D" w:rsidRPr="00E81457" w14:paraId="71EF825B" w14:textId="77777777" w:rsidTr="00651B6D">
        <w:trPr>
          <w:cantSplit/>
          <w:trHeight w:val="468"/>
        </w:trPr>
        <w:tc>
          <w:tcPr>
            <w:tcW w:w="3390" w:type="dxa"/>
            <w:tcBorders>
              <w:top w:val="single" w:sz="4" w:space="0" w:color="auto"/>
              <w:left w:val="single" w:sz="4" w:space="0" w:color="auto"/>
              <w:bottom w:val="single" w:sz="4" w:space="0" w:color="auto"/>
              <w:right w:val="single" w:sz="4" w:space="0" w:color="auto"/>
            </w:tcBorders>
            <w:hideMark/>
          </w:tcPr>
          <w:p w14:paraId="567129CD" w14:textId="77777777" w:rsidR="00651B6D" w:rsidRPr="00E81457" w:rsidRDefault="00651B6D" w:rsidP="00651B6D">
            <w:pPr>
              <w:ind w:left="57" w:firstLine="0"/>
              <w:jc w:val="left"/>
              <w:rPr>
                <w:noProof/>
                <w:sz w:val="18"/>
                <w:szCs w:val="18"/>
              </w:rPr>
            </w:pPr>
            <w:r w:rsidRPr="00E81457">
              <w:rPr>
                <w:noProof/>
                <w:sz w:val="18"/>
                <w:szCs w:val="18"/>
              </w:rPr>
              <w:lastRenderedPageBreak/>
              <w:t>Grozījums Ministru kabineta 2020</w:t>
            </w:r>
            <w:r>
              <w:rPr>
                <w:noProof/>
                <w:sz w:val="18"/>
                <w:szCs w:val="18"/>
              </w:rPr>
              <w:t>. gad</w:t>
            </w:r>
            <w:r w:rsidRPr="00E81457">
              <w:rPr>
                <w:noProof/>
                <w:sz w:val="18"/>
                <w:szCs w:val="18"/>
              </w:rPr>
              <w:t>a 2</w:t>
            </w:r>
            <w:r>
              <w:rPr>
                <w:noProof/>
                <w:sz w:val="18"/>
                <w:szCs w:val="18"/>
              </w:rPr>
              <w:t>1. janv</w:t>
            </w:r>
            <w:r w:rsidRPr="00E81457">
              <w:rPr>
                <w:noProof/>
                <w:sz w:val="18"/>
                <w:szCs w:val="18"/>
              </w:rPr>
              <w:t>āra noteikumos Nr.40 "Kontrolšāvienu izdarīšanas kārtība un valsts nodevu apmērs un maksāšanas kārtība"</w:t>
            </w:r>
          </w:p>
        </w:tc>
        <w:tc>
          <w:tcPr>
            <w:tcW w:w="2701" w:type="dxa"/>
            <w:tcBorders>
              <w:top w:val="single" w:sz="4" w:space="0" w:color="auto"/>
              <w:left w:val="single" w:sz="4" w:space="0" w:color="auto"/>
              <w:bottom w:val="single" w:sz="4" w:space="0" w:color="auto"/>
              <w:right w:val="single" w:sz="4" w:space="0" w:color="auto"/>
            </w:tcBorders>
            <w:hideMark/>
          </w:tcPr>
          <w:p w14:paraId="4E5D7AAF" w14:textId="77777777" w:rsidR="00651B6D" w:rsidRPr="00E81457" w:rsidRDefault="00651B6D" w:rsidP="00651B6D">
            <w:pPr>
              <w:ind w:firstLine="0"/>
              <w:jc w:val="left"/>
              <w:rPr>
                <w:noProof/>
                <w:sz w:val="18"/>
                <w:szCs w:val="18"/>
              </w:rPr>
            </w:pPr>
            <w:r w:rsidRPr="00E81457">
              <w:rPr>
                <w:noProof/>
                <w:sz w:val="18"/>
                <w:szCs w:val="18"/>
              </w:rPr>
              <w:t>Nenodokļi</w:t>
            </w:r>
          </w:p>
        </w:tc>
        <w:tc>
          <w:tcPr>
            <w:tcW w:w="992" w:type="dxa"/>
            <w:tcBorders>
              <w:top w:val="single" w:sz="4" w:space="0" w:color="auto"/>
              <w:left w:val="single" w:sz="4" w:space="0" w:color="auto"/>
              <w:bottom w:val="single" w:sz="4" w:space="0" w:color="auto"/>
              <w:right w:val="single" w:sz="4" w:space="0" w:color="auto"/>
            </w:tcBorders>
            <w:hideMark/>
          </w:tcPr>
          <w:p w14:paraId="733863E9" w14:textId="77777777" w:rsidR="00651B6D" w:rsidRPr="00E81457" w:rsidRDefault="00651B6D" w:rsidP="00651B6D">
            <w:pPr>
              <w:ind w:firstLine="0"/>
              <w:jc w:val="right"/>
              <w:rPr>
                <w:noProof/>
                <w:sz w:val="18"/>
                <w:szCs w:val="18"/>
              </w:rPr>
            </w:pPr>
            <w:r w:rsidRPr="00E81457">
              <w:rPr>
                <w:noProof/>
                <w:sz w:val="18"/>
                <w:szCs w:val="18"/>
              </w:rPr>
              <w:t>-0,002</w:t>
            </w:r>
          </w:p>
        </w:tc>
        <w:tc>
          <w:tcPr>
            <w:tcW w:w="992" w:type="dxa"/>
            <w:tcBorders>
              <w:top w:val="single" w:sz="4" w:space="0" w:color="auto"/>
              <w:left w:val="single" w:sz="4" w:space="0" w:color="auto"/>
              <w:bottom w:val="single" w:sz="4" w:space="0" w:color="auto"/>
              <w:right w:val="single" w:sz="4" w:space="0" w:color="auto"/>
            </w:tcBorders>
          </w:tcPr>
          <w:p w14:paraId="555DE7C4" w14:textId="77777777" w:rsidR="00651B6D" w:rsidRPr="00E81457" w:rsidRDefault="00651B6D" w:rsidP="00651B6D">
            <w:pPr>
              <w:ind w:firstLine="0"/>
              <w:jc w:val="right"/>
              <w:rPr>
                <w:noProof/>
                <w:sz w:val="18"/>
                <w:szCs w:val="18"/>
              </w:rPr>
            </w:pPr>
            <w:r w:rsidRPr="00E81457">
              <w:rPr>
                <w:noProof/>
                <w:sz w:val="18"/>
                <w:szCs w:val="18"/>
              </w:rPr>
              <w:t>-0,002</w:t>
            </w:r>
          </w:p>
        </w:tc>
        <w:tc>
          <w:tcPr>
            <w:tcW w:w="986" w:type="dxa"/>
            <w:tcBorders>
              <w:top w:val="single" w:sz="4" w:space="0" w:color="auto"/>
              <w:left w:val="single" w:sz="4" w:space="0" w:color="auto"/>
              <w:bottom w:val="single" w:sz="4" w:space="0" w:color="auto"/>
              <w:right w:val="single" w:sz="4" w:space="0" w:color="auto"/>
            </w:tcBorders>
          </w:tcPr>
          <w:p w14:paraId="0E912971" w14:textId="77777777" w:rsidR="00651B6D" w:rsidRPr="00E81457" w:rsidRDefault="00651B6D" w:rsidP="00651B6D">
            <w:pPr>
              <w:ind w:firstLine="0"/>
              <w:jc w:val="right"/>
              <w:rPr>
                <w:noProof/>
                <w:sz w:val="18"/>
                <w:szCs w:val="18"/>
              </w:rPr>
            </w:pPr>
            <w:r w:rsidRPr="00E81457">
              <w:rPr>
                <w:noProof/>
                <w:sz w:val="18"/>
                <w:szCs w:val="18"/>
              </w:rPr>
              <w:t>-0,002</w:t>
            </w:r>
          </w:p>
        </w:tc>
      </w:tr>
      <w:tr w:rsidR="00651B6D" w:rsidRPr="00E81457" w14:paraId="41810124" w14:textId="77777777" w:rsidTr="00651B6D">
        <w:trPr>
          <w:cantSplit/>
          <w:trHeight w:val="468"/>
        </w:trPr>
        <w:tc>
          <w:tcPr>
            <w:tcW w:w="3390" w:type="dxa"/>
            <w:tcBorders>
              <w:top w:val="single" w:sz="4" w:space="0" w:color="auto"/>
              <w:left w:val="single" w:sz="4" w:space="0" w:color="auto"/>
              <w:bottom w:val="single" w:sz="4" w:space="0" w:color="auto"/>
              <w:right w:val="single" w:sz="4" w:space="0" w:color="auto"/>
            </w:tcBorders>
            <w:hideMark/>
          </w:tcPr>
          <w:p w14:paraId="0C68C0A4" w14:textId="77777777" w:rsidR="00651B6D" w:rsidRPr="00E81457" w:rsidRDefault="00651B6D" w:rsidP="00651B6D">
            <w:pPr>
              <w:ind w:left="57" w:firstLine="0"/>
              <w:jc w:val="left"/>
              <w:rPr>
                <w:noProof/>
                <w:sz w:val="18"/>
                <w:szCs w:val="18"/>
              </w:rPr>
            </w:pPr>
            <w:r w:rsidRPr="00E81457">
              <w:rPr>
                <w:noProof/>
                <w:sz w:val="18"/>
                <w:szCs w:val="18"/>
              </w:rPr>
              <w:t>Ieņēmumu samazināšana valsts nodevai, kas maksājama par ierakstu izdarīšanu uzņēmumu reģistra žurnālā un komercreģistrā, kā arī iesniedzamo dokumentu reģistrēšanu</w:t>
            </w:r>
          </w:p>
        </w:tc>
        <w:tc>
          <w:tcPr>
            <w:tcW w:w="2701" w:type="dxa"/>
            <w:tcBorders>
              <w:top w:val="single" w:sz="4" w:space="0" w:color="auto"/>
              <w:left w:val="single" w:sz="4" w:space="0" w:color="auto"/>
              <w:bottom w:val="single" w:sz="4" w:space="0" w:color="auto"/>
              <w:right w:val="single" w:sz="4" w:space="0" w:color="auto"/>
            </w:tcBorders>
            <w:hideMark/>
          </w:tcPr>
          <w:p w14:paraId="29B3167E" w14:textId="77777777" w:rsidR="00651B6D" w:rsidRPr="00E81457" w:rsidRDefault="00651B6D" w:rsidP="00651B6D">
            <w:pPr>
              <w:ind w:firstLine="0"/>
              <w:jc w:val="left"/>
              <w:rPr>
                <w:noProof/>
                <w:sz w:val="18"/>
                <w:szCs w:val="18"/>
              </w:rPr>
            </w:pPr>
            <w:r w:rsidRPr="00E81457">
              <w:rPr>
                <w:noProof/>
                <w:sz w:val="18"/>
                <w:szCs w:val="18"/>
              </w:rPr>
              <w:t>Nenodokļi</w:t>
            </w:r>
          </w:p>
        </w:tc>
        <w:tc>
          <w:tcPr>
            <w:tcW w:w="992" w:type="dxa"/>
            <w:tcBorders>
              <w:top w:val="single" w:sz="4" w:space="0" w:color="auto"/>
              <w:left w:val="single" w:sz="4" w:space="0" w:color="auto"/>
              <w:bottom w:val="single" w:sz="4" w:space="0" w:color="auto"/>
              <w:right w:val="single" w:sz="4" w:space="0" w:color="auto"/>
            </w:tcBorders>
            <w:hideMark/>
          </w:tcPr>
          <w:p w14:paraId="56729B1E" w14:textId="77777777" w:rsidR="00651B6D" w:rsidRPr="00E81457" w:rsidRDefault="00651B6D" w:rsidP="00651B6D">
            <w:pPr>
              <w:ind w:firstLine="0"/>
              <w:jc w:val="right"/>
              <w:rPr>
                <w:noProof/>
                <w:sz w:val="18"/>
                <w:szCs w:val="18"/>
              </w:rPr>
            </w:pPr>
            <w:r w:rsidRPr="00E81457">
              <w:rPr>
                <w:noProof/>
                <w:sz w:val="18"/>
                <w:szCs w:val="18"/>
              </w:rPr>
              <w:t>-0,7</w:t>
            </w:r>
          </w:p>
        </w:tc>
        <w:tc>
          <w:tcPr>
            <w:tcW w:w="992" w:type="dxa"/>
            <w:tcBorders>
              <w:top w:val="single" w:sz="4" w:space="0" w:color="auto"/>
              <w:left w:val="single" w:sz="4" w:space="0" w:color="auto"/>
              <w:bottom w:val="single" w:sz="4" w:space="0" w:color="auto"/>
              <w:right w:val="single" w:sz="4" w:space="0" w:color="auto"/>
            </w:tcBorders>
          </w:tcPr>
          <w:p w14:paraId="05B5A259" w14:textId="77777777" w:rsidR="00651B6D" w:rsidRPr="00E81457" w:rsidRDefault="00651B6D" w:rsidP="00651B6D">
            <w:pPr>
              <w:ind w:firstLine="0"/>
              <w:jc w:val="right"/>
              <w:rPr>
                <w:noProof/>
                <w:sz w:val="18"/>
                <w:szCs w:val="18"/>
              </w:rPr>
            </w:pPr>
            <w:r w:rsidRPr="00E81457">
              <w:rPr>
                <w:noProof/>
                <w:sz w:val="18"/>
                <w:szCs w:val="18"/>
              </w:rPr>
              <w:t>-0,7</w:t>
            </w:r>
          </w:p>
        </w:tc>
        <w:tc>
          <w:tcPr>
            <w:tcW w:w="986" w:type="dxa"/>
            <w:tcBorders>
              <w:top w:val="single" w:sz="4" w:space="0" w:color="auto"/>
              <w:left w:val="single" w:sz="4" w:space="0" w:color="auto"/>
              <w:bottom w:val="single" w:sz="4" w:space="0" w:color="auto"/>
              <w:right w:val="single" w:sz="4" w:space="0" w:color="auto"/>
            </w:tcBorders>
          </w:tcPr>
          <w:p w14:paraId="2421D8A5" w14:textId="77777777" w:rsidR="00651B6D" w:rsidRPr="00E81457" w:rsidRDefault="00651B6D" w:rsidP="00651B6D">
            <w:pPr>
              <w:ind w:firstLine="0"/>
              <w:jc w:val="right"/>
              <w:rPr>
                <w:noProof/>
                <w:sz w:val="18"/>
                <w:szCs w:val="18"/>
              </w:rPr>
            </w:pPr>
            <w:r w:rsidRPr="00E81457">
              <w:rPr>
                <w:noProof/>
                <w:sz w:val="18"/>
                <w:szCs w:val="18"/>
              </w:rPr>
              <w:t>-0,7</w:t>
            </w:r>
          </w:p>
        </w:tc>
      </w:tr>
      <w:tr w:rsidR="00651B6D" w:rsidRPr="00E81457" w14:paraId="246518D9" w14:textId="77777777" w:rsidTr="00651B6D">
        <w:trPr>
          <w:cantSplit/>
          <w:trHeight w:val="414"/>
        </w:trPr>
        <w:tc>
          <w:tcPr>
            <w:tcW w:w="3390" w:type="dxa"/>
            <w:tcBorders>
              <w:left w:val="single" w:sz="4" w:space="0" w:color="auto"/>
              <w:right w:val="single" w:sz="4" w:space="0" w:color="auto"/>
            </w:tcBorders>
          </w:tcPr>
          <w:p w14:paraId="0D159BB2" w14:textId="77777777" w:rsidR="00651B6D" w:rsidRPr="00E81457" w:rsidRDefault="00651B6D" w:rsidP="00651B6D">
            <w:pPr>
              <w:ind w:left="57" w:firstLine="0"/>
              <w:jc w:val="left"/>
              <w:rPr>
                <w:noProof/>
                <w:sz w:val="18"/>
                <w:szCs w:val="18"/>
              </w:rPr>
            </w:pPr>
            <w:r w:rsidRPr="00E81457">
              <w:rPr>
                <w:noProof/>
                <w:sz w:val="18"/>
                <w:szCs w:val="18"/>
              </w:rPr>
              <w:t>Numerācijas lietošanas tiesību ikgadējās valsts nodevas palielināšana saskaņā ar likumprojektu "Elektronisko sakaru likums"</w:t>
            </w:r>
          </w:p>
        </w:tc>
        <w:tc>
          <w:tcPr>
            <w:tcW w:w="2701" w:type="dxa"/>
            <w:tcBorders>
              <w:top w:val="single" w:sz="4" w:space="0" w:color="auto"/>
              <w:left w:val="single" w:sz="4" w:space="0" w:color="auto"/>
              <w:bottom w:val="single" w:sz="4" w:space="0" w:color="auto"/>
              <w:right w:val="single" w:sz="4" w:space="0" w:color="auto"/>
            </w:tcBorders>
          </w:tcPr>
          <w:p w14:paraId="1102B86F" w14:textId="77777777" w:rsidR="00651B6D" w:rsidRPr="00E81457" w:rsidRDefault="00651B6D" w:rsidP="00651B6D">
            <w:pPr>
              <w:ind w:right="113" w:firstLine="0"/>
              <w:jc w:val="left"/>
              <w:rPr>
                <w:noProof/>
                <w:sz w:val="18"/>
                <w:szCs w:val="18"/>
              </w:rPr>
            </w:pPr>
            <w:r w:rsidRPr="00E81457">
              <w:rPr>
                <w:noProof/>
                <w:sz w:val="18"/>
                <w:szCs w:val="18"/>
              </w:rPr>
              <w:t>Nenodokļi</w:t>
            </w:r>
          </w:p>
        </w:tc>
        <w:tc>
          <w:tcPr>
            <w:tcW w:w="992" w:type="dxa"/>
            <w:tcBorders>
              <w:top w:val="single" w:sz="4" w:space="0" w:color="auto"/>
              <w:left w:val="single" w:sz="4" w:space="0" w:color="auto"/>
              <w:bottom w:val="single" w:sz="4" w:space="0" w:color="auto"/>
              <w:right w:val="single" w:sz="4" w:space="0" w:color="auto"/>
            </w:tcBorders>
          </w:tcPr>
          <w:p w14:paraId="306A39B7" w14:textId="77777777" w:rsidR="00651B6D" w:rsidRPr="00E81457" w:rsidRDefault="00651B6D" w:rsidP="00651B6D">
            <w:pPr>
              <w:ind w:firstLine="0"/>
              <w:jc w:val="right"/>
              <w:rPr>
                <w:noProof/>
                <w:sz w:val="18"/>
                <w:szCs w:val="18"/>
              </w:rPr>
            </w:pPr>
            <w:r w:rsidRPr="00E81457">
              <w:rPr>
                <w:noProof/>
                <w:sz w:val="18"/>
                <w:szCs w:val="18"/>
              </w:rPr>
              <w:t>+0,4</w:t>
            </w:r>
          </w:p>
        </w:tc>
        <w:tc>
          <w:tcPr>
            <w:tcW w:w="992" w:type="dxa"/>
            <w:tcBorders>
              <w:top w:val="single" w:sz="4" w:space="0" w:color="auto"/>
              <w:left w:val="single" w:sz="4" w:space="0" w:color="auto"/>
              <w:bottom w:val="single" w:sz="4" w:space="0" w:color="auto"/>
              <w:right w:val="single" w:sz="4" w:space="0" w:color="auto"/>
            </w:tcBorders>
          </w:tcPr>
          <w:p w14:paraId="7634EE94" w14:textId="77777777" w:rsidR="00651B6D" w:rsidRPr="00E81457" w:rsidRDefault="00651B6D" w:rsidP="00651B6D">
            <w:pPr>
              <w:ind w:firstLine="0"/>
              <w:jc w:val="right"/>
              <w:rPr>
                <w:noProof/>
                <w:sz w:val="18"/>
                <w:szCs w:val="18"/>
              </w:rPr>
            </w:pPr>
            <w:r w:rsidRPr="00E81457">
              <w:rPr>
                <w:noProof/>
                <w:sz w:val="18"/>
                <w:szCs w:val="18"/>
              </w:rPr>
              <w:t>+0,4</w:t>
            </w:r>
          </w:p>
        </w:tc>
        <w:tc>
          <w:tcPr>
            <w:tcW w:w="986" w:type="dxa"/>
            <w:tcBorders>
              <w:top w:val="single" w:sz="4" w:space="0" w:color="auto"/>
              <w:left w:val="single" w:sz="4" w:space="0" w:color="auto"/>
              <w:bottom w:val="single" w:sz="4" w:space="0" w:color="auto"/>
              <w:right w:val="single" w:sz="4" w:space="0" w:color="auto"/>
            </w:tcBorders>
          </w:tcPr>
          <w:p w14:paraId="67B1A072" w14:textId="77777777" w:rsidR="00651B6D" w:rsidRPr="00E81457" w:rsidRDefault="00651B6D" w:rsidP="00651B6D">
            <w:pPr>
              <w:ind w:firstLine="0"/>
              <w:jc w:val="right"/>
              <w:rPr>
                <w:noProof/>
                <w:sz w:val="18"/>
                <w:szCs w:val="18"/>
              </w:rPr>
            </w:pPr>
            <w:r w:rsidRPr="00E81457">
              <w:rPr>
                <w:noProof/>
                <w:sz w:val="18"/>
                <w:szCs w:val="18"/>
              </w:rPr>
              <w:t>+0,4</w:t>
            </w:r>
          </w:p>
        </w:tc>
      </w:tr>
      <w:tr w:rsidR="00651B6D" w:rsidRPr="00E81457" w14:paraId="193B6984" w14:textId="77777777" w:rsidTr="00651B6D">
        <w:trPr>
          <w:cantSplit/>
          <w:trHeight w:val="414"/>
        </w:trPr>
        <w:tc>
          <w:tcPr>
            <w:tcW w:w="3390" w:type="dxa"/>
            <w:tcBorders>
              <w:left w:val="single" w:sz="4" w:space="0" w:color="auto"/>
              <w:right w:val="single" w:sz="4" w:space="0" w:color="auto"/>
            </w:tcBorders>
          </w:tcPr>
          <w:p w14:paraId="5576F1BB" w14:textId="77777777" w:rsidR="00651B6D" w:rsidRPr="00E81457" w:rsidRDefault="00651B6D" w:rsidP="00651B6D">
            <w:pPr>
              <w:ind w:left="57" w:firstLine="0"/>
              <w:jc w:val="left"/>
              <w:rPr>
                <w:noProof/>
                <w:sz w:val="18"/>
                <w:szCs w:val="18"/>
              </w:rPr>
            </w:pPr>
            <w:r w:rsidRPr="00E81457">
              <w:rPr>
                <w:noProof/>
                <w:sz w:val="18"/>
                <w:szCs w:val="18"/>
              </w:rPr>
              <w:t>Ieņēmumu prognožu palielināsana no pārējiem naudas sodiem, ko uzliek Valsts policija par pārkāpumiem ceļu satiksmē</w:t>
            </w:r>
          </w:p>
        </w:tc>
        <w:tc>
          <w:tcPr>
            <w:tcW w:w="2701" w:type="dxa"/>
            <w:tcBorders>
              <w:top w:val="single" w:sz="4" w:space="0" w:color="auto"/>
              <w:left w:val="single" w:sz="4" w:space="0" w:color="auto"/>
              <w:bottom w:val="single" w:sz="4" w:space="0" w:color="auto"/>
              <w:right w:val="single" w:sz="4" w:space="0" w:color="auto"/>
            </w:tcBorders>
          </w:tcPr>
          <w:p w14:paraId="4F2475EA" w14:textId="77777777" w:rsidR="00651B6D" w:rsidRPr="00E81457" w:rsidRDefault="00651B6D" w:rsidP="00651B6D">
            <w:pPr>
              <w:ind w:right="113" w:firstLine="0"/>
              <w:jc w:val="left"/>
              <w:rPr>
                <w:noProof/>
                <w:sz w:val="18"/>
                <w:szCs w:val="18"/>
              </w:rPr>
            </w:pPr>
            <w:r w:rsidRPr="00E81457">
              <w:rPr>
                <w:noProof/>
                <w:sz w:val="18"/>
                <w:szCs w:val="18"/>
              </w:rPr>
              <w:t>Nenodokļi</w:t>
            </w:r>
          </w:p>
        </w:tc>
        <w:tc>
          <w:tcPr>
            <w:tcW w:w="992" w:type="dxa"/>
            <w:tcBorders>
              <w:top w:val="single" w:sz="4" w:space="0" w:color="auto"/>
              <w:left w:val="single" w:sz="4" w:space="0" w:color="auto"/>
              <w:bottom w:val="single" w:sz="4" w:space="0" w:color="auto"/>
              <w:right w:val="single" w:sz="4" w:space="0" w:color="auto"/>
            </w:tcBorders>
          </w:tcPr>
          <w:p w14:paraId="44CC69D3" w14:textId="77777777" w:rsidR="00651B6D" w:rsidRPr="00E81457" w:rsidRDefault="00651B6D" w:rsidP="00651B6D">
            <w:pPr>
              <w:ind w:firstLine="0"/>
              <w:jc w:val="right"/>
              <w:rPr>
                <w:noProof/>
                <w:sz w:val="18"/>
                <w:szCs w:val="18"/>
              </w:rPr>
            </w:pPr>
            <w:r w:rsidRPr="00E81457">
              <w:rPr>
                <w:noProof/>
                <w:sz w:val="18"/>
                <w:szCs w:val="18"/>
              </w:rPr>
              <w:t>+1,6</w:t>
            </w:r>
          </w:p>
        </w:tc>
        <w:tc>
          <w:tcPr>
            <w:tcW w:w="992" w:type="dxa"/>
            <w:tcBorders>
              <w:top w:val="single" w:sz="4" w:space="0" w:color="auto"/>
              <w:left w:val="single" w:sz="4" w:space="0" w:color="auto"/>
              <w:bottom w:val="single" w:sz="4" w:space="0" w:color="auto"/>
              <w:right w:val="single" w:sz="4" w:space="0" w:color="auto"/>
            </w:tcBorders>
          </w:tcPr>
          <w:p w14:paraId="710498FE" w14:textId="77777777" w:rsidR="00651B6D" w:rsidRPr="00E81457" w:rsidRDefault="00651B6D" w:rsidP="00651B6D">
            <w:pPr>
              <w:ind w:firstLine="0"/>
              <w:jc w:val="right"/>
              <w:rPr>
                <w:noProof/>
                <w:sz w:val="18"/>
                <w:szCs w:val="18"/>
              </w:rPr>
            </w:pPr>
            <w:r w:rsidRPr="00E81457">
              <w:rPr>
                <w:noProof/>
                <w:sz w:val="18"/>
                <w:szCs w:val="18"/>
              </w:rPr>
              <w:t>+1,6</w:t>
            </w:r>
          </w:p>
        </w:tc>
        <w:tc>
          <w:tcPr>
            <w:tcW w:w="986" w:type="dxa"/>
            <w:tcBorders>
              <w:top w:val="single" w:sz="4" w:space="0" w:color="auto"/>
              <w:left w:val="single" w:sz="4" w:space="0" w:color="auto"/>
              <w:bottom w:val="single" w:sz="4" w:space="0" w:color="auto"/>
              <w:right w:val="single" w:sz="4" w:space="0" w:color="auto"/>
            </w:tcBorders>
          </w:tcPr>
          <w:p w14:paraId="586E4434" w14:textId="77777777" w:rsidR="00651B6D" w:rsidRPr="00E81457" w:rsidRDefault="00651B6D" w:rsidP="00651B6D">
            <w:pPr>
              <w:ind w:firstLine="0"/>
              <w:jc w:val="right"/>
              <w:rPr>
                <w:noProof/>
                <w:sz w:val="18"/>
                <w:szCs w:val="18"/>
              </w:rPr>
            </w:pPr>
            <w:r w:rsidRPr="00E81457">
              <w:rPr>
                <w:noProof/>
                <w:sz w:val="18"/>
                <w:szCs w:val="18"/>
              </w:rPr>
              <w:t>+1,6</w:t>
            </w:r>
          </w:p>
        </w:tc>
      </w:tr>
      <w:tr w:rsidR="00651B6D" w:rsidRPr="00E81457" w14:paraId="2A08A4FA" w14:textId="77777777" w:rsidTr="00651B6D">
        <w:trPr>
          <w:cantSplit/>
          <w:trHeight w:val="414"/>
        </w:trPr>
        <w:tc>
          <w:tcPr>
            <w:tcW w:w="3390" w:type="dxa"/>
            <w:tcBorders>
              <w:left w:val="single" w:sz="4" w:space="0" w:color="auto"/>
              <w:right w:val="single" w:sz="4" w:space="0" w:color="auto"/>
            </w:tcBorders>
          </w:tcPr>
          <w:p w14:paraId="174BB2A4" w14:textId="77777777" w:rsidR="00651B6D" w:rsidRPr="00E81457" w:rsidRDefault="00651B6D" w:rsidP="00651B6D">
            <w:pPr>
              <w:ind w:left="57" w:firstLine="0"/>
              <w:jc w:val="left"/>
              <w:rPr>
                <w:noProof/>
                <w:sz w:val="18"/>
                <w:szCs w:val="18"/>
              </w:rPr>
            </w:pPr>
            <w:r w:rsidRPr="00E81457">
              <w:rPr>
                <w:noProof/>
                <w:sz w:val="18"/>
                <w:szCs w:val="18"/>
              </w:rPr>
              <w:t>Kancelejas nodevu  palielināšana par zemesgrāmatā veiktajām darbībām</w:t>
            </w:r>
          </w:p>
        </w:tc>
        <w:tc>
          <w:tcPr>
            <w:tcW w:w="2701" w:type="dxa"/>
            <w:tcBorders>
              <w:top w:val="single" w:sz="4" w:space="0" w:color="auto"/>
              <w:left w:val="single" w:sz="4" w:space="0" w:color="auto"/>
              <w:bottom w:val="single" w:sz="4" w:space="0" w:color="auto"/>
              <w:right w:val="single" w:sz="4" w:space="0" w:color="auto"/>
            </w:tcBorders>
          </w:tcPr>
          <w:p w14:paraId="4E10EE35" w14:textId="77777777" w:rsidR="00651B6D" w:rsidRPr="00E81457" w:rsidRDefault="00651B6D" w:rsidP="00651B6D">
            <w:pPr>
              <w:ind w:right="113" w:firstLine="0"/>
              <w:jc w:val="left"/>
              <w:rPr>
                <w:noProof/>
                <w:sz w:val="18"/>
                <w:szCs w:val="18"/>
              </w:rPr>
            </w:pPr>
            <w:r w:rsidRPr="00E81457">
              <w:rPr>
                <w:noProof/>
                <w:sz w:val="18"/>
                <w:szCs w:val="18"/>
              </w:rPr>
              <w:t>Nenodokļi</w:t>
            </w:r>
          </w:p>
        </w:tc>
        <w:tc>
          <w:tcPr>
            <w:tcW w:w="992" w:type="dxa"/>
            <w:tcBorders>
              <w:top w:val="single" w:sz="4" w:space="0" w:color="auto"/>
              <w:left w:val="single" w:sz="4" w:space="0" w:color="auto"/>
              <w:bottom w:val="single" w:sz="4" w:space="0" w:color="auto"/>
              <w:right w:val="single" w:sz="4" w:space="0" w:color="auto"/>
            </w:tcBorders>
          </w:tcPr>
          <w:p w14:paraId="7A8F3CAB" w14:textId="77777777" w:rsidR="00651B6D" w:rsidRPr="00E81457" w:rsidRDefault="00651B6D" w:rsidP="00651B6D">
            <w:pPr>
              <w:ind w:firstLine="0"/>
              <w:jc w:val="right"/>
              <w:rPr>
                <w:noProof/>
                <w:sz w:val="18"/>
                <w:szCs w:val="18"/>
              </w:rPr>
            </w:pPr>
            <w:r w:rsidRPr="00E81457">
              <w:rPr>
                <w:noProof/>
                <w:sz w:val="18"/>
                <w:szCs w:val="18"/>
              </w:rPr>
              <w:t>+0,2</w:t>
            </w:r>
          </w:p>
        </w:tc>
        <w:tc>
          <w:tcPr>
            <w:tcW w:w="992" w:type="dxa"/>
            <w:tcBorders>
              <w:top w:val="single" w:sz="4" w:space="0" w:color="auto"/>
              <w:left w:val="single" w:sz="4" w:space="0" w:color="auto"/>
              <w:bottom w:val="single" w:sz="4" w:space="0" w:color="auto"/>
              <w:right w:val="single" w:sz="4" w:space="0" w:color="auto"/>
            </w:tcBorders>
          </w:tcPr>
          <w:p w14:paraId="64176F05" w14:textId="77777777" w:rsidR="00651B6D" w:rsidRPr="00E81457" w:rsidRDefault="00651B6D" w:rsidP="00651B6D">
            <w:pPr>
              <w:ind w:firstLine="0"/>
              <w:jc w:val="right"/>
              <w:rPr>
                <w:noProof/>
                <w:sz w:val="18"/>
                <w:szCs w:val="18"/>
              </w:rPr>
            </w:pPr>
            <w:r w:rsidRPr="00E81457">
              <w:rPr>
                <w:noProof/>
                <w:sz w:val="18"/>
                <w:szCs w:val="18"/>
              </w:rPr>
              <w:t>+0,1</w:t>
            </w:r>
          </w:p>
        </w:tc>
        <w:tc>
          <w:tcPr>
            <w:tcW w:w="986" w:type="dxa"/>
            <w:tcBorders>
              <w:top w:val="single" w:sz="4" w:space="0" w:color="auto"/>
              <w:left w:val="single" w:sz="4" w:space="0" w:color="auto"/>
              <w:bottom w:val="single" w:sz="4" w:space="0" w:color="auto"/>
              <w:right w:val="single" w:sz="4" w:space="0" w:color="auto"/>
            </w:tcBorders>
          </w:tcPr>
          <w:p w14:paraId="720AF93E" w14:textId="77777777" w:rsidR="00651B6D" w:rsidRPr="00E81457" w:rsidRDefault="00651B6D" w:rsidP="00651B6D">
            <w:pPr>
              <w:ind w:firstLine="0"/>
              <w:jc w:val="right"/>
              <w:rPr>
                <w:noProof/>
                <w:sz w:val="18"/>
                <w:szCs w:val="18"/>
              </w:rPr>
            </w:pPr>
            <w:r w:rsidRPr="00E81457">
              <w:rPr>
                <w:noProof/>
                <w:sz w:val="18"/>
                <w:szCs w:val="18"/>
              </w:rPr>
              <w:t>+0,1</w:t>
            </w:r>
          </w:p>
        </w:tc>
      </w:tr>
    </w:tbl>
    <w:p w14:paraId="4C6318BF" w14:textId="49F69E83" w:rsidR="003F3FCD" w:rsidRPr="00AC087C" w:rsidRDefault="000548A5" w:rsidP="00CA119A">
      <w:pPr>
        <w:pStyle w:val="Heading2"/>
        <w:spacing w:before="240" w:after="240"/>
        <w:jc w:val="center"/>
        <w:rPr>
          <w:rFonts w:eastAsia="Times New Roman" w:cs="Times New Roman"/>
          <w:color w:val="000000"/>
        </w:rPr>
      </w:pPr>
      <w:bookmarkStart w:id="66" w:name="_Toc84756421"/>
      <w:r w:rsidRPr="00AC087C">
        <w:rPr>
          <w:rFonts w:eastAsia="Times New Roman" w:cs="Times New Roman"/>
          <w:color w:val="000000"/>
        </w:rPr>
        <w:t>3.2. Kopbudžeta nodokļu ieņēmumi</w:t>
      </w:r>
      <w:bookmarkEnd w:id="66"/>
    </w:p>
    <w:p w14:paraId="1383476D" w14:textId="275D53E7" w:rsidR="00651B6D" w:rsidRPr="00FE6F7D" w:rsidRDefault="00651B6D" w:rsidP="00651B6D">
      <w:pPr>
        <w:rPr>
          <w:rFonts w:eastAsia="Calibri"/>
          <w:szCs w:val="28"/>
        </w:rPr>
      </w:pPr>
      <w:r w:rsidRPr="00FE6F7D">
        <w:rPr>
          <w:rFonts w:eastAsia="Calibri"/>
          <w:szCs w:val="28"/>
        </w:rPr>
        <w:t>2021</w:t>
      </w:r>
      <w:r>
        <w:rPr>
          <w:rFonts w:eastAsia="Calibri"/>
          <w:szCs w:val="28"/>
        </w:rPr>
        <w:t>. gad</w:t>
      </w:r>
      <w:r w:rsidRPr="00FE6F7D">
        <w:rPr>
          <w:rFonts w:eastAsia="Calibri"/>
          <w:szCs w:val="28"/>
        </w:rPr>
        <w:t>a pirmajā pusgadā kopbudžeta nodokļu ieņēmumi bija 4 639,1</w:t>
      </w:r>
      <w:r>
        <w:rPr>
          <w:rFonts w:eastAsia="Calibri"/>
          <w:szCs w:val="28"/>
        </w:rPr>
        <w:t> milj.</w:t>
      </w:r>
      <w:r w:rsidRPr="00FE6F7D">
        <w:rPr>
          <w:rFonts w:eastAsia="Calibri"/>
          <w:i/>
          <w:szCs w:val="28"/>
        </w:rPr>
        <w:t> </w:t>
      </w:r>
      <w:r w:rsidRPr="004F46D3">
        <w:rPr>
          <w:rFonts w:eastAsia="Calibri"/>
          <w:i/>
          <w:szCs w:val="28"/>
        </w:rPr>
        <w:t>euro</w:t>
      </w:r>
      <w:r w:rsidRPr="00FE6F7D">
        <w:rPr>
          <w:rFonts w:eastAsia="Calibri"/>
          <w:szCs w:val="28"/>
        </w:rPr>
        <w:t>, kas salīdzinot ar likumā “Par valsts budžetu 2021</w:t>
      </w:r>
      <w:r>
        <w:rPr>
          <w:rFonts w:eastAsia="Calibri"/>
          <w:szCs w:val="28"/>
        </w:rPr>
        <w:t>. gad</w:t>
      </w:r>
      <w:r w:rsidRPr="00FE6F7D">
        <w:rPr>
          <w:rFonts w:eastAsia="Calibri"/>
          <w:szCs w:val="28"/>
        </w:rPr>
        <w:t>am” noteikto plānu, ir par 251,6</w:t>
      </w:r>
      <w:r>
        <w:rPr>
          <w:rFonts w:eastAsia="Calibri"/>
          <w:szCs w:val="28"/>
        </w:rPr>
        <w:t> milj.</w:t>
      </w:r>
      <w:r w:rsidRPr="00FE6F7D">
        <w:rPr>
          <w:rFonts w:eastAsia="Calibri"/>
          <w:i/>
          <w:szCs w:val="28"/>
        </w:rPr>
        <w:t> </w:t>
      </w:r>
      <w:r w:rsidRPr="004F46D3">
        <w:rPr>
          <w:rFonts w:eastAsia="Calibri"/>
          <w:i/>
          <w:szCs w:val="28"/>
        </w:rPr>
        <w:t>euro</w:t>
      </w:r>
      <w:r w:rsidRPr="00FE6F7D">
        <w:rPr>
          <w:rFonts w:eastAsia="Calibri"/>
          <w:szCs w:val="28"/>
        </w:rPr>
        <w:t xml:space="preserve"> jeb 5,7% vairāk, </w:t>
      </w:r>
      <w:r w:rsidRPr="00FE6F7D">
        <w:t>taču izpilde pa nodokļu veidiem vērtējama piesardzīgi, jo, lai mazinātu administratīvo slogu nodokļu maksātājiem, ar 2021</w:t>
      </w:r>
      <w:r>
        <w:t>. gad</w:t>
      </w:r>
      <w:r w:rsidRPr="00FE6F7D">
        <w:t xml:space="preserve">a </w:t>
      </w:r>
      <w:r>
        <w:t>1. janv</w:t>
      </w:r>
      <w:r w:rsidRPr="00FE6F7D">
        <w:t>āri stājās sp</w:t>
      </w:r>
      <w:r w:rsidR="00F70213">
        <w:t>ēkā vienotais nodokļu konts, Valsts ieņēmumu dienesta</w:t>
      </w:r>
      <w:r w:rsidRPr="00FE6F7D">
        <w:t xml:space="preserve"> vienotajā kontā iemaksāto naudas summu sadalot nodokļu maksātāja saistību segšanai pa nodokļu veidiem. </w:t>
      </w:r>
      <w:r w:rsidRPr="00FE6F7D">
        <w:rPr>
          <w:rFonts w:eastAsia="Calibri"/>
          <w:szCs w:val="28"/>
        </w:rPr>
        <w:t xml:space="preserve">Pirmajā pusgadā </w:t>
      </w:r>
      <w:r w:rsidRPr="00FE6F7D">
        <w:t>ir radusies situācija, ka valsts pamatbudžeta ieņēmumos palika nesadalīti nodokļu ieņēmumi 264,4</w:t>
      </w:r>
      <w:r>
        <w:t> milj. </w:t>
      </w:r>
      <w:r w:rsidRPr="004F46D3">
        <w:rPr>
          <w:i/>
          <w:iCs/>
        </w:rPr>
        <w:t>euro</w:t>
      </w:r>
      <w:r w:rsidRPr="00FE6F7D">
        <w:t xml:space="preserve">, kas tiks attiecināti uz konkrētajiem nodokļu veidiem un attiecīgajiem budžeta līmeņiem tikai turpmākajos mēnešos, rodoties atbilstošām nodokļu saistībām. </w:t>
      </w:r>
      <w:r w:rsidRPr="00FE6F7D">
        <w:rPr>
          <w:rFonts w:eastAsia="Calibri"/>
          <w:szCs w:val="28"/>
        </w:rPr>
        <w:t>Plāna pārpilde apliecina tautsaimniecības pakāpenisku atkopšanos no</w:t>
      </w:r>
      <w:r>
        <w:rPr>
          <w:rFonts w:eastAsia="Calibri"/>
          <w:szCs w:val="28"/>
        </w:rPr>
        <w:t xml:space="preserve"> </w:t>
      </w:r>
      <w:r w:rsidRPr="00FE6F7D">
        <w:rPr>
          <w:rFonts w:eastAsia="Calibri"/>
          <w:szCs w:val="28"/>
        </w:rPr>
        <w:t>Covid-19 izraisītās krīzes.</w:t>
      </w:r>
    </w:p>
    <w:p w14:paraId="2E57E05D" w14:textId="77777777" w:rsidR="00651B6D" w:rsidRPr="00DF1059" w:rsidRDefault="00651B6D" w:rsidP="00651B6D">
      <w:pPr>
        <w:rPr>
          <w:noProof/>
          <w:highlight w:val="yellow"/>
        </w:rPr>
      </w:pPr>
      <w:r w:rsidRPr="00FE6F7D">
        <w:rPr>
          <w:rFonts w:eastAsia="Calibri"/>
          <w:szCs w:val="28"/>
        </w:rPr>
        <w:t>Salīdzinot ar 2020</w:t>
      </w:r>
      <w:r>
        <w:rPr>
          <w:rFonts w:eastAsia="Calibri"/>
          <w:szCs w:val="28"/>
        </w:rPr>
        <w:t>. gad</w:t>
      </w:r>
      <w:r w:rsidRPr="00FE6F7D">
        <w:rPr>
          <w:rFonts w:eastAsia="Calibri"/>
          <w:szCs w:val="28"/>
        </w:rPr>
        <w:t>a pirmo pusgadu, kopbudžeta nodokļu ieņēmumi 2021</w:t>
      </w:r>
      <w:r>
        <w:rPr>
          <w:rFonts w:eastAsia="Calibri"/>
          <w:szCs w:val="28"/>
        </w:rPr>
        <w:t>. gad</w:t>
      </w:r>
      <w:r w:rsidRPr="00FE6F7D">
        <w:rPr>
          <w:rFonts w:eastAsia="Calibri"/>
          <w:szCs w:val="28"/>
        </w:rPr>
        <w:t>a pirmajā pusgadā tika iekasēti par 467,</w:t>
      </w:r>
      <w:r>
        <w:rPr>
          <w:rFonts w:eastAsia="Calibri"/>
          <w:szCs w:val="28"/>
        </w:rPr>
        <w:t>9 milj.</w:t>
      </w:r>
      <w:r w:rsidRPr="00FE6F7D">
        <w:rPr>
          <w:rFonts w:eastAsia="Calibri"/>
          <w:i/>
          <w:szCs w:val="28"/>
        </w:rPr>
        <w:t> </w:t>
      </w:r>
      <w:r w:rsidRPr="004F46D3">
        <w:rPr>
          <w:rFonts w:eastAsia="Calibri"/>
          <w:i/>
          <w:szCs w:val="28"/>
        </w:rPr>
        <w:t>euro</w:t>
      </w:r>
      <w:r w:rsidRPr="00FE6F7D">
        <w:rPr>
          <w:rFonts w:eastAsia="Calibri"/>
          <w:szCs w:val="28"/>
        </w:rPr>
        <w:t xml:space="preserve"> jeb 11,2% vairāk. Jāņem vērā, ka šogad ekonomika ir pakāpeniski pielāgojusies krīzes apstākļiem, kā rezultātā šā gada otrajā ceturksnī vērojama salīdzinoši strauja atkopšanās no krīzes, savukārt 2020</w:t>
      </w:r>
      <w:r>
        <w:rPr>
          <w:rFonts w:eastAsia="Calibri"/>
          <w:szCs w:val="28"/>
        </w:rPr>
        <w:t>. gad</w:t>
      </w:r>
      <w:r w:rsidRPr="00FE6F7D">
        <w:rPr>
          <w:rFonts w:eastAsia="Calibri"/>
          <w:szCs w:val="28"/>
        </w:rPr>
        <w:t xml:space="preserve">a otrais ceturksnis iezīmēja krīzes sākumu, vienlaikus būtiski samazinoties nodokļu ieņēmumiem. </w:t>
      </w:r>
      <w:r w:rsidRPr="00FE6F7D">
        <w:t>Ņemot vērā makroekonomisko rādītāju prognozes un pirmā pusgada izpildi, 2021</w:t>
      </w:r>
      <w:r>
        <w:t>. gad</w:t>
      </w:r>
      <w:r w:rsidRPr="00FE6F7D">
        <w:t>a</w:t>
      </w:r>
      <w:r w:rsidRPr="00FE6F7D">
        <w:rPr>
          <w:rFonts w:eastAsia="Calibri"/>
          <w:szCs w:val="28"/>
        </w:rPr>
        <w:t xml:space="preserve"> kopbudžeta nodokļu ieņēmumu</w:t>
      </w:r>
      <w:r w:rsidRPr="00FE6F7D">
        <w:t xml:space="preserve"> prognoze tika samazināta vien par 13,7</w:t>
      </w:r>
      <w:r>
        <w:t> milj.</w:t>
      </w:r>
      <w:r w:rsidRPr="00FE6F7D">
        <w:rPr>
          <w:i/>
        </w:rPr>
        <w:t> </w:t>
      </w:r>
      <w:r w:rsidRPr="004F46D3">
        <w:rPr>
          <w:i/>
        </w:rPr>
        <w:t>euro</w:t>
      </w:r>
      <w:r w:rsidRPr="00FE6F7D">
        <w:t xml:space="preserve"> jeb par 0,1%, salīdzinot ar plā</w:t>
      </w:r>
      <w:r w:rsidRPr="00954D45">
        <w:t>nu.</w:t>
      </w:r>
    </w:p>
    <w:p w14:paraId="7C47195D" w14:textId="77777777" w:rsidR="00651B6D" w:rsidRPr="00954D45" w:rsidRDefault="00651B6D" w:rsidP="00651B6D">
      <w:pPr>
        <w:rPr>
          <w:szCs w:val="24"/>
        </w:rPr>
      </w:pPr>
      <w:r w:rsidRPr="00954D45">
        <w:rPr>
          <w:szCs w:val="24"/>
        </w:rPr>
        <w:t>Saskaņā ar likumprojektu „Par vidēja termiņa budžeta ietvaru 2022., 2023. un 2024</w:t>
      </w:r>
      <w:r>
        <w:rPr>
          <w:szCs w:val="24"/>
        </w:rPr>
        <w:t>. gad</w:t>
      </w:r>
      <w:r w:rsidRPr="00954D45">
        <w:rPr>
          <w:szCs w:val="24"/>
        </w:rPr>
        <w:t>am” 2022</w:t>
      </w:r>
      <w:r>
        <w:rPr>
          <w:szCs w:val="24"/>
        </w:rPr>
        <w:t>. gad</w:t>
      </w:r>
      <w:r w:rsidRPr="00954D45">
        <w:rPr>
          <w:szCs w:val="24"/>
        </w:rPr>
        <w:t>ā kopbudžeta nodokļu ieņēmumi tiek plānoti 10</w:t>
      </w:r>
      <w:r>
        <w:rPr>
          <w:szCs w:val="24"/>
        </w:rPr>
        <w:t> 181,2 milj.</w:t>
      </w:r>
      <w:r w:rsidRPr="00954D45">
        <w:rPr>
          <w:i/>
          <w:szCs w:val="24"/>
        </w:rPr>
        <w:t> </w:t>
      </w:r>
      <w:r w:rsidRPr="004F46D3">
        <w:rPr>
          <w:i/>
          <w:szCs w:val="24"/>
        </w:rPr>
        <w:t>euro</w:t>
      </w:r>
      <w:r w:rsidRPr="00954D45">
        <w:rPr>
          <w:szCs w:val="24"/>
        </w:rPr>
        <w:t>, 2023</w:t>
      </w:r>
      <w:r>
        <w:rPr>
          <w:szCs w:val="24"/>
        </w:rPr>
        <w:t>. gad</w:t>
      </w:r>
      <w:r w:rsidRPr="00954D45">
        <w:rPr>
          <w:szCs w:val="24"/>
        </w:rPr>
        <w:t>ā 10</w:t>
      </w:r>
      <w:r>
        <w:rPr>
          <w:szCs w:val="24"/>
        </w:rPr>
        <w:t> 766,9 milj.</w:t>
      </w:r>
      <w:r w:rsidRPr="00954D45">
        <w:rPr>
          <w:i/>
          <w:szCs w:val="24"/>
        </w:rPr>
        <w:t> </w:t>
      </w:r>
      <w:r w:rsidRPr="004F46D3">
        <w:rPr>
          <w:i/>
          <w:szCs w:val="24"/>
        </w:rPr>
        <w:t>euro</w:t>
      </w:r>
      <w:r w:rsidRPr="00954D45">
        <w:rPr>
          <w:szCs w:val="24"/>
        </w:rPr>
        <w:t xml:space="preserve"> un 2024</w:t>
      </w:r>
      <w:r>
        <w:rPr>
          <w:szCs w:val="24"/>
        </w:rPr>
        <w:t>. gad</w:t>
      </w:r>
      <w:r w:rsidRPr="00954D45">
        <w:rPr>
          <w:szCs w:val="24"/>
        </w:rPr>
        <w:t>ā 11</w:t>
      </w:r>
      <w:r>
        <w:rPr>
          <w:szCs w:val="24"/>
        </w:rPr>
        <w:t> 305,9 milj.</w:t>
      </w:r>
      <w:r w:rsidRPr="00954D45">
        <w:rPr>
          <w:i/>
          <w:szCs w:val="24"/>
        </w:rPr>
        <w:t> </w:t>
      </w:r>
      <w:r w:rsidRPr="004F46D3">
        <w:rPr>
          <w:i/>
          <w:szCs w:val="24"/>
        </w:rPr>
        <w:t>euro</w:t>
      </w:r>
      <w:r w:rsidRPr="00954D45">
        <w:rPr>
          <w:szCs w:val="24"/>
        </w:rPr>
        <w:t xml:space="preserve"> apmērā.</w:t>
      </w:r>
    </w:p>
    <w:p w14:paraId="4EA4ECDC" w14:textId="77777777" w:rsidR="00651B6D" w:rsidRPr="00E81457" w:rsidRDefault="00651B6D" w:rsidP="00F70213">
      <w:pPr>
        <w:keepNext/>
        <w:spacing w:before="120"/>
        <w:jc w:val="right"/>
        <w:rPr>
          <w:b/>
          <w:i/>
          <w:szCs w:val="24"/>
        </w:rPr>
      </w:pPr>
      <w:r w:rsidRPr="00E81457">
        <w:rPr>
          <w:b/>
          <w:i/>
          <w:szCs w:val="24"/>
        </w:rPr>
        <w:lastRenderedPageBreak/>
        <w:t>3.2</w:t>
      </w:r>
      <w:r>
        <w:rPr>
          <w:b/>
          <w:i/>
          <w:szCs w:val="24"/>
        </w:rPr>
        <w:t>. tab</w:t>
      </w:r>
      <w:r w:rsidRPr="00E81457">
        <w:rPr>
          <w:b/>
          <w:i/>
          <w:szCs w:val="24"/>
        </w:rPr>
        <w:t>ula. Kopbudžeta nodokļu ieņēmumi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919"/>
        <w:gridCol w:w="920"/>
        <w:gridCol w:w="920"/>
        <w:gridCol w:w="920"/>
      </w:tblGrid>
      <w:tr w:rsidR="00651B6D" w:rsidRPr="00E81457" w14:paraId="19BBA620" w14:textId="77777777" w:rsidTr="00651B6D">
        <w:trPr>
          <w:cantSplit/>
          <w:trHeight w:val="20"/>
        </w:trPr>
        <w:tc>
          <w:tcPr>
            <w:tcW w:w="5382" w:type="dxa"/>
            <w:shd w:val="clear" w:color="auto" w:fill="9CC2E5" w:themeFill="accent1" w:themeFillTint="99"/>
            <w:noWrap/>
            <w:vAlign w:val="center"/>
            <w:hideMark/>
          </w:tcPr>
          <w:p w14:paraId="281F994D" w14:textId="77777777" w:rsidR="00651B6D" w:rsidRPr="00E81457" w:rsidRDefault="00651B6D" w:rsidP="00651B6D">
            <w:pPr>
              <w:keepNext/>
              <w:keepLines/>
              <w:ind w:firstLine="0"/>
              <w:jc w:val="left"/>
              <w:rPr>
                <w:color w:val="000000"/>
                <w:sz w:val="18"/>
                <w:szCs w:val="18"/>
              </w:rPr>
            </w:pPr>
          </w:p>
        </w:tc>
        <w:tc>
          <w:tcPr>
            <w:tcW w:w="919" w:type="dxa"/>
            <w:shd w:val="clear" w:color="auto" w:fill="9CC2E5" w:themeFill="accent1" w:themeFillTint="99"/>
            <w:vAlign w:val="center"/>
            <w:hideMark/>
          </w:tcPr>
          <w:p w14:paraId="5F48EF98" w14:textId="77777777" w:rsidR="00651B6D" w:rsidRPr="00E81457" w:rsidRDefault="00651B6D" w:rsidP="00651B6D">
            <w:pPr>
              <w:keepNext/>
              <w:keepLines/>
              <w:ind w:firstLine="0"/>
              <w:jc w:val="center"/>
              <w:rPr>
                <w:b/>
                <w:bCs/>
                <w:color w:val="000000"/>
                <w:sz w:val="18"/>
                <w:szCs w:val="18"/>
              </w:rPr>
            </w:pPr>
            <w:r w:rsidRPr="00E81457">
              <w:rPr>
                <w:b/>
                <w:bCs/>
                <w:color w:val="000000"/>
                <w:sz w:val="18"/>
                <w:szCs w:val="18"/>
              </w:rPr>
              <w:t>2021</w:t>
            </w:r>
          </w:p>
        </w:tc>
        <w:tc>
          <w:tcPr>
            <w:tcW w:w="920" w:type="dxa"/>
            <w:shd w:val="clear" w:color="auto" w:fill="9CC2E5" w:themeFill="accent1" w:themeFillTint="99"/>
            <w:vAlign w:val="center"/>
            <w:hideMark/>
          </w:tcPr>
          <w:p w14:paraId="0C1C8525" w14:textId="77777777" w:rsidR="00651B6D" w:rsidRPr="00E81457" w:rsidRDefault="00651B6D" w:rsidP="00651B6D">
            <w:pPr>
              <w:keepNext/>
              <w:keepLines/>
              <w:ind w:firstLine="0"/>
              <w:jc w:val="center"/>
              <w:rPr>
                <w:b/>
                <w:bCs/>
                <w:color w:val="000000"/>
                <w:sz w:val="18"/>
                <w:szCs w:val="18"/>
              </w:rPr>
            </w:pPr>
            <w:r w:rsidRPr="00E81457">
              <w:rPr>
                <w:b/>
                <w:bCs/>
                <w:color w:val="000000"/>
                <w:sz w:val="18"/>
                <w:szCs w:val="18"/>
              </w:rPr>
              <w:t>2022</w:t>
            </w:r>
          </w:p>
        </w:tc>
        <w:tc>
          <w:tcPr>
            <w:tcW w:w="920" w:type="dxa"/>
            <w:shd w:val="clear" w:color="auto" w:fill="9CC2E5" w:themeFill="accent1" w:themeFillTint="99"/>
            <w:vAlign w:val="center"/>
            <w:hideMark/>
          </w:tcPr>
          <w:p w14:paraId="3D2C97A3" w14:textId="77777777" w:rsidR="00651B6D" w:rsidRPr="00E81457" w:rsidRDefault="00651B6D" w:rsidP="00651B6D">
            <w:pPr>
              <w:keepNext/>
              <w:keepLines/>
              <w:ind w:firstLine="0"/>
              <w:jc w:val="center"/>
              <w:rPr>
                <w:b/>
                <w:bCs/>
                <w:color w:val="000000"/>
                <w:sz w:val="18"/>
                <w:szCs w:val="18"/>
              </w:rPr>
            </w:pPr>
            <w:r w:rsidRPr="00E81457">
              <w:rPr>
                <w:b/>
                <w:bCs/>
                <w:color w:val="000000"/>
                <w:sz w:val="18"/>
                <w:szCs w:val="18"/>
              </w:rPr>
              <w:t>2023</w:t>
            </w:r>
          </w:p>
        </w:tc>
        <w:tc>
          <w:tcPr>
            <w:tcW w:w="920" w:type="dxa"/>
            <w:shd w:val="clear" w:color="auto" w:fill="9CC2E5" w:themeFill="accent1" w:themeFillTint="99"/>
            <w:noWrap/>
            <w:vAlign w:val="center"/>
            <w:hideMark/>
          </w:tcPr>
          <w:p w14:paraId="72C20EB8" w14:textId="77777777" w:rsidR="00651B6D" w:rsidRPr="00E81457" w:rsidRDefault="00651B6D" w:rsidP="00651B6D">
            <w:pPr>
              <w:keepNext/>
              <w:keepLines/>
              <w:ind w:firstLine="0"/>
              <w:jc w:val="center"/>
              <w:rPr>
                <w:b/>
                <w:bCs/>
                <w:color w:val="000000"/>
                <w:sz w:val="18"/>
                <w:szCs w:val="18"/>
              </w:rPr>
            </w:pPr>
            <w:r w:rsidRPr="00E81457">
              <w:rPr>
                <w:b/>
                <w:bCs/>
                <w:color w:val="000000"/>
                <w:sz w:val="18"/>
                <w:szCs w:val="18"/>
              </w:rPr>
              <w:t>2024</w:t>
            </w:r>
          </w:p>
        </w:tc>
      </w:tr>
      <w:tr w:rsidR="00651B6D" w:rsidRPr="00E81457" w14:paraId="4B930465" w14:textId="77777777" w:rsidTr="00651B6D">
        <w:trPr>
          <w:cantSplit/>
          <w:trHeight w:val="20"/>
        </w:trPr>
        <w:tc>
          <w:tcPr>
            <w:tcW w:w="5382" w:type="dxa"/>
            <w:shd w:val="clear" w:color="auto" w:fill="auto"/>
            <w:vAlign w:val="center"/>
            <w:hideMark/>
          </w:tcPr>
          <w:p w14:paraId="4EE0E813" w14:textId="77777777" w:rsidR="00651B6D" w:rsidRPr="000909C6" w:rsidRDefault="00651B6D" w:rsidP="00651B6D">
            <w:pPr>
              <w:keepNext/>
              <w:keepLines/>
              <w:ind w:firstLine="0"/>
              <w:jc w:val="left"/>
              <w:rPr>
                <w:bCs/>
                <w:color w:val="000000"/>
                <w:sz w:val="18"/>
                <w:szCs w:val="18"/>
              </w:rPr>
            </w:pPr>
            <w:r w:rsidRPr="000909C6">
              <w:rPr>
                <w:bCs/>
                <w:color w:val="000000"/>
                <w:sz w:val="18"/>
                <w:szCs w:val="18"/>
              </w:rPr>
              <w:t>S</w:t>
            </w:r>
            <w:r w:rsidRPr="000909C6">
              <w:rPr>
                <w:color w:val="000000"/>
                <w:sz w:val="18"/>
                <w:szCs w:val="18"/>
              </w:rPr>
              <w:t>askaņā ar likumprojektu „Par vidēja termiņa budžeta ietvaru 2022., 2023. un 2024</w:t>
            </w:r>
            <w:r>
              <w:rPr>
                <w:color w:val="000000"/>
                <w:sz w:val="18"/>
                <w:szCs w:val="18"/>
              </w:rPr>
              <w:t>. gad</w:t>
            </w:r>
            <w:r w:rsidRPr="000909C6">
              <w:rPr>
                <w:color w:val="000000"/>
                <w:sz w:val="18"/>
                <w:szCs w:val="18"/>
              </w:rPr>
              <w:t>am”</w:t>
            </w:r>
            <w:r>
              <w:rPr>
                <w:color w:val="000000"/>
                <w:sz w:val="18"/>
                <w:szCs w:val="18"/>
              </w:rPr>
              <w:t>, milj.</w:t>
            </w:r>
            <w:r w:rsidRPr="000909C6">
              <w:rPr>
                <w:i/>
                <w:color w:val="000000"/>
                <w:sz w:val="18"/>
                <w:szCs w:val="18"/>
              </w:rPr>
              <w:t> </w:t>
            </w:r>
            <w:r w:rsidRPr="004F46D3">
              <w:rPr>
                <w:i/>
                <w:color w:val="000000"/>
                <w:sz w:val="18"/>
                <w:szCs w:val="18"/>
              </w:rPr>
              <w:t>euro</w:t>
            </w:r>
          </w:p>
        </w:tc>
        <w:tc>
          <w:tcPr>
            <w:tcW w:w="919" w:type="dxa"/>
            <w:shd w:val="clear" w:color="auto" w:fill="auto"/>
            <w:noWrap/>
            <w:hideMark/>
          </w:tcPr>
          <w:p w14:paraId="25340190" w14:textId="77777777" w:rsidR="00651B6D" w:rsidRPr="000909C6" w:rsidRDefault="00651B6D" w:rsidP="00651B6D">
            <w:pPr>
              <w:keepNext/>
              <w:keepLines/>
              <w:tabs>
                <w:tab w:val="decimal" w:pos="522"/>
              </w:tabs>
              <w:ind w:firstLine="0"/>
              <w:jc w:val="right"/>
              <w:rPr>
                <w:bCs/>
                <w:color w:val="000000"/>
                <w:sz w:val="18"/>
                <w:szCs w:val="18"/>
              </w:rPr>
            </w:pPr>
            <w:r w:rsidRPr="000909C6">
              <w:rPr>
                <w:bCs/>
                <w:sz w:val="18"/>
                <w:szCs w:val="18"/>
              </w:rPr>
              <w:t>9 327,8</w:t>
            </w:r>
            <w:r w:rsidRPr="000909C6">
              <w:rPr>
                <w:snapToGrid w:val="0"/>
                <w:sz w:val="18"/>
                <w:szCs w:val="18"/>
                <w:vertAlign w:val="superscript"/>
              </w:rPr>
              <w:t>1</w:t>
            </w:r>
          </w:p>
        </w:tc>
        <w:tc>
          <w:tcPr>
            <w:tcW w:w="920" w:type="dxa"/>
            <w:shd w:val="clear" w:color="auto" w:fill="auto"/>
            <w:noWrap/>
            <w:hideMark/>
          </w:tcPr>
          <w:p w14:paraId="572CB0ED" w14:textId="77777777" w:rsidR="00651B6D" w:rsidRPr="000909C6" w:rsidRDefault="00651B6D" w:rsidP="00651B6D">
            <w:pPr>
              <w:keepNext/>
              <w:keepLines/>
              <w:tabs>
                <w:tab w:val="decimal" w:pos="522"/>
              </w:tabs>
              <w:ind w:firstLine="0"/>
              <w:jc w:val="right"/>
              <w:rPr>
                <w:bCs/>
                <w:color w:val="000000"/>
                <w:sz w:val="18"/>
                <w:szCs w:val="18"/>
              </w:rPr>
            </w:pPr>
            <w:r w:rsidRPr="000909C6">
              <w:rPr>
                <w:sz w:val="18"/>
                <w:szCs w:val="18"/>
              </w:rPr>
              <w:t>10 181,2</w:t>
            </w:r>
          </w:p>
        </w:tc>
        <w:tc>
          <w:tcPr>
            <w:tcW w:w="920" w:type="dxa"/>
            <w:shd w:val="clear" w:color="auto" w:fill="auto"/>
            <w:noWrap/>
            <w:hideMark/>
          </w:tcPr>
          <w:p w14:paraId="688C561A" w14:textId="77777777" w:rsidR="00651B6D" w:rsidRPr="000909C6" w:rsidRDefault="00651B6D" w:rsidP="00651B6D">
            <w:pPr>
              <w:keepNext/>
              <w:keepLines/>
              <w:tabs>
                <w:tab w:val="decimal" w:pos="522"/>
              </w:tabs>
              <w:ind w:firstLine="0"/>
              <w:jc w:val="right"/>
              <w:rPr>
                <w:bCs/>
                <w:color w:val="000000"/>
                <w:sz w:val="18"/>
                <w:szCs w:val="18"/>
              </w:rPr>
            </w:pPr>
            <w:r w:rsidRPr="000909C6">
              <w:rPr>
                <w:sz w:val="18"/>
                <w:szCs w:val="18"/>
              </w:rPr>
              <w:t>10 766,9</w:t>
            </w:r>
          </w:p>
        </w:tc>
        <w:tc>
          <w:tcPr>
            <w:tcW w:w="920" w:type="dxa"/>
            <w:shd w:val="clear" w:color="auto" w:fill="auto"/>
            <w:noWrap/>
            <w:hideMark/>
          </w:tcPr>
          <w:p w14:paraId="6AD013C3" w14:textId="77777777" w:rsidR="00651B6D" w:rsidRPr="000909C6" w:rsidRDefault="00651B6D" w:rsidP="00651B6D">
            <w:pPr>
              <w:keepNext/>
              <w:keepLines/>
              <w:tabs>
                <w:tab w:val="decimal" w:pos="522"/>
              </w:tabs>
              <w:ind w:firstLine="0"/>
              <w:jc w:val="right"/>
              <w:rPr>
                <w:bCs/>
                <w:color w:val="000000"/>
                <w:sz w:val="18"/>
                <w:szCs w:val="18"/>
              </w:rPr>
            </w:pPr>
            <w:r w:rsidRPr="000909C6">
              <w:rPr>
                <w:sz w:val="18"/>
                <w:szCs w:val="18"/>
              </w:rPr>
              <w:t>11 305,9</w:t>
            </w:r>
          </w:p>
        </w:tc>
      </w:tr>
      <w:tr w:rsidR="00651B6D" w:rsidRPr="00E81457" w14:paraId="171B1008" w14:textId="77777777" w:rsidTr="00651B6D">
        <w:trPr>
          <w:cantSplit/>
          <w:trHeight w:val="20"/>
        </w:trPr>
        <w:tc>
          <w:tcPr>
            <w:tcW w:w="5382" w:type="dxa"/>
            <w:shd w:val="clear" w:color="auto" w:fill="auto"/>
            <w:vAlign w:val="center"/>
            <w:hideMark/>
          </w:tcPr>
          <w:p w14:paraId="621C678A" w14:textId="77777777" w:rsidR="00651B6D" w:rsidRPr="000909C6" w:rsidRDefault="00651B6D" w:rsidP="00651B6D">
            <w:pPr>
              <w:keepNext/>
              <w:keepLines/>
              <w:ind w:firstLine="0"/>
              <w:jc w:val="left"/>
              <w:rPr>
                <w:color w:val="000000"/>
                <w:sz w:val="18"/>
                <w:szCs w:val="18"/>
              </w:rPr>
            </w:pPr>
            <w:r w:rsidRPr="000909C6">
              <w:rPr>
                <w:color w:val="000000"/>
                <w:sz w:val="18"/>
                <w:szCs w:val="18"/>
              </w:rPr>
              <w:t>Saskaņā ar likumu „Par vidēja termiņa budžeta ietvaru 2021., 2022. un 2023</w:t>
            </w:r>
            <w:r>
              <w:rPr>
                <w:color w:val="000000"/>
                <w:sz w:val="18"/>
                <w:szCs w:val="18"/>
              </w:rPr>
              <w:t>. gad</w:t>
            </w:r>
            <w:r w:rsidRPr="000909C6">
              <w:rPr>
                <w:color w:val="000000"/>
                <w:sz w:val="18"/>
                <w:szCs w:val="18"/>
              </w:rPr>
              <w:t>am”</w:t>
            </w:r>
            <w:r>
              <w:rPr>
                <w:color w:val="000000"/>
                <w:sz w:val="18"/>
                <w:szCs w:val="18"/>
              </w:rPr>
              <w:t>, milj.</w:t>
            </w:r>
            <w:r w:rsidRPr="000909C6">
              <w:rPr>
                <w:i/>
                <w:color w:val="000000"/>
                <w:sz w:val="18"/>
                <w:szCs w:val="18"/>
              </w:rPr>
              <w:t> </w:t>
            </w:r>
            <w:r w:rsidRPr="004F46D3">
              <w:rPr>
                <w:i/>
                <w:color w:val="000000"/>
                <w:sz w:val="18"/>
                <w:szCs w:val="18"/>
              </w:rPr>
              <w:t>euro</w:t>
            </w:r>
          </w:p>
        </w:tc>
        <w:tc>
          <w:tcPr>
            <w:tcW w:w="919" w:type="dxa"/>
            <w:shd w:val="clear" w:color="auto" w:fill="auto"/>
            <w:noWrap/>
            <w:hideMark/>
          </w:tcPr>
          <w:p w14:paraId="76BCF298" w14:textId="77777777" w:rsidR="00651B6D" w:rsidRPr="000909C6" w:rsidRDefault="00651B6D" w:rsidP="00651B6D">
            <w:pPr>
              <w:keepNext/>
              <w:keepLines/>
              <w:tabs>
                <w:tab w:val="decimal" w:pos="522"/>
              </w:tabs>
              <w:ind w:firstLine="0"/>
              <w:jc w:val="right"/>
              <w:rPr>
                <w:color w:val="000000"/>
                <w:sz w:val="18"/>
                <w:szCs w:val="18"/>
              </w:rPr>
            </w:pPr>
            <w:r w:rsidRPr="000909C6">
              <w:rPr>
                <w:sz w:val="18"/>
                <w:szCs w:val="18"/>
              </w:rPr>
              <w:t>9 341,5</w:t>
            </w:r>
          </w:p>
        </w:tc>
        <w:tc>
          <w:tcPr>
            <w:tcW w:w="920" w:type="dxa"/>
            <w:shd w:val="clear" w:color="auto" w:fill="auto"/>
            <w:noWrap/>
            <w:hideMark/>
          </w:tcPr>
          <w:p w14:paraId="49B3ACC6" w14:textId="77777777" w:rsidR="00651B6D" w:rsidRPr="000909C6" w:rsidRDefault="00651B6D" w:rsidP="00651B6D">
            <w:pPr>
              <w:keepNext/>
              <w:keepLines/>
              <w:tabs>
                <w:tab w:val="decimal" w:pos="522"/>
              </w:tabs>
              <w:ind w:firstLine="0"/>
              <w:jc w:val="right"/>
              <w:rPr>
                <w:color w:val="000000"/>
                <w:sz w:val="18"/>
                <w:szCs w:val="18"/>
              </w:rPr>
            </w:pPr>
            <w:r w:rsidRPr="000909C6">
              <w:rPr>
                <w:sz w:val="18"/>
                <w:szCs w:val="18"/>
              </w:rPr>
              <w:t>9 989,9</w:t>
            </w:r>
          </w:p>
        </w:tc>
        <w:tc>
          <w:tcPr>
            <w:tcW w:w="920" w:type="dxa"/>
            <w:shd w:val="clear" w:color="auto" w:fill="auto"/>
            <w:noWrap/>
            <w:hideMark/>
          </w:tcPr>
          <w:p w14:paraId="0CF81601" w14:textId="77777777" w:rsidR="00651B6D" w:rsidRPr="000909C6" w:rsidRDefault="00651B6D" w:rsidP="00651B6D">
            <w:pPr>
              <w:keepNext/>
              <w:keepLines/>
              <w:tabs>
                <w:tab w:val="decimal" w:pos="522"/>
              </w:tabs>
              <w:ind w:firstLine="0"/>
              <w:jc w:val="right"/>
              <w:rPr>
                <w:color w:val="000000"/>
                <w:sz w:val="18"/>
                <w:szCs w:val="18"/>
              </w:rPr>
            </w:pPr>
            <w:r w:rsidRPr="000909C6">
              <w:rPr>
                <w:sz w:val="18"/>
                <w:szCs w:val="18"/>
              </w:rPr>
              <w:t>10 513,1</w:t>
            </w:r>
          </w:p>
        </w:tc>
        <w:tc>
          <w:tcPr>
            <w:tcW w:w="920" w:type="dxa"/>
            <w:shd w:val="clear" w:color="auto" w:fill="auto"/>
            <w:noWrap/>
            <w:hideMark/>
          </w:tcPr>
          <w:p w14:paraId="2470D153" w14:textId="77777777" w:rsidR="00651B6D" w:rsidRPr="000909C6" w:rsidRDefault="00651B6D" w:rsidP="00651B6D">
            <w:pPr>
              <w:keepNext/>
              <w:keepLines/>
              <w:ind w:firstLine="206"/>
              <w:jc w:val="right"/>
              <w:rPr>
                <w:sz w:val="18"/>
                <w:szCs w:val="18"/>
              </w:rPr>
            </w:pPr>
            <w:r w:rsidRPr="000909C6">
              <w:rPr>
                <w:sz w:val="18"/>
                <w:szCs w:val="18"/>
              </w:rPr>
              <w:t>-</w:t>
            </w:r>
          </w:p>
        </w:tc>
      </w:tr>
      <w:tr w:rsidR="00651B6D" w:rsidRPr="00E81457" w14:paraId="01F976BD" w14:textId="77777777" w:rsidTr="00651B6D">
        <w:trPr>
          <w:cantSplit/>
          <w:trHeight w:val="20"/>
        </w:trPr>
        <w:tc>
          <w:tcPr>
            <w:tcW w:w="5382" w:type="dxa"/>
            <w:shd w:val="clear" w:color="auto" w:fill="auto"/>
            <w:vAlign w:val="center"/>
            <w:hideMark/>
          </w:tcPr>
          <w:p w14:paraId="0442C333" w14:textId="77777777" w:rsidR="00651B6D" w:rsidRPr="000909C6" w:rsidRDefault="00651B6D" w:rsidP="00651B6D">
            <w:pPr>
              <w:keepNext/>
              <w:keepLines/>
              <w:ind w:firstLine="0"/>
              <w:jc w:val="left"/>
              <w:rPr>
                <w:i/>
                <w:iCs/>
                <w:color w:val="000000"/>
                <w:sz w:val="18"/>
                <w:szCs w:val="18"/>
              </w:rPr>
            </w:pPr>
            <w:r w:rsidRPr="000909C6">
              <w:rPr>
                <w:i/>
                <w:iCs/>
                <w:color w:val="000000"/>
                <w:sz w:val="18"/>
                <w:szCs w:val="18"/>
              </w:rPr>
              <w:t xml:space="preserve">pieaugums, salīdzinot ar likumu </w:t>
            </w:r>
            <w:r w:rsidRPr="000909C6">
              <w:rPr>
                <w:i/>
                <w:color w:val="000000"/>
                <w:sz w:val="18"/>
                <w:szCs w:val="18"/>
              </w:rPr>
              <w:t>„Par vidēja termiņa budžeta ietvaru 2021., 2022. un 2023</w:t>
            </w:r>
            <w:r>
              <w:rPr>
                <w:i/>
                <w:color w:val="000000"/>
                <w:sz w:val="18"/>
                <w:szCs w:val="18"/>
              </w:rPr>
              <w:t>. gad</w:t>
            </w:r>
            <w:r w:rsidRPr="000909C6">
              <w:rPr>
                <w:i/>
                <w:color w:val="000000"/>
                <w:sz w:val="18"/>
                <w:szCs w:val="18"/>
              </w:rPr>
              <w:t>am”</w:t>
            </w:r>
            <w:r>
              <w:rPr>
                <w:i/>
                <w:color w:val="000000"/>
                <w:sz w:val="18"/>
                <w:szCs w:val="18"/>
              </w:rPr>
              <w:t>, milj.</w:t>
            </w:r>
            <w:r w:rsidRPr="000909C6">
              <w:rPr>
                <w:i/>
                <w:color w:val="000000"/>
                <w:sz w:val="18"/>
                <w:szCs w:val="18"/>
              </w:rPr>
              <w:t> </w:t>
            </w:r>
            <w:r w:rsidRPr="004F46D3">
              <w:rPr>
                <w:i/>
                <w:color w:val="000000"/>
                <w:sz w:val="18"/>
                <w:szCs w:val="18"/>
              </w:rPr>
              <w:t>euro</w:t>
            </w:r>
          </w:p>
        </w:tc>
        <w:tc>
          <w:tcPr>
            <w:tcW w:w="919" w:type="dxa"/>
            <w:shd w:val="clear" w:color="auto" w:fill="auto"/>
            <w:noWrap/>
            <w:hideMark/>
          </w:tcPr>
          <w:p w14:paraId="10472929" w14:textId="77777777" w:rsidR="00651B6D" w:rsidRPr="000909C6" w:rsidRDefault="00651B6D" w:rsidP="00651B6D">
            <w:pPr>
              <w:keepNext/>
              <w:keepLines/>
              <w:tabs>
                <w:tab w:val="decimal" w:pos="522"/>
              </w:tabs>
              <w:ind w:firstLine="29"/>
              <w:jc w:val="right"/>
              <w:rPr>
                <w:i/>
                <w:sz w:val="18"/>
                <w:szCs w:val="18"/>
              </w:rPr>
            </w:pPr>
            <w:r w:rsidRPr="000909C6">
              <w:rPr>
                <w:i/>
                <w:sz w:val="18"/>
                <w:szCs w:val="18"/>
              </w:rPr>
              <w:t>-13,7</w:t>
            </w:r>
          </w:p>
        </w:tc>
        <w:tc>
          <w:tcPr>
            <w:tcW w:w="920" w:type="dxa"/>
            <w:shd w:val="clear" w:color="auto" w:fill="auto"/>
            <w:noWrap/>
            <w:hideMark/>
          </w:tcPr>
          <w:p w14:paraId="1502D520" w14:textId="77777777" w:rsidR="00651B6D" w:rsidRPr="000909C6" w:rsidRDefault="00651B6D" w:rsidP="00651B6D">
            <w:pPr>
              <w:keepNext/>
              <w:keepLines/>
              <w:tabs>
                <w:tab w:val="decimal" w:pos="522"/>
              </w:tabs>
              <w:ind w:firstLine="0"/>
              <w:jc w:val="right"/>
              <w:rPr>
                <w:i/>
                <w:color w:val="000000"/>
                <w:sz w:val="18"/>
                <w:szCs w:val="18"/>
              </w:rPr>
            </w:pPr>
            <w:r w:rsidRPr="000909C6">
              <w:rPr>
                <w:i/>
                <w:sz w:val="18"/>
                <w:szCs w:val="18"/>
              </w:rPr>
              <w:t>191,4</w:t>
            </w:r>
          </w:p>
        </w:tc>
        <w:tc>
          <w:tcPr>
            <w:tcW w:w="920" w:type="dxa"/>
            <w:shd w:val="clear" w:color="auto" w:fill="auto"/>
            <w:noWrap/>
            <w:hideMark/>
          </w:tcPr>
          <w:p w14:paraId="28B6EE30" w14:textId="77777777" w:rsidR="00651B6D" w:rsidRPr="000909C6" w:rsidRDefault="00651B6D" w:rsidP="00651B6D">
            <w:pPr>
              <w:keepNext/>
              <w:keepLines/>
              <w:tabs>
                <w:tab w:val="decimal" w:pos="522"/>
              </w:tabs>
              <w:ind w:firstLine="0"/>
              <w:jc w:val="right"/>
              <w:rPr>
                <w:i/>
                <w:color w:val="000000"/>
                <w:sz w:val="18"/>
                <w:szCs w:val="18"/>
              </w:rPr>
            </w:pPr>
            <w:r w:rsidRPr="000909C6">
              <w:rPr>
                <w:i/>
                <w:sz w:val="18"/>
                <w:szCs w:val="18"/>
              </w:rPr>
              <w:t>253,7</w:t>
            </w:r>
          </w:p>
        </w:tc>
        <w:tc>
          <w:tcPr>
            <w:tcW w:w="920" w:type="dxa"/>
            <w:shd w:val="clear" w:color="auto" w:fill="auto"/>
            <w:noWrap/>
            <w:hideMark/>
          </w:tcPr>
          <w:p w14:paraId="0CDC7ECF" w14:textId="77777777" w:rsidR="00651B6D" w:rsidRPr="000909C6" w:rsidRDefault="00651B6D" w:rsidP="00651B6D">
            <w:pPr>
              <w:keepNext/>
              <w:keepLines/>
              <w:ind w:firstLine="206"/>
              <w:jc w:val="right"/>
              <w:rPr>
                <w:i/>
                <w:sz w:val="18"/>
                <w:szCs w:val="18"/>
              </w:rPr>
            </w:pPr>
            <w:r w:rsidRPr="000909C6">
              <w:rPr>
                <w:i/>
                <w:sz w:val="18"/>
                <w:szCs w:val="18"/>
              </w:rPr>
              <w:t>-</w:t>
            </w:r>
          </w:p>
        </w:tc>
      </w:tr>
      <w:tr w:rsidR="00651B6D" w:rsidRPr="00E81457" w14:paraId="3DEA9504" w14:textId="77777777" w:rsidTr="00651B6D">
        <w:trPr>
          <w:cantSplit/>
          <w:trHeight w:val="20"/>
        </w:trPr>
        <w:tc>
          <w:tcPr>
            <w:tcW w:w="5382" w:type="dxa"/>
            <w:shd w:val="clear" w:color="auto" w:fill="auto"/>
            <w:vAlign w:val="center"/>
            <w:hideMark/>
          </w:tcPr>
          <w:p w14:paraId="5A4CD23A" w14:textId="77777777" w:rsidR="00651B6D" w:rsidRPr="000909C6" w:rsidRDefault="00651B6D" w:rsidP="00651B6D">
            <w:pPr>
              <w:keepNext/>
              <w:keepLines/>
              <w:ind w:firstLine="0"/>
              <w:jc w:val="left"/>
              <w:rPr>
                <w:i/>
                <w:iCs/>
                <w:color w:val="000000"/>
                <w:sz w:val="18"/>
                <w:szCs w:val="18"/>
              </w:rPr>
            </w:pPr>
            <w:r w:rsidRPr="000909C6">
              <w:rPr>
                <w:i/>
                <w:iCs/>
                <w:color w:val="000000"/>
                <w:sz w:val="18"/>
                <w:szCs w:val="18"/>
              </w:rPr>
              <w:t xml:space="preserve">pieaugums, salīdzinot ar likumu </w:t>
            </w:r>
            <w:r w:rsidRPr="000909C6">
              <w:rPr>
                <w:i/>
                <w:color w:val="000000"/>
                <w:sz w:val="18"/>
                <w:szCs w:val="18"/>
              </w:rPr>
              <w:t>„Par vidēja termiņa budžeta ietvaru 2021., 2022. un 2023</w:t>
            </w:r>
            <w:r>
              <w:rPr>
                <w:i/>
                <w:color w:val="000000"/>
                <w:sz w:val="18"/>
                <w:szCs w:val="18"/>
              </w:rPr>
              <w:t>. gad</w:t>
            </w:r>
            <w:r w:rsidRPr="000909C6">
              <w:rPr>
                <w:i/>
                <w:color w:val="000000"/>
                <w:sz w:val="18"/>
                <w:szCs w:val="18"/>
              </w:rPr>
              <w:t>am”</w:t>
            </w:r>
            <w:r w:rsidRPr="000909C6">
              <w:rPr>
                <w:i/>
                <w:iCs/>
                <w:color w:val="000000"/>
                <w:sz w:val="18"/>
                <w:szCs w:val="18"/>
              </w:rPr>
              <w:t>, %</w:t>
            </w:r>
          </w:p>
        </w:tc>
        <w:tc>
          <w:tcPr>
            <w:tcW w:w="919" w:type="dxa"/>
            <w:shd w:val="clear" w:color="auto" w:fill="auto"/>
            <w:noWrap/>
            <w:hideMark/>
          </w:tcPr>
          <w:p w14:paraId="5029E34C" w14:textId="77777777" w:rsidR="00651B6D" w:rsidRPr="000909C6" w:rsidRDefault="00651B6D" w:rsidP="00651B6D">
            <w:pPr>
              <w:keepNext/>
              <w:keepLines/>
              <w:tabs>
                <w:tab w:val="decimal" w:pos="522"/>
              </w:tabs>
              <w:ind w:firstLine="29"/>
              <w:jc w:val="right"/>
              <w:rPr>
                <w:i/>
                <w:sz w:val="18"/>
                <w:szCs w:val="18"/>
              </w:rPr>
            </w:pPr>
            <w:r w:rsidRPr="000909C6">
              <w:rPr>
                <w:i/>
                <w:sz w:val="18"/>
                <w:szCs w:val="18"/>
              </w:rPr>
              <w:t>-0,1</w:t>
            </w:r>
          </w:p>
        </w:tc>
        <w:tc>
          <w:tcPr>
            <w:tcW w:w="920" w:type="dxa"/>
            <w:shd w:val="clear" w:color="auto" w:fill="auto"/>
            <w:noWrap/>
            <w:hideMark/>
          </w:tcPr>
          <w:p w14:paraId="7201BE7C" w14:textId="77777777" w:rsidR="00651B6D" w:rsidRPr="000909C6" w:rsidRDefault="00651B6D" w:rsidP="00651B6D">
            <w:pPr>
              <w:keepNext/>
              <w:keepLines/>
              <w:tabs>
                <w:tab w:val="decimal" w:pos="522"/>
              </w:tabs>
              <w:ind w:firstLine="0"/>
              <w:jc w:val="right"/>
              <w:rPr>
                <w:i/>
                <w:color w:val="000000"/>
                <w:sz w:val="18"/>
                <w:szCs w:val="18"/>
              </w:rPr>
            </w:pPr>
            <w:r w:rsidRPr="000909C6">
              <w:rPr>
                <w:i/>
                <w:sz w:val="18"/>
                <w:szCs w:val="18"/>
              </w:rPr>
              <w:t>1,9</w:t>
            </w:r>
          </w:p>
        </w:tc>
        <w:tc>
          <w:tcPr>
            <w:tcW w:w="920" w:type="dxa"/>
            <w:shd w:val="clear" w:color="auto" w:fill="auto"/>
            <w:noWrap/>
            <w:hideMark/>
          </w:tcPr>
          <w:p w14:paraId="47F5A01F" w14:textId="77777777" w:rsidR="00651B6D" w:rsidRPr="000909C6" w:rsidRDefault="00651B6D" w:rsidP="00651B6D">
            <w:pPr>
              <w:keepNext/>
              <w:keepLines/>
              <w:tabs>
                <w:tab w:val="decimal" w:pos="522"/>
              </w:tabs>
              <w:ind w:firstLine="0"/>
              <w:jc w:val="right"/>
              <w:rPr>
                <w:i/>
                <w:color w:val="000000"/>
                <w:sz w:val="18"/>
                <w:szCs w:val="18"/>
              </w:rPr>
            </w:pPr>
            <w:r w:rsidRPr="000909C6">
              <w:rPr>
                <w:i/>
                <w:sz w:val="18"/>
                <w:szCs w:val="18"/>
              </w:rPr>
              <w:t>2,4</w:t>
            </w:r>
          </w:p>
        </w:tc>
        <w:tc>
          <w:tcPr>
            <w:tcW w:w="920" w:type="dxa"/>
            <w:shd w:val="clear" w:color="auto" w:fill="auto"/>
            <w:noWrap/>
            <w:hideMark/>
          </w:tcPr>
          <w:p w14:paraId="350C8F84" w14:textId="77777777" w:rsidR="00651B6D" w:rsidRPr="000909C6" w:rsidRDefault="00651B6D" w:rsidP="00651B6D">
            <w:pPr>
              <w:keepNext/>
              <w:keepLines/>
              <w:ind w:firstLine="206"/>
              <w:jc w:val="right"/>
              <w:rPr>
                <w:i/>
                <w:sz w:val="18"/>
                <w:szCs w:val="18"/>
              </w:rPr>
            </w:pPr>
            <w:r w:rsidRPr="000909C6">
              <w:rPr>
                <w:i/>
                <w:sz w:val="18"/>
                <w:szCs w:val="18"/>
              </w:rPr>
              <w:t>-</w:t>
            </w:r>
          </w:p>
        </w:tc>
      </w:tr>
      <w:tr w:rsidR="00651B6D" w:rsidRPr="00E81457" w14:paraId="5355CC09" w14:textId="77777777" w:rsidTr="00651B6D">
        <w:trPr>
          <w:cantSplit/>
          <w:trHeight w:val="20"/>
        </w:trPr>
        <w:tc>
          <w:tcPr>
            <w:tcW w:w="5382" w:type="dxa"/>
            <w:shd w:val="clear" w:color="auto" w:fill="auto"/>
            <w:noWrap/>
            <w:vAlign w:val="center"/>
            <w:hideMark/>
          </w:tcPr>
          <w:p w14:paraId="6B63A107" w14:textId="769BB837" w:rsidR="00651B6D" w:rsidRPr="00E81457" w:rsidRDefault="00F70213" w:rsidP="00651B6D">
            <w:pPr>
              <w:keepNext/>
              <w:keepLines/>
              <w:ind w:firstLine="0"/>
              <w:jc w:val="left"/>
              <w:rPr>
                <w:i/>
                <w:color w:val="000000"/>
                <w:sz w:val="18"/>
                <w:szCs w:val="18"/>
              </w:rPr>
            </w:pPr>
            <w:r>
              <w:rPr>
                <w:i/>
                <w:color w:val="000000"/>
                <w:sz w:val="18"/>
                <w:szCs w:val="18"/>
              </w:rPr>
              <w:t>% no iekšzemes kopprodukta</w:t>
            </w:r>
          </w:p>
        </w:tc>
        <w:tc>
          <w:tcPr>
            <w:tcW w:w="919" w:type="dxa"/>
            <w:shd w:val="clear" w:color="auto" w:fill="auto"/>
            <w:noWrap/>
            <w:hideMark/>
          </w:tcPr>
          <w:p w14:paraId="68257CEE" w14:textId="77777777" w:rsidR="00651B6D" w:rsidRPr="00E81457" w:rsidRDefault="00651B6D" w:rsidP="00651B6D">
            <w:pPr>
              <w:keepNext/>
              <w:keepLines/>
              <w:tabs>
                <w:tab w:val="decimal" w:pos="522"/>
              </w:tabs>
              <w:ind w:firstLine="0"/>
              <w:jc w:val="right"/>
              <w:rPr>
                <w:i/>
                <w:color w:val="000000"/>
                <w:sz w:val="18"/>
                <w:szCs w:val="18"/>
              </w:rPr>
            </w:pPr>
            <w:r w:rsidRPr="00E81457">
              <w:rPr>
                <w:i/>
                <w:sz w:val="18"/>
                <w:szCs w:val="18"/>
              </w:rPr>
              <w:t>29,7</w:t>
            </w:r>
          </w:p>
        </w:tc>
        <w:tc>
          <w:tcPr>
            <w:tcW w:w="920" w:type="dxa"/>
            <w:shd w:val="clear" w:color="auto" w:fill="auto"/>
            <w:noWrap/>
            <w:hideMark/>
          </w:tcPr>
          <w:p w14:paraId="0136AC2D" w14:textId="77777777" w:rsidR="00651B6D" w:rsidRPr="00E81457" w:rsidRDefault="00651B6D" w:rsidP="00651B6D">
            <w:pPr>
              <w:keepNext/>
              <w:keepLines/>
              <w:tabs>
                <w:tab w:val="decimal" w:pos="522"/>
              </w:tabs>
              <w:ind w:firstLine="0"/>
              <w:jc w:val="right"/>
              <w:rPr>
                <w:i/>
                <w:color w:val="000000"/>
                <w:sz w:val="18"/>
                <w:szCs w:val="18"/>
              </w:rPr>
            </w:pPr>
            <w:r w:rsidRPr="00E81457">
              <w:rPr>
                <w:i/>
                <w:sz w:val="18"/>
                <w:szCs w:val="18"/>
              </w:rPr>
              <w:t>29,9</w:t>
            </w:r>
          </w:p>
        </w:tc>
        <w:tc>
          <w:tcPr>
            <w:tcW w:w="920" w:type="dxa"/>
            <w:shd w:val="clear" w:color="auto" w:fill="auto"/>
            <w:noWrap/>
            <w:hideMark/>
          </w:tcPr>
          <w:p w14:paraId="2977FB89" w14:textId="77777777" w:rsidR="00651B6D" w:rsidRPr="00E81457" w:rsidRDefault="00651B6D" w:rsidP="00651B6D">
            <w:pPr>
              <w:keepNext/>
              <w:keepLines/>
              <w:tabs>
                <w:tab w:val="decimal" w:pos="522"/>
              </w:tabs>
              <w:ind w:firstLine="0"/>
              <w:jc w:val="right"/>
              <w:rPr>
                <w:i/>
                <w:color w:val="000000"/>
                <w:sz w:val="18"/>
                <w:szCs w:val="18"/>
              </w:rPr>
            </w:pPr>
            <w:r w:rsidRPr="00E81457">
              <w:rPr>
                <w:i/>
                <w:sz w:val="18"/>
                <w:szCs w:val="18"/>
              </w:rPr>
              <w:t>29,8</w:t>
            </w:r>
          </w:p>
        </w:tc>
        <w:tc>
          <w:tcPr>
            <w:tcW w:w="920" w:type="dxa"/>
            <w:shd w:val="clear" w:color="auto" w:fill="auto"/>
            <w:noWrap/>
            <w:hideMark/>
          </w:tcPr>
          <w:p w14:paraId="7AF991A8" w14:textId="77777777" w:rsidR="00651B6D" w:rsidRPr="00E81457" w:rsidRDefault="00651B6D" w:rsidP="00651B6D">
            <w:pPr>
              <w:keepNext/>
              <w:keepLines/>
              <w:tabs>
                <w:tab w:val="decimal" w:pos="522"/>
              </w:tabs>
              <w:ind w:firstLine="0"/>
              <w:jc w:val="right"/>
              <w:rPr>
                <w:i/>
                <w:sz w:val="18"/>
                <w:szCs w:val="18"/>
              </w:rPr>
            </w:pPr>
            <w:r w:rsidRPr="00E81457">
              <w:rPr>
                <w:i/>
                <w:sz w:val="18"/>
                <w:szCs w:val="18"/>
              </w:rPr>
              <w:t>29,7</w:t>
            </w:r>
          </w:p>
        </w:tc>
      </w:tr>
    </w:tbl>
    <w:p w14:paraId="1D814A04" w14:textId="77777777" w:rsidR="00651B6D" w:rsidRPr="00E81457" w:rsidRDefault="00651B6D" w:rsidP="00651B6D">
      <w:pPr>
        <w:spacing w:after="240"/>
        <w:ind w:left="425" w:firstLine="0"/>
        <w:jc w:val="left"/>
        <w:rPr>
          <w:sz w:val="18"/>
          <w:szCs w:val="18"/>
        </w:rPr>
      </w:pPr>
      <w:r w:rsidRPr="00E81457">
        <w:rPr>
          <w:sz w:val="18"/>
          <w:szCs w:val="18"/>
          <w:vertAlign w:val="superscript"/>
        </w:rPr>
        <w:t>1</w:t>
      </w:r>
      <w:r w:rsidRPr="00E81457">
        <w:rPr>
          <w:sz w:val="18"/>
          <w:szCs w:val="18"/>
        </w:rPr>
        <w:t> Prognoze 22.07.2021</w:t>
      </w:r>
      <w:r>
        <w:rPr>
          <w:sz w:val="18"/>
          <w:szCs w:val="18"/>
        </w:rPr>
        <w:t>.</w:t>
      </w:r>
    </w:p>
    <w:p w14:paraId="04013FA4" w14:textId="0D20CE40" w:rsidR="00651B6D" w:rsidRPr="00D946A9" w:rsidRDefault="00F70213" w:rsidP="00651B6D">
      <w:pPr>
        <w:rPr>
          <w:szCs w:val="24"/>
        </w:rPr>
      </w:pPr>
      <w:r>
        <w:rPr>
          <w:szCs w:val="24"/>
        </w:rPr>
        <w:t>Informācija par k</w:t>
      </w:r>
      <w:r w:rsidR="00651B6D" w:rsidRPr="00D946A9">
        <w:rPr>
          <w:szCs w:val="24"/>
        </w:rPr>
        <w:t>opbudžeta nodokļu ieņēmumi</w:t>
      </w:r>
      <w:r>
        <w:rPr>
          <w:szCs w:val="24"/>
        </w:rPr>
        <w:t>em</w:t>
      </w:r>
      <w:r w:rsidR="00651B6D" w:rsidRPr="00D946A9">
        <w:rPr>
          <w:szCs w:val="24"/>
        </w:rPr>
        <w:t xml:space="preserve"> sadalījumā pa veidiem laika periodā no 2021. līdz 2024</w:t>
      </w:r>
      <w:r w:rsidR="00651B6D">
        <w:rPr>
          <w:szCs w:val="24"/>
        </w:rPr>
        <w:t>. gad</w:t>
      </w:r>
      <w:r w:rsidR="00651B6D" w:rsidRPr="00D946A9">
        <w:rPr>
          <w:szCs w:val="24"/>
        </w:rPr>
        <w:t>am ir sniegti 3.</w:t>
      </w:r>
      <w:r w:rsidR="00651B6D">
        <w:rPr>
          <w:szCs w:val="24"/>
        </w:rPr>
        <w:t>3. tab</w:t>
      </w:r>
      <w:r w:rsidR="00651B6D" w:rsidRPr="00D946A9">
        <w:rPr>
          <w:szCs w:val="24"/>
        </w:rPr>
        <w:t>ulā.</w:t>
      </w:r>
    </w:p>
    <w:p w14:paraId="3EF3354B" w14:textId="77777777" w:rsidR="00651B6D" w:rsidRPr="00E81457" w:rsidRDefault="00651B6D" w:rsidP="00F70213">
      <w:pPr>
        <w:keepNext/>
        <w:spacing w:before="120"/>
        <w:ind w:firstLine="0"/>
        <w:jc w:val="right"/>
        <w:rPr>
          <w:b/>
          <w:i/>
          <w:szCs w:val="24"/>
        </w:rPr>
      </w:pPr>
      <w:r w:rsidRPr="00E81457">
        <w:rPr>
          <w:b/>
          <w:i/>
          <w:szCs w:val="24"/>
        </w:rPr>
        <w:t>3.3</w:t>
      </w:r>
      <w:r>
        <w:rPr>
          <w:b/>
          <w:i/>
          <w:szCs w:val="24"/>
        </w:rPr>
        <w:t>. tab</w:t>
      </w:r>
      <w:r w:rsidRPr="00E81457">
        <w:rPr>
          <w:b/>
          <w:i/>
          <w:szCs w:val="24"/>
        </w:rPr>
        <w:t>ula. Kopbudžeta nodokļu ieņēmumi</w:t>
      </w:r>
      <w:r>
        <w:rPr>
          <w:b/>
          <w:i/>
          <w:szCs w:val="24"/>
        </w:rPr>
        <w:t>, milj.</w:t>
      </w:r>
      <w:r w:rsidRPr="00E81457">
        <w:rPr>
          <w:b/>
          <w:i/>
          <w:szCs w:val="24"/>
        </w:rPr>
        <w:t> </w:t>
      </w:r>
      <w:r w:rsidRPr="004F46D3">
        <w:rPr>
          <w:b/>
          <w:i/>
          <w:szCs w:val="24"/>
        </w:rPr>
        <w:t>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919"/>
        <w:gridCol w:w="920"/>
        <w:gridCol w:w="920"/>
        <w:gridCol w:w="920"/>
      </w:tblGrid>
      <w:tr w:rsidR="00651B6D" w:rsidRPr="000909C6" w14:paraId="032C1AC9" w14:textId="77777777" w:rsidTr="00651B6D">
        <w:trPr>
          <w:cantSplit/>
          <w:trHeight w:val="20"/>
        </w:trPr>
        <w:tc>
          <w:tcPr>
            <w:tcW w:w="5382" w:type="dxa"/>
            <w:shd w:val="clear" w:color="auto" w:fill="9CC2E5" w:themeFill="accent1" w:themeFillTint="99"/>
            <w:vAlign w:val="center"/>
            <w:hideMark/>
          </w:tcPr>
          <w:p w14:paraId="1350595D" w14:textId="77777777" w:rsidR="00651B6D" w:rsidRPr="000909C6" w:rsidRDefault="00651B6D" w:rsidP="00651B6D">
            <w:pPr>
              <w:keepNext/>
              <w:keepLines/>
              <w:ind w:firstLine="0"/>
              <w:jc w:val="center"/>
              <w:rPr>
                <w:b/>
                <w:bCs/>
                <w:color w:val="000000"/>
                <w:sz w:val="18"/>
                <w:szCs w:val="18"/>
              </w:rPr>
            </w:pPr>
          </w:p>
        </w:tc>
        <w:tc>
          <w:tcPr>
            <w:tcW w:w="919" w:type="dxa"/>
            <w:shd w:val="clear" w:color="auto" w:fill="9CC2E5" w:themeFill="accent1" w:themeFillTint="99"/>
            <w:vAlign w:val="center"/>
            <w:hideMark/>
          </w:tcPr>
          <w:p w14:paraId="0C80F378" w14:textId="77777777" w:rsidR="00651B6D" w:rsidRPr="000909C6" w:rsidRDefault="00651B6D" w:rsidP="00651B6D">
            <w:pPr>
              <w:keepNext/>
              <w:keepLines/>
              <w:ind w:firstLine="0"/>
              <w:jc w:val="center"/>
              <w:rPr>
                <w:b/>
                <w:bCs/>
                <w:color w:val="000000"/>
                <w:sz w:val="18"/>
                <w:szCs w:val="18"/>
              </w:rPr>
            </w:pPr>
            <w:r w:rsidRPr="000909C6">
              <w:rPr>
                <w:b/>
                <w:bCs/>
                <w:color w:val="000000"/>
                <w:sz w:val="18"/>
                <w:szCs w:val="18"/>
              </w:rPr>
              <w:t>2021</w:t>
            </w:r>
            <w:r w:rsidRPr="000909C6">
              <w:rPr>
                <w:b/>
                <w:bCs/>
                <w:color w:val="000000"/>
                <w:sz w:val="18"/>
                <w:szCs w:val="18"/>
                <w:vertAlign w:val="superscript"/>
              </w:rPr>
              <w:t>1</w:t>
            </w:r>
          </w:p>
        </w:tc>
        <w:tc>
          <w:tcPr>
            <w:tcW w:w="920" w:type="dxa"/>
            <w:shd w:val="clear" w:color="auto" w:fill="9CC2E5" w:themeFill="accent1" w:themeFillTint="99"/>
            <w:vAlign w:val="center"/>
            <w:hideMark/>
          </w:tcPr>
          <w:p w14:paraId="4A08FC4A" w14:textId="77777777" w:rsidR="00651B6D" w:rsidRPr="000909C6" w:rsidRDefault="00651B6D" w:rsidP="00651B6D">
            <w:pPr>
              <w:keepNext/>
              <w:keepLines/>
              <w:ind w:firstLine="0"/>
              <w:jc w:val="center"/>
              <w:rPr>
                <w:b/>
                <w:bCs/>
                <w:color w:val="000000"/>
                <w:sz w:val="18"/>
                <w:szCs w:val="18"/>
              </w:rPr>
            </w:pPr>
            <w:r w:rsidRPr="000909C6">
              <w:rPr>
                <w:b/>
                <w:bCs/>
                <w:color w:val="000000"/>
                <w:sz w:val="18"/>
                <w:szCs w:val="18"/>
              </w:rPr>
              <w:t>2022</w:t>
            </w:r>
            <w:r w:rsidRPr="000909C6">
              <w:rPr>
                <w:b/>
                <w:bCs/>
                <w:color w:val="000000"/>
                <w:sz w:val="18"/>
                <w:szCs w:val="18"/>
                <w:vertAlign w:val="superscript"/>
              </w:rPr>
              <w:t>2</w:t>
            </w:r>
          </w:p>
        </w:tc>
        <w:tc>
          <w:tcPr>
            <w:tcW w:w="920" w:type="dxa"/>
            <w:shd w:val="clear" w:color="auto" w:fill="9CC2E5" w:themeFill="accent1" w:themeFillTint="99"/>
            <w:vAlign w:val="center"/>
            <w:hideMark/>
          </w:tcPr>
          <w:p w14:paraId="55C3777A" w14:textId="77777777" w:rsidR="00651B6D" w:rsidRPr="000909C6" w:rsidRDefault="00651B6D" w:rsidP="00651B6D">
            <w:pPr>
              <w:keepNext/>
              <w:keepLines/>
              <w:ind w:firstLine="0"/>
              <w:jc w:val="center"/>
              <w:rPr>
                <w:b/>
                <w:bCs/>
                <w:color w:val="000000"/>
                <w:sz w:val="18"/>
                <w:szCs w:val="18"/>
              </w:rPr>
            </w:pPr>
            <w:r w:rsidRPr="000909C6">
              <w:rPr>
                <w:b/>
                <w:bCs/>
                <w:color w:val="000000"/>
                <w:sz w:val="18"/>
                <w:szCs w:val="18"/>
              </w:rPr>
              <w:t>2023</w:t>
            </w:r>
            <w:r w:rsidRPr="000909C6">
              <w:rPr>
                <w:b/>
                <w:bCs/>
                <w:color w:val="000000"/>
                <w:sz w:val="18"/>
                <w:szCs w:val="18"/>
                <w:vertAlign w:val="superscript"/>
              </w:rPr>
              <w:t>2</w:t>
            </w:r>
          </w:p>
        </w:tc>
        <w:tc>
          <w:tcPr>
            <w:tcW w:w="920" w:type="dxa"/>
            <w:shd w:val="clear" w:color="auto" w:fill="9CC2E5" w:themeFill="accent1" w:themeFillTint="99"/>
            <w:noWrap/>
            <w:vAlign w:val="center"/>
            <w:hideMark/>
          </w:tcPr>
          <w:p w14:paraId="46CB5FEE" w14:textId="77777777" w:rsidR="00651B6D" w:rsidRPr="000909C6" w:rsidRDefault="00651B6D" w:rsidP="00651B6D">
            <w:pPr>
              <w:keepNext/>
              <w:keepLines/>
              <w:ind w:firstLine="0"/>
              <w:jc w:val="center"/>
              <w:rPr>
                <w:b/>
                <w:bCs/>
                <w:color w:val="000000"/>
                <w:sz w:val="18"/>
                <w:szCs w:val="18"/>
              </w:rPr>
            </w:pPr>
            <w:r w:rsidRPr="000909C6">
              <w:rPr>
                <w:b/>
                <w:bCs/>
                <w:color w:val="000000"/>
                <w:sz w:val="18"/>
                <w:szCs w:val="18"/>
              </w:rPr>
              <w:t>2024</w:t>
            </w:r>
            <w:r w:rsidRPr="000909C6">
              <w:rPr>
                <w:b/>
                <w:bCs/>
                <w:color w:val="000000"/>
                <w:sz w:val="18"/>
                <w:szCs w:val="18"/>
                <w:vertAlign w:val="superscript"/>
              </w:rPr>
              <w:t>2</w:t>
            </w:r>
          </w:p>
        </w:tc>
      </w:tr>
      <w:tr w:rsidR="00651B6D" w:rsidRPr="000909C6" w14:paraId="5DA6A53F" w14:textId="77777777" w:rsidTr="00651B6D">
        <w:trPr>
          <w:cantSplit/>
          <w:trHeight w:val="20"/>
        </w:trPr>
        <w:tc>
          <w:tcPr>
            <w:tcW w:w="5382" w:type="dxa"/>
            <w:shd w:val="clear" w:color="auto" w:fill="auto"/>
            <w:vAlign w:val="center"/>
            <w:hideMark/>
          </w:tcPr>
          <w:p w14:paraId="4E0C4505" w14:textId="77777777" w:rsidR="00651B6D" w:rsidRPr="000909C6" w:rsidRDefault="00651B6D" w:rsidP="00651B6D">
            <w:pPr>
              <w:keepNext/>
              <w:keepLines/>
              <w:ind w:firstLine="0"/>
              <w:jc w:val="left"/>
              <w:rPr>
                <w:color w:val="000000"/>
                <w:sz w:val="18"/>
                <w:szCs w:val="18"/>
              </w:rPr>
            </w:pPr>
            <w:r w:rsidRPr="000909C6">
              <w:rPr>
                <w:color w:val="000000"/>
                <w:sz w:val="18"/>
                <w:szCs w:val="18"/>
              </w:rPr>
              <w:t>Sociālās apdrošināšanas iemaksas (valsts speciālajā budžetā)</w:t>
            </w:r>
          </w:p>
        </w:tc>
        <w:tc>
          <w:tcPr>
            <w:tcW w:w="919" w:type="dxa"/>
            <w:shd w:val="clear" w:color="auto" w:fill="auto"/>
            <w:hideMark/>
          </w:tcPr>
          <w:p w14:paraId="47C0ACE8" w14:textId="77777777" w:rsidR="00651B6D" w:rsidRPr="000909C6" w:rsidRDefault="00651B6D" w:rsidP="00651B6D">
            <w:pPr>
              <w:keepNext/>
              <w:keepLines/>
              <w:tabs>
                <w:tab w:val="decimal" w:pos="459"/>
              </w:tabs>
              <w:ind w:firstLine="0"/>
              <w:jc w:val="right"/>
              <w:rPr>
                <w:sz w:val="18"/>
                <w:szCs w:val="18"/>
              </w:rPr>
            </w:pPr>
            <w:r w:rsidRPr="000909C6">
              <w:rPr>
                <w:sz w:val="18"/>
                <w:szCs w:val="18"/>
              </w:rPr>
              <w:t>2 794,8</w:t>
            </w:r>
          </w:p>
        </w:tc>
        <w:tc>
          <w:tcPr>
            <w:tcW w:w="920" w:type="dxa"/>
            <w:shd w:val="clear" w:color="auto" w:fill="auto"/>
            <w:hideMark/>
          </w:tcPr>
          <w:p w14:paraId="45B613D4" w14:textId="77777777" w:rsidR="00651B6D" w:rsidRPr="000909C6" w:rsidRDefault="00651B6D" w:rsidP="00651B6D">
            <w:pPr>
              <w:keepNext/>
              <w:keepLines/>
              <w:tabs>
                <w:tab w:val="decimal" w:pos="459"/>
              </w:tabs>
              <w:ind w:firstLine="0"/>
              <w:jc w:val="right"/>
              <w:rPr>
                <w:sz w:val="18"/>
                <w:szCs w:val="18"/>
              </w:rPr>
            </w:pPr>
            <w:r w:rsidRPr="000909C6">
              <w:rPr>
                <w:sz w:val="18"/>
                <w:szCs w:val="18"/>
              </w:rPr>
              <w:t>3 133,3</w:t>
            </w:r>
          </w:p>
        </w:tc>
        <w:tc>
          <w:tcPr>
            <w:tcW w:w="920" w:type="dxa"/>
            <w:shd w:val="clear" w:color="auto" w:fill="auto"/>
            <w:hideMark/>
          </w:tcPr>
          <w:p w14:paraId="752373CB" w14:textId="77777777" w:rsidR="00651B6D" w:rsidRPr="000909C6" w:rsidRDefault="00651B6D" w:rsidP="00651B6D">
            <w:pPr>
              <w:keepNext/>
              <w:keepLines/>
              <w:tabs>
                <w:tab w:val="decimal" w:pos="459"/>
              </w:tabs>
              <w:ind w:firstLine="0"/>
              <w:jc w:val="right"/>
              <w:rPr>
                <w:sz w:val="18"/>
                <w:szCs w:val="18"/>
              </w:rPr>
            </w:pPr>
            <w:r w:rsidRPr="000909C6">
              <w:rPr>
                <w:sz w:val="18"/>
                <w:szCs w:val="18"/>
              </w:rPr>
              <w:t>3 366,0</w:t>
            </w:r>
          </w:p>
        </w:tc>
        <w:tc>
          <w:tcPr>
            <w:tcW w:w="920" w:type="dxa"/>
            <w:shd w:val="clear" w:color="auto" w:fill="auto"/>
            <w:hideMark/>
          </w:tcPr>
          <w:p w14:paraId="6C1E3365" w14:textId="77777777" w:rsidR="00651B6D" w:rsidRPr="000909C6" w:rsidRDefault="00651B6D" w:rsidP="00651B6D">
            <w:pPr>
              <w:keepNext/>
              <w:keepLines/>
              <w:tabs>
                <w:tab w:val="decimal" w:pos="459"/>
              </w:tabs>
              <w:ind w:firstLine="0"/>
              <w:jc w:val="right"/>
              <w:rPr>
                <w:sz w:val="18"/>
                <w:szCs w:val="18"/>
              </w:rPr>
            </w:pPr>
            <w:r w:rsidRPr="000909C6">
              <w:rPr>
                <w:sz w:val="18"/>
                <w:szCs w:val="18"/>
              </w:rPr>
              <w:t>3 528,7</w:t>
            </w:r>
          </w:p>
        </w:tc>
      </w:tr>
      <w:tr w:rsidR="00651B6D" w:rsidRPr="000909C6" w14:paraId="62C2D2D4" w14:textId="77777777" w:rsidTr="00651B6D">
        <w:trPr>
          <w:cantSplit/>
          <w:trHeight w:val="20"/>
        </w:trPr>
        <w:tc>
          <w:tcPr>
            <w:tcW w:w="5382" w:type="dxa"/>
            <w:shd w:val="clear" w:color="auto" w:fill="auto"/>
            <w:vAlign w:val="center"/>
            <w:hideMark/>
          </w:tcPr>
          <w:p w14:paraId="5D1E4FF4" w14:textId="77777777" w:rsidR="00651B6D" w:rsidRPr="000909C6" w:rsidRDefault="00651B6D" w:rsidP="00651B6D">
            <w:pPr>
              <w:keepNext/>
              <w:keepLines/>
              <w:ind w:firstLine="0"/>
              <w:jc w:val="left"/>
              <w:rPr>
                <w:color w:val="000000"/>
                <w:sz w:val="18"/>
                <w:szCs w:val="18"/>
              </w:rPr>
            </w:pPr>
            <w:r w:rsidRPr="000909C6">
              <w:rPr>
                <w:color w:val="000000"/>
                <w:sz w:val="18"/>
                <w:szCs w:val="18"/>
              </w:rPr>
              <w:t>Pievienotās vērtības nodoklis</w:t>
            </w:r>
          </w:p>
        </w:tc>
        <w:tc>
          <w:tcPr>
            <w:tcW w:w="919" w:type="dxa"/>
            <w:shd w:val="clear" w:color="auto" w:fill="auto"/>
            <w:hideMark/>
          </w:tcPr>
          <w:p w14:paraId="6EEE3D52" w14:textId="77777777" w:rsidR="00651B6D" w:rsidRPr="000909C6" w:rsidRDefault="00651B6D" w:rsidP="00651B6D">
            <w:pPr>
              <w:keepNext/>
              <w:keepLines/>
              <w:tabs>
                <w:tab w:val="decimal" w:pos="459"/>
              </w:tabs>
              <w:ind w:firstLine="0"/>
              <w:jc w:val="right"/>
              <w:rPr>
                <w:sz w:val="18"/>
                <w:szCs w:val="18"/>
              </w:rPr>
            </w:pPr>
            <w:r w:rsidRPr="000909C6">
              <w:rPr>
                <w:sz w:val="18"/>
                <w:szCs w:val="18"/>
              </w:rPr>
              <w:t>2 810,6</w:t>
            </w:r>
          </w:p>
        </w:tc>
        <w:tc>
          <w:tcPr>
            <w:tcW w:w="920" w:type="dxa"/>
            <w:shd w:val="clear" w:color="auto" w:fill="auto"/>
            <w:hideMark/>
          </w:tcPr>
          <w:p w14:paraId="44B37264" w14:textId="77777777" w:rsidR="00651B6D" w:rsidRPr="000909C6" w:rsidRDefault="00651B6D" w:rsidP="00651B6D">
            <w:pPr>
              <w:keepNext/>
              <w:keepLines/>
              <w:tabs>
                <w:tab w:val="decimal" w:pos="459"/>
              </w:tabs>
              <w:ind w:firstLine="0"/>
              <w:jc w:val="right"/>
              <w:rPr>
                <w:sz w:val="18"/>
                <w:szCs w:val="18"/>
              </w:rPr>
            </w:pPr>
            <w:r w:rsidRPr="000909C6">
              <w:rPr>
                <w:sz w:val="18"/>
                <w:szCs w:val="18"/>
              </w:rPr>
              <w:t>3 067,5</w:t>
            </w:r>
          </w:p>
        </w:tc>
        <w:tc>
          <w:tcPr>
            <w:tcW w:w="920" w:type="dxa"/>
            <w:shd w:val="clear" w:color="auto" w:fill="auto"/>
            <w:hideMark/>
          </w:tcPr>
          <w:p w14:paraId="33384D0E" w14:textId="77777777" w:rsidR="00651B6D" w:rsidRPr="000909C6" w:rsidRDefault="00651B6D" w:rsidP="00651B6D">
            <w:pPr>
              <w:keepNext/>
              <w:keepLines/>
              <w:tabs>
                <w:tab w:val="decimal" w:pos="459"/>
              </w:tabs>
              <w:ind w:firstLine="0"/>
              <w:jc w:val="right"/>
              <w:rPr>
                <w:sz w:val="18"/>
                <w:szCs w:val="18"/>
              </w:rPr>
            </w:pPr>
            <w:r w:rsidRPr="000909C6">
              <w:rPr>
                <w:sz w:val="18"/>
                <w:szCs w:val="18"/>
              </w:rPr>
              <w:t>3 291,8</w:t>
            </w:r>
          </w:p>
        </w:tc>
        <w:tc>
          <w:tcPr>
            <w:tcW w:w="920" w:type="dxa"/>
            <w:shd w:val="clear" w:color="auto" w:fill="auto"/>
            <w:hideMark/>
          </w:tcPr>
          <w:p w14:paraId="11F0ED0D" w14:textId="77777777" w:rsidR="00651B6D" w:rsidRPr="000909C6" w:rsidRDefault="00651B6D" w:rsidP="00651B6D">
            <w:pPr>
              <w:keepNext/>
              <w:keepLines/>
              <w:tabs>
                <w:tab w:val="decimal" w:pos="459"/>
              </w:tabs>
              <w:ind w:firstLine="0"/>
              <w:jc w:val="right"/>
              <w:rPr>
                <w:sz w:val="18"/>
                <w:szCs w:val="18"/>
              </w:rPr>
            </w:pPr>
            <w:r w:rsidRPr="000909C6">
              <w:rPr>
                <w:sz w:val="18"/>
                <w:szCs w:val="18"/>
              </w:rPr>
              <w:t>3 493,6</w:t>
            </w:r>
          </w:p>
        </w:tc>
      </w:tr>
      <w:tr w:rsidR="00651B6D" w:rsidRPr="000909C6" w14:paraId="7CECCCB1" w14:textId="77777777" w:rsidTr="00651B6D">
        <w:trPr>
          <w:cantSplit/>
          <w:trHeight w:val="20"/>
        </w:trPr>
        <w:tc>
          <w:tcPr>
            <w:tcW w:w="5382" w:type="dxa"/>
            <w:shd w:val="clear" w:color="auto" w:fill="auto"/>
            <w:vAlign w:val="center"/>
            <w:hideMark/>
          </w:tcPr>
          <w:p w14:paraId="671EF750" w14:textId="77777777" w:rsidR="00651B6D" w:rsidRPr="000909C6" w:rsidRDefault="00651B6D" w:rsidP="00651B6D">
            <w:pPr>
              <w:keepNext/>
              <w:keepLines/>
              <w:ind w:firstLine="0"/>
              <w:jc w:val="left"/>
              <w:rPr>
                <w:color w:val="000000"/>
                <w:sz w:val="18"/>
                <w:szCs w:val="18"/>
              </w:rPr>
            </w:pPr>
            <w:r w:rsidRPr="000909C6">
              <w:rPr>
                <w:color w:val="000000"/>
                <w:sz w:val="18"/>
                <w:szCs w:val="18"/>
              </w:rPr>
              <w:t>Iedzīvotāju ienākuma nodoklis</w:t>
            </w:r>
          </w:p>
        </w:tc>
        <w:tc>
          <w:tcPr>
            <w:tcW w:w="919" w:type="dxa"/>
            <w:shd w:val="clear" w:color="auto" w:fill="auto"/>
            <w:hideMark/>
          </w:tcPr>
          <w:p w14:paraId="2A02B246" w14:textId="77777777" w:rsidR="00651B6D" w:rsidRPr="000909C6" w:rsidRDefault="00651B6D" w:rsidP="00651B6D">
            <w:pPr>
              <w:keepNext/>
              <w:keepLines/>
              <w:tabs>
                <w:tab w:val="decimal" w:pos="459"/>
              </w:tabs>
              <w:ind w:firstLine="0"/>
              <w:jc w:val="right"/>
              <w:rPr>
                <w:sz w:val="18"/>
                <w:szCs w:val="18"/>
              </w:rPr>
            </w:pPr>
            <w:r w:rsidRPr="000909C6">
              <w:rPr>
                <w:sz w:val="18"/>
                <w:szCs w:val="18"/>
              </w:rPr>
              <w:t>1 746,0</w:t>
            </w:r>
          </w:p>
        </w:tc>
        <w:tc>
          <w:tcPr>
            <w:tcW w:w="920" w:type="dxa"/>
            <w:shd w:val="clear" w:color="auto" w:fill="auto"/>
            <w:hideMark/>
          </w:tcPr>
          <w:p w14:paraId="447DE4B9" w14:textId="77777777" w:rsidR="00651B6D" w:rsidRPr="000909C6" w:rsidRDefault="00651B6D" w:rsidP="00651B6D">
            <w:pPr>
              <w:keepNext/>
              <w:keepLines/>
              <w:tabs>
                <w:tab w:val="decimal" w:pos="459"/>
              </w:tabs>
              <w:ind w:firstLine="0"/>
              <w:jc w:val="right"/>
              <w:rPr>
                <w:sz w:val="18"/>
                <w:szCs w:val="18"/>
              </w:rPr>
            </w:pPr>
            <w:r w:rsidRPr="000909C6">
              <w:rPr>
                <w:sz w:val="18"/>
                <w:szCs w:val="18"/>
              </w:rPr>
              <w:t>1 862,0</w:t>
            </w:r>
          </w:p>
        </w:tc>
        <w:tc>
          <w:tcPr>
            <w:tcW w:w="920" w:type="dxa"/>
            <w:shd w:val="clear" w:color="auto" w:fill="auto"/>
            <w:hideMark/>
          </w:tcPr>
          <w:p w14:paraId="2CBC5703" w14:textId="77777777" w:rsidR="00651B6D" w:rsidRPr="000909C6" w:rsidRDefault="00651B6D" w:rsidP="00651B6D">
            <w:pPr>
              <w:keepNext/>
              <w:keepLines/>
              <w:tabs>
                <w:tab w:val="decimal" w:pos="459"/>
              </w:tabs>
              <w:ind w:firstLine="0"/>
              <w:jc w:val="right"/>
              <w:rPr>
                <w:sz w:val="18"/>
                <w:szCs w:val="18"/>
              </w:rPr>
            </w:pPr>
            <w:r w:rsidRPr="000909C6">
              <w:rPr>
                <w:sz w:val="18"/>
                <w:szCs w:val="18"/>
              </w:rPr>
              <w:t>1 916,2</w:t>
            </w:r>
          </w:p>
        </w:tc>
        <w:tc>
          <w:tcPr>
            <w:tcW w:w="920" w:type="dxa"/>
            <w:shd w:val="clear" w:color="auto" w:fill="auto"/>
            <w:hideMark/>
          </w:tcPr>
          <w:p w14:paraId="5062E4B5" w14:textId="77777777" w:rsidR="00651B6D" w:rsidRPr="000909C6" w:rsidRDefault="00651B6D" w:rsidP="00651B6D">
            <w:pPr>
              <w:keepNext/>
              <w:keepLines/>
              <w:tabs>
                <w:tab w:val="decimal" w:pos="459"/>
              </w:tabs>
              <w:ind w:firstLine="0"/>
              <w:jc w:val="right"/>
              <w:rPr>
                <w:sz w:val="18"/>
                <w:szCs w:val="18"/>
              </w:rPr>
            </w:pPr>
            <w:r w:rsidRPr="000909C6">
              <w:rPr>
                <w:sz w:val="18"/>
                <w:szCs w:val="18"/>
              </w:rPr>
              <w:t>2 026,2</w:t>
            </w:r>
          </w:p>
        </w:tc>
      </w:tr>
      <w:tr w:rsidR="00651B6D" w:rsidRPr="000909C6" w14:paraId="5ACC1CC1" w14:textId="77777777" w:rsidTr="00651B6D">
        <w:trPr>
          <w:cantSplit/>
          <w:trHeight w:val="20"/>
        </w:trPr>
        <w:tc>
          <w:tcPr>
            <w:tcW w:w="5382" w:type="dxa"/>
            <w:shd w:val="clear" w:color="auto" w:fill="auto"/>
            <w:vAlign w:val="center"/>
            <w:hideMark/>
          </w:tcPr>
          <w:p w14:paraId="23759372" w14:textId="77777777" w:rsidR="00651B6D" w:rsidRPr="000909C6" w:rsidRDefault="00651B6D" w:rsidP="00651B6D">
            <w:pPr>
              <w:keepNext/>
              <w:keepLines/>
              <w:ind w:firstLine="0"/>
              <w:jc w:val="left"/>
              <w:rPr>
                <w:color w:val="000000"/>
                <w:sz w:val="18"/>
                <w:szCs w:val="18"/>
              </w:rPr>
            </w:pPr>
            <w:r w:rsidRPr="000909C6">
              <w:rPr>
                <w:color w:val="000000"/>
                <w:sz w:val="18"/>
                <w:szCs w:val="18"/>
              </w:rPr>
              <w:t>Uzņēmumu ienākuma nodoklis</w:t>
            </w:r>
          </w:p>
        </w:tc>
        <w:tc>
          <w:tcPr>
            <w:tcW w:w="919" w:type="dxa"/>
            <w:shd w:val="clear" w:color="auto" w:fill="auto"/>
            <w:hideMark/>
          </w:tcPr>
          <w:p w14:paraId="70A63AAD" w14:textId="77777777" w:rsidR="00651B6D" w:rsidRPr="000909C6" w:rsidRDefault="00651B6D" w:rsidP="00651B6D">
            <w:pPr>
              <w:keepNext/>
              <w:keepLines/>
              <w:tabs>
                <w:tab w:val="decimal" w:pos="459"/>
              </w:tabs>
              <w:ind w:firstLine="0"/>
              <w:jc w:val="right"/>
              <w:rPr>
                <w:sz w:val="18"/>
                <w:szCs w:val="18"/>
              </w:rPr>
            </w:pPr>
            <w:r w:rsidRPr="000909C6">
              <w:rPr>
                <w:sz w:val="18"/>
                <w:szCs w:val="18"/>
              </w:rPr>
              <w:t>275,0</w:t>
            </w:r>
          </w:p>
        </w:tc>
        <w:tc>
          <w:tcPr>
            <w:tcW w:w="920" w:type="dxa"/>
            <w:shd w:val="clear" w:color="auto" w:fill="auto"/>
            <w:hideMark/>
          </w:tcPr>
          <w:p w14:paraId="3425FCE1" w14:textId="77777777" w:rsidR="00651B6D" w:rsidRPr="000909C6" w:rsidRDefault="00651B6D" w:rsidP="00651B6D">
            <w:pPr>
              <w:keepNext/>
              <w:keepLines/>
              <w:tabs>
                <w:tab w:val="decimal" w:pos="459"/>
              </w:tabs>
              <w:ind w:firstLine="0"/>
              <w:jc w:val="right"/>
              <w:rPr>
                <w:sz w:val="18"/>
                <w:szCs w:val="18"/>
              </w:rPr>
            </w:pPr>
            <w:r w:rsidRPr="000909C6">
              <w:rPr>
                <w:sz w:val="18"/>
                <w:szCs w:val="18"/>
              </w:rPr>
              <w:t>316,4</w:t>
            </w:r>
          </w:p>
        </w:tc>
        <w:tc>
          <w:tcPr>
            <w:tcW w:w="920" w:type="dxa"/>
            <w:shd w:val="clear" w:color="auto" w:fill="auto"/>
            <w:hideMark/>
          </w:tcPr>
          <w:p w14:paraId="30630B4C" w14:textId="77777777" w:rsidR="00651B6D" w:rsidRPr="000909C6" w:rsidRDefault="00651B6D" w:rsidP="00651B6D">
            <w:pPr>
              <w:keepNext/>
              <w:keepLines/>
              <w:tabs>
                <w:tab w:val="decimal" w:pos="459"/>
              </w:tabs>
              <w:ind w:firstLine="0"/>
              <w:jc w:val="right"/>
              <w:rPr>
                <w:sz w:val="18"/>
                <w:szCs w:val="18"/>
              </w:rPr>
            </w:pPr>
            <w:r w:rsidRPr="000909C6">
              <w:rPr>
                <w:sz w:val="18"/>
                <w:szCs w:val="18"/>
              </w:rPr>
              <w:t>330,0</w:t>
            </w:r>
          </w:p>
        </w:tc>
        <w:tc>
          <w:tcPr>
            <w:tcW w:w="920" w:type="dxa"/>
            <w:shd w:val="clear" w:color="auto" w:fill="auto"/>
            <w:hideMark/>
          </w:tcPr>
          <w:p w14:paraId="62B527FE" w14:textId="77777777" w:rsidR="00651B6D" w:rsidRPr="000909C6" w:rsidRDefault="00651B6D" w:rsidP="00651B6D">
            <w:pPr>
              <w:keepNext/>
              <w:keepLines/>
              <w:tabs>
                <w:tab w:val="decimal" w:pos="459"/>
              </w:tabs>
              <w:ind w:firstLine="0"/>
              <w:jc w:val="right"/>
              <w:rPr>
                <w:sz w:val="18"/>
                <w:szCs w:val="18"/>
              </w:rPr>
            </w:pPr>
            <w:r w:rsidRPr="000909C6">
              <w:rPr>
                <w:sz w:val="18"/>
                <w:szCs w:val="18"/>
              </w:rPr>
              <w:t>345,0</w:t>
            </w:r>
          </w:p>
        </w:tc>
      </w:tr>
      <w:tr w:rsidR="00651B6D" w:rsidRPr="000909C6" w14:paraId="793E37D4" w14:textId="77777777" w:rsidTr="00651B6D">
        <w:trPr>
          <w:cantSplit/>
          <w:trHeight w:val="20"/>
        </w:trPr>
        <w:tc>
          <w:tcPr>
            <w:tcW w:w="5382" w:type="dxa"/>
            <w:shd w:val="clear" w:color="auto" w:fill="auto"/>
            <w:vAlign w:val="center"/>
            <w:hideMark/>
          </w:tcPr>
          <w:p w14:paraId="6377FE04" w14:textId="77777777" w:rsidR="00651B6D" w:rsidRPr="000909C6" w:rsidRDefault="00651B6D" w:rsidP="00651B6D">
            <w:pPr>
              <w:keepNext/>
              <w:keepLines/>
              <w:ind w:firstLine="0"/>
              <w:jc w:val="left"/>
              <w:rPr>
                <w:color w:val="000000"/>
                <w:sz w:val="18"/>
                <w:szCs w:val="18"/>
              </w:rPr>
            </w:pPr>
            <w:r w:rsidRPr="000909C6">
              <w:rPr>
                <w:color w:val="000000"/>
                <w:sz w:val="18"/>
                <w:szCs w:val="18"/>
              </w:rPr>
              <w:t>Veselības maksājums</w:t>
            </w:r>
          </w:p>
        </w:tc>
        <w:tc>
          <w:tcPr>
            <w:tcW w:w="919" w:type="dxa"/>
            <w:shd w:val="clear" w:color="auto" w:fill="auto"/>
            <w:hideMark/>
          </w:tcPr>
          <w:p w14:paraId="0D58BA7F" w14:textId="77777777" w:rsidR="00651B6D" w:rsidRPr="000909C6" w:rsidRDefault="00651B6D" w:rsidP="00651B6D">
            <w:pPr>
              <w:keepNext/>
              <w:keepLines/>
              <w:tabs>
                <w:tab w:val="decimal" w:pos="459"/>
              </w:tabs>
              <w:ind w:firstLine="0"/>
              <w:jc w:val="right"/>
              <w:rPr>
                <w:sz w:val="18"/>
                <w:szCs w:val="18"/>
              </w:rPr>
            </w:pPr>
            <w:r w:rsidRPr="000909C6">
              <w:rPr>
                <w:sz w:val="18"/>
                <w:szCs w:val="18"/>
              </w:rPr>
              <w:t>100,3</w:t>
            </w:r>
          </w:p>
        </w:tc>
        <w:tc>
          <w:tcPr>
            <w:tcW w:w="920" w:type="dxa"/>
            <w:shd w:val="clear" w:color="auto" w:fill="auto"/>
            <w:hideMark/>
          </w:tcPr>
          <w:p w14:paraId="1FF741DA" w14:textId="77777777" w:rsidR="00651B6D" w:rsidRPr="000909C6" w:rsidRDefault="00651B6D" w:rsidP="00651B6D">
            <w:pPr>
              <w:keepNext/>
              <w:keepLines/>
              <w:tabs>
                <w:tab w:val="decimal" w:pos="459"/>
              </w:tabs>
              <w:ind w:firstLine="0"/>
              <w:jc w:val="right"/>
              <w:rPr>
                <w:sz w:val="18"/>
                <w:szCs w:val="18"/>
              </w:rPr>
            </w:pPr>
            <w:r w:rsidRPr="000909C6">
              <w:rPr>
                <w:sz w:val="18"/>
                <w:szCs w:val="18"/>
              </w:rPr>
              <w:t>112,8</w:t>
            </w:r>
          </w:p>
        </w:tc>
        <w:tc>
          <w:tcPr>
            <w:tcW w:w="920" w:type="dxa"/>
            <w:shd w:val="clear" w:color="auto" w:fill="auto"/>
            <w:hideMark/>
          </w:tcPr>
          <w:p w14:paraId="6BA60602" w14:textId="77777777" w:rsidR="00651B6D" w:rsidRPr="000909C6" w:rsidRDefault="00651B6D" w:rsidP="00651B6D">
            <w:pPr>
              <w:keepNext/>
              <w:keepLines/>
              <w:tabs>
                <w:tab w:val="decimal" w:pos="459"/>
              </w:tabs>
              <w:ind w:firstLine="0"/>
              <w:jc w:val="right"/>
              <w:rPr>
                <w:sz w:val="18"/>
                <w:szCs w:val="18"/>
              </w:rPr>
            </w:pPr>
            <w:r w:rsidRPr="000909C6">
              <w:rPr>
                <w:sz w:val="18"/>
                <w:szCs w:val="18"/>
              </w:rPr>
              <w:t>121,2</w:t>
            </w:r>
          </w:p>
        </w:tc>
        <w:tc>
          <w:tcPr>
            <w:tcW w:w="920" w:type="dxa"/>
            <w:shd w:val="clear" w:color="auto" w:fill="auto"/>
            <w:hideMark/>
          </w:tcPr>
          <w:p w14:paraId="5B41754F" w14:textId="77777777" w:rsidR="00651B6D" w:rsidRPr="000909C6" w:rsidRDefault="00651B6D" w:rsidP="00651B6D">
            <w:pPr>
              <w:keepNext/>
              <w:keepLines/>
              <w:tabs>
                <w:tab w:val="decimal" w:pos="459"/>
              </w:tabs>
              <w:ind w:firstLine="0"/>
              <w:jc w:val="right"/>
              <w:rPr>
                <w:sz w:val="18"/>
                <w:szCs w:val="18"/>
              </w:rPr>
            </w:pPr>
            <w:r w:rsidRPr="000909C6">
              <w:rPr>
                <w:sz w:val="18"/>
                <w:szCs w:val="18"/>
              </w:rPr>
              <w:t>127,1</w:t>
            </w:r>
          </w:p>
        </w:tc>
      </w:tr>
      <w:tr w:rsidR="00651B6D" w:rsidRPr="000909C6" w14:paraId="2FE8BA70" w14:textId="77777777" w:rsidTr="00651B6D">
        <w:trPr>
          <w:cantSplit/>
          <w:trHeight w:val="20"/>
        </w:trPr>
        <w:tc>
          <w:tcPr>
            <w:tcW w:w="5382" w:type="dxa"/>
            <w:shd w:val="clear" w:color="auto" w:fill="auto"/>
            <w:vAlign w:val="center"/>
            <w:hideMark/>
          </w:tcPr>
          <w:p w14:paraId="62F0C1F1" w14:textId="77777777" w:rsidR="00651B6D" w:rsidRPr="000909C6" w:rsidRDefault="00651B6D" w:rsidP="00651B6D">
            <w:pPr>
              <w:keepNext/>
              <w:keepLines/>
              <w:ind w:firstLine="0"/>
              <w:jc w:val="left"/>
              <w:rPr>
                <w:color w:val="000000"/>
                <w:sz w:val="18"/>
                <w:szCs w:val="18"/>
              </w:rPr>
            </w:pPr>
            <w:r w:rsidRPr="000909C6">
              <w:rPr>
                <w:color w:val="000000"/>
                <w:sz w:val="18"/>
                <w:szCs w:val="18"/>
              </w:rPr>
              <w:t>Akcīzes nodoklis</w:t>
            </w:r>
          </w:p>
        </w:tc>
        <w:tc>
          <w:tcPr>
            <w:tcW w:w="919" w:type="dxa"/>
            <w:shd w:val="clear" w:color="auto" w:fill="auto"/>
            <w:hideMark/>
          </w:tcPr>
          <w:p w14:paraId="494D1331" w14:textId="77777777" w:rsidR="00651B6D" w:rsidRPr="000909C6" w:rsidRDefault="00651B6D" w:rsidP="00651B6D">
            <w:pPr>
              <w:keepNext/>
              <w:keepLines/>
              <w:tabs>
                <w:tab w:val="decimal" w:pos="459"/>
              </w:tabs>
              <w:ind w:firstLine="0"/>
              <w:jc w:val="right"/>
              <w:rPr>
                <w:sz w:val="18"/>
                <w:szCs w:val="18"/>
              </w:rPr>
            </w:pPr>
            <w:r w:rsidRPr="000909C6">
              <w:rPr>
                <w:sz w:val="18"/>
                <w:szCs w:val="18"/>
              </w:rPr>
              <w:t>1 118,0</w:t>
            </w:r>
          </w:p>
        </w:tc>
        <w:tc>
          <w:tcPr>
            <w:tcW w:w="920" w:type="dxa"/>
            <w:shd w:val="clear" w:color="auto" w:fill="auto"/>
            <w:hideMark/>
          </w:tcPr>
          <w:p w14:paraId="2CE61412" w14:textId="77777777" w:rsidR="00651B6D" w:rsidRPr="000909C6" w:rsidRDefault="00651B6D" w:rsidP="00651B6D">
            <w:pPr>
              <w:keepNext/>
              <w:keepLines/>
              <w:tabs>
                <w:tab w:val="decimal" w:pos="459"/>
              </w:tabs>
              <w:ind w:firstLine="0"/>
              <w:jc w:val="right"/>
              <w:rPr>
                <w:sz w:val="18"/>
                <w:szCs w:val="18"/>
              </w:rPr>
            </w:pPr>
            <w:r w:rsidRPr="000909C6">
              <w:rPr>
                <w:sz w:val="18"/>
                <w:szCs w:val="18"/>
              </w:rPr>
              <w:t>1 166,8</w:t>
            </w:r>
          </w:p>
        </w:tc>
        <w:tc>
          <w:tcPr>
            <w:tcW w:w="920" w:type="dxa"/>
            <w:shd w:val="clear" w:color="auto" w:fill="auto"/>
            <w:hideMark/>
          </w:tcPr>
          <w:p w14:paraId="119CC524" w14:textId="77777777" w:rsidR="00651B6D" w:rsidRPr="000909C6" w:rsidRDefault="00651B6D" w:rsidP="00651B6D">
            <w:pPr>
              <w:keepNext/>
              <w:keepLines/>
              <w:tabs>
                <w:tab w:val="decimal" w:pos="459"/>
              </w:tabs>
              <w:ind w:firstLine="0"/>
              <w:jc w:val="right"/>
              <w:rPr>
                <w:sz w:val="18"/>
                <w:szCs w:val="18"/>
              </w:rPr>
            </w:pPr>
            <w:r w:rsidRPr="000909C6">
              <w:rPr>
                <w:sz w:val="18"/>
                <w:szCs w:val="18"/>
              </w:rPr>
              <w:t>1 204,4</w:t>
            </w:r>
          </w:p>
        </w:tc>
        <w:tc>
          <w:tcPr>
            <w:tcW w:w="920" w:type="dxa"/>
            <w:shd w:val="clear" w:color="auto" w:fill="auto"/>
            <w:hideMark/>
          </w:tcPr>
          <w:p w14:paraId="4643BE4F" w14:textId="77777777" w:rsidR="00651B6D" w:rsidRPr="000909C6" w:rsidRDefault="00651B6D" w:rsidP="00651B6D">
            <w:pPr>
              <w:keepNext/>
              <w:keepLines/>
              <w:tabs>
                <w:tab w:val="decimal" w:pos="459"/>
              </w:tabs>
              <w:ind w:firstLine="0"/>
              <w:jc w:val="right"/>
              <w:rPr>
                <w:sz w:val="18"/>
                <w:szCs w:val="18"/>
              </w:rPr>
            </w:pPr>
            <w:r w:rsidRPr="000909C6">
              <w:rPr>
                <w:sz w:val="18"/>
                <w:szCs w:val="18"/>
              </w:rPr>
              <w:t>1 234,5</w:t>
            </w:r>
          </w:p>
        </w:tc>
      </w:tr>
      <w:tr w:rsidR="00651B6D" w:rsidRPr="000909C6" w14:paraId="3BC603C1" w14:textId="77777777" w:rsidTr="00651B6D">
        <w:trPr>
          <w:cantSplit/>
          <w:trHeight w:val="20"/>
        </w:trPr>
        <w:tc>
          <w:tcPr>
            <w:tcW w:w="5382" w:type="dxa"/>
            <w:shd w:val="clear" w:color="auto" w:fill="auto"/>
            <w:vAlign w:val="center"/>
            <w:hideMark/>
          </w:tcPr>
          <w:p w14:paraId="0E451715" w14:textId="77777777" w:rsidR="00651B6D" w:rsidRPr="000909C6" w:rsidRDefault="00651B6D" w:rsidP="00651B6D">
            <w:pPr>
              <w:keepNext/>
              <w:keepLines/>
              <w:ind w:firstLine="0"/>
              <w:jc w:val="left"/>
              <w:rPr>
                <w:color w:val="000000"/>
                <w:sz w:val="18"/>
                <w:szCs w:val="18"/>
              </w:rPr>
            </w:pPr>
            <w:r w:rsidRPr="000909C6">
              <w:rPr>
                <w:color w:val="000000"/>
                <w:sz w:val="18"/>
                <w:szCs w:val="18"/>
              </w:rPr>
              <w:t>Nekustamā īpašuma nodoklis</w:t>
            </w:r>
          </w:p>
        </w:tc>
        <w:tc>
          <w:tcPr>
            <w:tcW w:w="919" w:type="dxa"/>
            <w:shd w:val="clear" w:color="auto" w:fill="auto"/>
            <w:hideMark/>
          </w:tcPr>
          <w:p w14:paraId="0B93438B" w14:textId="77777777" w:rsidR="00651B6D" w:rsidRPr="000909C6" w:rsidRDefault="00651B6D" w:rsidP="00651B6D">
            <w:pPr>
              <w:keepNext/>
              <w:keepLines/>
              <w:tabs>
                <w:tab w:val="decimal" w:pos="459"/>
              </w:tabs>
              <w:ind w:firstLine="0"/>
              <w:jc w:val="right"/>
              <w:rPr>
                <w:sz w:val="18"/>
                <w:szCs w:val="18"/>
              </w:rPr>
            </w:pPr>
            <w:r w:rsidRPr="000909C6">
              <w:rPr>
                <w:sz w:val="18"/>
                <w:szCs w:val="18"/>
              </w:rPr>
              <w:t>230,7</w:t>
            </w:r>
          </w:p>
        </w:tc>
        <w:tc>
          <w:tcPr>
            <w:tcW w:w="920" w:type="dxa"/>
            <w:shd w:val="clear" w:color="auto" w:fill="auto"/>
            <w:hideMark/>
          </w:tcPr>
          <w:p w14:paraId="2B92E6D7" w14:textId="77777777" w:rsidR="00651B6D" w:rsidRPr="000909C6" w:rsidRDefault="00651B6D" w:rsidP="00651B6D">
            <w:pPr>
              <w:keepNext/>
              <w:keepLines/>
              <w:tabs>
                <w:tab w:val="decimal" w:pos="459"/>
              </w:tabs>
              <w:ind w:firstLine="0"/>
              <w:jc w:val="right"/>
              <w:rPr>
                <w:sz w:val="18"/>
                <w:szCs w:val="18"/>
              </w:rPr>
            </w:pPr>
            <w:r w:rsidRPr="000909C6">
              <w:rPr>
                <w:sz w:val="18"/>
                <w:szCs w:val="18"/>
              </w:rPr>
              <w:t>234,2</w:t>
            </w:r>
          </w:p>
        </w:tc>
        <w:tc>
          <w:tcPr>
            <w:tcW w:w="920" w:type="dxa"/>
            <w:shd w:val="clear" w:color="auto" w:fill="auto"/>
            <w:hideMark/>
          </w:tcPr>
          <w:p w14:paraId="3DAE9A8D" w14:textId="77777777" w:rsidR="00651B6D" w:rsidRPr="000909C6" w:rsidRDefault="00651B6D" w:rsidP="00651B6D">
            <w:pPr>
              <w:keepNext/>
              <w:keepLines/>
              <w:tabs>
                <w:tab w:val="decimal" w:pos="459"/>
              </w:tabs>
              <w:ind w:firstLine="0"/>
              <w:jc w:val="right"/>
              <w:rPr>
                <w:sz w:val="18"/>
                <w:szCs w:val="18"/>
              </w:rPr>
            </w:pPr>
            <w:r w:rsidRPr="000909C6">
              <w:rPr>
                <w:sz w:val="18"/>
                <w:szCs w:val="18"/>
              </w:rPr>
              <w:t>237,7</w:t>
            </w:r>
          </w:p>
        </w:tc>
        <w:tc>
          <w:tcPr>
            <w:tcW w:w="920" w:type="dxa"/>
            <w:shd w:val="clear" w:color="auto" w:fill="auto"/>
            <w:hideMark/>
          </w:tcPr>
          <w:p w14:paraId="6E6BE1E5" w14:textId="77777777" w:rsidR="00651B6D" w:rsidRPr="000909C6" w:rsidRDefault="00651B6D" w:rsidP="00651B6D">
            <w:pPr>
              <w:keepNext/>
              <w:keepLines/>
              <w:tabs>
                <w:tab w:val="decimal" w:pos="459"/>
              </w:tabs>
              <w:ind w:firstLine="0"/>
              <w:jc w:val="right"/>
              <w:rPr>
                <w:sz w:val="18"/>
                <w:szCs w:val="18"/>
              </w:rPr>
            </w:pPr>
            <w:r w:rsidRPr="000909C6">
              <w:rPr>
                <w:sz w:val="18"/>
                <w:szCs w:val="18"/>
              </w:rPr>
              <w:t>241,3</w:t>
            </w:r>
          </w:p>
        </w:tc>
      </w:tr>
      <w:tr w:rsidR="00651B6D" w:rsidRPr="000909C6" w14:paraId="673EECD2" w14:textId="77777777" w:rsidTr="00651B6D">
        <w:trPr>
          <w:cantSplit/>
          <w:trHeight w:val="20"/>
        </w:trPr>
        <w:tc>
          <w:tcPr>
            <w:tcW w:w="5382" w:type="dxa"/>
            <w:shd w:val="clear" w:color="auto" w:fill="auto"/>
            <w:vAlign w:val="center"/>
            <w:hideMark/>
          </w:tcPr>
          <w:p w14:paraId="368ADCCE" w14:textId="77777777" w:rsidR="00651B6D" w:rsidRPr="000909C6" w:rsidRDefault="00651B6D" w:rsidP="00651B6D">
            <w:pPr>
              <w:keepNext/>
              <w:keepLines/>
              <w:ind w:firstLine="0"/>
              <w:jc w:val="left"/>
              <w:rPr>
                <w:color w:val="000000"/>
                <w:sz w:val="18"/>
                <w:szCs w:val="18"/>
              </w:rPr>
            </w:pPr>
            <w:r w:rsidRPr="000909C6">
              <w:rPr>
                <w:color w:val="000000"/>
                <w:sz w:val="18"/>
                <w:szCs w:val="18"/>
              </w:rPr>
              <w:t>Transportlīdzekļu ekspluatācijas nodoklis</w:t>
            </w:r>
          </w:p>
        </w:tc>
        <w:tc>
          <w:tcPr>
            <w:tcW w:w="919" w:type="dxa"/>
            <w:shd w:val="clear" w:color="auto" w:fill="auto"/>
            <w:hideMark/>
          </w:tcPr>
          <w:p w14:paraId="08458E93" w14:textId="77777777" w:rsidR="00651B6D" w:rsidRPr="000909C6" w:rsidRDefault="00651B6D" w:rsidP="00651B6D">
            <w:pPr>
              <w:keepNext/>
              <w:keepLines/>
              <w:tabs>
                <w:tab w:val="decimal" w:pos="459"/>
              </w:tabs>
              <w:ind w:firstLine="0"/>
              <w:jc w:val="right"/>
              <w:rPr>
                <w:sz w:val="18"/>
                <w:szCs w:val="18"/>
              </w:rPr>
            </w:pPr>
            <w:r w:rsidRPr="000909C6">
              <w:rPr>
                <w:sz w:val="18"/>
                <w:szCs w:val="18"/>
              </w:rPr>
              <w:t>102,2</w:t>
            </w:r>
          </w:p>
        </w:tc>
        <w:tc>
          <w:tcPr>
            <w:tcW w:w="920" w:type="dxa"/>
            <w:shd w:val="clear" w:color="auto" w:fill="auto"/>
            <w:hideMark/>
          </w:tcPr>
          <w:p w14:paraId="6F7B58AB" w14:textId="77777777" w:rsidR="00651B6D" w:rsidRPr="000909C6" w:rsidRDefault="00651B6D" w:rsidP="00651B6D">
            <w:pPr>
              <w:keepNext/>
              <w:keepLines/>
              <w:tabs>
                <w:tab w:val="decimal" w:pos="459"/>
              </w:tabs>
              <w:ind w:firstLine="0"/>
              <w:jc w:val="right"/>
              <w:rPr>
                <w:sz w:val="18"/>
                <w:szCs w:val="18"/>
              </w:rPr>
            </w:pPr>
            <w:r w:rsidRPr="000909C6">
              <w:rPr>
                <w:sz w:val="18"/>
                <w:szCs w:val="18"/>
              </w:rPr>
              <w:t>106,1</w:t>
            </w:r>
          </w:p>
        </w:tc>
        <w:tc>
          <w:tcPr>
            <w:tcW w:w="920" w:type="dxa"/>
            <w:shd w:val="clear" w:color="auto" w:fill="auto"/>
            <w:hideMark/>
          </w:tcPr>
          <w:p w14:paraId="6A058BF5" w14:textId="77777777" w:rsidR="00651B6D" w:rsidRPr="000909C6" w:rsidRDefault="00651B6D" w:rsidP="00651B6D">
            <w:pPr>
              <w:keepNext/>
              <w:keepLines/>
              <w:tabs>
                <w:tab w:val="decimal" w:pos="459"/>
              </w:tabs>
              <w:ind w:firstLine="0"/>
              <w:jc w:val="right"/>
              <w:rPr>
                <w:sz w:val="18"/>
                <w:szCs w:val="18"/>
              </w:rPr>
            </w:pPr>
            <w:r w:rsidRPr="000909C6">
              <w:rPr>
                <w:sz w:val="18"/>
                <w:szCs w:val="18"/>
              </w:rPr>
              <w:t>108,7</w:t>
            </w:r>
          </w:p>
        </w:tc>
        <w:tc>
          <w:tcPr>
            <w:tcW w:w="920" w:type="dxa"/>
            <w:shd w:val="clear" w:color="auto" w:fill="auto"/>
            <w:hideMark/>
          </w:tcPr>
          <w:p w14:paraId="71D72F4F" w14:textId="77777777" w:rsidR="00651B6D" w:rsidRPr="000909C6" w:rsidRDefault="00651B6D" w:rsidP="00651B6D">
            <w:pPr>
              <w:keepNext/>
              <w:keepLines/>
              <w:tabs>
                <w:tab w:val="decimal" w:pos="459"/>
              </w:tabs>
              <w:ind w:firstLine="0"/>
              <w:jc w:val="right"/>
              <w:rPr>
                <w:sz w:val="18"/>
                <w:szCs w:val="18"/>
              </w:rPr>
            </w:pPr>
            <w:r w:rsidRPr="000909C6">
              <w:rPr>
                <w:sz w:val="18"/>
                <w:szCs w:val="18"/>
              </w:rPr>
              <w:t>111,3</w:t>
            </w:r>
          </w:p>
        </w:tc>
      </w:tr>
      <w:tr w:rsidR="00651B6D" w:rsidRPr="000909C6" w14:paraId="4F9ABBCA" w14:textId="77777777" w:rsidTr="00651B6D">
        <w:trPr>
          <w:cantSplit/>
          <w:trHeight w:val="20"/>
        </w:trPr>
        <w:tc>
          <w:tcPr>
            <w:tcW w:w="5382" w:type="dxa"/>
            <w:shd w:val="clear" w:color="auto" w:fill="auto"/>
            <w:vAlign w:val="center"/>
            <w:hideMark/>
          </w:tcPr>
          <w:p w14:paraId="74102FB1" w14:textId="77777777" w:rsidR="00651B6D" w:rsidRPr="000909C6" w:rsidRDefault="00651B6D" w:rsidP="00651B6D">
            <w:pPr>
              <w:keepNext/>
              <w:keepLines/>
              <w:ind w:firstLine="0"/>
              <w:jc w:val="left"/>
              <w:rPr>
                <w:color w:val="000000"/>
                <w:sz w:val="18"/>
                <w:szCs w:val="18"/>
              </w:rPr>
            </w:pPr>
            <w:r w:rsidRPr="000909C6">
              <w:rPr>
                <w:color w:val="000000"/>
                <w:sz w:val="18"/>
                <w:szCs w:val="18"/>
              </w:rPr>
              <w:t>Uzņēmumu vieglo transportlīdzekļu nodoklis</w:t>
            </w:r>
          </w:p>
        </w:tc>
        <w:tc>
          <w:tcPr>
            <w:tcW w:w="919" w:type="dxa"/>
            <w:shd w:val="clear" w:color="auto" w:fill="auto"/>
            <w:hideMark/>
          </w:tcPr>
          <w:p w14:paraId="2C029FB9" w14:textId="77777777" w:rsidR="00651B6D" w:rsidRPr="000909C6" w:rsidRDefault="00651B6D" w:rsidP="00651B6D">
            <w:pPr>
              <w:keepNext/>
              <w:keepLines/>
              <w:tabs>
                <w:tab w:val="decimal" w:pos="459"/>
              </w:tabs>
              <w:ind w:firstLine="0"/>
              <w:jc w:val="right"/>
              <w:rPr>
                <w:sz w:val="18"/>
                <w:szCs w:val="18"/>
              </w:rPr>
            </w:pPr>
            <w:r w:rsidRPr="000909C6">
              <w:rPr>
                <w:sz w:val="18"/>
                <w:szCs w:val="18"/>
              </w:rPr>
              <w:t>22,9</w:t>
            </w:r>
          </w:p>
        </w:tc>
        <w:tc>
          <w:tcPr>
            <w:tcW w:w="920" w:type="dxa"/>
            <w:shd w:val="clear" w:color="auto" w:fill="auto"/>
            <w:hideMark/>
          </w:tcPr>
          <w:p w14:paraId="7BB650F3" w14:textId="77777777" w:rsidR="00651B6D" w:rsidRPr="000909C6" w:rsidRDefault="00651B6D" w:rsidP="00651B6D">
            <w:pPr>
              <w:keepNext/>
              <w:keepLines/>
              <w:tabs>
                <w:tab w:val="decimal" w:pos="459"/>
              </w:tabs>
              <w:ind w:firstLine="0"/>
              <w:jc w:val="right"/>
              <w:rPr>
                <w:sz w:val="18"/>
                <w:szCs w:val="18"/>
              </w:rPr>
            </w:pPr>
            <w:r w:rsidRPr="000909C6">
              <w:rPr>
                <w:sz w:val="18"/>
                <w:szCs w:val="18"/>
              </w:rPr>
              <w:t>22,9</w:t>
            </w:r>
          </w:p>
        </w:tc>
        <w:tc>
          <w:tcPr>
            <w:tcW w:w="920" w:type="dxa"/>
            <w:shd w:val="clear" w:color="auto" w:fill="auto"/>
            <w:hideMark/>
          </w:tcPr>
          <w:p w14:paraId="1C4C64D4" w14:textId="77777777" w:rsidR="00651B6D" w:rsidRPr="000909C6" w:rsidRDefault="00651B6D" w:rsidP="00651B6D">
            <w:pPr>
              <w:keepNext/>
              <w:keepLines/>
              <w:tabs>
                <w:tab w:val="decimal" w:pos="459"/>
              </w:tabs>
              <w:ind w:firstLine="0"/>
              <w:jc w:val="right"/>
              <w:rPr>
                <w:sz w:val="18"/>
                <w:szCs w:val="18"/>
              </w:rPr>
            </w:pPr>
            <w:r w:rsidRPr="000909C6">
              <w:rPr>
                <w:sz w:val="18"/>
                <w:szCs w:val="18"/>
              </w:rPr>
              <w:t>23,0</w:t>
            </w:r>
          </w:p>
        </w:tc>
        <w:tc>
          <w:tcPr>
            <w:tcW w:w="920" w:type="dxa"/>
            <w:shd w:val="clear" w:color="auto" w:fill="auto"/>
            <w:hideMark/>
          </w:tcPr>
          <w:p w14:paraId="39C4D7E2" w14:textId="77777777" w:rsidR="00651B6D" w:rsidRPr="000909C6" w:rsidRDefault="00651B6D" w:rsidP="00651B6D">
            <w:pPr>
              <w:keepNext/>
              <w:keepLines/>
              <w:tabs>
                <w:tab w:val="decimal" w:pos="459"/>
              </w:tabs>
              <w:ind w:firstLine="0"/>
              <w:jc w:val="right"/>
              <w:rPr>
                <w:sz w:val="18"/>
                <w:szCs w:val="18"/>
              </w:rPr>
            </w:pPr>
            <w:r w:rsidRPr="000909C6">
              <w:rPr>
                <w:sz w:val="18"/>
                <w:szCs w:val="18"/>
              </w:rPr>
              <w:t>23,2</w:t>
            </w:r>
          </w:p>
        </w:tc>
      </w:tr>
      <w:tr w:rsidR="00651B6D" w:rsidRPr="000909C6" w14:paraId="507E820E" w14:textId="77777777" w:rsidTr="00651B6D">
        <w:trPr>
          <w:cantSplit/>
          <w:trHeight w:val="20"/>
        </w:trPr>
        <w:tc>
          <w:tcPr>
            <w:tcW w:w="5382" w:type="dxa"/>
            <w:shd w:val="clear" w:color="auto" w:fill="auto"/>
            <w:vAlign w:val="center"/>
            <w:hideMark/>
          </w:tcPr>
          <w:p w14:paraId="7E23012E" w14:textId="77777777" w:rsidR="00651B6D" w:rsidRPr="000909C6" w:rsidRDefault="00651B6D" w:rsidP="00651B6D">
            <w:pPr>
              <w:keepNext/>
              <w:keepLines/>
              <w:ind w:firstLine="0"/>
              <w:jc w:val="left"/>
              <w:rPr>
                <w:color w:val="000000"/>
                <w:sz w:val="18"/>
                <w:szCs w:val="18"/>
              </w:rPr>
            </w:pPr>
            <w:r w:rsidRPr="000909C6">
              <w:rPr>
                <w:color w:val="000000"/>
                <w:sz w:val="18"/>
                <w:szCs w:val="18"/>
              </w:rPr>
              <w:t>Muitas nodoklis</w:t>
            </w:r>
          </w:p>
        </w:tc>
        <w:tc>
          <w:tcPr>
            <w:tcW w:w="919" w:type="dxa"/>
            <w:shd w:val="clear" w:color="auto" w:fill="auto"/>
            <w:hideMark/>
          </w:tcPr>
          <w:p w14:paraId="1FF148E2" w14:textId="77777777" w:rsidR="00651B6D" w:rsidRPr="000909C6" w:rsidRDefault="00651B6D" w:rsidP="00651B6D">
            <w:pPr>
              <w:keepNext/>
              <w:keepLines/>
              <w:tabs>
                <w:tab w:val="decimal" w:pos="459"/>
              </w:tabs>
              <w:ind w:firstLine="0"/>
              <w:jc w:val="right"/>
              <w:rPr>
                <w:sz w:val="18"/>
                <w:szCs w:val="18"/>
              </w:rPr>
            </w:pPr>
            <w:r w:rsidRPr="000909C6">
              <w:rPr>
                <w:sz w:val="18"/>
                <w:szCs w:val="18"/>
              </w:rPr>
              <w:t>58,5</w:t>
            </w:r>
          </w:p>
        </w:tc>
        <w:tc>
          <w:tcPr>
            <w:tcW w:w="920" w:type="dxa"/>
            <w:shd w:val="clear" w:color="auto" w:fill="auto"/>
            <w:hideMark/>
          </w:tcPr>
          <w:p w14:paraId="0685D3A8" w14:textId="77777777" w:rsidR="00651B6D" w:rsidRPr="000909C6" w:rsidRDefault="00651B6D" w:rsidP="00651B6D">
            <w:pPr>
              <w:keepNext/>
              <w:keepLines/>
              <w:tabs>
                <w:tab w:val="decimal" w:pos="459"/>
              </w:tabs>
              <w:ind w:firstLine="0"/>
              <w:jc w:val="right"/>
              <w:rPr>
                <w:sz w:val="18"/>
                <w:szCs w:val="18"/>
              </w:rPr>
            </w:pPr>
            <w:r w:rsidRPr="000909C6">
              <w:rPr>
                <w:sz w:val="18"/>
                <w:szCs w:val="18"/>
              </w:rPr>
              <w:t>61,9</w:t>
            </w:r>
          </w:p>
        </w:tc>
        <w:tc>
          <w:tcPr>
            <w:tcW w:w="920" w:type="dxa"/>
            <w:shd w:val="clear" w:color="auto" w:fill="auto"/>
            <w:hideMark/>
          </w:tcPr>
          <w:p w14:paraId="5715876E" w14:textId="77777777" w:rsidR="00651B6D" w:rsidRPr="000909C6" w:rsidRDefault="00651B6D" w:rsidP="00651B6D">
            <w:pPr>
              <w:keepNext/>
              <w:keepLines/>
              <w:tabs>
                <w:tab w:val="decimal" w:pos="459"/>
              </w:tabs>
              <w:ind w:firstLine="0"/>
              <w:jc w:val="right"/>
              <w:rPr>
                <w:sz w:val="18"/>
                <w:szCs w:val="18"/>
              </w:rPr>
            </w:pPr>
            <w:r w:rsidRPr="000909C6">
              <w:rPr>
                <w:sz w:val="18"/>
                <w:szCs w:val="18"/>
              </w:rPr>
              <w:t>65,2</w:t>
            </w:r>
          </w:p>
        </w:tc>
        <w:tc>
          <w:tcPr>
            <w:tcW w:w="920" w:type="dxa"/>
            <w:shd w:val="clear" w:color="auto" w:fill="auto"/>
            <w:hideMark/>
          </w:tcPr>
          <w:p w14:paraId="6FF97806" w14:textId="77777777" w:rsidR="00651B6D" w:rsidRPr="000909C6" w:rsidRDefault="00651B6D" w:rsidP="00651B6D">
            <w:pPr>
              <w:keepNext/>
              <w:keepLines/>
              <w:tabs>
                <w:tab w:val="decimal" w:pos="459"/>
              </w:tabs>
              <w:ind w:firstLine="0"/>
              <w:jc w:val="right"/>
              <w:rPr>
                <w:sz w:val="18"/>
                <w:szCs w:val="18"/>
              </w:rPr>
            </w:pPr>
            <w:r w:rsidRPr="000909C6">
              <w:rPr>
                <w:sz w:val="18"/>
                <w:szCs w:val="18"/>
              </w:rPr>
              <w:t>69,2</w:t>
            </w:r>
          </w:p>
        </w:tc>
      </w:tr>
      <w:tr w:rsidR="00651B6D" w:rsidRPr="000909C6" w14:paraId="1EBFC763" w14:textId="77777777" w:rsidTr="00651B6D">
        <w:trPr>
          <w:cantSplit/>
          <w:trHeight w:val="20"/>
        </w:trPr>
        <w:tc>
          <w:tcPr>
            <w:tcW w:w="5382" w:type="dxa"/>
            <w:shd w:val="clear" w:color="auto" w:fill="auto"/>
            <w:vAlign w:val="center"/>
            <w:hideMark/>
          </w:tcPr>
          <w:p w14:paraId="205020F0" w14:textId="77777777" w:rsidR="00651B6D" w:rsidRPr="000909C6" w:rsidRDefault="00651B6D" w:rsidP="00651B6D">
            <w:pPr>
              <w:keepNext/>
              <w:keepLines/>
              <w:ind w:firstLine="0"/>
              <w:jc w:val="left"/>
              <w:rPr>
                <w:color w:val="000000"/>
                <w:sz w:val="18"/>
                <w:szCs w:val="18"/>
              </w:rPr>
            </w:pPr>
            <w:r w:rsidRPr="000909C6">
              <w:rPr>
                <w:color w:val="000000"/>
                <w:sz w:val="18"/>
                <w:szCs w:val="18"/>
              </w:rPr>
              <w:t>Izložu un azartspēļu nodoklis</w:t>
            </w:r>
          </w:p>
        </w:tc>
        <w:tc>
          <w:tcPr>
            <w:tcW w:w="919" w:type="dxa"/>
            <w:shd w:val="clear" w:color="auto" w:fill="auto"/>
            <w:hideMark/>
          </w:tcPr>
          <w:p w14:paraId="3D0C6676" w14:textId="77777777" w:rsidR="00651B6D" w:rsidRPr="000909C6" w:rsidRDefault="00651B6D" w:rsidP="00651B6D">
            <w:pPr>
              <w:keepNext/>
              <w:keepLines/>
              <w:tabs>
                <w:tab w:val="decimal" w:pos="459"/>
              </w:tabs>
              <w:ind w:firstLine="0"/>
              <w:jc w:val="right"/>
              <w:rPr>
                <w:sz w:val="18"/>
                <w:szCs w:val="18"/>
              </w:rPr>
            </w:pPr>
            <w:r w:rsidRPr="000909C6">
              <w:rPr>
                <w:sz w:val="18"/>
                <w:szCs w:val="18"/>
              </w:rPr>
              <w:t>25,2</w:t>
            </w:r>
          </w:p>
        </w:tc>
        <w:tc>
          <w:tcPr>
            <w:tcW w:w="920" w:type="dxa"/>
            <w:shd w:val="clear" w:color="auto" w:fill="auto"/>
            <w:hideMark/>
          </w:tcPr>
          <w:p w14:paraId="1FC39D74" w14:textId="77777777" w:rsidR="00651B6D" w:rsidRPr="000909C6" w:rsidRDefault="00651B6D" w:rsidP="00651B6D">
            <w:pPr>
              <w:keepNext/>
              <w:keepLines/>
              <w:tabs>
                <w:tab w:val="decimal" w:pos="459"/>
              </w:tabs>
              <w:ind w:firstLine="0"/>
              <w:jc w:val="right"/>
              <w:rPr>
                <w:sz w:val="18"/>
                <w:szCs w:val="18"/>
              </w:rPr>
            </w:pPr>
            <w:r w:rsidRPr="000909C6">
              <w:rPr>
                <w:sz w:val="18"/>
                <w:szCs w:val="18"/>
              </w:rPr>
              <w:t>47,9</w:t>
            </w:r>
          </w:p>
        </w:tc>
        <w:tc>
          <w:tcPr>
            <w:tcW w:w="920" w:type="dxa"/>
            <w:shd w:val="clear" w:color="auto" w:fill="auto"/>
            <w:hideMark/>
          </w:tcPr>
          <w:p w14:paraId="2E7C23CA" w14:textId="77777777" w:rsidR="00651B6D" w:rsidRPr="000909C6" w:rsidRDefault="00651B6D" w:rsidP="00651B6D">
            <w:pPr>
              <w:keepNext/>
              <w:keepLines/>
              <w:tabs>
                <w:tab w:val="decimal" w:pos="459"/>
              </w:tabs>
              <w:ind w:firstLine="0"/>
              <w:jc w:val="right"/>
              <w:rPr>
                <w:sz w:val="18"/>
                <w:szCs w:val="18"/>
              </w:rPr>
            </w:pPr>
            <w:r w:rsidRPr="000909C6">
              <w:rPr>
                <w:sz w:val="18"/>
                <w:szCs w:val="18"/>
              </w:rPr>
              <w:t>49,3</w:t>
            </w:r>
          </w:p>
        </w:tc>
        <w:tc>
          <w:tcPr>
            <w:tcW w:w="920" w:type="dxa"/>
            <w:shd w:val="clear" w:color="auto" w:fill="auto"/>
            <w:hideMark/>
          </w:tcPr>
          <w:p w14:paraId="6B75BC25" w14:textId="77777777" w:rsidR="00651B6D" w:rsidRPr="000909C6" w:rsidRDefault="00651B6D" w:rsidP="00651B6D">
            <w:pPr>
              <w:keepNext/>
              <w:keepLines/>
              <w:tabs>
                <w:tab w:val="decimal" w:pos="459"/>
              </w:tabs>
              <w:ind w:firstLine="0"/>
              <w:jc w:val="right"/>
              <w:rPr>
                <w:sz w:val="18"/>
                <w:szCs w:val="18"/>
              </w:rPr>
            </w:pPr>
            <w:r w:rsidRPr="000909C6">
              <w:rPr>
                <w:sz w:val="18"/>
                <w:szCs w:val="18"/>
              </w:rPr>
              <w:t>50,3</w:t>
            </w:r>
          </w:p>
        </w:tc>
      </w:tr>
      <w:tr w:rsidR="00651B6D" w:rsidRPr="000909C6" w14:paraId="4CB3CBA7" w14:textId="77777777" w:rsidTr="00651B6D">
        <w:trPr>
          <w:cantSplit/>
          <w:trHeight w:val="20"/>
        </w:trPr>
        <w:tc>
          <w:tcPr>
            <w:tcW w:w="5382" w:type="dxa"/>
            <w:shd w:val="clear" w:color="auto" w:fill="auto"/>
            <w:vAlign w:val="center"/>
            <w:hideMark/>
          </w:tcPr>
          <w:p w14:paraId="3E50E2D4" w14:textId="77777777" w:rsidR="00651B6D" w:rsidRPr="000909C6" w:rsidRDefault="00651B6D" w:rsidP="00651B6D">
            <w:pPr>
              <w:keepNext/>
              <w:keepLines/>
              <w:ind w:firstLine="0"/>
              <w:jc w:val="left"/>
              <w:rPr>
                <w:color w:val="000000"/>
                <w:sz w:val="18"/>
                <w:szCs w:val="18"/>
              </w:rPr>
            </w:pPr>
            <w:r w:rsidRPr="000909C6">
              <w:rPr>
                <w:color w:val="000000"/>
                <w:sz w:val="18"/>
                <w:szCs w:val="18"/>
              </w:rPr>
              <w:t>Dabas resursu nodoklis</w:t>
            </w:r>
          </w:p>
        </w:tc>
        <w:tc>
          <w:tcPr>
            <w:tcW w:w="919" w:type="dxa"/>
            <w:shd w:val="clear" w:color="auto" w:fill="auto"/>
            <w:hideMark/>
          </w:tcPr>
          <w:p w14:paraId="401AABE4" w14:textId="77777777" w:rsidR="00651B6D" w:rsidRPr="000909C6" w:rsidRDefault="00651B6D" w:rsidP="00651B6D">
            <w:pPr>
              <w:keepNext/>
              <w:keepLines/>
              <w:tabs>
                <w:tab w:val="decimal" w:pos="459"/>
              </w:tabs>
              <w:ind w:firstLine="0"/>
              <w:jc w:val="right"/>
              <w:rPr>
                <w:sz w:val="18"/>
                <w:szCs w:val="18"/>
              </w:rPr>
            </w:pPr>
            <w:r w:rsidRPr="000909C6">
              <w:rPr>
                <w:sz w:val="18"/>
                <w:szCs w:val="18"/>
              </w:rPr>
              <w:t>38,9</w:t>
            </w:r>
          </w:p>
        </w:tc>
        <w:tc>
          <w:tcPr>
            <w:tcW w:w="920" w:type="dxa"/>
            <w:shd w:val="clear" w:color="auto" w:fill="auto"/>
            <w:hideMark/>
          </w:tcPr>
          <w:p w14:paraId="5A41319A" w14:textId="77777777" w:rsidR="00651B6D" w:rsidRPr="000909C6" w:rsidRDefault="00651B6D" w:rsidP="00651B6D">
            <w:pPr>
              <w:keepNext/>
              <w:keepLines/>
              <w:tabs>
                <w:tab w:val="decimal" w:pos="459"/>
              </w:tabs>
              <w:ind w:firstLine="0"/>
              <w:jc w:val="right"/>
              <w:rPr>
                <w:sz w:val="18"/>
                <w:szCs w:val="18"/>
              </w:rPr>
            </w:pPr>
            <w:r w:rsidRPr="000909C6">
              <w:rPr>
                <w:sz w:val="18"/>
                <w:szCs w:val="18"/>
              </w:rPr>
              <w:t>44,5</w:t>
            </w:r>
          </w:p>
        </w:tc>
        <w:tc>
          <w:tcPr>
            <w:tcW w:w="920" w:type="dxa"/>
            <w:shd w:val="clear" w:color="auto" w:fill="auto"/>
            <w:hideMark/>
          </w:tcPr>
          <w:p w14:paraId="1218D0BE" w14:textId="77777777" w:rsidR="00651B6D" w:rsidRPr="000909C6" w:rsidRDefault="00651B6D" w:rsidP="00651B6D">
            <w:pPr>
              <w:keepNext/>
              <w:keepLines/>
              <w:tabs>
                <w:tab w:val="decimal" w:pos="459"/>
              </w:tabs>
              <w:ind w:firstLine="0"/>
              <w:jc w:val="right"/>
              <w:rPr>
                <w:sz w:val="18"/>
                <w:szCs w:val="18"/>
              </w:rPr>
            </w:pPr>
            <w:r w:rsidRPr="000909C6">
              <w:rPr>
                <w:sz w:val="18"/>
                <w:szCs w:val="18"/>
              </w:rPr>
              <w:t>48,4</w:t>
            </w:r>
          </w:p>
        </w:tc>
        <w:tc>
          <w:tcPr>
            <w:tcW w:w="920" w:type="dxa"/>
            <w:shd w:val="clear" w:color="auto" w:fill="auto"/>
            <w:hideMark/>
          </w:tcPr>
          <w:p w14:paraId="5D0CBCCC" w14:textId="77777777" w:rsidR="00651B6D" w:rsidRPr="000909C6" w:rsidRDefault="00651B6D" w:rsidP="00651B6D">
            <w:pPr>
              <w:keepNext/>
              <w:keepLines/>
              <w:tabs>
                <w:tab w:val="decimal" w:pos="459"/>
              </w:tabs>
              <w:ind w:firstLine="0"/>
              <w:jc w:val="right"/>
              <w:rPr>
                <w:sz w:val="18"/>
                <w:szCs w:val="18"/>
              </w:rPr>
            </w:pPr>
            <w:r w:rsidRPr="000909C6">
              <w:rPr>
                <w:sz w:val="18"/>
                <w:szCs w:val="18"/>
              </w:rPr>
              <w:t>50,6</w:t>
            </w:r>
          </w:p>
        </w:tc>
      </w:tr>
      <w:tr w:rsidR="00651B6D" w:rsidRPr="000909C6" w14:paraId="5665D799" w14:textId="77777777" w:rsidTr="00651B6D">
        <w:trPr>
          <w:cantSplit/>
          <w:trHeight w:val="20"/>
        </w:trPr>
        <w:tc>
          <w:tcPr>
            <w:tcW w:w="5382" w:type="dxa"/>
            <w:shd w:val="clear" w:color="auto" w:fill="auto"/>
            <w:vAlign w:val="center"/>
            <w:hideMark/>
          </w:tcPr>
          <w:p w14:paraId="2898B4F0" w14:textId="77777777" w:rsidR="00651B6D" w:rsidRPr="000909C6" w:rsidRDefault="00651B6D" w:rsidP="00651B6D">
            <w:pPr>
              <w:keepNext/>
              <w:keepLines/>
              <w:ind w:firstLine="0"/>
              <w:jc w:val="left"/>
              <w:rPr>
                <w:color w:val="000000"/>
                <w:sz w:val="18"/>
                <w:szCs w:val="18"/>
              </w:rPr>
            </w:pPr>
            <w:r w:rsidRPr="000909C6">
              <w:rPr>
                <w:color w:val="000000"/>
                <w:sz w:val="18"/>
                <w:szCs w:val="18"/>
              </w:rPr>
              <w:t>Elektroenerģijas nodoklis</w:t>
            </w:r>
          </w:p>
        </w:tc>
        <w:tc>
          <w:tcPr>
            <w:tcW w:w="919" w:type="dxa"/>
            <w:shd w:val="clear" w:color="auto" w:fill="auto"/>
            <w:hideMark/>
          </w:tcPr>
          <w:p w14:paraId="05622AEA" w14:textId="77777777" w:rsidR="00651B6D" w:rsidRPr="000909C6" w:rsidRDefault="00651B6D" w:rsidP="00651B6D">
            <w:pPr>
              <w:keepNext/>
              <w:keepLines/>
              <w:tabs>
                <w:tab w:val="decimal" w:pos="459"/>
              </w:tabs>
              <w:ind w:firstLine="0"/>
              <w:jc w:val="right"/>
              <w:rPr>
                <w:sz w:val="18"/>
                <w:szCs w:val="18"/>
              </w:rPr>
            </w:pPr>
            <w:r w:rsidRPr="000909C6">
              <w:rPr>
                <w:sz w:val="18"/>
                <w:szCs w:val="18"/>
              </w:rPr>
              <w:t>4,8</w:t>
            </w:r>
          </w:p>
        </w:tc>
        <w:tc>
          <w:tcPr>
            <w:tcW w:w="920" w:type="dxa"/>
            <w:shd w:val="clear" w:color="auto" w:fill="auto"/>
            <w:hideMark/>
          </w:tcPr>
          <w:p w14:paraId="221510AD" w14:textId="77777777" w:rsidR="00651B6D" w:rsidRPr="000909C6" w:rsidRDefault="00651B6D" w:rsidP="00651B6D">
            <w:pPr>
              <w:keepNext/>
              <w:keepLines/>
              <w:tabs>
                <w:tab w:val="decimal" w:pos="459"/>
              </w:tabs>
              <w:ind w:firstLine="0"/>
              <w:jc w:val="right"/>
              <w:rPr>
                <w:sz w:val="18"/>
                <w:szCs w:val="18"/>
              </w:rPr>
            </w:pPr>
            <w:r w:rsidRPr="000909C6">
              <w:rPr>
                <w:sz w:val="18"/>
                <w:szCs w:val="18"/>
              </w:rPr>
              <w:t>4,9</w:t>
            </w:r>
          </w:p>
        </w:tc>
        <w:tc>
          <w:tcPr>
            <w:tcW w:w="920" w:type="dxa"/>
            <w:shd w:val="clear" w:color="auto" w:fill="auto"/>
            <w:hideMark/>
          </w:tcPr>
          <w:p w14:paraId="1D2D8322" w14:textId="77777777" w:rsidR="00651B6D" w:rsidRPr="000909C6" w:rsidRDefault="00651B6D" w:rsidP="00651B6D">
            <w:pPr>
              <w:keepNext/>
              <w:keepLines/>
              <w:tabs>
                <w:tab w:val="decimal" w:pos="459"/>
              </w:tabs>
              <w:ind w:firstLine="0"/>
              <w:jc w:val="right"/>
              <w:rPr>
                <w:sz w:val="18"/>
                <w:szCs w:val="18"/>
              </w:rPr>
            </w:pPr>
            <w:r w:rsidRPr="000909C6">
              <w:rPr>
                <w:sz w:val="18"/>
                <w:szCs w:val="18"/>
              </w:rPr>
              <w:t>4,9</w:t>
            </w:r>
          </w:p>
        </w:tc>
        <w:tc>
          <w:tcPr>
            <w:tcW w:w="920" w:type="dxa"/>
            <w:shd w:val="clear" w:color="auto" w:fill="auto"/>
            <w:hideMark/>
          </w:tcPr>
          <w:p w14:paraId="760C715C" w14:textId="77777777" w:rsidR="00651B6D" w:rsidRPr="000909C6" w:rsidRDefault="00651B6D" w:rsidP="00651B6D">
            <w:pPr>
              <w:keepNext/>
              <w:keepLines/>
              <w:tabs>
                <w:tab w:val="decimal" w:pos="459"/>
              </w:tabs>
              <w:ind w:firstLine="0"/>
              <w:jc w:val="right"/>
              <w:rPr>
                <w:sz w:val="18"/>
                <w:szCs w:val="18"/>
              </w:rPr>
            </w:pPr>
            <w:r w:rsidRPr="000909C6">
              <w:rPr>
                <w:sz w:val="18"/>
                <w:szCs w:val="18"/>
              </w:rPr>
              <w:t>5,0</w:t>
            </w:r>
          </w:p>
        </w:tc>
      </w:tr>
    </w:tbl>
    <w:p w14:paraId="1C0CE81E" w14:textId="77777777" w:rsidR="00651B6D" w:rsidRPr="00D946A9" w:rsidRDefault="00651B6D" w:rsidP="00651B6D">
      <w:pPr>
        <w:spacing w:after="240"/>
        <w:ind w:left="425" w:firstLine="0"/>
        <w:jc w:val="left"/>
        <w:rPr>
          <w:sz w:val="18"/>
          <w:szCs w:val="18"/>
        </w:rPr>
      </w:pPr>
      <w:bookmarkStart w:id="67" w:name="_Toc103590594"/>
      <w:r w:rsidRPr="00E81457">
        <w:rPr>
          <w:sz w:val="18"/>
          <w:szCs w:val="18"/>
          <w:vertAlign w:val="superscript"/>
        </w:rPr>
        <w:t>1</w:t>
      </w:r>
      <w:r w:rsidRPr="00E81457">
        <w:rPr>
          <w:sz w:val="18"/>
          <w:szCs w:val="18"/>
        </w:rPr>
        <w:t> Prognoze 22.07.2021</w:t>
      </w:r>
      <w:r>
        <w:rPr>
          <w:sz w:val="18"/>
          <w:szCs w:val="18"/>
        </w:rPr>
        <w:t>.</w:t>
      </w:r>
      <w:r>
        <w:rPr>
          <w:sz w:val="18"/>
          <w:szCs w:val="18"/>
        </w:rPr>
        <w:br/>
      </w:r>
      <w:r w:rsidRPr="000909C6">
        <w:rPr>
          <w:sz w:val="18"/>
          <w:szCs w:val="18"/>
          <w:vertAlign w:val="superscript"/>
        </w:rPr>
        <w:t>2</w:t>
      </w:r>
      <w:r>
        <w:rPr>
          <w:sz w:val="18"/>
          <w:szCs w:val="18"/>
        </w:rPr>
        <w:t> S</w:t>
      </w:r>
      <w:r w:rsidRPr="006D3CFC">
        <w:rPr>
          <w:sz w:val="18"/>
          <w:szCs w:val="18"/>
        </w:rPr>
        <w:t>askaņā ar likumprojektu „Par vidēja termiņa budžeta ietvaru 2022., 2023. un 2024</w:t>
      </w:r>
      <w:r>
        <w:rPr>
          <w:sz w:val="18"/>
          <w:szCs w:val="18"/>
        </w:rPr>
        <w:t>. gad</w:t>
      </w:r>
      <w:r w:rsidRPr="006D3CFC">
        <w:rPr>
          <w:sz w:val="18"/>
          <w:szCs w:val="18"/>
        </w:rPr>
        <w:t>am”</w:t>
      </w:r>
      <w:r>
        <w:rPr>
          <w:sz w:val="18"/>
          <w:szCs w:val="18"/>
        </w:rPr>
        <w:t>.</w:t>
      </w:r>
    </w:p>
    <w:p w14:paraId="36319114" w14:textId="77777777" w:rsidR="00651B6D" w:rsidRPr="00BF6775" w:rsidRDefault="00651B6D" w:rsidP="00651B6D">
      <w:pPr>
        <w:pStyle w:val="H3"/>
      </w:pPr>
      <w:bookmarkStart w:id="68" w:name="_Toc84756422"/>
      <w:bookmarkEnd w:id="67"/>
      <w:r w:rsidRPr="00BF6775">
        <w:t>Iedzīvotāju ienākuma nodoklis</w:t>
      </w:r>
      <w:bookmarkEnd w:id="68"/>
    </w:p>
    <w:p w14:paraId="26977F5D" w14:textId="0E0E8D56" w:rsidR="00651B6D" w:rsidRPr="004066BC" w:rsidRDefault="00651B6D" w:rsidP="00651B6D">
      <w:pPr>
        <w:rPr>
          <w:bCs/>
          <w:szCs w:val="24"/>
        </w:rPr>
      </w:pPr>
      <w:r w:rsidRPr="00CA2EA4">
        <w:t>Iedzīvotāju ienākuma nodokļa</w:t>
      </w:r>
      <w:r w:rsidRPr="004066BC">
        <w:t xml:space="preserve"> </w:t>
      </w:r>
      <w:r w:rsidRPr="004066BC">
        <w:rPr>
          <w:szCs w:val="24"/>
        </w:rPr>
        <w:t>ieņēmumus galvenokārt ietekmē tautsaimniecībā nodarbināto skaits, nodarbināto ienākumi, atvieglojumu apmērs, kā arī minimālā darba alga. Kopējie iedzīvotāju ienākuma nodokļa ieņēmumi 2021</w:t>
      </w:r>
      <w:r>
        <w:rPr>
          <w:szCs w:val="24"/>
        </w:rPr>
        <w:t>. gad</w:t>
      </w:r>
      <w:r w:rsidRPr="004066BC">
        <w:rPr>
          <w:szCs w:val="24"/>
        </w:rPr>
        <w:t>a 1.</w:t>
      </w:r>
      <w:r w:rsidR="00F70213">
        <w:rPr>
          <w:szCs w:val="24"/>
        </w:rPr>
        <w:t xml:space="preserve"> </w:t>
      </w:r>
      <w:r w:rsidRPr="004066BC">
        <w:rPr>
          <w:szCs w:val="24"/>
        </w:rPr>
        <w:t>pusgadā bija 741,8</w:t>
      </w:r>
      <w:r>
        <w:rPr>
          <w:szCs w:val="24"/>
        </w:rPr>
        <w:t> milj.</w:t>
      </w:r>
      <w:r w:rsidRPr="004066BC">
        <w:rPr>
          <w:i/>
          <w:szCs w:val="24"/>
        </w:rPr>
        <w:t> </w:t>
      </w:r>
      <w:r w:rsidRPr="004F46D3">
        <w:rPr>
          <w:i/>
          <w:szCs w:val="24"/>
        </w:rPr>
        <w:t>euro</w:t>
      </w:r>
      <w:r w:rsidRPr="004066BC">
        <w:rPr>
          <w:szCs w:val="24"/>
        </w:rPr>
        <w:t>, par 95,5</w:t>
      </w:r>
      <w:r>
        <w:rPr>
          <w:szCs w:val="24"/>
        </w:rPr>
        <w:t> milj.</w:t>
      </w:r>
      <w:r w:rsidRPr="004066BC">
        <w:rPr>
          <w:i/>
          <w:szCs w:val="24"/>
        </w:rPr>
        <w:t> </w:t>
      </w:r>
      <w:r w:rsidRPr="004F46D3">
        <w:rPr>
          <w:i/>
          <w:szCs w:val="24"/>
        </w:rPr>
        <w:t>euro</w:t>
      </w:r>
      <w:r w:rsidRPr="004066BC">
        <w:rPr>
          <w:szCs w:val="24"/>
        </w:rPr>
        <w:t xml:space="preserve"> jeb 11,4% mazāk kā 2020</w:t>
      </w:r>
      <w:r>
        <w:rPr>
          <w:szCs w:val="24"/>
        </w:rPr>
        <w:t>. gad</w:t>
      </w:r>
      <w:r w:rsidRPr="004066BC">
        <w:rPr>
          <w:szCs w:val="24"/>
        </w:rPr>
        <w:t xml:space="preserve">a attiecīgajā periodā. Ieņēmumu kritums pret iepriekšējo gadu pamatā saistās ar </w:t>
      </w:r>
      <w:r w:rsidRPr="004066BC">
        <w:rPr>
          <w:bCs/>
        </w:rPr>
        <w:t>būtisko atmaksu pieaugumu šā gada martā (atmaksas sasniedza 97,9</w:t>
      </w:r>
      <w:r>
        <w:rPr>
          <w:bCs/>
        </w:rPr>
        <w:t> milj.</w:t>
      </w:r>
      <w:r w:rsidRPr="004066BC">
        <w:rPr>
          <w:bCs/>
        </w:rPr>
        <w:t> </w:t>
      </w:r>
      <w:r w:rsidRPr="004F46D3">
        <w:rPr>
          <w:bCs/>
          <w:i/>
          <w:iCs/>
        </w:rPr>
        <w:t>euro</w:t>
      </w:r>
      <w:r w:rsidRPr="004066BC">
        <w:rPr>
          <w:bCs/>
        </w:rPr>
        <w:t xml:space="preserve"> jeb 53,9% vairāk kā pērn šajā mēnesī)</w:t>
      </w:r>
      <w:r w:rsidRPr="004066BC">
        <w:rPr>
          <w:szCs w:val="24"/>
        </w:rPr>
        <w:t xml:space="preserve">, tāpat to papildus ietekmēja arī atvieglojumu apmēru pieaugums. Nodarbināto skaits </w:t>
      </w:r>
      <w:r>
        <w:rPr>
          <w:szCs w:val="24"/>
        </w:rPr>
        <w:t xml:space="preserve">pēc informācijas no darba devēju ziņojumiem </w:t>
      </w:r>
      <w:r w:rsidRPr="004066BC">
        <w:rPr>
          <w:szCs w:val="24"/>
        </w:rPr>
        <w:t>saglabājas aptuveni pērnā gada līmenī (samazinājums par 0,6%), bet ir vērojams darba samaksas fonda apmēra pieaugums par 8,5</w:t>
      </w:r>
      <w:r>
        <w:rPr>
          <w:szCs w:val="24"/>
        </w:rPr>
        <w:t xml:space="preserve"> procentiem</w:t>
      </w:r>
      <w:r w:rsidRPr="004066BC">
        <w:rPr>
          <w:szCs w:val="24"/>
        </w:rPr>
        <w:t xml:space="preserve">. Savukārt </w:t>
      </w:r>
      <w:r w:rsidRPr="004066BC">
        <w:rPr>
          <w:bCs/>
          <w:szCs w:val="24"/>
        </w:rPr>
        <w:t xml:space="preserve">pusgada plāns ir </w:t>
      </w:r>
      <w:r w:rsidRPr="004066BC">
        <w:rPr>
          <w:bCs/>
          <w:szCs w:val="24"/>
        </w:rPr>
        <w:lastRenderedPageBreak/>
        <w:t xml:space="preserve">neizpildīts par </w:t>
      </w:r>
      <w:r w:rsidRPr="004066BC">
        <w:rPr>
          <w:szCs w:val="24"/>
        </w:rPr>
        <w:t>64,7</w:t>
      </w:r>
      <w:r>
        <w:rPr>
          <w:szCs w:val="24"/>
        </w:rPr>
        <w:t> milj.</w:t>
      </w:r>
      <w:r w:rsidRPr="004066BC">
        <w:rPr>
          <w:i/>
          <w:szCs w:val="24"/>
        </w:rPr>
        <w:t> </w:t>
      </w:r>
      <w:r w:rsidRPr="004F46D3">
        <w:rPr>
          <w:i/>
          <w:szCs w:val="24"/>
        </w:rPr>
        <w:t>euro</w:t>
      </w:r>
      <w:r w:rsidRPr="004066BC">
        <w:rPr>
          <w:bCs/>
          <w:szCs w:val="24"/>
        </w:rPr>
        <w:t xml:space="preserve"> jeb 8,0%, kā galveno iemeslu minot atmaksu pieaugumu</w:t>
      </w:r>
      <w:r w:rsidRPr="004066BC">
        <w:rPr>
          <w:szCs w:val="24"/>
        </w:rPr>
        <w:t xml:space="preserve">. </w:t>
      </w:r>
      <w:r w:rsidRPr="004066BC">
        <w:t>Ņemot vērā iepriekšminēto atmaksu apmēra pieaugumu, kā arī aktuālās darba samaksas fonda makroekonomiskās prognozes, 2021</w:t>
      </w:r>
      <w:r>
        <w:t>. gad</w:t>
      </w:r>
      <w:r w:rsidRPr="004066BC">
        <w:t>a iedzīvotāju ienākuma nodokļa prognoze tika samazināta par 31,2</w:t>
      </w:r>
      <w:r>
        <w:t> milj.</w:t>
      </w:r>
      <w:r w:rsidRPr="004066BC">
        <w:rPr>
          <w:i/>
        </w:rPr>
        <w:t> </w:t>
      </w:r>
      <w:r w:rsidRPr="004F46D3">
        <w:rPr>
          <w:i/>
        </w:rPr>
        <w:t>euro</w:t>
      </w:r>
      <w:r w:rsidRPr="004066BC">
        <w:t xml:space="preserve"> jeb par 1,8%, salīdzinot ar plānu.</w:t>
      </w:r>
    </w:p>
    <w:p w14:paraId="1CFDD71F" w14:textId="77777777" w:rsidR="00651B6D" w:rsidRPr="00DF1059" w:rsidRDefault="00651B6D" w:rsidP="00651B6D">
      <w:pPr>
        <w:rPr>
          <w:szCs w:val="24"/>
          <w:highlight w:val="yellow"/>
        </w:rPr>
      </w:pPr>
      <w:r w:rsidRPr="0034655F">
        <w:rPr>
          <w:szCs w:val="24"/>
        </w:rPr>
        <w:t>Pēc Centrālās statistikas pārvaldes datiem 2021</w:t>
      </w:r>
      <w:r>
        <w:rPr>
          <w:szCs w:val="24"/>
        </w:rPr>
        <w:t>. gad</w:t>
      </w:r>
      <w:r w:rsidRPr="0034655F">
        <w:rPr>
          <w:szCs w:val="24"/>
        </w:rPr>
        <w:t>a jūnijā strādājošo mēneša vidējā bruto darba samaksa bija 1 259</w:t>
      </w:r>
      <w:r w:rsidRPr="0034655F">
        <w:rPr>
          <w:i/>
          <w:szCs w:val="24"/>
        </w:rPr>
        <w:t> </w:t>
      </w:r>
      <w:r w:rsidRPr="004F46D3">
        <w:rPr>
          <w:i/>
          <w:szCs w:val="24"/>
        </w:rPr>
        <w:t>euro</w:t>
      </w:r>
      <w:r w:rsidRPr="0034655F">
        <w:rPr>
          <w:szCs w:val="24"/>
        </w:rPr>
        <w:t xml:space="preserve"> jeb par 10,5% lielāka nekā 2020</w:t>
      </w:r>
      <w:r>
        <w:rPr>
          <w:szCs w:val="24"/>
        </w:rPr>
        <w:t>. gad</w:t>
      </w:r>
      <w:r w:rsidRPr="0034655F">
        <w:rPr>
          <w:szCs w:val="24"/>
        </w:rPr>
        <w:t>a attiecīgajā mēnesī. Saskaņā ar Nodarbinātības valsts aģentūras informāciju reģistrētā bezdarba līmenis 2021</w:t>
      </w:r>
      <w:r>
        <w:rPr>
          <w:szCs w:val="24"/>
        </w:rPr>
        <w:t>. gad</w:t>
      </w:r>
      <w:r w:rsidRPr="0034655F">
        <w:rPr>
          <w:szCs w:val="24"/>
        </w:rPr>
        <w:t>a jūnijā bija 7,4</w:t>
      </w:r>
      <w:r>
        <w:rPr>
          <w:szCs w:val="24"/>
        </w:rPr>
        <w:t> procent</w:t>
      </w:r>
      <w:r w:rsidRPr="0034655F">
        <w:rPr>
          <w:szCs w:val="24"/>
        </w:rPr>
        <w:t>i, kas salīdzinājumā ar iepriekšējā gada attiecīgo mēnesi ir par 1,2</w:t>
      </w:r>
      <w:r>
        <w:rPr>
          <w:szCs w:val="24"/>
        </w:rPr>
        <w:t> procent</w:t>
      </w:r>
      <w:r w:rsidRPr="0034655F">
        <w:rPr>
          <w:szCs w:val="24"/>
        </w:rPr>
        <w:t>punktiem mazāk. Pēc informācijas iesniegtajos darba devēju ziņojumos par valsts sociālās apdrošināšanas obligātajām iemaksām un iedzīvotāju ienākuma nodokli, 2021</w:t>
      </w:r>
      <w:r>
        <w:rPr>
          <w:szCs w:val="24"/>
        </w:rPr>
        <w:t>. gad</w:t>
      </w:r>
      <w:r w:rsidRPr="0034655F">
        <w:rPr>
          <w:szCs w:val="24"/>
        </w:rPr>
        <w:t>a 1.pusgadā ienākumus virs valstī noteiktās minimālās darba algas saņēma 74,6% darba ņēmēju un to īpatsvars, salīdzinot ar 2020</w:t>
      </w:r>
      <w:r>
        <w:rPr>
          <w:szCs w:val="24"/>
        </w:rPr>
        <w:t>. gad</w:t>
      </w:r>
      <w:r w:rsidRPr="0034655F">
        <w:rPr>
          <w:szCs w:val="24"/>
        </w:rPr>
        <w:t>a attiecīgo periodu, ir palielinājies par 0,</w:t>
      </w:r>
      <w:r>
        <w:rPr>
          <w:szCs w:val="24"/>
        </w:rPr>
        <w:t>7 procent</w:t>
      </w:r>
      <w:r w:rsidRPr="0034655F">
        <w:rPr>
          <w:szCs w:val="24"/>
        </w:rPr>
        <w:t>punktiem, taču jāņem vērā, ka 2020</w:t>
      </w:r>
      <w:r>
        <w:rPr>
          <w:szCs w:val="24"/>
        </w:rPr>
        <w:t>. gad</w:t>
      </w:r>
      <w:r w:rsidRPr="0034655F">
        <w:rPr>
          <w:szCs w:val="24"/>
        </w:rPr>
        <w:t>ā minimālā alga bija 43</w:t>
      </w:r>
      <w:r>
        <w:rPr>
          <w:szCs w:val="24"/>
        </w:rPr>
        <w:t>0 </w:t>
      </w:r>
      <w:r w:rsidRPr="00F70213">
        <w:rPr>
          <w:i/>
          <w:szCs w:val="24"/>
        </w:rPr>
        <w:t>euro</w:t>
      </w:r>
      <w:r w:rsidRPr="0034655F">
        <w:rPr>
          <w:szCs w:val="24"/>
        </w:rPr>
        <w:t xml:space="preserve"> mēnesī.</w:t>
      </w:r>
    </w:p>
    <w:p w14:paraId="51328CEA" w14:textId="77777777" w:rsidR="00651B6D" w:rsidRPr="0043231D" w:rsidRDefault="00651B6D" w:rsidP="00651B6D">
      <w:pPr>
        <w:rPr>
          <w:szCs w:val="24"/>
        </w:rPr>
      </w:pPr>
      <w:r w:rsidRPr="0043231D">
        <w:t>Saskaņā ar likumprojektu „Par vidēja termiņa budžeta ietvaru 2022., 2023. un 2024</w:t>
      </w:r>
      <w:r>
        <w:t>. gad</w:t>
      </w:r>
      <w:r w:rsidRPr="0043231D">
        <w:t>am” 2022</w:t>
      </w:r>
      <w:r>
        <w:t>. gad</w:t>
      </w:r>
      <w:r w:rsidRPr="0043231D">
        <w:t xml:space="preserve">ā </w:t>
      </w:r>
      <w:r w:rsidRPr="0043231D">
        <w:rPr>
          <w:szCs w:val="24"/>
        </w:rPr>
        <w:t>iedzīvotāju ienākuma nodokļa</w:t>
      </w:r>
      <w:r w:rsidRPr="0043231D">
        <w:t xml:space="preserve"> ieņēmumi tiek plānoti 1</w:t>
      </w:r>
      <w:r>
        <w:t> 862,0 milj.</w:t>
      </w:r>
      <w:r w:rsidRPr="0043231D">
        <w:rPr>
          <w:i/>
        </w:rPr>
        <w:t> </w:t>
      </w:r>
      <w:r w:rsidRPr="004F46D3">
        <w:rPr>
          <w:i/>
        </w:rPr>
        <w:t>euro</w:t>
      </w:r>
      <w:r w:rsidRPr="0043231D">
        <w:t>, 2023</w:t>
      </w:r>
      <w:r>
        <w:t>. gad</w:t>
      </w:r>
      <w:r w:rsidRPr="0043231D">
        <w:t xml:space="preserve">ā </w:t>
      </w:r>
      <w:r>
        <w:t>1 916,2 milj.</w:t>
      </w:r>
      <w:r w:rsidRPr="0043231D">
        <w:rPr>
          <w:i/>
        </w:rPr>
        <w:t> </w:t>
      </w:r>
      <w:r w:rsidRPr="004F46D3">
        <w:rPr>
          <w:i/>
        </w:rPr>
        <w:t>euro</w:t>
      </w:r>
      <w:r w:rsidRPr="0043231D">
        <w:t xml:space="preserve"> un 2024</w:t>
      </w:r>
      <w:r>
        <w:t>. gad</w:t>
      </w:r>
      <w:r w:rsidRPr="0043231D">
        <w:t>ā 2</w:t>
      </w:r>
      <w:r>
        <w:t> 026,2 milj.</w:t>
      </w:r>
      <w:r w:rsidRPr="0043231D">
        <w:rPr>
          <w:i/>
        </w:rPr>
        <w:t> </w:t>
      </w:r>
      <w:r w:rsidRPr="004F46D3">
        <w:rPr>
          <w:i/>
        </w:rPr>
        <w:t>euro</w:t>
      </w:r>
      <w:r w:rsidRPr="0043231D">
        <w:t xml:space="preserve"> apmērā.</w:t>
      </w:r>
    </w:p>
    <w:p w14:paraId="1B54BFE2" w14:textId="77777777" w:rsidR="00651B6D" w:rsidRPr="0043231D" w:rsidRDefault="00651B6D" w:rsidP="00651B6D">
      <w:pPr>
        <w:rPr>
          <w:szCs w:val="24"/>
        </w:rPr>
      </w:pPr>
      <w:r w:rsidRPr="0043231D">
        <w:rPr>
          <w:szCs w:val="24"/>
        </w:rPr>
        <w:t>Iedzīvotāju ienākuma nodokļa ieņēmumu plānu vidējā termiņā ietekmēs prognozētais darba samaksas fonda pieauguma temps, 2021</w:t>
      </w:r>
      <w:r>
        <w:rPr>
          <w:szCs w:val="24"/>
        </w:rPr>
        <w:t>. gad</w:t>
      </w:r>
      <w:r w:rsidRPr="0043231D">
        <w:rPr>
          <w:szCs w:val="24"/>
        </w:rPr>
        <w:t>a pirmā pusgada izpilde, kā arī</w:t>
      </w:r>
      <w:r>
        <w:rPr>
          <w:szCs w:val="24"/>
        </w:rPr>
        <w:t xml:space="preserve"> 3.1. sada</w:t>
      </w:r>
      <w:r w:rsidRPr="0043231D">
        <w:rPr>
          <w:szCs w:val="24"/>
        </w:rPr>
        <w:t>ļā minētie pasākumi.</w:t>
      </w:r>
    </w:p>
    <w:p w14:paraId="1D51F089" w14:textId="77777777" w:rsidR="00651B6D" w:rsidRPr="005E5F40" w:rsidRDefault="00651B6D" w:rsidP="00316BA7">
      <w:pPr>
        <w:keepNext/>
        <w:spacing w:before="120"/>
        <w:ind w:firstLine="0"/>
        <w:jc w:val="right"/>
        <w:rPr>
          <w:b/>
          <w:i/>
          <w:szCs w:val="24"/>
        </w:rPr>
      </w:pPr>
      <w:r w:rsidRPr="005E5F40">
        <w:rPr>
          <w:b/>
          <w:i/>
          <w:szCs w:val="24"/>
        </w:rPr>
        <w:t>3.</w:t>
      </w:r>
      <w:r>
        <w:rPr>
          <w:b/>
          <w:i/>
          <w:szCs w:val="24"/>
        </w:rPr>
        <w:t>4. tab</w:t>
      </w:r>
      <w:r w:rsidRPr="005E5F40">
        <w:rPr>
          <w:b/>
          <w:i/>
          <w:szCs w:val="24"/>
        </w:rPr>
        <w:t>ula. Iedzīvotāju ienākuma nodokļa ieņēmumi</w:t>
      </w:r>
    </w:p>
    <w:tbl>
      <w:tblPr>
        <w:tblStyle w:val="TableGrid"/>
        <w:tblW w:w="5000" w:type="pct"/>
        <w:jc w:val="center"/>
        <w:tblLook w:val="04A0" w:firstRow="1" w:lastRow="0" w:firstColumn="1" w:lastColumn="0" w:noHBand="0" w:noVBand="1"/>
      </w:tblPr>
      <w:tblGrid>
        <w:gridCol w:w="5382"/>
        <w:gridCol w:w="919"/>
        <w:gridCol w:w="920"/>
        <w:gridCol w:w="920"/>
        <w:gridCol w:w="920"/>
      </w:tblGrid>
      <w:tr w:rsidR="00651B6D" w:rsidRPr="005E5F40" w14:paraId="1BA25C74" w14:textId="77777777" w:rsidTr="00651B6D">
        <w:trPr>
          <w:jc w:val="center"/>
        </w:trPr>
        <w:tc>
          <w:tcPr>
            <w:tcW w:w="5382" w:type="dxa"/>
            <w:shd w:val="clear" w:color="auto" w:fill="9CC2E5" w:themeFill="accent1" w:themeFillTint="99"/>
          </w:tcPr>
          <w:p w14:paraId="6B856A6B" w14:textId="77777777" w:rsidR="00651B6D" w:rsidRPr="005E5F40" w:rsidRDefault="00651B6D" w:rsidP="00651B6D">
            <w:pPr>
              <w:keepNext/>
              <w:ind w:firstLine="0"/>
              <w:rPr>
                <w:sz w:val="18"/>
                <w:szCs w:val="18"/>
              </w:rPr>
            </w:pPr>
          </w:p>
        </w:tc>
        <w:tc>
          <w:tcPr>
            <w:tcW w:w="919" w:type="dxa"/>
            <w:shd w:val="clear" w:color="auto" w:fill="9CC2E5" w:themeFill="accent1" w:themeFillTint="99"/>
            <w:vAlign w:val="center"/>
          </w:tcPr>
          <w:p w14:paraId="785082FA" w14:textId="77777777" w:rsidR="00651B6D" w:rsidRPr="005E5F40" w:rsidRDefault="00651B6D" w:rsidP="00651B6D">
            <w:pPr>
              <w:keepNext/>
              <w:ind w:firstLine="0"/>
              <w:jc w:val="center"/>
              <w:rPr>
                <w:b/>
                <w:sz w:val="18"/>
                <w:szCs w:val="18"/>
              </w:rPr>
            </w:pPr>
            <w:r w:rsidRPr="005E5F40">
              <w:rPr>
                <w:b/>
                <w:color w:val="000000"/>
                <w:sz w:val="18"/>
                <w:szCs w:val="18"/>
              </w:rPr>
              <w:t>2021</w:t>
            </w:r>
          </w:p>
        </w:tc>
        <w:tc>
          <w:tcPr>
            <w:tcW w:w="920" w:type="dxa"/>
            <w:shd w:val="clear" w:color="auto" w:fill="9CC2E5" w:themeFill="accent1" w:themeFillTint="99"/>
            <w:vAlign w:val="center"/>
          </w:tcPr>
          <w:p w14:paraId="43BDB79E" w14:textId="77777777" w:rsidR="00651B6D" w:rsidRPr="005E5F40" w:rsidRDefault="00651B6D" w:rsidP="00651B6D">
            <w:pPr>
              <w:keepNext/>
              <w:ind w:firstLine="0"/>
              <w:jc w:val="center"/>
              <w:rPr>
                <w:b/>
                <w:sz w:val="18"/>
                <w:szCs w:val="18"/>
              </w:rPr>
            </w:pPr>
            <w:r w:rsidRPr="005E5F40">
              <w:rPr>
                <w:b/>
                <w:color w:val="000000"/>
                <w:sz w:val="18"/>
                <w:szCs w:val="18"/>
              </w:rPr>
              <w:t>2022</w:t>
            </w:r>
          </w:p>
        </w:tc>
        <w:tc>
          <w:tcPr>
            <w:tcW w:w="920" w:type="dxa"/>
            <w:shd w:val="clear" w:color="auto" w:fill="9CC2E5" w:themeFill="accent1" w:themeFillTint="99"/>
            <w:vAlign w:val="center"/>
          </w:tcPr>
          <w:p w14:paraId="6039F98B" w14:textId="77777777" w:rsidR="00651B6D" w:rsidRPr="005E5F40" w:rsidRDefault="00651B6D" w:rsidP="00651B6D">
            <w:pPr>
              <w:keepNext/>
              <w:ind w:firstLine="0"/>
              <w:jc w:val="center"/>
              <w:rPr>
                <w:b/>
                <w:sz w:val="18"/>
                <w:szCs w:val="18"/>
              </w:rPr>
            </w:pPr>
            <w:r w:rsidRPr="005E5F40">
              <w:rPr>
                <w:b/>
                <w:color w:val="000000"/>
                <w:sz w:val="18"/>
                <w:szCs w:val="18"/>
              </w:rPr>
              <w:t>2023</w:t>
            </w:r>
          </w:p>
        </w:tc>
        <w:tc>
          <w:tcPr>
            <w:tcW w:w="920" w:type="dxa"/>
            <w:shd w:val="clear" w:color="auto" w:fill="9CC2E5" w:themeFill="accent1" w:themeFillTint="99"/>
            <w:vAlign w:val="center"/>
          </w:tcPr>
          <w:p w14:paraId="2B273ED6" w14:textId="77777777" w:rsidR="00651B6D" w:rsidRPr="005E5F40" w:rsidRDefault="00651B6D" w:rsidP="00651B6D">
            <w:pPr>
              <w:keepNext/>
              <w:ind w:firstLine="0"/>
              <w:jc w:val="center"/>
              <w:rPr>
                <w:b/>
                <w:sz w:val="18"/>
                <w:szCs w:val="18"/>
              </w:rPr>
            </w:pPr>
            <w:r w:rsidRPr="005E5F40">
              <w:rPr>
                <w:b/>
                <w:color w:val="000000"/>
                <w:sz w:val="18"/>
                <w:szCs w:val="18"/>
              </w:rPr>
              <w:t>2024</w:t>
            </w:r>
          </w:p>
        </w:tc>
      </w:tr>
      <w:tr w:rsidR="00651B6D" w:rsidRPr="005E5F40" w14:paraId="0486843E" w14:textId="77777777" w:rsidTr="00651B6D">
        <w:trPr>
          <w:jc w:val="center"/>
        </w:trPr>
        <w:tc>
          <w:tcPr>
            <w:tcW w:w="5382" w:type="dxa"/>
            <w:vAlign w:val="center"/>
          </w:tcPr>
          <w:p w14:paraId="3EC19745" w14:textId="77777777" w:rsidR="00651B6D" w:rsidRPr="005E5F40" w:rsidRDefault="00651B6D" w:rsidP="00651B6D">
            <w:pPr>
              <w:keepNext/>
              <w:ind w:firstLine="0"/>
              <w:jc w:val="left"/>
              <w:rPr>
                <w:sz w:val="18"/>
                <w:szCs w:val="18"/>
              </w:rPr>
            </w:pPr>
            <w:r w:rsidRPr="005E5F40">
              <w:rPr>
                <w:color w:val="000000"/>
                <w:sz w:val="18"/>
                <w:szCs w:val="18"/>
              </w:rPr>
              <w:t>Saskaņā ar likumprojektu „Par vidēja termiņa budžeta ietvaru 2022., 2023. un 2024</w:t>
            </w:r>
            <w:r>
              <w:rPr>
                <w:color w:val="000000"/>
                <w:sz w:val="18"/>
                <w:szCs w:val="18"/>
              </w:rPr>
              <w:t>. gad</w:t>
            </w:r>
            <w:r w:rsidRPr="005E5F40">
              <w:rPr>
                <w:color w:val="000000"/>
                <w:sz w:val="18"/>
                <w:szCs w:val="18"/>
              </w:rPr>
              <w:t>am”</w:t>
            </w:r>
            <w:r>
              <w:rPr>
                <w:color w:val="000000"/>
                <w:sz w:val="18"/>
                <w:szCs w:val="18"/>
              </w:rPr>
              <w:t>, milj.</w:t>
            </w:r>
            <w:r w:rsidRPr="005E5F40">
              <w:rPr>
                <w:i/>
                <w:color w:val="000000"/>
                <w:sz w:val="18"/>
                <w:szCs w:val="18"/>
              </w:rPr>
              <w:t> </w:t>
            </w:r>
            <w:r w:rsidRPr="004F46D3">
              <w:rPr>
                <w:i/>
                <w:color w:val="000000"/>
                <w:sz w:val="18"/>
                <w:szCs w:val="18"/>
              </w:rPr>
              <w:t>euro</w:t>
            </w:r>
          </w:p>
        </w:tc>
        <w:tc>
          <w:tcPr>
            <w:tcW w:w="919" w:type="dxa"/>
          </w:tcPr>
          <w:p w14:paraId="23D516B2" w14:textId="77777777" w:rsidR="00651B6D" w:rsidRPr="005E5F40" w:rsidRDefault="00651B6D" w:rsidP="00651B6D">
            <w:pPr>
              <w:tabs>
                <w:tab w:val="decimal" w:pos="462"/>
              </w:tabs>
              <w:ind w:firstLine="0"/>
              <w:jc w:val="right"/>
              <w:rPr>
                <w:bCs/>
                <w:color w:val="000000"/>
                <w:sz w:val="18"/>
                <w:szCs w:val="18"/>
              </w:rPr>
            </w:pPr>
            <w:r w:rsidRPr="005E5F40">
              <w:rPr>
                <w:bCs/>
                <w:sz w:val="18"/>
                <w:szCs w:val="18"/>
              </w:rPr>
              <w:t>1 746,0</w:t>
            </w:r>
            <w:r w:rsidRPr="005E5F40">
              <w:rPr>
                <w:bCs/>
                <w:sz w:val="18"/>
                <w:szCs w:val="18"/>
                <w:vertAlign w:val="superscript"/>
              </w:rPr>
              <w:t>1</w:t>
            </w:r>
          </w:p>
        </w:tc>
        <w:tc>
          <w:tcPr>
            <w:tcW w:w="920" w:type="dxa"/>
          </w:tcPr>
          <w:p w14:paraId="40D48255" w14:textId="77777777" w:rsidR="00651B6D" w:rsidRPr="005E5F40" w:rsidRDefault="00651B6D" w:rsidP="00651B6D">
            <w:pPr>
              <w:tabs>
                <w:tab w:val="decimal" w:pos="462"/>
              </w:tabs>
              <w:ind w:firstLine="0"/>
              <w:jc w:val="right"/>
              <w:rPr>
                <w:bCs/>
                <w:color w:val="000000"/>
                <w:sz w:val="18"/>
                <w:szCs w:val="18"/>
              </w:rPr>
            </w:pPr>
            <w:r w:rsidRPr="005E5F40">
              <w:rPr>
                <w:sz w:val="18"/>
                <w:szCs w:val="18"/>
              </w:rPr>
              <w:t>1 862,0</w:t>
            </w:r>
          </w:p>
        </w:tc>
        <w:tc>
          <w:tcPr>
            <w:tcW w:w="920" w:type="dxa"/>
          </w:tcPr>
          <w:p w14:paraId="3398BE49" w14:textId="77777777" w:rsidR="00651B6D" w:rsidRPr="005E5F40" w:rsidRDefault="00651B6D" w:rsidP="00651B6D">
            <w:pPr>
              <w:tabs>
                <w:tab w:val="decimal" w:pos="462"/>
              </w:tabs>
              <w:ind w:firstLine="0"/>
              <w:jc w:val="right"/>
              <w:rPr>
                <w:bCs/>
                <w:color w:val="000000"/>
                <w:sz w:val="18"/>
                <w:szCs w:val="18"/>
              </w:rPr>
            </w:pPr>
            <w:r w:rsidRPr="005E5F40">
              <w:rPr>
                <w:sz w:val="18"/>
                <w:szCs w:val="18"/>
              </w:rPr>
              <w:t>1 916,2</w:t>
            </w:r>
          </w:p>
        </w:tc>
        <w:tc>
          <w:tcPr>
            <w:tcW w:w="920" w:type="dxa"/>
          </w:tcPr>
          <w:p w14:paraId="05C8D455" w14:textId="77777777" w:rsidR="00651B6D" w:rsidRPr="005E5F40" w:rsidRDefault="00651B6D" w:rsidP="00651B6D">
            <w:pPr>
              <w:tabs>
                <w:tab w:val="decimal" w:pos="462"/>
              </w:tabs>
              <w:ind w:firstLine="0"/>
              <w:jc w:val="right"/>
              <w:rPr>
                <w:bCs/>
                <w:color w:val="000000"/>
                <w:sz w:val="18"/>
                <w:szCs w:val="18"/>
              </w:rPr>
            </w:pPr>
            <w:r w:rsidRPr="005E5F40">
              <w:rPr>
                <w:sz w:val="18"/>
                <w:szCs w:val="18"/>
              </w:rPr>
              <w:t>2 026,2</w:t>
            </w:r>
          </w:p>
        </w:tc>
      </w:tr>
      <w:tr w:rsidR="00651B6D" w:rsidRPr="005E5F40" w14:paraId="3FF475E1" w14:textId="77777777" w:rsidTr="00651B6D">
        <w:trPr>
          <w:trHeight w:val="487"/>
          <w:jc w:val="center"/>
        </w:trPr>
        <w:tc>
          <w:tcPr>
            <w:tcW w:w="5382" w:type="dxa"/>
            <w:vAlign w:val="center"/>
          </w:tcPr>
          <w:p w14:paraId="378BFD50" w14:textId="77777777" w:rsidR="00651B6D" w:rsidRPr="005E5F40" w:rsidRDefault="00651B6D" w:rsidP="00651B6D">
            <w:pPr>
              <w:keepNext/>
              <w:ind w:firstLine="0"/>
              <w:jc w:val="left"/>
              <w:rPr>
                <w:i/>
                <w:iCs/>
                <w:color w:val="000000"/>
                <w:sz w:val="18"/>
                <w:szCs w:val="18"/>
              </w:rPr>
            </w:pPr>
            <w:r w:rsidRPr="005E5F40">
              <w:rPr>
                <w:color w:val="000000"/>
                <w:sz w:val="18"/>
                <w:szCs w:val="18"/>
              </w:rPr>
              <w:t>S</w:t>
            </w:r>
            <w:r w:rsidRPr="005E5F40">
              <w:rPr>
                <w:iCs/>
                <w:color w:val="000000"/>
                <w:sz w:val="18"/>
                <w:szCs w:val="18"/>
              </w:rPr>
              <w:t>askaņā ar likumprojektu „Par vidēja termiņa budžeta ietvaru 2021., 2022. un 2023</w:t>
            </w:r>
            <w:r>
              <w:rPr>
                <w:iCs/>
                <w:color w:val="000000"/>
                <w:sz w:val="18"/>
                <w:szCs w:val="18"/>
              </w:rPr>
              <w:t>. gad</w:t>
            </w:r>
            <w:r w:rsidRPr="005E5F40">
              <w:rPr>
                <w:iCs/>
                <w:color w:val="000000"/>
                <w:sz w:val="18"/>
                <w:szCs w:val="18"/>
              </w:rPr>
              <w:t>am”</w:t>
            </w:r>
            <w:r>
              <w:rPr>
                <w:color w:val="000000"/>
                <w:sz w:val="18"/>
                <w:szCs w:val="18"/>
              </w:rPr>
              <w:t>, milj.</w:t>
            </w:r>
            <w:r w:rsidRPr="005E5F40">
              <w:rPr>
                <w:i/>
                <w:color w:val="000000"/>
                <w:sz w:val="18"/>
                <w:szCs w:val="18"/>
              </w:rPr>
              <w:t> </w:t>
            </w:r>
            <w:r w:rsidRPr="004F46D3">
              <w:rPr>
                <w:i/>
                <w:color w:val="000000"/>
                <w:sz w:val="18"/>
                <w:szCs w:val="18"/>
              </w:rPr>
              <w:t>euro</w:t>
            </w:r>
          </w:p>
        </w:tc>
        <w:tc>
          <w:tcPr>
            <w:tcW w:w="919" w:type="dxa"/>
          </w:tcPr>
          <w:p w14:paraId="1081C826" w14:textId="77777777" w:rsidR="00651B6D" w:rsidRPr="005E5F40" w:rsidRDefault="00651B6D" w:rsidP="00651B6D">
            <w:pPr>
              <w:tabs>
                <w:tab w:val="decimal" w:pos="462"/>
              </w:tabs>
              <w:ind w:firstLine="0"/>
              <w:jc w:val="right"/>
              <w:rPr>
                <w:bCs/>
                <w:color w:val="000000"/>
                <w:sz w:val="18"/>
                <w:szCs w:val="18"/>
              </w:rPr>
            </w:pPr>
            <w:r w:rsidRPr="005E5F40">
              <w:rPr>
                <w:bCs/>
                <w:sz w:val="18"/>
                <w:szCs w:val="18"/>
              </w:rPr>
              <w:t>1 777,2</w:t>
            </w:r>
          </w:p>
        </w:tc>
        <w:tc>
          <w:tcPr>
            <w:tcW w:w="920" w:type="dxa"/>
          </w:tcPr>
          <w:p w14:paraId="5DE8045D" w14:textId="77777777" w:rsidR="00651B6D" w:rsidRPr="005E5F40" w:rsidRDefault="00651B6D" w:rsidP="00651B6D">
            <w:pPr>
              <w:tabs>
                <w:tab w:val="decimal" w:pos="462"/>
              </w:tabs>
              <w:ind w:firstLine="0"/>
              <w:jc w:val="right"/>
              <w:rPr>
                <w:bCs/>
                <w:color w:val="000000"/>
                <w:sz w:val="18"/>
                <w:szCs w:val="18"/>
              </w:rPr>
            </w:pPr>
            <w:r w:rsidRPr="005E5F40">
              <w:rPr>
                <w:sz w:val="18"/>
                <w:szCs w:val="18"/>
              </w:rPr>
              <w:t>1 881,3</w:t>
            </w:r>
          </w:p>
        </w:tc>
        <w:tc>
          <w:tcPr>
            <w:tcW w:w="920" w:type="dxa"/>
          </w:tcPr>
          <w:p w14:paraId="28FC4438" w14:textId="77777777" w:rsidR="00651B6D" w:rsidRPr="005E5F40" w:rsidRDefault="00651B6D" w:rsidP="00651B6D">
            <w:pPr>
              <w:tabs>
                <w:tab w:val="decimal" w:pos="462"/>
              </w:tabs>
              <w:ind w:firstLine="0"/>
              <w:jc w:val="right"/>
              <w:rPr>
                <w:bCs/>
                <w:color w:val="000000"/>
                <w:sz w:val="18"/>
                <w:szCs w:val="18"/>
              </w:rPr>
            </w:pPr>
            <w:r w:rsidRPr="005E5F40">
              <w:rPr>
                <w:sz w:val="18"/>
                <w:szCs w:val="18"/>
              </w:rPr>
              <w:t>1 979,3</w:t>
            </w:r>
          </w:p>
        </w:tc>
        <w:tc>
          <w:tcPr>
            <w:tcW w:w="920" w:type="dxa"/>
          </w:tcPr>
          <w:p w14:paraId="70D1E96A" w14:textId="77777777" w:rsidR="00651B6D" w:rsidRPr="005E5F40" w:rsidRDefault="00651B6D" w:rsidP="00651B6D">
            <w:pPr>
              <w:ind w:firstLine="0"/>
              <w:jc w:val="right"/>
              <w:rPr>
                <w:bCs/>
                <w:sz w:val="18"/>
                <w:szCs w:val="18"/>
              </w:rPr>
            </w:pPr>
            <w:r w:rsidRPr="005E5F40">
              <w:rPr>
                <w:sz w:val="18"/>
                <w:szCs w:val="18"/>
              </w:rPr>
              <w:t>-</w:t>
            </w:r>
          </w:p>
        </w:tc>
      </w:tr>
      <w:tr w:rsidR="00651B6D" w:rsidRPr="005E5F40" w14:paraId="7DA1C73C" w14:textId="77777777" w:rsidTr="00651B6D">
        <w:trPr>
          <w:jc w:val="center"/>
        </w:trPr>
        <w:tc>
          <w:tcPr>
            <w:tcW w:w="5382" w:type="dxa"/>
            <w:vAlign w:val="center"/>
          </w:tcPr>
          <w:p w14:paraId="205B01A5" w14:textId="77777777" w:rsidR="00651B6D" w:rsidRPr="005E5F40" w:rsidRDefault="00651B6D" w:rsidP="00651B6D">
            <w:pPr>
              <w:keepNext/>
              <w:ind w:firstLine="0"/>
              <w:jc w:val="left"/>
              <w:rPr>
                <w:sz w:val="18"/>
                <w:szCs w:val="18"/>
              </w:rPr>
            </w:pPr>
            <w:r w:rsidRPr="005E5F40">
              <w:rPr>
                <w:i/>
                <w:iCs/>
                <w:color w:val="000000"/>
                <w:sz w:val="18"/>
                <w:szCs w:val="18"/>
              </w:rPr>
              <w:t>pieaugums, salīdzinot ar likumprojektu „Par vidēja termiņa budžeta ietvaru 2021., 2022. un 2023</w:t>
            </w:r>
            <w:r>
              <w:rPr>
                <w:i/>
                <w:iCs/>
                <w:color w:val="000000"/>
                <w:sz w:val="18"/>
                <w:szCs w:val="18"/>
              </w:rPr>
              <w:t>. gad</w:t>
            </w:r>
            <w:r w:rsidRPr="005E5F40">
              <w:rPr>
                <w:i/>
                <w:iCs/>
                <w:color w:val="000000"/>
                <w:sz w:val="18"/>
                <w:szCs w:val="18"/>
              </w:rPr>
              <w:t>am”</w:t>
            </w:r>
            <w:r>
              <w:rPr>
                <w:i/>
                <w:iCs/>
                <w:color w:val="000000"/>
                <w:sz w:val="18"/>
                <w:szCs w:val="18"/>
              </w:rPr>
              <w:t>, milj.</w:t>
            </w:r>
            <w:r w:rsidRPr="005E5F40">
              <w:rPr>
                <w:i/>
                <w:iCs/>
                <w:color w:val="000000"/>
                <w:sz w:val="18"/>
                <w:szCs w:val="18"/>
              </w:rPr>
              <w:t> </w:t>
            </w:r>
            <w:r w:rsidRPr="004F46D3">
              <w:rPr>
                <w:i/>
                <w:iCs/>
                <w:color w:val="000000"/>
                <w:sz w:val="18"/>
                <w:szCs w:val="18"/>
              </w:rPr>
              <w:t>euro</w:t>
            </w:r>
          </w:p>
        </w:tc>
        <w:tc>
          <w:tcPr>
            <w:tcW w:w="919" w:type="dxa"/>
          </w:tcPr>
          <w:p w14:paraId="5E5AE6AA" w14:textId="77777777" w:rsidR="00651B6D" w:rsidRPr="005E5F40" w:rsidRDefault="00651B6D" w:rsidP="00651B6D">
            <w:pPr>
              <w:tabs>
                <w:tab w:val="decimal" w:pos="462"/>
              </w:tabs>
              <w:ind w:firstLine="0"/>
              <w:jc w:val="right"/>
              <w:rPr>
                <w:i/>
                <w:iCs/>
                <w:color w:val="000000"/>
                <w:sz w:val="18"/>
                <w:szCs w:val="18"/>
              </w:rPr>
            </w:pPr>
            <w:r w:rsidRPr="005E5F40">
              <w:rPr>
                <w:i/>
                <w:iCs/>
                <w:sz w:val="18"/>
                <w:szCs w:val="18"/>
              </w:rPr>
              <w:t>-31,2</w:t>
            </w:r>
          </w:p>
        </w:tc>
        <w:tc>
          <w:tcPr>
            <w:tcW w:w="920" w:type="dxa"/>
          </w:tcPr>
          <w:p w14:paraId="604FEBC9" w14:textId="77777777" w:rsidR="00651B6D" w:rsidRPr="005E5F40" w:rsidRDefault="00651B6D" w:rsidP="00651B6D">
            <w:pPr>
              <w:tabs>
                <w:tab w:val="decimal" w:pos="462"/>
              </w:tabs>
              <w:ind w:firstLine="0"/>
              <w:jc w:val="right"/>
              <w:rPr>
                <w:i/>
                <w:iCs/>
                <w:color w:val="000000"/>
                <w:sz w:val="18"/>
                <w:szCs w:val="18"/>
              </w:rPr>
            </w:pPr>
            <w:r w:rsidRPr="005E5F40">
              <w:rPr>
                <w:i/>
                <w:sz w:val="18"/>
                <w:szCs w:val="18"/>
              </w:rPr>
              <w:t>-19,4</w:t>
            </w:r>
          </w:p>
        </w:tc>
        <w:tc>
          <w:tcPr>
            <w:tcW w:w="920" w:type="dxa"/>
          </w:tcPr>
          <w:p w14:paraId="75156AAA" w14:textId="77777777" w:rsidR="00651B6D" w:rsidRPr="005E5F40" w:rsidRDefault="00651B6D" w:rsidP="00651B6D">
            <w:pPr>
              <w:tabs>
                <w:tab w:val="decimal" w:pos="462"/>
              </w:tabs>
              <w:ind w:firstLine="0"/>
              <w:jc w:val="right"/>
              <w:rPr>
                <w:i/>
                <w:iCs/>
                <w:color w:val="000000"/>
                <w:sz w:val="18"/>
                <w:szCs w:val="18"/>
              </w:rPr>
            </w:pPr>
            <w:r w:rsidRPr="005E5F40">
              <w:rPr>
                <w:i/>
                <w:sz w:val="18"/>
                <w:szCs w:val="18"/>
              </w:rPr>
              <w:t>-63,1</w:t>
            </w:r>
          </w:p>
        </w:tc>
        <w:tc>
          <w:tcPr>
            <w:tcW w:w="920" w:type="dxa"/>
          </w:tcPr>
          <w:p w14:paraId="51A9E422" w14:textId="77777777" w:rsidR="00651B6D" w:rsidRPr="005E5F40" w:rsidRDefault="00651B6D" w:rsidP="00651B6D">
            <w:pPr>
              <w:ind w:firstLine="0"/>
              <w:jc w:val="right"/>
              <w:rPr>
                <w:i/>
                <w:iCs/>
                <w:color w:val="000000"/>
                <w:sz w:val="18"/>
                <w:szCs w:val="18"/>
              </w:rPr>
            </w:pPr>
            <w:r w:rsidRPr="005E5F40">
              <w:rPr>
                <w:i/>
                <w:sz w:val="18"/>
                <w:szCs w:val="18"/>
              </w:rPr>
              <w:t>-</w:t>
            </w:r>
          </w:p>
        </w:tc>
      </w:tr>
      <w:tr w:rsidR="00651B6D" w:rsidRPr="005E5F40" w14:paraId="203ECC33" w14:textId="77777777" w:rsidTr="00651B6D">
        <w:trPr>
          <w:jc w:val="center"/>
        </w:trPr>
        <w:tc>
          <w:tcPr>
            <w:tcW w:w="5382" w:type="dxa"/>
            <w:vAlign w:val="center"/>
          </w:tcPr>
          <w:p w14:paraId="426555AA" w14:textId="77777777" w:rsidR="00651B6D" w:rsidRPr="005E5F40" w:rsidRDefault="00651B6D" w:rsidP="00651B6D">
            <w:pPr>
              <w:keepNext/>
              <w:ind w:firstLine="0"/>
              <w:jc w:val="left"/>
              <w:rPr>
                <w:sz w:val="18"/>
                <w:szCs w:val="18"/>
              </w:rPr>
            </w:pPr>
            <w:r w:rsidRPr="005E5F40">
              <w:rPr>
                <w:i/>
                <w:iCs/>
                <w:color w:val="000000"/>
                <w:sz w:val="18"/>
                <w:szCs w:val="18"/>
              </w:rPr>
              <w:t>pieaugums, salīdzinot ar likumprojektu „Par vidēja termiņa budžeta ietvaru 2021., 2022. un 2023</w:t>
            </w:r>
            <w:r>
              <w:rPr>
                <w:i/>
                <w:iCs/>
                <w:color w:val="000000"/>
                <w:sz w:val="18"/>
                <w:szCs w:val="18"/>
              </w:rPr>
              <w:t>. gad</w:t>
            </w:r>
            <w:r w:rsidRPr="005E5F40">
              <w:rPr>
                <w:i/>
                <w:iCs/>
                <w:color w:val="000000"/>
                <w:sz w:val="18"/>
                <w:szCs w:val="18"/>
              </w:rPr>
              <w:t>am”, %</w:t>
            </w:r>
          </w:p>
        </w:tc>
        <w:tc>
          <w:tcPr>
            <w:tcW w:w="919" w:type="dxa"/>
          </w:tcPr>
          <w:p w14:paraId="449420D1" w14:textId="77777777" w:rsidR="00651B6D" w:rsidRPr="005E5F40" w:rsidRDefault="00651B6D" w:rsidP="00651B6D">
            <w:pPr>
              <w:tabs>
                <w:tab w:val="decimal" w:pos="462"/>
              </w:tabs>
              <w:ind w:firstLine="0"/>
              <w:jc w:val="right"/>
              <w:rPr>
                <w:i/>
                <w:iCs/>
                <w:color w:val="000000"/>
                <w:sz w:val="18"/>
                <w:szCs w:val="18"/>
              </w:rPr>
            </w:pPr>
            <w:r w:rsidRPr="005E5F40">
              <w:rPr>
                <w:i/>
                <w:iCs/>
                <w:sz w:val="18"/>
                <w:szCs w:val="18"/>
              </w:rPr>
              <w:t>-1,8</w:t>
            </w:r>
          </w:p>
        </w:tc>
        <w:tc>
          <w:tcPr>
            <w:tcW w:w="920" w:type="dxa"/>
          </w:tcPr>
          <w:p w14:paraId="01BBC566" w14:textId="77777777" w:rsidR="00651B6D" w:rsidRPr="005E5F40" w:rsidRDefault="00651B6D" w:rsidP="00651B6D">
            <w:pPr>
              <w:tabs>
                <w:tab w:val="decimal" w:pos="462"/>
              </w:tabs>
              <w:ind w:firstLine="0"/>
              <w:jc w:val="right"/>
              <w:rPr>
                <w:i/>
                <w:iCs/>
                <w:color w:val="000000"/>
                <w:sz w:val="18"/>
                <w:szCs w:val="18"/>
              </w:rPr>
            </w:pPr>
            <w:r w:rsidRPr="005E5F40">
              <w:rPr>
                <w:i/>
                <w:sz w:val="18"/>
                <w:szCs w:val="18"/>
              </w:rPr>
              <w:t>-1,0</w:t>
            </w:r>
          </w:p>
        </w:tc>
        <w:tc>
          <w:tcPr>
            <w:tcW w:w="920" w:type="dxa"/>
          </w:tcPr>
          <w:p w14:paraId="1B909ADF" w14:textId="77777777" w:rsidR="00651B6D" w:rsidRPr="005E5F40" w:rsidRDefault="00651B6D" w:rsidP="00651B6D">
            <w:pPr>
              <w:tabs>
                <w:tab w:val="decimal" w:pos="462"/>
              </w:tabs>
              <w:ind w:firstLine="0"/>
              <w:jc w:val="right"/>
              <w:rPr>
                <w:i/>
                <w:iCs/>
                <w:color w:val="000000"/>
                <w:sz w:val="18"/>
                <w:szCs w:val="18"/>
              </w:rPr>
            </w:pPr>
            <w:r w:rsidRPr="005E5F40">
              <w:rPr>
                <w:i/>
                <w:sz w:val="18"/>
                <w:szCs w:val="18"/>
              </w:rPr>
              <w:t>-3,2</w:t>
            </w:r>
          </w:p>
        </w:tc>
        <w:tc>
          <w:tcPr>
            <w:tcW w:w="920" w:type="dxa"/>
          </w:tcPr>
          <w:p w14:paraId="15921510" w14:textId="77777777" w:rsidR="00651B6D" w:rsidRPr="005E5F40" w:rsidRDefault="00651B6D" w:rsidP="00651B6D">
            <w:pPr>
              <w:ind w:firstLine="0"/>
              <w:jc w:val="right"/>
              <w:rPr>
                <w:i/>
                <w:iCs/>
                <w:color w:val="000000"/>
                <w:sz w:val="18"/>
                <w:szCs w:val="18"/>
              </w:rPr>
            </w:pPr>
            <w:r w:rsidRPr="005E5F40">
              <w:rPr>
                <w:i/>
                <w:sz w:val="18"/>
                <w:szCs w:val="18"/>
              </w:rPr>
              <w:t>-</w:t>
            </w:r>
          </w:p>
        </w:tc>
      </w:tr>
      <w:tr w:rsidR="00651B6D" w:rsidRPr="005E5F40" w14:paraId="7220BE62" w14:textId="77777777" w:rsidTr="00651B6D">
        <w:trPr>
          <w:jc w:val="center"/>
        </w:trPr>
        <w:tc>
          <w:tcPr>
            <w:tcW w:w="5382" w:type="dxa"/>
            <w:vAlign w:val="center"/>
          </w:tcPr>
          <w:p w14:paraId="242C7BA6" w14:textId="56A66CF5" w:rsidR="00651B6D" w:rsidRPr="005E5F40" w:rsidRDefault="00316BA7" w:rsidP="00651B6D">
            <w:pPr>
              <w:keepNext/>
              <w:ind w:firstLine="0"/>
              <w:jc w:val="left"/>
              <w:rPr>
                <w:i/>
                <w:iCs/>
                <w:color w:val="000000"/>
                <w:sz w:val="18"/>
                <w:szCs w:val="18"/>
              </w:rPr>
            </w:pPr>
            <w:r>
              <w:rPr>
                <w:i/>
                <w:color w:val="000000"/>
                <w:sz w:val="18"/>
                <w:szCs w:val="18"/>
              </w:rPr>
              <w:t>% no iekšzemes kopprodukta</w:t>
            </w:r>
          </w:p>
        </w:tc>
        <w:tc>
          <w:tcPr>
            <w:tcW w:w="919" w:type="dxa"/>
          </w:tcPr>
          <w:p w14:paraId="59904ED8" w14:textId="77777777" w:rsidR="00651B6D" w:rsidRPr="005E5F40" w:rsidRDefault="00651B6D" w:rsidP="00651B6D">
            <w:pPr>
              <w:tabs>
                <w:tab w:val="decimal" w:pos="462"/>
              </w:tabs>
              <w:ind w:firstLine="0"/>
              <w:jc w:val="right"/>
              <w:rPr>
                <w:i/>
                <w:iCs/>
                <w:color w:val="000000"/>
                <w:sz w:val="18"/>
                <w:szCs w:val="18"/>
              </w:rPr>
            </w:pPr>
            <w:r w:rsidRPr="005E5F40">
              <w:rPr>
                <w:i/>
                <w:iCs/>
                <w:sz w:val="18"/>
                <w:szCs w:val="18"/>
              </w:rPr>
              <w:t>5,6</w:t>
            </w:r>
          </w:p>
        </w:tc>
        <w:tc>
          <w:tcPr>
            <w:tcW w:w="920" w:type="dxa"/>
          </w:tcPr>
          <w:p w14:paraId="102D8F83" w14:textId="77777777" w:rsidR="00651B6D" w:rsidRPr="005E5F40" w:rsidRDefault="00651B6D" w:rsidP="00651B6D">
            <w:pPr>
              <w:tabs>
                <w:tab w:val="decimal" w:pos="462"/>
              </w:tabs>
              <w:ind w:firstLine="0"/>
              <w:jc w:val="right"/>
              <w:rPr>
                <w:i/>
                <w:iCs/>
                <w:color w:val="000000"/>
                <w:sz w:val="18"/>
                <w:szCs w:val="18"/>
              </w:rPr>
            </w:pPr>
            <w:r w:rsidRPr="005E5F40">
              <w:rPr>
                <w:i/>
                <w:sz w:val="18"/>
                <w:szCs w:val="18"/>
              </w:rPr>
              <w:t>5,5</w:t>
            </w:r>
          </w:p>
        </w:tc>
        <w:tc>
          <w:tcPr>
            <w:tcW w:w="920" w:type="dxa"/>
          </w:tcPr>
          <w:p w14:paraId="3EE73C4D" w14:textId="77777777" w:rsidR="00651B6D" w:rsidRPr="005E5F40" w:rsidRDefault="00651B6D" w:rsidP="00651B6D">
            <w:pPr>
              <w:tabs>
                <w:tab w:val="decimal" w:pos="462"/>
              </w:tabs>
              <w:ind w:firstLine="0"/>
              <w:jc w:val="right"/>
              <w:rPr>
                <w:i/>
                <w:iCs/>
                <w:color w:val="000000"/>
                <w:sz w:val="18"/>
                <w:szCs w:val="18"/>
              </w:rPr>
            </w:pPr>
            <w:r w:rsidRPr="005E5F40">
              <w:rPr>
                <w:i/>
                <w:sz w:val="18"/>
                <w:szCs w:val="18"/>
              </w:rPr>
              <w:t>5,3</w:t>
            </w:r>
          </w:p>
        </w:tc>
        <w:tc>
          <w:tcPr>
            <w:tcW w:w="920" w:type="dxa"/>
          </w:tcPr>
          <w:p w14:paraId="48013A27" w14:textId="77777777" w:rsidR="00651B6D" w:rsidRPr="005E5F40" w:rsidRDefault="00651B6D" w:rsidP="00651B6D">
            <w:pPr>
              <w:tabs>
                <w:tab w:val="decimal" w:pos="462"/>
              </w:tabs>
              <w:ind w:firstLine="0"/>
              <w:jc w:val="right"/>
              <w:rPr>
                <w:i/>
                <w:iCs/>
                <w:color w:val="000000"/>
                <w:sz w:val="18"/>
                <w:szCs w:val="18"/>
              </w:rPr>
            </w:pPr>
            <w:r w:rsidRPr="005E5F40">
              <w:rPr>
                <w:i/>
                <w:sz w:val="18"/>
                <w:szCs w:val="18"/>
              </w:rPr>
              <w:t>5,3</w:t>
            </w:r>
          </w:p>
        </w:tc>
      </w:tr>
    </w:tbl>
    <w:p w14:paraId="6D34BC18" w14:textId="77777777" w:rsidR="00651B6D" w:rsidRPr="00E81457" w:rsidRDefault="00651B6D" w:rsidP="00651B6D">
      <w:pPr>
        <w:spacing w:after="240"/>
        <w:ind w:left="425" w:firstLine="0"/>
        <w:jc w:val="left"/>
        <w:rPr>
          <w:sz w:val="18"/>
          <w:szCs w:val="18"/>
        </w:rPr>
      </w:pPr>
      <w:r w:rsidRPr="00E81457">
        <w:rPr>
          <w:sz w:val="18"/>
          <w:szCs w:val="18"/>
          <w:vertAlign w:val="superscript"/>
        </w:rPr>
        <w:t>1</w:t>
      </w:r>
      <w:r w:rsidRPr="00E81457">
        <w:rPr>
          <w:sz w:val="18"/>
          <w:szCs w:val="18"/>
        </w:rPr>
        <w:t> Prognoze 22.07.2021</w:t>
      </w:r>
      <w:r>
        <w:rPr>
          <w:sz w:val="18"/>
          <w:szCs w:val="18"/>
        </w:rPr>
        <w:t>.</w:t>
      </w:r>
    </w:p>
    <w:p w14:paraId="1B20E6B9" w14:textId="77777777" w:rsidR="00651B6D" w:rsidRPr="000909C6" w:rsidRDefault="00651B6D" w:rsidP="00651B6D">
      <w:pPr>
        <w:pStyle w:val="H3"/>
      </w:pPr>
      <w:bookmarkStart w:id="69" w:name="_Toc84756423"/>
      <w:r w:rsidRPr="000909C6">
        <w:t>Valsts sociālās apdrošināšanas</w:t>
      </w:r>
      <w:r>
        <w:t xml:space="preserve"> obligātās</w:t>
      </w:r>
      <w:r w:rsidRPr="000909C6">
        <w:t xml:space="preserve"> iemaksas, ieskaitot solidaritātes nodokļa daļu valsts speciālajā budžetā</w:t>
      </w:r>
      <w:r w:rsidRPr="000909C6">
        <w:rPr>
          <w:vertAlign w:val="superscript"/>
        </w:rPr>
        <w:footnoteReference w:id="19"/>
      </w:r>
      <w:bookmarkEnd w:id="69"/>
      <w:r w:rsidRPr="000909C6">
        <w:t xml:space="preserve"> </w:t>
      </w:r>
    </w:p>
    <w:p w14:paraId="58400060" w14:textId="77777777" w:rsidR="00651B6D" w:rsidRDefault="00651B6D" w:rsidP="00651B6D">
      <w:r w:rsidRPr="00CA2EA4">
        <w:rPr>
          <w:bCs/>
        </w:rPr>
        <w:t>Sociālās apdrošināšanas iemaksas</w:t>
      </w:r>
      <w:r w:rsidRPr="00CA2EA4">
        <w:rPr>
          <w:bCs/>
          <w:szCs w:val="24"/>
        </w:rPr>
        <w:t xml:space="preserve"> galvenokārt</w:t>
      </w:r>
      <w:r w:rsidRPr="004066BC">
        <w:rPr>
          <w:szCs w:val="24"/>
        </w:rPr>
        <w:t xml:space="preserve"> ietekmē tautsaimniecībā nodarbināto skaits, nodarbināto ienākumi</w:t>
      </w:r>
      <w:r>
        <w:rPr>
          <w:szCs w:val="24"/>
        </w:rPr>
        <w:t xml:space="preserve"> un</w:t>
      </w:r>
      <w:r w:rsidRPr="004066BC">
        <w:rPr>
          <w:szCs w:val="24"/>
        </w:rPr>
        <w:t xml:space="preserve"> minimālā darba alga</w:t>
      </w:r>
      <w:r>
        <w:rPr>
          <w:szCs w:val="24"/>
        </w:rPr>
        <w:t xml:space="preserve">. </w:t>
      </w:r>
      <w:r w:rsidRPr="009E6BB6">
        <w:t>Sociālās apdrošināšanas iemaksas 2021</w:t>
      </w:r>
      <w:r>
        <w:t>. gad</w:t>
      </w:r>
      <w:r w:rsidRPr="009E6BB6">
        <w:t xml:space="preserve">a </w:t>
      </w:r>
      <w:r>
        <w:t>pirmajā pusgadā</w:t>
      </w:r>
      <w:r w:rsidRPr="009E6BB6">
        <w:t xml:space="preserve"> veidoja 30,2% no kopbudžeta nodokļu ieņēmumiem, </w:t>
      </w:r>
      <w:r w:rsidRPr="00381784">
        <w:t>un tās valsts speciālajā budžetā bija 1 320,4</w:t>
      </w:r>
      <w:r>
        <w:t> milj.</w:t>
      </w:r>
      <w:r w:rsidRPr="00381784">
        <w:rPr>
          <w:i/>
        </w:rPr>
        <w:t> </w:t>
      </w:r>
      <w:r w:rsidRPr="004F46D3">
        <w:rPr>
          <w:i/>
          <w:iCs/>
        </w:rPr>
        <w:t>euro</w:t>
      </w:r>
      <w:r>
        <w:rPr>
          <w:i/>
          <w:iCs/>
        </w:rPr>
        <w:t>.</w:t>
      </w:r>
      <w:r w:rsidRPr="00381784">
        <w:t xml:space="preserve"> </w:t>
      </w:r>
    </w:p>
    <w:p w14:paraId="2A5B536B" w14:textId="77777777" w:rsidR="00651B6D" w:rsidRPr="006802B2" w:rsidRDefault="00651B6D" w:rsidP="00651B6D">
      <w:r w:rsidRPr="006802B2">
        <w:t xml:space="preserve">Neskatoties uz to, ka, ieviešot vienoto nodokļu kontu, gada sākumā bija naudas plūsmas izmaiņas un atšķirīga ekonomiskā situācija, jo pērn janvārī un februārī Latvijā vēl nebija </w:t>
      </w:r>
      <w:r w:rsidRPr="006802B2">
        <w:lastRenderedPageBreak/>
        <w:t>sākusies infekcijas izplatīšanās, sociālās apdrošināšanas iemaksas valsts specialajā budžetā salīdzinājumā ar 2020</w:t>
      </w:r>
      <w:r>
        <w:t>. gad</w:t>
      </w:r>
      <w:r w:rsidRPr="006802B2">
        <w:t>a pirmo pusgadu ir par 13,9</w:t>
      </w:r>
      <w:r>
        <w:t> milj.</w:t>
      </w:r>
      <w:r w:rsidRPr="006802B2">
        <w:rPr>
          <w:i/>
        </w:rPr>
        <w:t> </w:t>
      </w:r>
      <w:r w:rsidRPr="004F46D3">
        <w:rPr>
          <w:i/>
        </w:rPr>
        <w:t>euro</w:t>
      </w:r>
      <w:r w:rsidRPr="006802B2">
        <w:t xml:space="preserve"> jeb 1,1% vairāk. Iemaksu pieaugumu ietekmēja ekonomikas atgūšanās no Covid-19 radītās krīzes un straujš vidējās neto darba samaksas pieaugums. 2021</w:t>
      </w:r>
      <w:r>
        <w:t>. gad</w:t>
      </w:r>
      <w:r w:rsidRPr="006802B2">
        <w:t>a pirmajā pusgadā valsts sociālās apdrošināšanas iemaksu ieņēmumi valsts pamatbudžetā veselības finansēšanai bija 46,1</w:t>
      </w:r>
      <w:r>
        <w:t> milj.</w:t>
      </w:r>
      <w:r w:rsidRPr="006802B2">
        <w:rPr>
          <w:i/>
        </w:rPr>
        <w:t> </w:t>
      </w:r>
      <w:r w:rsidRPr="004F46D3">
        <w:rPr>
          <w:i/>
        </w:rPr>
        <w:t>euro</w:t>
      </w:r>
      <w:r w:rsidRPr="006802B2">
        <w:t>, kas ir par 0,1</w:t>
      </w:r>
      <w:r>
        <w:t> milj.</w:t>
      </w:r>
      <w:r w:rsidRPr="006802B2">
        <w:rPr>
          <w:i/>
        </w:rPr>
        <w:t> </w:t>
      </w:r>
      <w:r w:rsidRPr="004F46D3">
        <w:rPr>
          <w:i/>
        </w:rPr>
        <w:t>euro</w:t>
      </w:r>
      <w:r w:rsidRPr="006802B2">
        <w:t xml:space="preserve"> jeb 0,2% vairāk nekā pērn attiecīgajā periodā. </w:t>
      </w:r>
    </w:p>
    <w:p w14:paraId="0C9C02F8" w14:textId="77777777" w:rsidR="00651B6D" w:rsidRPr="006802B2" w:rsidRDefault="00651B6D" w:rsidP="00651B6D">
      <w:pPr>
        <w:rPr>
          <w:rFonts w:eastAsiaTheme="minorHAnsi"/>
          <w:sz w:val="22"/>
        </w:rPr>
      </w:pPr>
      <w:r w:rsidRPr="006802B2">
        <w:t>202</w:t>
      </w:r>
      <w:r>
        <w:t>1. gad</w:t>
      </w:r>
      <w:r w:rsidRPr="006802B2">
        <w:t>a pirmajā pusgadā sociālās apdrošināšanas iemaksas nesasniedza plānu par 14,5</w:t>
      </w:r>
      <w:r>
        <w:t> milj.</w:t>
      </w:r>
      <w:r w:rsidRPr="006802B2">
        <w:rPr>
          <w:i/>
        </w:rPr>
        <w:t> </w:t>
      </w:r>
      <w:r w:rsidRPr="004F46D3">
        <w:rPr>
          <w:i/>
        </w:rPr>
        <w:t>euro</w:t>
      </w:r>
      <w:r w:rsidRPr="006802B2">
        <w:t xml:space="preserve"> jeb plāna izpilde bija 98,9</w:t>
      </w:r>
      <w:r>
        <w:t> procent</w:t>
      </w:r>
      <w:r w:rsidRPr="006802B2">
        <w:t>i, ko lielākoties ietekmēja vienotā nodokļa konta ieviešana.</w:t>
      </w:r>
    </w:p>
    <w:p w14:paraId="582AA86D" w14:textId="77777777" w:rsidR="00651B6D" w:rsidRPr="00DF1059" w:rsidRDefault="00651B6D" w:rsidP="00651B6D">
      <w:pPr>
        <w:rPr>
          <w:highlight w:val="yellow"/>
        </w:rPr>
      </w:pPr>
      <w:r w:rsidRPr="0011701D">
        <w:t>Saskaņā ar likumprojektu „Par vidēja termiņa budžeta ietvaru 2022., 2023. un 2024</w:t>
      </w:r>
      <w:r>
        <w:t>. gad</w:t>
      </w:r>
      <w:r w:rsidRPr="0011701D">
        <w:t>am” 2022</w:t>
      </w:r>
      <w:r>
        <w:t>. gad</w:t>
      </w:r>
      <w:r w:rsidRPr="0011701D">
        <w:t>ā sociālās apdrošināšanas iemaksu ieņēmumi tiek plānoti 3</w:t>
      </w:r>
      <w:r>
        <w:t> </w:t>
      </w:r>
      <w:r w:rsidRPr="004F46D3">
        <w:rPr>
          <w:szCs w:val="24"/>
        </w:rPr>
        <w:t>133,3</w:t>
      </w:r>
      <w:r w:rsidRPr="004F46D3">
        <w:rPr>
          <w:b/>
          <w:bCs/>
          <w:color w:val="000000"/>
          <w:szCs w:val="24"/>
        </w:rPr>
        <w:t> </w:t>
      </w:r>
      <w:r w:rsidRPr="004F46D3">
        <w:rPr>
          <w:bCs/>
          <w:color w:val="000000"/>
          <w:szCs w:val="24"/>
        </w:rPr>
        <w:t>milj</w:t>
      </w:r>
      <w:r w:rsidRPr="004F46D3">
        <w:rPr>
          <w:b/>
          <w:bCs/>
          <w:color w:val="000000"/>
          <w:szCs w:val="24"/>
        </w:rPr>
        <w:t>.</w:t>
      </w:r>
      <w:r w:rsidRPr="004F46D3">
        <w:rPr>
          <w:i/>
          <w:szCs w:val="24"/>
        </w:rPr>
        <w:t> euro</w:t>
      </w:r>
      <w:r w:rsidRPr="004F46D3">
        <w:rPr>
          <w:szCs w:val="24"/>
        </w:rPr>
        <w:t>, 2023. gadā</w:t>
      </w:r>
      <w:r w:rsidRPr="0011701D">
        <w:t xml:space="preserve"> 3</w:t>
      </w:r>
      <w:r>
        <w:t> </w:t>
      </w:r>
      <w:r w:rsidRPr="0011701D">
        <w:t>3</w:t>
      </w:r>
      <w:r>
        <w:t>66,0 milj.</w:t>
      </w:r>
      <w:r w:rsidRPr="0011701D">
        <w:rPr>
          <w:i/>
        </w:rPr>
        <w:t> </w:t>
      </w:r>
      <w:r w:rsidRPr="004F46D3">
        <w:rPr>
          <w:i/>
        </w:rPr>
        <w:t>euro</w:t>
      </w:r>
      <w:r w:rsidRPr="0011701D">
        <w:t xml:space="preserve"> un 2024</w:t>
      </w:r>
      <w:r>
        <w:t>. gad</w:t>
      </w:r>
      <w:r w:rsidRPr="0011701D">
        <w:t>ā 3</w:t>
      </w:r>
      <w:r>
        <w:t> 528,7 milj.</w:t>
      </w:r>
      <w:r w:rsidRPr="0011701D">
        <w:rPr>
          <w:i/>
        </w:rPr>
        <w:t> </w:t>
      </w:r>
      <w:r w:rsidRPr="004F46D3">
        <w:rPr>
          <w:i/>
        </w:rPr>
        <w:t>euro</w:t>
      </w:r>
      <w:r w:rsidRPr="0011701D">
        <w:t xml:space="preserve"> apmērā.</w:t>
      </w:r>
      <w:r w:rsidRPr="00383EBC">
        <w:t xml:space="preserve"> </w:t>
      </w:r>
      <w:r w:rsidRPr="006802B2">
        <w:t>Sociālo apdrošināšanas iemaksu</w:t>
      </w:r>
      <w:r w:rsidRPr="006802B2">
        <w:rPr>
          <w:szCs w:val="24"/>
        </w:rPr>
        <w:t xml:space="preserve"> plānu ietekmēs prognozētais darba samaksas fonda pieauguma temps, 2021</w:t>
      </w:r>
      <w:r>
        <w:rPr>
          <w:szCs w:val="24"/>
        </w:rPr>
        <w:t>. gad</w:t>
      </w:r>
      <w:r w:rsidRPr="006802B2">
        <w:rPr>
          <w:szCs w:val="24"/>
        </w:rPr>
        <w:t>a pirmā pusgada izpilde, kā arī 3.1</w:t>
      </w:r>
      <w:r>
        <w:rPr>
          <w:szCs w:val="24"/>
        </w:rPr>
        <w:t>. sada</w:t>
      </w:r>
      <w:r w:rsidRPr="006802B2">
        <w:rPr>
          <w:szCs w:val="24"/>
        </w:rPr>
        <w:t>ļā minētie pasākumi.</w:t>
      </w:r>
    </w:p>
    <w:p w14:paraId="778C509C" w14:textId="77777777" w:rsidR="00651B6D" w:rsidRPr="003B42D2" w:rsidRDefault="00651B6D" w:rsidP="00316BA7">
      <w:pPr>
        <w:keepNext/>
        <w:spacing w:before="240" w:after="240"/>
        <w:ind w:firstLine="0"/>
        <w:jc w:val="right"/>
        <w:rPr>
          <w:b/>
          <w:i/>
          <w:szCs w:val="24"/>
        </w:rPr>
      </w:pPr>
      <w:r w:rsidRPr="003B42D2">
        <w:rPr>
          <w:b/>
          <w:i/>
          <w:szCs w:val="24"/>
        </w:rPr>
        <w:t>3.</w:t>
      </w:r>
      <w:r>
        <w:rPr>
          <w:b/>
          <w:i/>
          <w:szCs w:val="24"/>
        </w:rPr>
        <w:t>5. tab</w:t>
      </w:r>
      <w:r w:rsidRPr="003B42D2">
        <w:rPr>
          <w:b/>
          <w:i/>
          <w:szCs w:val="24"/>
        </w:rPr>
        <w:t>ula. Valsts sociālās apdrošināšanas iemaksu ieņēmumi speciālajā budžetā</w:t>
      </w:r>
    </w:p>
    <w:tbl>
      <w:tblPr>
        <w:tblStyle w:val="TableGrid"/>
        <w:tblW w:w="5000" w:type="pct"/>
        <w:tblLook w:val="04A0" w:firstRow="1" w:lastRow="0" w:firstColumn="1" w:lastColumn="0" w:noHBand="0" w:noVBand="1"/>
      </w:tblPr>
      <w:tblGrid>
        <w:gridCol w:w="4698"/>
        <w:gridCol w:w="1251"/>
        <w:gridCol w:w="1341"/>
        <w:gridCol w:w="885"/>
        <w:gridCol w:w="886"/>
      </w:tblGrid>
      <w:tr w:rsidR="00651B6D" w:rsidRPr="003B42D2" w14:paraId="6CFAE0C5" w14:textId="77777777" w:rsidTr="00651B6D">
        <w:trPr>
          <w:trHeight w:val="197"/>
        </w:trPr>
        <w:tc>
          <w:tcPr>
            <w:tcW w:w="5411" w:type="dxa"/>
            <w:shd w:val="clear" w:color="auto" w:fill="9CC2E5" w:themeFill="accent1" w:themeFillTint="99"/>
          </w:tcPr>
          <w:p w14:paraId="5CFD69E8" w14:textId="77777777" w:rsidR="00651B6D" w:rsidRPr="003B42D2" w:rsidRDefault="00651B6D" w:rsidP="00651B6D">
            <w:pPr>
              <w:keepNext/>
              <w:ind w:firstLine="0"/>
              <w:jc w:val="left"/>
              <w:rPr>
                <w:sz w:val="18"/>
                <w:szCs w:val="18"/>
              </w:rPr>
            </w:pPr>
          </w:p>
        </w:tc>
        <w:tc>
          <w:tcPr>
            <w:tcW w:w="912" w:type="dxa"/>
            <w:tcBorders>
              <w:bottom w:val="single" w:sz="4" w:space="0" w:color="auto"/>
            </w:tcBorders>
            <w:shd w:val="clear" w:color="auto" w:fill="9CC2E5" w:themeFill="accent1" w:themeFillTint="99"/>
            <w:vAlign w:val="center"/>
          </w:tcPr>
          <w:p w14:paraId="00D4BF3A" w14:textId="77777777" w:rsidR="00651B6D" w:rsidRPr="003B42D2" w:rsidRDefault="00651B6D" w:rsidP="00651B6D">
            <w:pPr>
              <w:keepNext/>
              <w:ind w:firstLine="0"/>
              <w:jc w:val="center"/>
              <w:rPr>
                <w:b/>
                <w:sz w:val="18"/>
                <w:szCs w:val="18"/>
              </w:rPr>
            </w:pPr>
            <w:r w:rsidRPr="003B42D2">
              <w:rPr>
                <w:b/>
                <w:sz w:val="18"/>
                <w:szCs w:val="18"/>
              </w:rPr>
              <w:t>2021</w:t>
            </w:r>
          </w:p>
        </w:tc>
        <w:tc>
          <w:tcPr>
            <w:tcW w:w="913" w:type="dxa"/>
            <w:tcBorders>
              <w:bottom w:val="single" w:sz="4" w:space="0" w:color="auto"/>
            </w:tcBorders>
            <w:shd w:val="clear" w:color="auto" w:fill="9CC2E5" w:themeFill="accent1" w:themeFillTint="99"/>
            <w:vAlign w:val="center"/>
          </w:tcPr>
          <w:p w14:paraId="7CB8D4A8" w14:textId="77777777" w:rsidR="00651B6D" w:rsidRPr="003B42D2" w:rsidRDefault="00651B6D" w:rsidP="00651B6D">
            <w:pPr>
              <w:keepNext/>
              <w:ind w:firstLine="0"/>
              <w:jc w:val="center"/>
              <w:rPr>
                <w:b/>
                <w:sz w:val="18"/>
                <w:szCs w:val="18"/>
              </w:rPr>
            </w:pPr>
            <w:r w:rsidRPr="003B42D2">
              <w:rPr>
                <w:b/>
                <w:color w:val="000000"/>
                <w:sz w:val="18"/>
                <w:szCs w:val="18"/>
              </w:rPr>
              <w:t>2022</w:t>
            </w:r>
          </w:p>
        </w:tc>
        <w:tc>
          <w:tcPr>
            <w:tcW w:w="912" w:type="dxa"/>
            <w:tcBorders>
              <w:bottom w:val="single" w:sz="4" w:space="0" w:color="auto"/>
            </w:tcBorders>
            <w:shd w:val="clear" w:color="auto" w:fill="9CC2E5" w:themeFill="accent1" w:themeFillTint="99"/>
            <w:vAlign w:val="center"/>
          </w:tcPr>
          <w:p w14:paraId="59C320E6" w14:textId="77777777" w:rsidR="00651B6D" w:rsidRPr="003B42D2" w:rsidRDefault="00651B6D" w:rsidP="00651B6D">
            <w:pPr>
              <w:keepNext/>
              <w:ind w:firstLine="0"/>
              <w:jc w:val="center"/>
              <w:rPr>
                <w:b/>
                <w:sz w:val="18"/>
                <w:szCs w:val="18"/>
              </w:rPr>
            </w:pPr>
            <w:r w:rsidRPr="003B42D2">
              <w:rPr>
                <w:b/>
                <w:color w:val="000000"/>
                <w:sz w:val="18"/>
                <w:szCs w:val="18"/>
              </w:rPr>
              <w:t>2023</w:t>
            </w:r>
          </w:p>
        </w:tc>
        <w:tc>
          <w:tcPr>
            <w:tcW w:w="913" w:type="dxa"/>
            <w:tcBorders>
              <w:bottom w:val="single" w:sz="4" w:space="0" w:color="auto"/>
            </w:tcBorders>
            <w:shd w:val="clear" w:color="auto" w:fill="9CC2E5" w:themeFill="accent1" w:themeFillTint="99"/>
            <w:vAlign w:val="center"/>
          </w:tcPr>
          <w:p w14:paraId="2DD20447" w14:textId="77777777" w:rsidR="00651B6D" w:rsidRPr="003B42D2" w:rsidRDefault="00651B6D" w:rsidP="00651B6D">
            <w:pPr>
              <w:keepNext/>
              <w:ind w:firstLine="0"/>
              <w:jc w:val="center"/>
              <w:rPr>
                <w:b/>
                <w:sz w:val="18"/>
                <w:szCs w:val="18"/>
              </w:rPr>
            </w:pPr>
            <w:r w:rsidRPr="003B42D2">
              <w:rPr>
                <w:b/>
                <w:color w:val="000000"/>
                <w:sz w:val="18"/>
                <w:szCs w:val="18"/>
              </w:rPr>
              <w:t>2024</w:t>
            </w:r>
          </w:p>
        </w:tc>
      </w:tr>
      <w:tr w:rsidR="00651B6D" w:rsidRPr="003B42D2" w14:paraId="328285E3" w14:textId="77777777" w:rsidTr="00651B6D">
        <w:trPr>
          <w:cantSplit/>
          <w:trHeight w:val="20"/>
        </w:trPr>
        <w:tc>
          <w:tcPr>
            <w:tcW w:w="5411" w:type="dxa"/>
            <w:vAlign w:val="center"/>
          </w:tcPr>
          <w:p w14:paraId="6F8DE29F" w14:textId="77777777" w:rsidR="00651B6D" w:rsidRPr="003B42D2" w:rsidRDefault="00651B6D" w:rsidP="00651B6D">
            <w:pPr>
              <w:keepNext/>
              <w:ind w:firstLine="0"/>
              <w:jc w:val="left"/>
              <w:rPr>
                <w:sz w:val="18"/>
                <w:szCs w:val="18"/>
              </w:rPr>
            </w:pPr>
            <w:r w:rsidRPr="003B42D2">
              <w:rPr>
                <w:color w:val="000000"/>
                <w:sz w:val="18"/>
                <w:szCs w:val="18"/>
              </w:rPr>
              <w:t>Saskaņā ar likumprojektu „Par vidēja termiņa budžeta ietvaru 2022., 2023. un 2024</w:t>
            </w:r>
            <w:r>
              <w:rPr>
                <w:color w:val="000000"/>
                <w:sz w:val="18"/>
                <w:szCs w:val="18"/>
              </w:rPr>
              <w:t>. gad</w:t>
            </w:r>
            <w:r w:rsidRPr="003B42D2">
              <w:rPr>
                <w:color w:val="000000"/>
                <w:sz w:val="18"/>
                <w:szCs w:val="18"/>
              </w:rPr>
              <w:t>am”</w:t>
            </w:r>
            <w:r>
              <w:rPr>
                <w:color w:val="000000"/>
                <w:sz w:val="18"/>
                <w:szCs w:val="18"/>
              </w:rPr>
              <w:t>, milj.</w:t>
            </w:r>
            <w:r w:rsidRPr="003B42D2">
              <w:rPr>
                <w:i/>
                <w:color w:val="000000"/>
                <w:sz w:val="18"/>
                <w:szCs w:val="18"/>
              </w:rPr>
              <w:t> </w:t>
            </w:r>
            <w:r w:rsidRPr="004F46D3">
              <w:rPr>
                <w:i/>
                <w:color w:val="000000"/>
                <w:sz w:val="18"/>
                <w:szCs w:val="18"/>
              </w:rPr>
              <w:t>euro</w:t>
            </w:r>
          </w:p>
        </w:tc>
        <w:tc>
          <w:tcPr>
            <w:tcW w:w="912" w:type="dxa"/>
            <w:tcBorders>
              <w:top w:val="single" w:sz="4" w:space="0" w:color="auto"/>
              <w:left w:val="nil"/>
              <w:bottom w:val="single" w:sz="4" w:space="0" w:color="auto"/>
              <w:right w:val="single" w:sz="4" w:space="0" w:color="auto"/>
            </w:tcBorders>
            <w:shd w:val="clear" w:color="auto" w:fill="auto"/>
          </w:tcPr>
          <w:p w14:paraId="313BCDBF" w14:textId="77777777" w:rsidR="00651B6D" w:rsidRPr="00316BA7" w:rsidRDefault="00651B6D" w:rsidP="00651B6D">
            <w:pPr>
              <w:pStyle w:val="cipari"/>
              <w:rPr>
                <w:color w:val="000000"/>
                <w:sz w:val="18"/>
                <w:lang w:eastAsia="lv-LV"/>
              </w:rPr>
            </w:pPr>
            <w:r w:rsidRPr="00316BA7">
              <w:rPr>
                <w:sz w:val="18"/>
              </w:rPr>
              <w:t>2 794,8</w:t>
            </w:r>
            <w:r w:rsidRPr="00316BA7">
              <w:rPr>
                <w:sz w:val="18"/>
                <w:vertAlign w:val="superscript"/>
              </w:rPr>
              <w:t>1</w:t>
            </w: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5E50E616" w14:textId="77777777" w:rsidR="00651B6D" w:rsidRPr="00316BA7" w:rsidRDefault="00651B6D" w:rsidP="00651B6D">
            <w:pPr>
              <w:pStyle w:val="cipari"/>
              <w:rPr>
                <w:color w:val="000000"/>
                <w:sz w:val="18"/>
                <w:lang w:eastAsia="lv-LV"/>
              </w:rPr>
            </w:pPr>
            <w:r w:rsidRPr="00316BA7">
              <w:rPr>
                <w:sz w:val="18"/>
              </w:rPr>
              <w:t>3 133,30</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6097C1B1" w14:textId="77777777" w:rsidR="00651B6D" w:rsidRPr="00316BA7" w:rsidRDefault="00651B6D" w:rsidP="00651B6D">
            <w:pPr>
              <w:pStyle w:val="cipari"/>
              <w:rPr>
                <w:color w:val="000000"/>
                <w:sz w:val="18"/>
                <w:lang w:eastAsia="lv-LV"/>
              </w:rPr>
            </w:pPr>
            <w:r w:rsidRPr="00316BA7">
              <w:rPr>
                <w:sz w:val="18"/>
              </w:rPr>
              <w:t>3 366,0</w:t>
            </w: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38EE8C20" w14:textId="77777777" w:rsidR="00651B6D" w:rsidRPr="00316BA7" w:rsidRDefault="00651B6D" w:rsidP="00651B6D">
            <w:pPr>
              <w:pStyle w:val="cipari"/>
              <w:rPr>
                <w:color w:val="000000"/>
                <w:sz w:val="18"/>
                <w:lang w:eastAsia="lv-LV"/>
              </w:rPr>
            </w:pPr>
            <w:r w:rsidRPr="00316BA7">
              <w:rPr>
                <w:sz w:val="18"/>
              </w:rPr>
              <w:t>3 528,7</w:t>
            </w:r>
          </w:p>
        </w:tc>
      </w:tr>
      <w:tr w:rsidR="00651B6D" w:rsidRPr="003B42D2" w14:paraId="185DA60F" w14:textId="77777777" w:rsidTr="00651B6D">
        <w:trPr>
          <w:cantSplit/>
          <w:trHeight w:val="20"/>
        </w:trPr>
        <w:tc>
          <w:tcPr>
            <w:tcW w:w="5411" w:type="dxa"/>
            <w:vAlign w:val="center"/>
          </w:tcPr>
          <w:p w14:paraId="54571C45" w14:textId="77777777" w:rsidR="00651B6D" w:rsidRPr="003B42D2" w:rsidRDefault="00651B6D" w:rsidP="00651B6D">
            <w:pPr>
              <w:keepNext/>
              <w:ind w:firstLine="0"/>
              <w:jc w:val="left"/>
              <w:rPr>
                <w:i/>
                <w:iCs/>
                <w:color w:val="000000"/>
                <w:sz w:val="18"/>
                <w:szCs w:val="18"/>
              </w:rPr>
            </w:pPr>
            <w:r w:rsidRPr="003B42D2">
              <w:rPr>
                <w:color w:val="000000"/>
                <w:sz w:val="18"/>
                <w:szCs w:val="18"/>
              </w:rPr>
              <w:t>S</w:t>
            </w:r>
            <w:r w:rsidRPr="003B42D2">
              <w:rPr>
                <w:iCs/>
                <w:color w:val="000000"/>
                <w:sz w:val="18"/>
                <w:szCs w:val="18"/>
              </w:rPr>
              <w:t>askaņā ar likumu „Par vidēja termiņa budžeta ietvaru 2021., 2022. un 2023</w:t>
            </w:r>
            <w:r>
              <w:rPr>
                <w:iCs/>
                <w:color w:val="000000"/>
                <w:sz w:val="18"/>
                <w:szCs w:val="18"/>
              </w:rPr>
              <w:t>. gad</w:t>
            </w:r>
            <w:r w:rsidRPr="003B42D2">
              <w:rPr>
                <w:iCs/>
                <w:color w:val="000000"/>
                <w:sz w:val="18"/>
                <w:szCs w:val="18"/>
              </w:rPr>
              <w:t>am”</w:t>
            </w:r>
            <w:r>
              <w:rPr>
                <w:color w:val="000000"/>
                <w:sz w:val="18"/>
                <w:szCs w:val="18"/>
              </w:rPr>
              <w:t>, milj.</w:t>
            </w:r>
            <w:r w:rsidRPr="003B42D2">
              <w:rPr>
                <w:i/>
                <w:color w:val="000000"/>
                <w:sz w:val="18"/>
                <w:szCs w:val="18"/>
              </w:rPr>
              <w:t> </w:t>
            </w:r>
            <w:r w:rsidRPr="004F46D3">
              <w:rPr>
                <w:i/>
                <w:color w:val="000000"/>
                <w:sz w:val="18"/>
                <w:szCs w:val="18"/>
              </w:rPr>
              <w:t>euro</w:t>
            </w:r>
          </w:p>
        </w:tc>
        <w:tc>
          <w:tcPr>
            <w:tcW w:w="912" w:type="dxa"/>
            <w:tcBorders>
              <w:top w:val="single" w:sz="4" w:space="0" w:color="auto"/>
              <w:left w:val="nil"/>
              <w:bottom w:val="single" w:sz="4" w:space="0" w:color="auto"/>
              <w:right w:val="single" w:sz="4" w:space="0" w:color="auto"/>
            </w:tcBorders>
            <w:shd w:val="clear" w:color="auto" w:fill="auto"/>
          </w:tcPr>
          <w:p w14:paraId="2CE475DC" w14:textId="77777777" w:rsidR="00651B6D" w:rsidRPr="00316BA7" w:rsidRDefault="00651B6D" w:rsidP="00651B6D">
            <w:pPr>
              <w:pStyle w:val="cipari"/>
              <w:rPr>
                <w:sz w:val="18"/>
              </w:rPr>
            </w:pPr>
            <w:r w:rsidRPr="00316BA7">
              <w:rPr>
                <w:sz w:val="18"/>
              </w:rPr>
              <w:t>2 840,4</w:t>
            </w: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538A36E3" w14:textId="77777777" w:rsidR="00651B6D" w:rsidRPr="00316BA7" w:rsidRDefault="00651B6D" w:rsidP="00651B6D">
            <w:pPr>
              <w:pStyle w:val="cipari"/>
              <w:rPr>
                <w:sz w:val="18"/>
              </w:rPr>
            </w:pPr>
            <w:r w:rsidRPr="00316BA7">
              <w:rPr>
                <w:sz w:val="18"/>
              </w:rPr>
              <w:t>3 084,7</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7868849E" w14:textId="77777777" w:rsidR="00651B6D" w:rsidRPr="00316BA7" w:rsidRDefault="00651B6D" w:rsidP="00651B6D">
            <w:pPr>
              <w:pStyle w:val="cipari"/>
              <w:rPr>
                <w:sz w:val="18"/>
              </w:rPr>
            </w:pPr>
            <w:r w:rsidRPr="00316BA7">
              <w:rPr>
                <w:sz w:val="18"/>
              </w:rPr>
              <w:t>3 255,8</w:t>
            </w: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5CB49FA7" w14:textId="77777777" w:rsidR="00651B6D" w:rsidRPr="00316BA7" w:rsidRDefault="00651B6D" w:rsidP="00651B6D">
            <w:pPr>
              <w:pStyle w:val="cipari"/>
              <w:rPr>
                <w:sz w:val="18"/>
              </w:rPr>
            </w:pPr>
            <w:r w:rsidRPr="00316BA7">
              <w:rPr>
                <w:sz w:val="18"/>
              </w:rPr>
              <w:t>-</w:t>
            </w:r>
          </w:p>
        </w:tc>
      </w:tr>
      <w:tr w:rsidR="00651B6D" w:rsidRPr="003B42D2" w14:paraId="051D2532" w14:textId="77777777" w:rsidTr="00651B6D">
        <w:trPr>
          <w:cantSplit/>
          <w:trHeight w:val="20"/>
        </w:trPr>
        <w:tc>
          <w:tcPr>
            <w:tcW w:w="5411" w:type="dxa"/>
            <w:vAlign w:val="center"/>
          </w:tcPr>
          <w:p w14:paraId="5BB83F80" w14:textId="77777777" w:rsidR="00651B6D" w:rsidRPr="003B42D2" w:rsidRDefault="00651B6D" w:rsidP="00651B6D">
            <w:pPr>
              <w:keepNext/>
              <w:ind w:firstLine="0"/>
              <w:jc w:val="left"/>
              <w:rPr>
                <w:b/>
                <w:color w:val="000000"/>
                <w:sz w:val="18"/>
                <w:szCs w:val="18"/>
              </w:rPr>
            </w:pPr>
            <w:r w:rsidRPr="003B42D2">
              <w:rPr>
                <w:i/>
                <w:iCs/>
                <w:color w:val="000000"/>
                <w:sz w:val="18"/>
                <w:szCs w:val="18"/>
              </w:rPr>
              <w:t xml:space="preserve">pieaugums, salīdzinot ar likumu „Par vidēja termiņa budžeta </w:t>
            </w:r>
            <w:r w:rsidRPr="003B42D2">
              <w:rPr>
                <w:iCs/>
                <w:color w:val="000000"/>
                <w:sz w:val="18"/>
                <w:szCs w:val="18"/>
              </w:rPr>
              <w:t>ietvaru 2021., 2022. un 2023</w:t>
            </w:r>
            <w:r>
              <w:rPr>
                <w:iCs/>
                <w:color w:val="000000"/>
                <w:sz w:val="18"/>
                <w:szCs w:val="18"/>
              </w:rPr>
              <w:t>. gad</w:t>
            </w:r>
            <w:r w:rsidRPr="003B42D2">
              <w:rPr>
                <w:iCs/>
                <w:color w:val="000000"/>
                <w:sz w:val="18"/>
                <w:szCs w:val="18"/>
              </w:rPr>
              <w:t>am”</w:t>
            </w:r>
            <w:r>
              <w:rPr>
                <w:iCs/>
                <w:color w:val="000000"/>
                <w:sz w:val="18"/>
                <w:szCs w:val="18"/>
              </w:rPr>
              <w:t>, milj.</w:t>
            </w:r>
            <w:r w:rsidRPr="003B42D2">
              <w:rPr>
                <w:i/>
                <w:iCs/>
                <w:color w:val="000000"/>
                <w:sz w:val="18"/>
                <w:szCs w:val="18"/>
              </w:rPr>
              <w:t> </w:t>
            </w:r>
            <w:r w:rsidRPr="004F46D3">
              <w:rPr>
                <w:i/>
                <w:iCs/>
                <w:color w:val="000000"/>
                <w:sz w:val="18"/>
                <w:szCs w:val="18"/>
              </w:rPr>
              <w:t>euro</w:t>
            </w:r>
          </w:p>
        </w:tc>
        <w:tc>
          <w:tcPr>
            <w:tcW w:w="912" w:type="dxa"/>
            <w:tcBorders>
              <w:top w:val="single" w:sz="4" w:space="0" w:color="auto"/>
              <w:left w:val="nil"/>
              <w:bottom w:val="single" w:sz="4" w:space="0" w:color="auto"/>
              <w:right w:val="single" w:sz="4" w:space="0" w:color="auto"/>
            </w:tcBorders>
            <w:shd w:val="clear" w:color="auto" w:fill="auto"/>
          </w:tcPr>
          <w:p w14:paraId="4668F83A" w14:textId="77777777" w:rsidR="00651B6D" w:rsidRPr="00316BA7" w:rsidRDefault="00651B6D" w:rsidP="00651B6D">
            <w:pPr>
              <w:pStyle w:val="cipari"/>
              <w:rPr>
                <w:i/>
                <w:iCs/>
                <w:sz w:val="18"/>
              </w:rPr>
            </w:pPr>
            <w:r w:rsidRPr="00316BA7">
              <w:rPr>
                <w:i/>
                <w:iCs/>
                <w:sz w:val="18"/>
              </w:rPr>
              <w:t>-45,5</w:t>
            </w: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4407A409" w14:textId="77777777" w:rsidR="00651B6D" w:rsidRPr="00316BA7" w:rsidRDefault="00651B6D" w:rsidP="00651B6D">
            <w:pPr>
              <w:pStyle w:val="cipari"/>
              <w:rPr>
                <w:i/>
                <w:iCs/>
                <w:sz w:val="18"/>
              </w:rPr>
            </w:pPr>
            <w:r w:rsidRPr="00316BA7">
              <w:rPr>
                <w:i/>
                <w:iCs/>
                <w:sz w:val="18"/>
              </w:rPr>
              <w:t>48,7</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742CB460" w14:textId="77777777" w:rsidR="00651B6D" w:rsidRPr="00316BA7" w:rsidRDefault="00651B6D" w:rsidP="00651B6D">
            <w:pPr>
              <w:pStyle w:val="cipari"/>
              <w:rPr>
                <w:i/>
                <w:iCs/>
                <w:sz w:val="18"/>
              </w:rPr>
            </w:pPr>
            <w:r w:rsidRPr="00316BA7">
              <w:rPr>
                <w:i/>
                <w:iCs/>
                <w:sz w:val="18"/>
              </w:rPr>
              <w:t>110,2</w:t>
            </w: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7210AF2C" w14:textId="77777777" w:rsidR="00651B6D" w:rsidRPr="00316BA7" w:rsidRDefault="00651B6D" w:rsidP="00651B6D">
            <w:pPr>
              <w:pStyle w:val="cipari"/>
              <w:rPr>
                <w:i/>
                <w:iCs/>
                <w:sz w:val="18"/>
              </w:rPr>
            </w:pPr>
            <w:r w:rsidRPr="00316BA7">
              <w:rPr>
                <w:i/>
                <w:iCs/>
                <w:sz w:val="18"/>
              </w:rPr>
              <w:t>-</w:t>
            </w:r>
          </w:p>
        </w:tc>
      </w:tr>
      <w:tr w:rsidR="00651B6D" w:rsidRPr="003B42D2" w14:paraId="609D768E" w14:textId="77777777" w:rsidTr="00651B6D">
        <w:trPr>
          <w:cantSplit/>
          <w:trHeight w:val="20"/>
        </w:trPr>
        <w:tc>
          <w:tcPr>
            <w:tcW w:w="5411" w:type="dxa"/>
            <w:vAlign w:val="center"/>
          </w:tcPr>
          <w:p w14:paraId="4A28AC88" w14:textId="77777777" w:rsidR="00651B6D" w:rsidRPr="003B42D2" w:rsidRDefault="00651B6D" w:rsidP="00651B6D">
            <w:pPr>
              <w:keepNext/>
              <w:ind w:firstLine="0"/>
              <w:jc w:val="left"/>
              <w:rPr>
                <w:i/>
                <w:iCs/>
                <w:color w:val="000000"/>
                <w:sz w:val="18"/>
                <w:szCs w:val="18"/>
              </w:rPr>
            </w:pPr>
            <w:r w:rsidRPr="003B42D2">
              <w:rPr>
                <w:i/>
                <w:iCs/>
                <w:color w:val="000000"/>
                <w:sz w:val="18"/>
                <w:szCs w:val="18"/>
              </w:rPr>
              <w:t xml:space="preserve">pieaugums, salīdzinot ar likumu „Par vidēja termiņa </w:t>
            </w:r>
            <w:r w:rsidRPr="003B42D2">
              <w:rPr>
                <w:iCs/>
                <w:color w:val="000000"/>
                <w:sz w:val="18"/>
                <w:szCs w:val="18"/>
              </w:rPr>
              <w:t>budžeta ietvaru 2021., 2022. un 2023</w:t>
            </w:r>
            <w:r>
              <w:rPr>
                <w:iCs/>
                <w:color w:val="000000"/>
                <w:sz w:val="18"/>
                <w:szCs w:val="18"/>
              </w:rPr>
              <w:t>. gad</w:t>
            </w:r>
            <w:r w:rsidRPr="003B42D2">
              <w:rPr>
                <w:iCs/>
                <w:color w:val="000000"/>
                <w:sz w:val="18"/>
                <w:szCs w:val="18"/>
              </w:rPr>
              <w:t>am</w:t>
            </w:r>
            <w:r w:rsidRPr="003B42D2">
              <w:rPr>
                <w:i/>
                <w:iCs/>
                <w:color w:val="000000"/>
                <w:sz w:val="18"/>
                <w:szCs w:val="18"/>
              </w:rPr>
              <w:t>”, %</w:t>
            </w:r>
          </w:p>
        </w:tc>
        <w:tc>
          <w:tcPr>
            <w:tcW w:w="912" w:type="dxa"/>
            <w:tcBorders>
              <w:top w:val="single" w:sz="4" w:space="0" w:color="auto"/>
              <w:left w:val="nil"/>
              <w:bottom w:val="single" w:sz="4" w:space="0" w:color="auto"/>
              <w:right w:val="single" w:sz="4" w:space="0" w:color="auto"/>
            </w:tcBorders>
            <w:shd w:val="clear" w:color="auto" w:fill="auto"/>
          </w:tcPr>
          <w:p w14:paraId="156FAE2F" w14:textId="77777777" w:rsidR="00651B6D" w:rsidRPr="00316BA7" w:rsidRDefault="00651B6D" w:rsidP="00651B6D">
            <w:pPr>
              <w:pStyle w:val="cipari"/>
              <w:rPr>
                <w:i/>
                <w:iCs/>
                <w:sz w:val="18"/>
              </w:rPr>
            </w:pPr>
            <w:r w:rsidRPr="00316BA7">
              <w:rPr>
                <w:i/>
                <w:iCs/>
                <w:sz w:val="18"/>
              </w:rPr>
              <w:t>-1,6</w:t>
            </w: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7879ED34" w14:textId="77777777" w:rsidR="00651B6D" w:rsidRPr="00316BA7" w:rsidRDefault="00651B6D" w:rsidP="00651B6D">
            <w:pPr>
              <w:pStyle w:val="cipari"/>
              <w:rPr>
                <w:i/>
                <w:iCs/>
                <w:sz w:val="18"/>
              </w:rPr>
            </w:pPr>
            <w:r w:rsidRPr="00316BA7">
              <w:rPr>
                <w:i/>
                <w:iCs/>
                <w:sz w:val="18"/>
              </w:rPr>
              <w:t>1,6</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788DE391" w14:textId="77777777" w:rsidR="00651B6D" w:rsidRPr="00316BA7" w:rsidRDefault="00651B6D" w:rsidP="00651B6D">
            <w:pPr>
              <w:pStyle w:val="cipari"/>
              <w:rPr>
                <w:i/>
                <w:iCs/>
                <w:sz w:val="18"/>
              </w:rPr>
            </w:pPr>
            <w:r w:rsidRPr="00316BA7">
              <w:rPr>
                <w:i/>
                <w:iCs/>
                <w:sz w:val="18"/>
              </w:rPr>
              <w:t>3,4</w:t>
            </w:r>
          </w:p>
        </w:tc>
        <w:tc>
          <w:tcPr>
            <w:tcW w:w="913" w:type="dxa"/>
            <w:tcBorders>
              <w:top w:val="single" w:sz="4" w:space="0" w:color="auto"/>
              <w:left w:val="single" w:sz="4" w:space="0" w:color="auto"/>
              <w:bottom w:val="single" w:sz="4" w:space="0" w:color="auto"/>
              <w:right w:val="single" w:sz="4" w:space="0" w:color="auto"/>
            </w:tcBorders>
            <w:shd w:val="clear" w:color="auto" w:fill="auto"/>
          </w:tcPr>
          <w:p w14:paraId="76601F4B" w14:textId="77777777" w:rsidR="00651B6D" w:rsidRPr="00316BA7" w:rsidRDefault="00651B6D" w:rsidP="00651B6D">
            <w:pPr>
              <w:pStyle w:val="cipari"/>
              <w:rPr>
                <w:i/>
                <w:iCs/>
                <w:sz w:val="18"/>
              </w:rPr>
            </w:pPr>
            <w:r w:rsidRPr="00316BA7">
              <w:rPr>
                <w:i/>
                <w:iCs/>
                <w:sz w:val="18"/>
              </w:rPr>
              <w:t>-</w:t>
            </w:r>
          </w:p>
        </w:tc>
      </w:tr>
      <w:tr w:rsidR="00651B6D" w:rsidRPr="003B42D2" w14:paraId="450431FF" w14:textId="77777777" w:rsidTr="00651B6D">
        <w:trPr>
          <w:cantSplit/>
          <w:trHeight w:val="20"/>
        </w:trPr>
        <w:tc>
          <w:tcPr>
            <w:tcW w:w="5411" w:type="dxa"/>
            <w:vAlign w:val="center"/>
          </w:tcPr>
          <w:p w14:paraId="13DA1E99" w14:textId="79010A31" w:rsidR="00651B6D" w:rsidRPr="003B42D2" w:rsidRDefault="00316BA7" w:rsidP="00651B6D">
            <w:pPr>
              <w:keepNext/>
              <w:ind w:firstLine="0"/>
              <w:jc w:val="left"/>
              <w:rPr>
                <w:i/>
                <w:iCs/>
                <w:color w:val="000000"/>
                <w:sz w:val="18"/>
                <w:szCs w:val="18"/>
              </w:rPr>
            </w:pPr>
            <w:r>
              <w:rPr>
                <w:i/>
                <w:iCs/>
                <w:color w:val="000000"/>
                <w:sz w:val="18"/>
                <w:szCs w:val="18"/>
              </w:rPr>
              <w:t>% no iekšzemes kopprodukta</w:t>
            </w:r>
          </w:p>
        </w:tc>
        <w:tc>
          <w:tcPr>
            <w:tcW w:w="912" w:type="dxa"/>
            <w:tcBorders>
              <w:top w:val="single" w:sz="4" w:space="0" w:color="auto"/>
              <w:left w:val="single" w:sz="4" w:space="0" w:color="auto"/>
              <w:bottom w:val="single" w:sz="4" w:space="0" w:color="auto"/>
              <w:right w:val="single" w:sz="4" w:space="0" w:color="auto"/>
            </w:tcBorders>
            <w:shd w:val="clear" w:color="auto" w:fill="auto"/>
          </w:tcPr>
          <w:p w14:paraId="31D49479" w14:textId="77777777" w:rsidR="00651B6D" w:rsidRPr="00316BA7" w:rsidRDefault="00651B6D" w:rsidP="00651B6D">
            <w:pPr>
              <w:pStyle w:val="cipari"/>
              <w:rPr>
                <w:i/>
                <w:iCs/>
                <w:sz w:val="18"/>
                <w:lang w:eastAsia="lv-LV"/>
              </w:rPr>
            </w:pPr>
            <w:r w:rsidRPr="00316BA7">
              <w:rPr>
                <w:i/>
                <w:iCs/>
                <w:sz w:val="18"/>
                <w:lang w:eastAsia="lv-LV"/>
              </w:rPr>
              <w:t>8,9</w:t>
            </w:r>
          </w:p>
        </w:tc>
        <w:tc>
          <w:tcPr>
            <w:tcW w:w="913" w:type="dxa"/>
            <w:tcBorders>
              <w:top w:val="single" w:sz="4" w:space="0" w:color="auto"/>
              <w:left w:val="nil"/>
              <w:bottom w:val="single" w:sz="4" w:space="0" w:color="auto"/>
              <w:right w:val="single" w:sz="4" w:space="0" w:color="auto"/>
            </w:tcBorders>
            <w:shd w:val="clear" w:color="auto" w:fill="auto"/>
          </w:tcPr>
          <w:p w14:paraId="4350A4F9" w14:textId="77777777" w:rsidR="00651B6D" w:rsidRPr="00316BA7" w:rsidRDefault="00651B6D" w:rsidP="00651B6D">
            <w:pPr>
              <w:pStyle w:val="cipari"/>
              <w:rPr>
                <w:i/>
                <w:iCs/>
                <w:sz w:val="18"/>
                <w:lang w:eastAsia="lv-LV"/>
              </w:rPr>
            </w:pPr>
            <w:r w:rsidRPr="00316BA7">
              <w:rPr>
                <w:i/>
                <w:iCs/>
                <w:sz w:val="18"/>
                <w:lang w:eastAsia="lv-LV"/>
              </w:rPr>
              <w:t>9,2</w:t>
            </w:r>
          </w:p>
        </w:tc>
        <w:tc>
          <w:tcPr>
            <w:tcW w:w="912" w:type="dxa"/>
            <w:tcBorders>
              <w:top w:val="single" w:sz="4" w:space="0" w:color="auto"/>
              <w:left w:val="nil"/>
              <w:bottom w:val="single" w:sz="4" w:space="0" w:color="auto"/>
              <w:right w:val="single" w:sz="4" w:space="0" w:color="auto"/>
            </w:tcBorders>
            <w:shd w:val="clear" w:color="auto" w:fill="auto"/>
          </w:tcPr>
          <w:p w14:paraId="07D5B515" w14:textId="77777777" w:rsidR="00651B6D" w:rsidRPr="00316BA7" w:rsidRDefault="00651B6D" w:rsidP="00651B6D">
            <w:pPr>
              <w:pStyle w:val="cipari"/>
              <w:rPr>
                <w:i/>
                <w:iCs/>
                <w:sz w:val="18"/>
                <w:lang w:eastAsia="lv-LV"/>
              </w:rPr>
            </w:pPr>
            <w:r w:rsidRPr="00316BA7">
              <w:rPr>
                <w:i/>
                <w:iCs/>
                <w:sz w:val="18"/>
                <w:lang w:eastAsia="lv-LV"/>
              </w:rPr>
              <w:t>9,3</w:t>
            </w:r>
          </w:p>
        </w:tc>
        <w:tc>
          <w:tcPr>
            <w:tcW w:w="913" w:type="dxa"/>
            <w:tcBorders>
              <w:top w:val="single" w:sz="4" w:space="0" w:color="auto"/>
              <w:left w:val="nil"/>
              <w:bottom w:val="single" w:sz="4" w:space="0" w:color="auto"/>
              <w:right w:val="single" w:sz="4" w:space="0" w:color="auto"/>
            </w:tcBorders>
            <w:shd w:val="clear" w:color="auto" w:fill="auto"/>
          </w:tcPr>
          <w:p w14:paraId="2C90AB31" w14:textId="77777777" w:rsidR="00651B6D" w:rsidRPr="00316BA7" w:rsidRDefault="00651B6D" w:rsidP="00651B6D">
            <w:pPr>
              <w:pStyle w:val="cipari"/>
              <w:rPr>
                <w:i/>
                <w:iCs/>
                <w:sz w:val="18"/>
                <w:lang w:eastAsia="lv-LV"/>
              </w:rPr>
            </w:pPr>
            <w:r w:rsidRPr="00316BA7">
              <w:rPr>
                <w:i/>
                <w:iCs/>
                <w:sz w:val="18"/>
                <w:lang w:eastAsia="lv-LV"/>
              </w:rPr>
              <w:t>9,3</w:t>
            </w:r>
          </w:p>
        </w:tc>
      </w:tr>
    </w:tbl>
    <w:p w14:paraId="4CFECA25" w14:textId="77777777" w:rsidR="00651B6D" w:rsidRPr="00E81457" w:rsidRDefault="00651B6D" w:rsidP="00651B6D">
      <w:pPr>
        <w:spacing w:after="240"/>
        <w:ind w:left="425" w:firstLine="0"/>
        <w:jc w:val="left"/>
        <w:rPr>
          <w:sz w:val="18"/>
          <w:szCs w:val="18"/>
        </w:rPr>
      </w:pPr>
      <w:r w:rsidRPr="00E81457">
        <w:rPr>
          <w:sz w:val="18"/>
          <w:szCs w:val="18"/>
          <w:vertAlign w:val="superscript"/>
        </w:rPr>
        <w:t>1</w:t>
      </w:r>
      <w:r w:rsidRPr="00E81457">
        <w:rPr>
          <w:sz w:val="18"/>
          <w:szCs w:val="18"/>
        </w:rPr>
        <w:t> Prognoze 22.07.2021</w:t>
      </w:r>
      <w:r>
        <w:rPr>
          <w:sz w:val="18"/>
          <w:szCs w:val="18"/>
        </w:rPr>
        <w:t>.</w:t>
      </w:r>
    </w:p>
    <w:p w14:paraId="659DC45B" w14:textId="77777777" w:rsidR="00651B6D" w:rsidRPr="0011701D" w:rsidRDefault="00651B6D" w:rsidP="00651B6D">
      <w:r>
        <w:t>S</w:t>
      </w:r>
      <w:r w:rsidRPr="00F71904">
        <w:t xml:space="preserve">ociālās apdrošināšanas iemaksas </w:t>
      </w:r>
      <w:r w:rsidRPr="0011701D">
        <w:t>pamatbudžetā veselības finansēšanai 2022</w:t>
      </w:r>
      <w:r>
        <w:t>. gad</w:t>
      </w:r>
      <w:r w:rsidRPr="0011701D">
        <w:t>ā tiek plānotas 1</w:t>
      </w:r>
      <w:r>
        <w:t>12,8 milj.</w:t>
      </w:r>
      <w:r w:rsidRPr="0011701D">
        <w:rPr>
          <w:i/>
        </w:rPr>
        <w:t> </w:t>
      </w:r>
      <w:r w:rsidRPr="004F46D3">
        <w:rPr>
          <w:i/>
        </w:rPr>
        <w:t>euro</w:t>
      </w:r>
      <w:r w:rsidRPr="0011701D">
        <w:rPr>
          <w:i/>
        </w:rPr>
        <w:t xml:space="preserve"> </w:t>
      </w:r>
      <w:r w:rsidRPr="0011701D">
        <w:t>apmērā, 2023</w:t>
      </w:r>
      <w:r>
        <w:t>. gad</w:t>
      </w:r>
      <w:r w:rsidRPr="0011701D">
        <w:t>ā 1</w:t>
      </w:r>
      <w:r>
        <w:t>21,2 milj.</w:t>
      </w:r>
      <w:r w:rsidRPr="0011701D">
        <w:rPr>
          <w:i/>
        </w:rPr>
        <w:t> </w:t>
      </w:r>
      <w:r w:rsidRPr="004F46D3">
        <w:rPr>
          <w:i/>
        </w:rPr>
        <w:t>euro</w:t>
      </w:r>
      <w:r w:rsidRPr="0011701D">
        <w:t xml:space="preserve"> un 2024</w:t>
      </w:r>
      <w:r>
        <w:t>. gad</w:t>
      </w:r>
      <w:r w:rsidRPr="0011701D">
        <w:t>ā 12</w:t>
      </w:r>
      <w:r>
        <w:t>7,1 milj.</w:t>
      </w:r>
      <w:r w:rsidRPr="0011701D">
        <w:rPr>
          <w:i/>
        </w:rPr>
        <w:t> </w:t>
      </w:r>
      <w:r w:rsidRPr="004F46D3">
        <w:rPr>
          <w:i/>
        </w:rPr>
        <w:t>euro</w:t>
      </w:r>
      <w:r w:rsidRPr="0011701D">
        <w:t>.</w:t>
      </w:r>
    </w:p>
    <w:p w14:paraId="7082CBDF" w14:textId="77777777" w:rsidR="00651B6D" w:rsidRPr="00E04A82" w:rsidRDefault="00651B6D" w:rsidP="00316BA7">
      <w:pPr>
        <w:pStyle w:val="H3"/>
        <w:spacing w:before="240" w:after="240"/>
      </w:pPr>
      <w:bookmarkStart w:id="70" w:name="_Toc84756424"/>
      <w:r w:rsidRPr="00E04A82">
        <w:t>Uzņēmumu ienākuma nodoklis</w:t>
      </w:r>
      <w:bookmarkEnd w:id="70"/>
    </w:p>
    <w:p w14:paraId="64D40AAB" w14:textId="75E2A287" w:rsidR="00651B6D" w:rsidRPr="008C1377" w:rsidRDefault="00651B6D" w:rsidP="00651B6D">
      <w:pPr>
        <w:rPr>
          <w:szCs w:val="24"/>
        </w:rPr>
      </w:pPr>
      <w:r w:rsidRPr="00CA2EA4">
        <w:rPr>
          <w:szCs w:val="24"/>
        </w:rPr>
        <w:t>Uzņēmumu ienākuma nodokļa</w:t>
      </w:r>
      <w:r w:rsidRPr="008C1377">
        <w:rPr>
          <w:szCs w:val="24"/>
        </w:rPr>
        <w:t xml:space="preserve"> ieņēmumi 2021</w:t>
      </w:r>
      <w:r>
        <w:rPr>
          <w:szCs w:val="24"/>
        </w:rPr>
        <w:t>. gad</w:t>
      </w:r>
      <w:r w:rsidRPr="008C1377">
        <w:rPr>
          <w:szCs w:val="24"/>
        </w:rPr>
        <w:t>a 1.</w:t>
      </w:r>
      <w:r w:rsidR="00316BA7">
        <w:rPr>
          <w:szCs w:val="24"/>
        </w:rPr>
        <w:t xml:space="preserve"> </w:t>
      </w:r>
      <w:r w:rsidRPr="008C1377">
        <w:rPr>
          <w:szCs w:val="24"/>
        </w:rPr>
        <w:t>pusgadā bija 170,5</w:t>
      </w:r>
      <w:r>
        <w:rPr>
          <w:szCs w:val="24"/>
        </w:rPr>
        <w:t> milj.</w:t>
      </w:r>
      <w:r w:rsidRPr="008C1377">
        <w:rPr>
          <w:i/>
          <w:szCs w:val="24"/>
        </w:rPr>
        <w:t> </w:t>
      </w:r>
      <w:r w:rsidRPr="004F46D3">
        <w:rPr>
          <w:i/>
          <w:szCs w:val="24"/>
        </w:rPr>
        <w:t>euro</w:t>
      </w:r>
      <w:r w:rsidRPr="008C1377">
        <w:rPr>
          <w:szCs w:val="24"/>
        </w:rPr>
        <w:t>, kas salīdzinājumā ar 2020</w:t>
      </w:r>
      <w:r>
        <w:rPr>
          <w:szCs w:val="24"/>
        </w:rPr>
        <w:t>. gad</w:t>
      </w:r>
      <w:r w:rsidRPr="008C1377">
        <w:rPr>
          <w:szCs w:val="24"/>
        </w:rPr>
        <w:t>a attiecīgo periodu ir palielinājušies par 60,2</w:t>
      </w:r>
      <w:r>
        <w:rPr>
          <w:szCs w:val="24"/>
        </w:rPr>
        <w:t> milj.</w:t>
      </w:r>
      <w:r w:rsidRPr="008C1377">
        <w:rPr>
          <w:i/>
          <w:szCs w:val="24"/>
        </w:rPr>
        <w:t> </w:t>
      </w:r>
      <w:r w:rsidRPr="004F46D3">
        <w:rPr>
          <w:i/>
          <w:szCs w:val="24"/>
        </w:rPr>
        <w:t>euro</w:t>
      </w:r>
      <w:r w:rsidRPr="008C1377">
        <w:rPr>
          <w:szCs w:val="24"/>
        </w:rPr>
        <w:t xml:space="preserve"> jeb par 54,5</w:t>
      </w:r>
      <w:r>
        <w:rPr>
          <w:szCs w:val="24"/>
        </w:rPr>
        <w:t xml:space="preserve"> procentiem</w:t>
      </w:r>
      <w:r w:rsidRPr="008C1377">
        <w:rPr>
          <w:szCs w:val="24"/>
        </w:rPr>
        <w:t xml:space="preserve">. Ieņēmumu palielinājums </w:t>
      </w:r>
      <w:r w:rsidRPr="008C1377">
        <w:rPr>
          <w:bCs/>
          <w:szCs w:val="24"/>
        </w:rPr>
        <w:t xml:space="preserve">skaidrojams ar </w:t>
      </w:r>
      <w:r w:rsidRPr="008C1377">
        <w:t xml:space="preserve">sadalītās pelņas apmēra pieaugumu, vienlaikus </w:t>
      </w:r>
      <w:r w:rsidRPr="008C1377">
        <w:rPr>
          <w:bCs/>
          <w:szCs w:val="24"/>
        </w:rPr>
        <w:t>būtiski samazinoties nodokļa atmaksu apmēram (</w:t>
      </w:r>
      <w:r w:rsidRPr="008C1377">
        <w:rPr>
          <w:szCs w:val="24"/>
        </w:rPr>
        <w:t>2021</w:t>
      </w:r>
      <w:r>
        <w:rPr>
          <w:szCs w:val="24"/>
        </w:rPr>
        <w:t>. gad</w:t>
      </w:r>
      <w:r w:rsidRPr="008C1377">
        <w:rPr>
          <w:szCs w:val="24"/>
        </w:rPr>
        <w:t xml:space="preserve">a 1.pusgadā </w:t>
      </w:r>
      <w:r w:rsidRPr="008C1377">
        <w:rPr>
          <w:bCs/>
          <w:szCs w:val="24"/>
        </w:rPr>
        <w:t>atmaksas veidoja vien 4,7</w:t>
      </w:r>
      <w:r>
        <w:rPr>
          <w:bCs/>
          <w:szCs w:val="24"/>
        </w:rPr>
        <w:t> milj. </w:t>
      </w:r>
      <w:r w:rsidRPr="004F46D3">
        <w:rPr>
          <w:bCs/>
          <w:i/>
          <w:szCs w:val="24"/>
        </w:rPr>
        <w:t>euro</w:t>
      </w:r>
      <w:r w:rsidRPr="008C1377">
        <w:rPr>
          <w:bCs/>
          <w:szCs w:val="24"/>
        </w:rPr>
        <w:t xml:space="preserve">). Pusgada plāns pārpildīts par </w:t>
      </w:r>
      <w:r w:rsidRPr="008C1377">
        <w:rPr>
          <w:szCs w:val="24"/>
        </w:rPr>
        <w:t>24,9</w:t>
      </w:r>
      <w:r>
        <w:rPr>
          <w:szCs w:val="24"/>
        </w:rPr>
        <w:t> milj.</w:t>
      </w:r>
      <w:r w:rsidRPr="008C1377">
        <w:rPr>
          <w:i/>
          <w:szCs w:val="24"/>
        </w:rPr>
        <w:t> </w:t>
      </w:r>
      <w:r w:rsidRPr="004F46D3">
        <w:rPr>
          <w:i/>
          <w:szCs w:val="24"/>
        </w:rPr>
        <w:t>euro</w:t>
      </w:r>
      <w:r w:rsidRPr="008C1377">
        <w:rPr>
          <w:bCs/>
          <w:szCs w:val="24"/>
        </w:rPr>
        <w:t xml:space="preserve"> jeb 17,1</w:t>
      </w:r>
      <w:r w:rsidRPr="008C1377">
        <w:rPr>
          <w:noProof/>
          <w:szCs w:val="24"/>
        </w:rPr>
        <w:t>%</w:t>
      </w:r>
      <w:r w:rsidRPr="008C1377">
        <w:rPr>
          <w:bCs/>
          <w:szCs w:val="24"/>
        </w:rPr>
        <w:t xml:space="preserve">, kā iemeslu minot </w:t>
      </w:r>
      <w:r w:rsidRPr="008C1377">
        <w:t>sadalītās pelņas apmēra pieaugumu, kas pieaug straujāk par iepriekš prognozēto</w:t>
      </w:r>
      <w:r w:rsidRPr="008C1377">
        <w:rPr>
          <w:szCs w:val="24"/>
        </w:rPr>
        <w:t xml:space="preserve">. </w:t>
      </w:r>
      <w:r w:rsidRPr="008C1377">
        <w:t>Ņemot vērā pirmā pusgada izpildi un makroekonomisko rādītāju izmaiņas, 2021</w:t>
      </w:r>
      <w:r>
        <w:t>. gad</w:t>
      </w:r>
      <w:r w:rsidRPr="008C1377">
        <w:t>a uzņēmumu ienākuma nodokļa prognoze tika palielināta par 11,1</w:t>
      </w:r>
      <w:r>
        <w:t> milj.</w:t>
      </w:r>
      <w:r w:rsidRPr="008C1377">
        <w:rPr>
          <w:i/>
        </w:rPr>
        <w:t> </w:t>
      </w:r>
      <w:r w:rsidRPr="004F46D3">
        <w:rPr>
          <w:i/>
        </w:rPr>
        <w:t>euro</w:t>
      </w:r>
      <w:r w:rsidRPr="008C1377">
        <w:t xml:space="preserve"> jeb par 4,2%, salīdzinot ar plānu.</w:t>
      </w:r>
    </w:p>
    <w:p w14:paraId="35AA2840" w14:textId="77777777" w:rsidR="00651B6D" w:rsidRPr="008C1377" w:rsidRDefault="00651B6D" w:rsidP="00651B6D">
      <w:r w:rsidRPr="008C1377">
        <w:rPr>
          <w:szCs w:val="24"/>
        </w:rPr>
        <w:t>Kopš 2018</w:t>
      </w:r>
      <w:r>
        <w:rPr>
          <w:szCs w:val="24"/>
        </w:rPr>
        <w:t>. gad</w:t>
      </w:r>
      <w:r w:rsidRPr="008C1377">
        <w:rPr>
          <w:szCs w:val="24"/>
        </w:rPr>
        <w:t xml:space="preserve">a uzņēmumu ienākuma nodoklis piedzīvoja būtiskas pārmaiņas </w:t>
      </w:r>
      <w:r>
        <w:t>–</w:t>
      </w:r>
      <w:r w:rsidRPr="008C1377">
        <w:rPr>
          <w:szCs w:val="24"/>
        </w:rPr>
        <w:t xml:space="preserve"> nodoklis</w:t>
      </w:r>
      <w:r>
        <w:rPr>
          <w:szCs w:val="24"/>
        </w:rPr>
        <w:t xml:space="preserve"> </w:t>
      </w:r>
      <w:r w:rsidRPr="008C1377">
        <w:rPr>
          <w:szCs w:val="24"/>
        </w:rPr>
        <w:t>tiek maksāts peļņas sadales un tai pielīdzināmos gadījumos. S</w:t>
      </w:r>
      <w:r w:rsidRPr="008C1377">
        <w:t>ākot ar 2018</w:t>
      </w:r>
      <w:r>
        <w:t>. gad</w:t>
      </w:r>
      <w:r w:rsidRPr="008C1377">
        <w:t xml:space="preserve">a jūliju, ir būtiski mainījusies deklarācijas iesniegšanas kārtība – tā ir jāiesniedz par katru mēnesi, ja tajā </w:t>
      </w:r>
      <w:r w:rsidRPr="008C1377">
        <w:lastRenderedPageBreak/>
        <w:t xml:space="preserve">ir izveidojušies ar nodokli apliekami ienākumi. </w:t>
      </w:r>
      <w:r w:rsidRPr="008C1377">
        <w:rPr>
          <w:bCs/>
        </w:rPr>
        <w:t>2021</w:t>
      </w:r>
      <w:r>
        <w:rPr>
          <w:bCs/>
        </w:rPr>
        <w:t>. gad</w:t>
      </w:r>
      <w:r w:rsidRPr="008C1377">
        <w:rPr>
          <w:bCs/>
        </w:rPr>
        <w:t xml:space="preserve">a pirmajā pusgadā </w:t>
      </w:r>
      <w:r w:rsidRPr="008C1377">
        <w:t>visvairāk deklarētas dividendes vai dividendēm pielīdzinātas izmaksas 1 098,3</w:t>
      </w:r>
      <w:r>
        <w:t> milj.</w:t>
      </w:r>
      <w:r w:rsidRPr="008C1377">
        <w:rPr>
          <w:i/>
        </w:rPr>
        <w:t> </w:t>
      </w:r>
      <w:r w:rsidRPr="004F46D3">
        <w:rPr>
          <w:i/>
        </w:rPr>
        <w:t>euro</w:t>
      </w:r>
      <w:r w:rsidRPr="008C1377">
        <w:t>, bet nosacīti sadalītā peļņa 32,5</w:t>
      </w:r>
      <w:r>
        <w:t> milj.</w:t>
      </w:r>
      <w:r w:rsidRPr="008C1377">
        <w:rPr>
          <w:i/>
        </w:rPr>
        <w:t> </w:t>
      </w:r>
      <w:r w:rsidRPr="004F46D3">
        <w:rPr>
          <w:i/>
        </w:rPr>
        <w:t>euro</w:t>
      </w:r>
      <w:r w:rsidRPr="008C1377">
        <w:rPr>
          <w:bCs/>
          <w:i/>
        </w:rPr>
        <w:t xml:space="preserve"> </w:t>
      </w:r>
      <w:r w:rsidRPr="008C1377">
        <w:rPr>
          <w:bCs/>
        </w:rPr>
        <w:t>apmērā</w:t>
      </w:r>
      <w:r w:rsidRPr="008C1377">
        <w:t>. Jāpiebilst, ka, salīdzinot ar 2020</w:t>
      </w:r>
      <w:r>
        <w:t>. gad</w:t>
      </w:r>
      <w:r w:rsidRPr="008C1377">
        <w:t xml:space="preserve">a </w:t>
      </w:r>
      <w:r w:rsidRPr="008C1377">
        <w:rPr>
          <w:bCs/>
        </w:rPr>
        <w:t>pirmo pusgadu</w:t>
      </w:r>
      <w:r w:rsidRPr="008C1377">
        <w:t>, dividenžu izmaksas pieaugušas 40,3</w:t>
      </w:r>
      <w:r w:rsidRPr="008C1377">
        <w:rPr>
          <w:noProof/>
        </w:rPr>
        <w:t>%</w:t>
      </w:r>
      <w:r w:rsidRPr="008C1377">
        <w:t>, bet nosacīti sadalītā peļņa ir samazinājusies par 23,5</w:t>
      </w:r>
      <w:r>
        <w:rPr>
          <w:noProof/>
        </w:rPr>
        <w:t> procent</w:t>
      </w:r>
      <w:r w:rsidRPr="008C1377">
        <w:rPr>
          <w:noProof/>
        </w:rPr>
        <w:t>iem</w:t>
      </w:r>
      <w:r w:rsidRPr="008C1377">
        <w:t xml:space="preserve">. Šajā periodā deklarēto dividenžu vai tām pielīdzinātās izmaksas visbūtiskāk pieaugušas </w:t>
      </w:r>
      <w:r w:rsidRPr="008C1377">
        <w:rPr>
          <w:i/>
        </w:rPr>
        <w:t xml:space="preserve">Finanšu pakalpojumu darbību, izņemot apdrošināšanu un pensiju uzkrāšanu, Datoru, elektronisko un optisko iekārtu ražošanas </w:t>
      </w:r>
      <w:r w:rsidRPr="008C1377">
        <w:t>un</w:t>
      </w:r>
      <w:r w:rsidRPr="008C1377">
        <w:rPr>
          <w:i/>
        </w:rPr>
        <w:t xml:space="preserve"> Telekomunikācijas</w:t>
      </w:r>
      <w:r w:rsidRPr="008C1377">
        <w:t xml:space="preserve"> nozarēs – attiecīgi par 83,5</w:t>
      </w:r>
      <w:r>
        <w:t> milj.</w:t>
      </w:r>
      <w:r w:rsidRPr="008C1377">
        <w:rPr>
          <w:i/>
        </w:rPr>
        <w:t> </w:t>
      </w:r>
      <w:r w:rsidRPr="004F46D3">
        <w:rPr>
          <w:i/>
        </w:rPr>
        <w:t>euro</w:t>
      </w:r>
      <w:r w:rsidRPr="008C1377">
        <w:rPr>
          <w:i/>
        </w:rPr>
        <w:t xml:space="preserve">, </w:t>
      </w:r>
      <w:r w:rsidRPr="008C1377">
        <w:t>73,7</w:t>
      </w:r>
      <w:r>
        <w:t> milj.</w:t>
      </w:r>
      <w:r w:rsidRPr="008C1377">
        <w:rPr>
          <w:i/>
        </w:rPr>
        <w:t> </w:t>
      </w:r>
      <w:r w:rsidRPr="004F46D3">
        <w:rPr>
          <w:i/>
        </w:rPr>
        <w:t>euro</w:t>
      </w:r>
      <w:r w:rsidRPr="008C1377">
        <w:rPr>
          <w:i/>
        </w:rPr>
        <w:t xml:space="preserve"> </w:t>
      </w:r>
      <w:r w:rsidRPr="008C1377">
        <w:t>un 26,7</w:t>
      </w:r>
      <w:r>
        <w:t> milj.</w:t>
      </w:r>
      <w:r w:rsidRPr="008C1377">
        <w:rPr>
          <w:i/>
        </w:rPr>
        <w:t> </w:t>
      </w:r>
      <w:r w:rsidRPr="004F46D3">
        <w:rPr>
          <w:i/>
        </w:rPr>
        <w:t>euro</w:t>
      </w:r>
      <w:r w:rsidRPr="008C1377">
        <w:rPr>
          <w:i/>
        </w:rPr>
        <w:t>.</w:t>
      </w:r>
      <w:r w:rsidRPr="008C1377">
        <w:t xml:space="preserve"> </w:t>
      </w:r>
    </w:p>
    <w:p w14:paraId="5BD6E8D4" w14:textId="77777777" w:rsidR="00651B6D" w:rsidRPr="00300850" w:rsidRDefault="00651B6D" w:rsidP="00651B6D">
      <w:pPr>
        <w:rPr>
          <w:szCs w:val="24"/>
        </w:rPr>
      </w:pPr>
      <w:r w:rsidRPr="00300850">
        <w:t>Saskaņā ar likumprojektu „Par vidēja termiņa budžeta ietvaru 2022., 2023. un 2024</w:t>
      </w:r>
      <w:r>
        <w:t>. gad</w:t>
      </w:r>
      <w:r w:rsidRPr="00300850">
        <w:t>am” 2022</w:t>
      </w:r>
      <w:r>
        <w:t>. gad</w:t>
      </w:r>
      <w:r w:rsidRPr="00300850">
        <w:t xml:space="preserve">ā </w:t>
      </w:r>
      <w:r w:rsidRPr="00300850">
        <w:rPr>
          <w:szCs w:val="24"/>
        </w:rPr>
        <w:t>uzņēmumu ienākuma nodokļa</w:t>
      </w:r>
      <w:r w:rsidRPr="00300850">
        <w:t xml:space="preserve"> ieņēmumi tiek plānoti 316,4</w:t>
      </w:r>
      <w:r>
        <w:t> milj.</w:t>
      </w:r>
      <w:r w:rsidRPr="00300850">
        <w:rPr>
          <w:i/>
        </w:rPr>
        <w:t> </w:t>
      </w:r>
      <w:r w:rsidRPr="004F46D3">
        <w:rPr>
          <w:i/>
        </w:rPr>
        <w:t>euro</w:t>
      </w:r>
      <w:r w:rsidRPr="00300850">
        <w:t>, 2023</w:t>
      </w:r>
      <w:r>
        <w:t>. gad</w:t>
      </w:r>
      <w:r w:rsidRPr="00300850">
        <w:t>ā 330,0</w:t>
      </w:r>
      <w:r>
        <w:t> milj.</w:t>
      </w:r>
      <w:r w:rsidRPr="00300850">
        <w:rPr>
          <w:i/>
        </w:rPr>
        <w:t> </w:t>
      </w:r>
      <w:r w:rsidRPr="004F46D3">
        <w:rPr>
          <w:i/>
        </w:rPr>
        <w:t>euro</w:t>
      </w:r>
      <w:r w:rsidRPr="00300850">
        <w:t xml:space="preserve"> un 2024</w:t>
      </w:r>
      <w:r>
        <w:t>. gad</w:t>
      </w:r>
      <w:r w:rsidRPr="00300850">
        <w:t>ā 345,0</w:t>
      </w:r>
      <w:r>
        <w:t> milj.</w:t>
      </w:r>
      <w:r w:rsidRPr="00300850">
        <w:rPr>
          <w:i/>
        </w:rPr>
        <w:t> </w:t>
      </w:r>
      <w:r w:rsidRPr="004F46D3">
        <w:rPr>
          <w:i/>
        </w:rPr>
        <w:t>euro</w:t>
      </w:r>
      <w:r w:rsidRPr="00300850">
        <w:t xml:space="preserve"> apmērā</w:t>
      </w:r>
      <w:r w:rsidRPr="00300850">
        <w:rPr>
          <w:szCs w:val="24"/>
        </w:rPr>
        <w:t>.</w:t>
      </w:r>
      <w:r>
        <w:rPr>
          <w:szCs w:val="24"/>
        </w:rPr>
        <w:t xml:space="preserve"> </w:t>
      </w:r>
      <w:r w:rsidRPr="00300850">
        <w:t xml:space="preserve">Uzņēmumu ienākuma nodokļa ieņēmumu plānu </w:t>
      </w:r>
      <w:r w:rsidRPr="00300850">
        <w:rPr>
          <w:szCs w:val="24"/>
        </w:rPr>
        <w:t>vidējā termiņā galvenokārt ietekmēs nodokļa apmēra par peļņas sadali pieauguma tendences, 2021</w:t>
      </w:r>
      <w:r>
        <w:rPr>
          <w:szCs w:val="24"/>
        </w:rPr>
        <w:t>. gad</w:t>
      </w:r>
      <w:r w:rsidRPr="00300850">
        <w:rPr>
          <w:szCs w:val="24"/>
        </w:rPr>
        <w:t>a pirmā pusgada izpilde, kā arī 3.1</w:t>
      </w:r>
      <w:r>
        <w:rPr>
          <w:szCs w:val="24"/>
        </w:rPr>
        <w:t>. sada</w:t>
      </w:r>
      <w:r w:rsidRPr="00300850">
        <w:rPr>
          <w:szCs w:val="24"/>
        </w:rPr>
        <w:t>ļā minētie pasākumi.</w:t>
      </w:r>
    </w:p>
    <w:p w14:paraId="5EAEF517" w14:textId="77777777" w:rsidR="00651B6D" w:rsidRPr="005E5F40" w:rsidRDefault="00651B6D" w:rsidP="00316BA7">
      <w:pPr>
        <w:keepNext/>
        <w:spacing w:before="120"/>
        <w:ind w:firstLine="0"/>
        <w:jc w:val="right"/>
        <w:rPr>
          <w:b/>
          <w:i/>
          <w:szCs w:val="24"/>
        </w:rPr>
      </w:pPr>
      <w:r w:rsidRPr="005E5F40">
        <w:rPr>
          <w:b/>
          <w:i/>
          <w:szCs w:val="24"/>
        </w:rPr>
        <w:t>3.6</w:t>
      </w:r>
      <w:r>
        <w:rPr>
          <w:b/>
          <w:i/>
          <w:szCs w:val="24"/>
        </w:rPr>
        <w:t>. tab</w:t>
      </w:r>
      <w:r w:rsidRPr="005E5F40">
        <w:rPr>
          <w:b/>
          <w:i/>
          <w:szCs w:val="24"/>
        </w:rPr>
        <w:t>ula. Uzņēmuma ienākuma nodokļa ieņēmumi</w:t>
      </w:r>
    </w:p>
    <w:tbl>
      <w:tblPr>
        <w:tblW w:w="5000" w:type="pct"/>
        <w:jc w:val="center"/>
        <w:tblLayout w:type="fixed"/>
        <w:tblLook w:val="04A0" w:firstRow="1" w:lastRow="0" w:firstColumn="1" w:lastColumn="0" w:noHBand="0" w:noVBand="1"/>
      </w:tblPr>
      <w:tblGrid>
        <w:gridCol w:w="5382"/>
        <w:gridCol w:w="919"/>
        <w:gridCol w:w="920"/>
        <w:gridCol w:w="920"/>
        <w:gridCol w:w="920"/>
      </w:tblGrid>
      <w:tr w:rsidR="00651B6D" w:rsidRPr="005E5F40" w14:paraId="56F3712E" w14:textId="77777777" w:rsidTr="00651B6D">
        <w:trPr>
          <w:trHeight w:val="144"/>
          <w:jc w:val="center"/>
        </w:trPr>
        <w:tc>
          <w:tcPr>
            <w:tcW w:w="538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78FD58A8" w14:textId="77777777" w:rsidR="00651B6D" w:rsidRPr="005E5F40" w:rsidRDefault="00651B6D" w:rsidP="00651B6D">
            <w:pPr>
              <w:keepNext/>
              <w:keepLines/>
              <w:ind w:firstLine="0"/>
              <w:jc w:val="center"/>
              <w:rPr>
                <w:color w:val="000000"/>
                <w:sz w:val="18"/>
                <w:szCs w:val="18"/>
              </w:rPr>
            </w:pPr>
          </w:p>
        </w:tc>
        <w:tc>
          <w:tcPr>
            <w:tcW w:w="919" w:type="dxa"/>
            <w:tcBorders>
              <w:top w:val="single" w:sz="4" w:space="0" w:color="auto"/>
              <w:left w:val="nil"/>
              <w:bottom w:val="single" w:sz="4" w:space="0" w:color="auto"/>
              <w:right w:val="single" w:sz="4" w:space="0" w:color="000000"/>
            </w:tcBorders>
            <w:shd w:val="clear" w:color="auto" w:fill="9CC2E5" w:themeFill="accent1" w:themeFillTint="99"/>
            <w:vAlign w:val="center"/>
          </w:tcPr>
          <w:p w14:paraId="2A3F150D" w14:textId="77777777" w:rsidR="00651B6D" w:rsidRPr="005E5F40" w:rsidRDefault="00651B6D" w:rsidP="00651B6D">
            <w:pPr>
              <w:keepNext/>
              <w:keepLines/>
              <w:ind w:firstLine="0"/>
              <w:jc w:val="center"/>
              <w:rPr>
                <w:b/>
                <w:color w:val="000000"/>
                <w:sz w:val="18"/>
                <w:szCs w:val="18"/>
              </w:rPr>
            </w:pPr>
            <w:r w:rsidRPr="005E5F40">
              <w:rPr>
                <w:b/>
                <w:color w:val="000000"/>
                <w:sz w:val="18"/>
                <w:szCs w:val="18"/>
              </w:rPr>
              <w:t>2021</w:t>
            </w:r>
          </w:p>
        </w:tc>
        <w:tc>
          <w:tcPr>
            <w:tcW w:w="920" w:type="dxa"/>
            <w:tcBorders>
              <w:top w:val="single" w:sz="4" w:space="0" w:color="auto"/>
              <w:left w:val="nil"/>
              <w:bottom w:val="single" w:sz="4" w:space="0" w:color="auto"/>
              <w:right w:val="single" w:sz="4" w:space="0" w:color="000000"/>
            </w:tcBorders>
            <w:shd w:val="clear" w:color="auto" w:fill="9CC2E5" w:themeFill="accent1" w:themeFillTint="99"/>
            <w:vAlign w:val="center"/>
          </w:tcPr>
          <w:p w14:paraId="51175C7A" w14:textId="77777777" w:rsidR="00651B6D" w:rsidRPr="005E5F40" w:rsidRDefault="00651B6D" w:rsidP="00651B6D">
            <w:pPr>
              <w:keepNext/>
              <w:keepLines/>
              <w:ind w:firstLine="0"/>
              <w:jc w:val="center"/>
              <w:rPr>
                <w:b/>
                <w:color w:val="000000"/>
                <w:sz w:val="18"/>
                <w:szCs w:val="18"/>
              </w:rPr>
            </w:pPr>
            <w:r w:rsidRPr="005E5F40">
              <w:rPr>
                <w:b/>
                <w:color w:val="000000"/>
                <w:sz w:val="18"/>
                <w:szCs w:val="18"/>
              </w:rPr>
              <w:t>2022</w:t>
            </w:r>
          </w:p>
        </w:tc>
        <w:tc>
          <w:tcPr>
            <w:tcW w:w="920" w:type="dxa"/>
            <w:tcBorders>
              <w:top w:val="single" w:sz="4" w:space="0" w:color="auto"/>
              <w:left w:val="nil"/>
              <w:bottom w:val="single" w:sz="4" w:space="0" w:color="auto"/>
              <w:right w:val="single" w:sz="4" w:space="0" w:color="000000"/>
            </w:tcBorders>
            <w:shd w:val="clear" w:color="auto" w:fill="9CC2E5" w:themeFill="accent1" w:themeFillTint="99"/>
            <w:vAlign w:val="center"/>
          </w:tcPr>
          <w:p w14:paraId="08439C79" w14:textId="77777777" w:rsidR="00651B6D" w:rsidRPr="005E5F40" w:rsidRDefault="00651B6D" w:rsidP="00651B6D">
            <w:pPr>
              <w:keepNext/>
              <w:keepLines/>
              <w:ind w:firstLine="0"/>
              <w:jc w:val="center"/>
              <w:rPr>
                <w:b/>
                <w:color w:val="000000"/>
                <w:sz w:val="18"/>
                <w:szCs w:val="18"/>
              </w:rPr>
            </w:pPr>
            <w:r w:rsidRPr="005E5F40">
              <w:rPr>
                <w:b/>
                <w:color w:val="000000"/>
                <w:sz w:val="18"/>
                <w:szCs w:val="18"/>
              </w:rPr>
              <w:t>2023</w:t>
            </w:r>
          </w:p>
        </w:tc>
        <w:tc>
          <w:tcPr>
            <w:tcW w:w="92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24D693DE" w14:textId="77777777" w:rsidR="00651B6D" w:rsidRPr="005E5F40" w:rsidRDefault="00651B6D" w:rsidP="00651B6D">
            <w:pPr>
              <w:keepNext/>
              <w:keepLines/>
              <w:ind w:firstLine="0"/>
              <w:jc w:val="center"/>
              <w:rPr>
                <w:b/>
                <w:color w:val="000000"/>
                <w:sz w:val="18"/>
                <w:szCs w:val="18"/>
              </w:rPr>
            </w:pPr>
            <w:r w:rsidRPr="005E5F40">
              <w:rPr>
                <w:b/>
                <w:color w:val="000000"/>
                <w:sz w:val="18"/>
                <w:szCs w:val="18"/>
              </w:rPr>
              <w:t>2024</w:t>
            </w:r>
          </w:p>
        </w:tc>
      </w:tr>
      <w:tr w:rsidR="00651B6D" w:rsidRPr="005E5F40" w14:paraId="310A3799" w14:textId="77777777" w:rsidTr="00651B6D">
        <w:trPr>
          <w:trHeight w:val="136"/>
          <w:jc w:val="center"/>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5449E121" w14:textId="77777777" w:rsidR="00651B6D" w:rsidRPr="005E5F40" w:rsidRDefault="00651B6D" w:rsidP="00651B6D">
            <w:pPr>
              <w:keepNext/>
              <w:keepLines/>
              <w:ind w:firstLine="0"/>
              <w:jc w:val="left"/>
              <w:rPr>
                <w:color w:val="000000"/>
                <w:sz w:val="18"/>
                <w:szCs w:val="18"/>
              </w:rPr>
            </w:pPr>
            <w:r w:rsidRPr="005E5F40">
              <w:rPr>
                <w:color w:val="000000"/>
                <w:sz w:val="18"/>
                <w:szCs w:val="18"/>
              </w:rPr>
              <w:t>Saskaņā ar likumprojektu „Par vidēja termiņa budžeta ietvaru 2022., 2023. un 2024</w:t>
            </w:r>
            <w:r>
              <w:rPr>
                <w:color w:val="000000"/>
                <w:sz w:val="18"/>
                <w:szCs w:val="18"/>
              </w:rPr>
              <w:t>. gad</w:t>
            </w:r>
            <w:r w:rsidRPr="005E5F40">
              <w:rPr>
                <w:color w:val="000000"/>
                <w:sz w:val="18"/>
                <w:szCs w:val="18"/>
              </w:rPr>
              <w:t>am”</w:t>
            </w:r>
            <w:r>
              <w:rPr>
                <w:color w:val="000000"/>
                <w:sz w:val="18"/>
                <w:szCs w:val="18"/>
              </w:rPr>
              <w:t>, milj.</w:t>
            </w:r>
            <w:r w:rsidRPr="005E5F40">
              <w:rPr>
                <w:i/>
                <w:color w:val="000000"/>
                <w:sz w:val="18"/>
                <w:szCs w:val="18"/>
              </w:rPr>
              <w:t> </w:t>
            </w:r>
            <w:r w:rsidRPr="004F46D3">
              <w:rPr>
                <w:i/>
                <w:color w:val="000000"/>
                <w:sz w:val="18"/>
                <w:szCs w:val="18"/>
              </w:rPr>
              <w:t>euro</w:t>
            </w:r>
          </w:p>
        </w:tc>
        <w:tc>
          <w:tcPr>
            <w:tcW w:w="919" w:type="dxa"/>
            <w:tcBorders>
              <w:top w:val="nil"/>
              <w:left w:val="nil"/>
              <w:bottom w:val="single" w:sz="4" w:space="0" w:color="auto"/>
              <w:right w:val="single" w:sz="4" w:space="0" w:color="auto"/>
            </w:tcBorders>
            <w:shd w:val="clear" w:color="auto" w:fill="auto"/>
            <w:noWrap/>
            <w:hideMark/>
          </w:tcPr>
          <w:p w14:paraId="314E8CA6" w14:textId="77777777" w:rsidR="00651B6D" w:rsidRPr="005E5F40" w:rsidRDefault="00651B6D" w:rsidP="00651B6D">
            <w:pPr>
              <w:tabs>
                <w:tab w:val="decimal" w:pos="462"/>
              </w:tabs>
              <w:ind w:firstLine="0"/>
              <w:jc w:val="right"/>
              <w:rPr>
                <w:bCs/>
                <w:color w:val="000000"/>
                <w:sz w:val="18"/>
                <w:szCs w:val="18"/>
              </w:rPr>
            </w:pPr>
            <w:r w:rsidRPr="005E5F40">
              <w:rPr>
                <w:bCs/>
                <w:sz w:val="18"/>
                <w:szCs w:val="18"/>
              </w:rPr>
              <w:t>275,0</w:t>
            </w:r>
            <w:r w:rsidRPr="003B42D2">
              <w:rPr>
                <w:bCs/>
                <w:sz w:val="18"/>
                <w:szCs w:val="18"/>
                <w:vertAlign w:val="superscript"/>
              </w:rPr>
              <w:t>1</w:t>
            </w:r>
          </w:p>
        </w:tc>
        <w:tc>
          <w:tcPr>
            <w:tcW w:w="920" w:type="dxa"/>
            <w:tcBorders>
              <w:top w:val="nil"/>
              <w:left w:val="nil"/>
              <w:bottom w:val="single" w:sz="4" w:space="0" w:color="auto"/>
              <w:right w:val="single" w:sz="4" w:space="0" w:color="auto"/>
            </w:tcBorders>
            <w:shd w:val="clear" w:color="auto" w:fill="auto"/>
            <w:noWrap/>
            <w:hideMark/>
          </w:tcPr>
          <w:p w14:paraId="2D769818" w14:textId="77777777" w:rsidR="00651B6D" w:rsidRPr="005E5F40" w:rsidRDefault="00651B6D" w:rsidP="00651B6D">
            <w:pPr>
              <w:keepNext/>
              <w:keepLines/>
              <w:tabs>
                <w:tab w:val="decimal" w:pos="462"/>
              </w:tabs>
              <w:ind w:firstLine="0"/>
              <w:jc w:val="right"/>
              <w:rPr>
                <w:bCs/>
                <w:color w:val="000000"/>
                <w:sz w:val="18"/>
                <w:szCs w:val="18"/>
              </w:rPr>
            </w:pPr>
            <w:r w:rsidRPr="005E5F40">
              <w:rPr>
                <w:bCs/>
                <w:sz w:val="18"/>
                <w:szCs w:val="18"/>
              </w:rPr>
              <w:t>316,4</w:t>
            </w:r>
          </w:p>
        </w:tc>
        <w:tc>
          <w:tcPr>
            <w:tcW w:w="920" w:type="dxa"/>
            <w:tcBorders>
              <w:top w:val="nil"/>
              <w:left w:val="nil"/>
              <w:bottom w:val="single" w:sz="4" w:space="0" w:color="auto"/>
              <w:right w:val="single" w:sz="4" w:space="0" w:color="auto"/>
            </w:tcBorders>
            <w:shd w:val="clear" w:color="auto" w:fill="auto"/>
            <w:noWrap/>
            <w:hideMark/>
          </w:tcPr>
          <w:p w14:paraId="39B597C0" w14:textId="77777777" w:rsidR="00651B6D" w:rsidRPr="005E5F40" w:rsidRDefault="00651B6D" w:rsidP="00651B6D">
            <w:pPr>
              <w:keepNext/>
              <w:keepLines/>
              <w:tabs>
                <w:tab w:val="decimal" w:pos="462"/>
              </w:tabs>
              <w:ind w:firstLine="0"/>
              <w:jc w:val="right"/>
              <w:rPr>
                <w:bCs/>
                <w:color w:val="000000"/>
                <w:sz w:val="18"/>
                <w:szCs w:val="18"/>
              </w:rPr>
            </w:pPr>
            <w:r w:rsidRPr="005E5F40">
              <w:rPr>
                <w:bCs/>
                <w:sz w:val="18"/>
                <w:szCs w:val="18"/>
              </w:rPr>
              <w:t>330,0</w:t>
            </w:r>
          </w:p>
        </w:tc>
        <w:tc>
          <w:tcPr>
            <w:tcW w:w="920" w:type="dxa"/>
            <w:tcBorders>
              <w:top w:val="nil"/>
              <w:left w:val="nil"/>
              <w:bottom w:val="single" w:sz="4" w:space="0" w:color="auto"/>
              <w:right w:val="single" w:sz="4" w:space="0" w:color="auto"/>
            </w:tcBorders>
            <w:shd w:val="clear" w:color="auto" w:fill="auto"/>
            <w:noWrap/>
            <w:hideMark/>
          </w:tcPr>
          <w:p w14:paraId="068B8216" w14:textId="77777777" w:rsidR="00651B6D" w:rsidRPr="005E5F40" w:rsidRDefault="00651B6D" w:rsidP="00651B6D">
            <w:pPr>
              <w:keepNext/>
              <w:keepLines/>
              <w:tabs>
                <w:tab w:val="decimal" w:pos="462"/>
              </w:tabs>
              <w:ind w:firstLine="0"/>
              <w:jc w:val="right"/>
              <w:rPr>
                <w:bCs/>
                <w:color w:val="000000"/>
                <w:sz w:val="18"/>
                <w:szCs w:val="18"/>
              </w:rPr>
            </w:pPr>
            <w:r w:rsidRPr="005E5F40">
              <w:rPr>
                <w:bCs/>
                <w:sz w:val="18"/>
                <w:szCs w:val="18"/>
              </w:rPr>
              <w:t>345,0</w:t>
            </w:r>
          </w:p>
        </w:tc>
      </w:tr>
      <w:tr w:rsidR="00651B6D" w:rsidRPr="005E5F40" w14:paraId="3ADB20D8" w14:textId="77777777" w:rsidTr="00651B6D">
        <w:trPr>
          <w:trHeight w:val="338"/>
          <w:jc w:val="center"/>
        </w:trPr>
        <w:tc>
          <w:tcPr>
            <w:tcW w:w="5382" w:type="dxa"/>
            <w:tcBorders>
              <w:top w:val="nil"/>
              <w:left w:val="single" w:sz="4" w:space="0" w:color="auto"/>
              <w:bottom w:val="single" w:sz="4" w:space="0" w:color="auto"/>
              <w:right w:val="single" w:sz="4" w:space="0" w:color="auto"/>
            </w:tcBorders>
            <w:shd w:val="clear" w:color="auto" w:fill="auto"/>
            <w:vAlign w:val="center"/>
          </w:tcPr>
          <w:p w14:paraId="7003A57F" w14:textId="77777777" w:rsidR="00651B6D" w:rsidRPr="005E5F40" w:rsidRDefault="00651B6D" w:rsidP="00651B6D">
            <w:pPr>
              <w:keepNext/>
              <w:keepLines/>
              <w:ind w:firstLine="0"/>
              <w:jc w:val="left"/>
              <w:rPr>
                <w:i/>
                <w:color w:val="000000"/>
                <w:sz w:val="18"/>
                <w:szCs w:val="18"/>
              </w:rPr>
            </w:pPr>
            <w:r w:rsidRPr="005E5F40">
              <w:rPr>
                <w:color w:val="000000"/>
                <w:sz w:val="18"/>
                <w:szCs w:val="18"/>
              </w:rPr>
              <w:t>S</w:t>
            </w:r>
            <w:r w:rsidRPr="005E5F40">
              <w:rPr>
                <w:iCs/>
                <w:color w:val="000000"/>
                <w:sz w:val="18"/>
                <w:szCs w:val="18"/>
              </w:rPr>
              <w:t>askaņā ar likumprojektu „Par vidēja termiņa budžeta ietvaru 2021., 2022. un 2023</w:t>
            </w:r>
            <w:r>
              <w:rPr>
                <w:iCs/>
                <w:color w:val="000000"/>
                <w:sz w:val="18"/>
                <w:szCs w:val="18"/>
              </w:rPr>
              <w:t>. gad</w:t>
            </w:r>
            <w:r w:rsidRPr="005E5F40">
              <w:rPr>
                <w:iCs/>
                <w:color w:val="000000"/>
                <w:sz w:val="18"/>
                <w:szCs w:val="18"/>
              </w:rPr>
              <w:t>am”</w:t>
            </w:r>
            <w:r>
              <w:rPr>
                <w:color w:val="000000"/>
                <w:sz w:val="18"/>
                <w:szCs w:val="18"/>
              </w:rPr>
              <w:t>, milj.</w:t>
            </w:r>
            <w:r w:rsidRPr="005E5F40">
              <w:rPr>
                <w:i/>
                <w:color w:val="000000"/>
                <w:sz w:val="18"/>
                <w:szCs w:val="18"/>
              </w:rPr>
              <w:t> </w:t>
            </w:r>
            <w:r w:rsidRPr="004F46D3">
              <w:rPr>
                <w:i/>
                <w:color w:val="000000"/>
                <w:sz w:val="18"/>
                <w:szCs w:val="18"/>
              </w:rPr>
              <w:t>euro</w:t>
            </w:r>
          </w:p>
        </w:tc>
        <w:tc>
          <w:tcPr>
            <w:tcW w:w="919" w:type="dxa"/>
            <w:tcBorders>
              <w:top w:val="nil"/>
              <w:left w:val="nil"/>
              <w:bottom w:val="single" w:sz="4" w:space="0" w:color="auto"/>
              <w:right w:val="single" w:sz="4" w:space="0" w:color="auto"/>
            </w:tcBorders>
            <w:shd w:val="clear" w:color="auto" w:fill="auto"/>
            <w:noWrap/>
          </w:tcPr>
          <w:p w14:paraId="56F0ECD3" w14:textId="77777777" w:rsidR="00651B6D" w:rsidRPr="005E5F40" w:rsidRDefault="00651B6D" w:rsidP="00651B6D">
            <w:pPr>
              <w:keepNext/>
              <w:keepLines/>
              <w:tabs>
                <w:tab w:val="decimal" w:pos="462"/>
              </w:tabs>
              <w:ind w:firstLine="0"/>
              <w:jc w:val="right"/>
              <w:rPr>
                <w:bCs/>
                <w:color w:val="000000"/>
                <w:sz w:val="18"/>
                <w:szCs w:val="18"/>
              </w:rPr>
            </w:pPr>
            <w:r w:rsidRPr="005E5F40">
              <w:rPr>
                <w:bCs/>
                <w:sz w:val="18"/>
                <w:szCs w:val="18"/>
              </w:rPr>
              <w:t>263,9</w:t>
            </w:r>
          </w:p>
        </w:tc>
        <w:tc>
          <w:tcPr>
            <w:tcW w:w="920" w:type="dxa"/>
            <w:tcBorders>
              <w:top w:val="nil"/>
              <w:left w:val="nil"/>
              <w:bottom w:val="single" w:sz="4" w:space="0" w:color="auto"/>
              <w:right w:val="single" w:sz="4" w:space="0" w:color="auto"/>
            </w:tcBorders>
            <w:shd w:val="clear" w:color="auto" w:fill="auto"/>
            <w:noWrap/>
          </w:tcPr>
          <w:p w14:paraId="73BA45DF" w14:textId="77777777" w:rsidR="00651B6D" w:rsidRPr="005E5F40" w:rsidRDefault="00651B6D" w:rsidP="00651B6D">
            <w:pPr>
              <w:keepNext/>
              <w:keepLines/>
              <w:tabs>
                <w:tab w:val="decimal" w:pos="462"/>
              </w:tabs>
              <w:ind w:firstLine="0"/>
              <w:jc w:val="right"/>
              <w:rPr>
                <w:bCs/>
                <w:color w:val="000000"/>
                <w:sz w:val="18"/>
                <w:szCs w:val="18"/>
              </w:rPr>
            </w:pPr>
            <w:r w:rsidRPr="005E5F40">
              <w:rPr>
                <w:bCs/>
                <w:sz w:val="18"/>
                <w:szCs w:val="18"/>
              </w:rPr>
              <w:t>308,5</w:t>
            </w:r>
          </w:p>
        </w:tc>
        <w:tc>
          <w:tcPr>
            <w:tcW w:w="920" w:type="dxa"/>
            <w:tcBorders>
              <w:top w:val="nil"/>
              <w:left w:val="nil"/>
              <w:bottom w:val="single" w:sz="4" w:space="0" w:color="auto"/>
              <w:right w:val="single" w:sz="4" w:space="0" w:color="auto"/>
            </w:tcBorders>
            <w:shd w:val="clear" w:color="auto" w:fill="auto"/>
            <w:noWrap/>
          </w:tcPr>
          <w:p w14:paraId="4C177971" w14:textId="77777777" w:rsidR="00651B6D" w:rsidRPr="005E5F40" w:rsidRDefault="00651B6D" w:rsidP="00651B6D">
            <w:pPr>
              <w:keepNext/>
              <w:keepLines/>
              <w:tabs>
                <w:tab w:val="decimal" w:pos="462"/>
              </w:tabs>
              <w:ind w:firstLine="0"/>
              <w:jc w:val="right"/>
              <w:rPr>
                <w:bCs/>
                <w:color w:val="000000"/>
                <w:sz w:val="18"/>
                <w:szCs w:val="18"/>
              </w:rPr>
            </w:pPr>
            <w:r w:rsidRPr="005E5F40">
              <w:rPr>
                <w:bCs/>
                <w:sz w:val="18"/>
                <w:szCs w:val="18"/>
              </w:rPr>
              <w:t>315,2</w:t>
            </w:r>
          </w:p>
        </w:tc>
        <w:tc>
          <w:tcPr>
            <w:tcW w:w="920" w:type="dxa"/>
            <w:tcBorders>
              <w:top w:val="nil"/>
              <w:left w:val="nil"/>
              <w:bottom w:val="single" w:sz="4" w:space="0" w:color="auto"/>
              <w:right w:val="single" w:sz="4" w:space="0" w:color="auto"/>
            </w:tcBorders>
            <w:shd w:val="clear" w:color="auto" w:fill="auto"/>
            <w:noWrap/>
          </w:tcPr>
          <w:p w14:paraId="3B9AC096" w14:textId="77777777" w:rsidR="00651B6D" w:rsidRPr="005E5F40" w:rsidRDefault="00651B6D" w:rsidP="00651B6D">
            <w:pPr>
              <w:keepNext/>
              <w:keepLines/>
              <w:ind w:firstLine="0"/>
              <w:jc w:val="right"/>
              <w:rPr>
                <w:bCs/>
                <w:color w:val="000000"/>
                <w:sz w:val="18"/>
                <w:szCs w:val="18"/>
              </w:rPr>
            </w:pPr>
            <w:r w:rsidRPr="005E5F40">
              <w:rPr>
                <w:bCs/>
                <w:sz w:val="18"/>
                <w:szCs w:val="18"/>
              </w:rPr>
              <w:t>-</w:t>
            </w:r>
          </w:p>
        </w:tc>
      </w:tr>
      <w:tr w:rsidR="00651B6D" w:rsidRPr="005E5F40" w14:paraId="026F6E58" w14:textId="77777777" w:rsidTr="00651B6D">
        <w:trPr>
          <w:trHeight w:val="338"/>
          <w:jc w:val="center"/>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0387DCF5" w14:textId="77777777" w:rsidR="00651B6D" w:rsidRPr="005E5F40" w:rsidRDefault="00651B6D" w:rsidP="00651B6D">
            <w:pPr>
              <w:keepNext/>
              <w:keepLines/>
              <w:ind w:firstLine="0"/>
              <w:jc w:val="left"/>
              <w:rPr>
                <w:i/>
                <w:sz w:val="18"/>
                <w:szCs w:val="18"/>
              </w:rPr>
            </w:pPr>
            <w:r w:rsidRPr="005E5F40">
              <w:rPr>
                <w:i/>
                <w:iCs/>
                <w:color w:val="000000"/>
                <w:sz w:val="18"/>
                <w:szCs w:val="18"/>
              </w:rPr>
              <w:t>pieaugums, salīdzinot ar likumprojektu „Par vidēja termiņa budžeta ietvaru 2021., 2022. un 2023</w:t>
            </w:r>
            <w:r>
              <w:rPr>
                <w:i/>
                <w:iCs/>
                <w:color w:val="000000"/>
                <w:sz w:val="18"/>
                <w:szCs w:val="18"/>
              </w:rPr>
              <w:t>. gad</w:t>
            </w:r>
            <w:r w:rsidRPr="005E5F40">
              <w:rPr>
                <w:i/>
                <w:iCs/>
                <w:color w:val="000000"/>
                <w:sz w:val="18"/>
                <w:szCs w:val="18"/>
              </w:rPr>
              <w:t>am”</w:t>
            </w:r>
            <w:r>
              <w:rPr>
                <w:i/>
                <w:iCs/>
                <w:color w:val="000000"/>
                <w:sz w:val="18"/>
                <w:szCs w:val="18"/>
              </w:rPr>
              <w:t>, milj.</w:t>
            </w:r>
            <w:r w:rsidRPr="005E5F40">
              <w:rPr>
                <w:i/>
                <w:iCs/>
                <w:color w:val="000000"/>
                <w:sz w:val="18"/>
                <w:szCs w:val="18"/>
              </w:rPr>
              <w:t> </w:t>
            </w:r>
            <w:r w:rsidRPr="004F46D3">
              <w:rPr>
                <w:i/>
                <w:iCs/>
                <w:color w:val="000000"/>
                <w:sz w:val="18"/>
                <w:szCs w:val="18"/>
              </w:rPr>
              <w:t>euro</w:t>
            </w:r>
          </w:p>
        </w:tc>
        <w:tc>
          <w:tcPr>
            <w:tcW w:w="919" w:type="dxa"/>
            <w:tcBorders>
              <w:top w:val="nil"/>
              <w:left w:val="nil"/>
              <w:bottom w:val="single" w:sz="4" w:space="0" w:color="auto"/>
              <w:right w:val="single" w:sz="4" w:space="0" w:color="auto"/>
            </w:tcBorders>
            <w:shd w:val="clear" w:color="auto" w:fill="auto"/>
            <w:noWrap/>
            <w:hideMark/>
          </w:tcPr>
          <w:p w14:paraId="0E34585B" w14:textId="77777777" w:rsidR="00651B6D" w:rsidRPr="005E5F40" w:rsidRDefault="00651B6D" w:rsidP="00651B6D">
            <w:pPr>
              <w:keepNext/>
              <w:keepLines/>
              <w:tabs>
                <w:tab w:val="decimal" w:pos="462"/>
              </w:tabs>
              <w:ind w:firstLine="0"/>
              <w:jc w:val="right"/>
              <w:rPr>
                <w:i/>
                <w:iCs/>
                <w:color w:val="000000"/>
                <w:sz w:val="18"/>
                <w:szCs w:val="18"/>
              </w:rPr>
            </w:pPr>
            <w:r w:rsidRPr="005E5F40">
              <w:rPr>
                <w:i/>
                <w:iCs/>
                <w:sz w:val="18"/>
                <w:szCs w:val="18"/>
              </w:rPr>
              <w:t>11,1</w:t>
            </w:r>
          </w:p>
        </w:tc>
        <w:tc>
          <w:tcPr>
            <w:tcW w:w="920" w:type="dxa"/>
            <w:tcBorders>
              <w:top w:val="nil"/>
              <w:left w:val="nil"/>
              <w:bottom w:val="single" w:sz="4" w:space="0" w:color="auto"/>
              <w:right w:val="single" w:sz="4" w:space="0" w:color="auto"/>
            </w:tcBorders>
            <w:shd w:val="clear" w:color="auto" w:fill="auto"/>
            <w:noWrap/>
            <w:hideMark/>
          </w:tcPr>
          <w:p w14:paraId="092E5B20" w14:textId="77777777" w:rsidR="00651B6D" w:rsidRPr="005E5F40" w:rsidRDefault="00651B6D" w:rsidP="00651B6D">
            <w:pPr>
              <w:keepNext/>
              <w:keepLines/>
              <w:tabs>
                <w:tab w:val="decimal" w:pos="462"/>
              </w:tabs>
              <w:ind w:firstLine="0"/>
              <w:jc w:val="right"/>
              <w:rPr>
                <w:i/>
                <w:iCs/>
                <w:color w:val="000000"/>
                <w:sz w:val="18"/>
                <w:szCs w:val="18"/>
              </w:rPr>
            </w:pPr>
            <w:r w:rsidRPr="005E5F40">
              <w:rPr>
                <w:i/>
                <w:iCs/>
                <w:sz w:val="18"/>
                <w:szCs w:val="18"/>
              </w:rPr>
              <w:t>7,9</w:t>
            </w:r>
          </w:p>
        </w:tc>
        <w:tc>
          <w:tcPr>
            <w:tcW w:w="920" w:type="dxa"/>
            <w:tcBorders>
              <w:top w:val="nil"/>
              <w:left w:val="nil"/>
              <w:bottom w:val="single" w:sz="4" w:space="0" w:color="auto"/>
              <w:right w:val="single" w:sz="4" w:space="0" w:color="auto"/>
            </w:tcBorders>
            <w:shd w:val="clear" w:color="auto" w:fill="auto"/>
            <w:noWrap/>
            <w:hideMark/>
          </w:tcPr>
          <w:p w14:paraId="526A99B7" w14:textId="77777777" w:rsidR="00651B6D" w:rsidRPr="005E5F40" w:rsidRDefault="00651B6D" w:rsidP="00651B6D">
            <w:pPr>
              <w:keepNext/>
              <w:keepLines/>
              <w:tabs>
                <w:tab w:val="decimal" w:pos="462"/>
              </w:tabs>
              <w:ind w:firstLine="0"/>
              <w:jc w:val="right"/>
              <w:rPr>
                <w:i/>
                <w:iCs/>
                <w:color w:val="000000"/>
                <w:sz w:val="18"/>
                <w:szCs w:val="18"/>
              </w:rPr>
            </w:pPr>
            <w:r w:rsidRPr="005E5F40">
              <w:rPr>
                <w:i/>
                <w:iCs/>
                <w:sz w:val="18"/>
                <w:szCs w:val="18"/>
              </w:rPr>
              <w:t>14,8</w:t>
            </w:r>
          </w:p>
        </w:tc>
        <w:tc>
          <w:tcPr>
            <w:tcW w:w="920" w:type="dxa"/>
            <w:tcBorders>
              <w:top w:val="nil"/>
              <w:left w:val="nil"/>
              <w:bottom w:val="single" w:sz="4" w:space="0" w:color="auto"/>
              <w:right w:val="single" w:sz="4" w:space="0" w:color="auto"/>
            </w:tcBorders>
            <w:shd w:val="clear" w:color="auto" w:fill="auto"/>
            <w:noWrap/>
            <w:hideMark/>
          </w:tcPr>
          <w:p w14:paraId="5E97D912" w14:textId="77777777" w:rsidR="00651B6D" w:rsidRPr="005E5F40" w:rsidRDefault="00651B6D" w:rsidP="00651B6D">
            <w:pPr>
              <w:keepNext/>
              <w:keepLines/>
              <w:ind w:firstLine="0"/>
              <w:jc w:val="right"/>
              <w:rPr>
                <w:i/>
                <w:iCs/>
                <w:color w:val="000000"/>
                <w:sz w:val="18"/>
                <w:szCs w:val="18"/>
              </w:rPr>
            </w:pPr>
            <w:r w:rsidRPr="005E5F40">
              <w:rPr>
                <w:i/>
                <w:iCs/>
                <w:sz w:val="18"/>
                <w:szCs w:val="18"/>
              </w:rPr>
              <w:t>-</w:t>
            </w:r>
          </w:p>
        </w:tc>
      </w:tr>
      <w:tr w:rsidR="00651B6D" w:rsidRPr="005E5F40" w14:paraId="1C5835A6" w14:textId="77777777" w:rsidTr="00651B6D">
        <w:trPr>
          <w:trHeight w:val="319"/>
          <w:jc w:val="center"/>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07E8E18A" w14:textId="77777777" w:rsidR="00651B6D" w:rsidRPr="005E5F40" w:rsidRDefault="00651B6D" w:rsidP="00651B6D">
            <w:pPr>
              <w:keepNext/>
              <w:keepLines/>
              <w:ind w:firstLine="0"/>
              <w:jc w:val="left"/>
              <w:rPr>
                <w:i/>
                <w:sz w:val="18"/>
                <w:szCs w:val="18"/>
              </w:rPr>
            </w:pPr>
            <w:r w:rsidRPr="005E5F40">
              <w:rPr>
                <w:i/>
                <w:iCs/>
                <w:color w:val="000000"/>
                <w:sz w:val="18"/>
                <w:szCs w:val="18"/>
              </w:rPr>
              <w:t>pieaugums, salīdzinot ar likumprojektu „Par vidēja termiņa budžeta ietvaru 2021., 2022. un 2023</w:t>
            </w:r>
            <w:r>
              <w:rPr>
                <w:i/>
                <w:iCs/>
                <w:color w:val="000000"/>
                <w:sz w:val="18"/>
                <w:szCs w:val="18"/>
              </w:rPr>
              <w:t>. gad</w:t>
            </w:r>
            <w:r w:rsidRPr="005E5F40">
              <w:rPr>
                <w:i/>
                <w:iCs/>
                <w:color w:val="000000"/>
                <w:sz w:val="18"/>
                <w:szCs w:val="18"/>
              </w:rPr>
              <w:t>am”, %</w:t>
            </w:r>
          </w:p>
        </w:tc>
        <w:tc>
          <w:tcPr>
            <w:tcW w:w="919" w:type="dxa"/>
            <w:tcBorders>
              <w:top w:val="nil"/>
              <w:left w:val="nil"/>
              <w:bottom w:val="single" w:sz="4" w:space="0" w:color="auto"/>
              <w:right w:val="single" w:sz="4" w:space="0" w:color="auto"/>
            </w:tcBorders>
            <w:shd w:val="clear" w:color="auto" w:fill="auto"/>
            <w:noWrap/>
            <w:hideMark/>
          </w:tcPr>
          <w:p w14:paraId="0C212E20" w14:textId="77777777" w:rsidR="00651B6D" w:rsidRPr="005E5F40" w:rsidRDefault="00651B6D" w:rsidP="00651B6D">
            <w:pPr>
              <w:keepNext/>
              <w:keepLines/>
              <w:tabs>
                <w:tab w:val="decimal" w:pos="462"/>
              </w:tabs>
              <w:ind w:firstLine="0"/>
              <w:jc w:val="right"/>
              <w:rPr>
                <w:i/>
                <w:iCs/>
                <w:color w:val="000000"/>
                <w:sz w:val="18"/>
                <w:szCs w:val="18"/>
              </w:rPr>
            </w:pPr>
            <w:r w:rsidRPr="005E5F40">
              <w:rPr>
                <w:i/>
                <w:iCs/>
                <w:sz w:val="18"/>
                <w:szCs w:val="18"/>
              </w:rPr>
              <w:t>4,2</w:t>
            </w:r>
          </w:p>
        </w:tc>
        <w:tc>
          <w:tcPr>
            <w:tcW w:w="920" w:type="dxa"/>
            <w:tcBorders>
              <w:top w:val="nil"/>
              <w:left w:val="nil"/>
              <w:bottom w:val="single" w:sz="4" w:space="0" w:color="auto"/>
              <w:right w:val="single" w:sz="4" w:space="0" w:color="auto"/>
            </w:tcBorders>
            <w:shd w:val="clear" w:color="auto" w:fill="auto"/>
            <w:noWrap/>
            <w:hideMark/>
          </w:tcPr>
          <w:p w14:paraId="6FF33490" w14:textId="77777777" w:rsidR="00651B6D" w:rsidRPr="005E5F40" w:rsidRDefault="00651B6D" w:rsidP="00651B6D">
            <w:pPr>
              <w:keepNext/>
              <w:keepLines/>
              <w:tabs>
                <w:tab w:val="decimal" w:pos="462"/>
              </w:tabs>
              <w:ind w:firstLine="0"/>
              <w:jc w:val="right"/>
              <w:rPr>
                <w:i/>
                <w:iCs/>
                <w:color w:val="000000"/>
                <w:sz w:val="18"/>
                <w:szCs w:val="18"/>
              </w:rPr>
            </w:pPr>
            <w:r w:rsidRPr="005E5F40">
              <w:rPr>
                <w:i/>
                <w:iCs/>
                <w:sz w:val="18"/>
                <w:szCs w:val="18"/>
              </w:rPr>
              <w:t>2,6</w:t>
            </w:r>
          </w:p>
        </w:tc>
        <w:tc>
          <w:tcPr>
            <w:tcW w:w="920" w:type="dxa"/>
            <w:tcBorders>
              <w:top w:val="nil"/>
              <w:left w:val="nil"/>
              <w:bottom w:val="single" w:sz="4" w:space="0" w:color="auto"/>
              <w:right w:val="single" w:sz="4" w:space="0" w:color="auto"/>
            </w:tcBorders>
            <w:shd w:val="clear" w:color="auto" w:fill="auto"/>
            <w:noWrap/>
            <w:hideMark/>
          </w:tcPr>
          <w:p w14:paraId="60347D09" w14:textId="77777777" w:rsidR="00651B6D" w:rsidRPr="005E5F40" w:rsidRDefault="00651B6D" w:rsidP="00651B6D">
            <w:pPr>
              <w:keepNext/>
              <w:keepLines/>
              <w:tabs>
                <w:tab w:val="decimal" w:pos="462"/>
              </w:tabs>
              <w:ind w:firstLine="0"/>
              <w:jc w:val="right"/>
              <w:rPr>
                <w:i/>
                <w:iCs/>
                <w:color w:val="000000"/>
                <w:sz w:val="18"/>
                <w:szCs w:val="18"/>
              </w:rPr>
            </w:pPr>
            <w:r w:rsidRPr="005E5F40">
              <w:rPr>
                <w:i/>
                <w:iCs/>
                <w:sz w:val="18"/>
                <w:szCs w:val="18"/>
              </w:rPr>
              <w:t>4,7</w:t>
            </w:r>
          </w:p>
        </w:tc>
        <w:tc>
          <w:tcPr>
            <w:tcW w:w="920" w:type="dxa"/>
            <w:tcBorders>
              <w:top w:val="nil"/>
              <w:left w:val="nil"/>
              <w:bottom w:val="single" w:sz="4" w:space="0" w:color="auto"/>
              <w:right w:val="single" w:sz="4" w:space="0" w:color="auto"/>
            </w:tcBorders>
            <w:shd w:val="clear" w:color="auto" w:fill="auto"/>
            <w:noWrap/>
            <w:hideMark/>
          </w:tcPr>
          <w:p w14:paraId="58ADBDD3" w14:textId="77777777" w:rsidR="00651B6D" w:rsidRPr="005E5F40" w:rsidRDefault="00651B6D" w:rsidP="00651B6D">
            <w:pPr>
              <w:keepNext/>
              <w:keepLines/>
              <w:ind w:firstLine="0"/>
              <w:jc w:val="right"/>
              <w:rPr>
                <w:i/>
                <w:iCs/>
                <w:color w:val="000000"/>
                <w:sz w:val="18"/>
                <w:szCs w:val="18"/>
              </w:rPr>
            </w:pPr>
            <w:r w:rsidRPr="005E5F40">
              <w:rPr>
                <w:i/>
                <w:iCs/>
                <w:sz w:val="18"/>
                <w:szCs w:val="18"/>
              </w:rPr>
              <w:t>-</w:t>
            </w:r>
          </w:p>
        </w:tc>
      </w:tr>
      <w:tr w:rsidR="00651B6D" w:rsidRPr="005E5F40" w14:paraId="23C7A18C" w14:textId="77777777" w:rsidTr="00651B6D">
        <w:trPr>
          <w:trHeight w:val="169"/>
          <w:jc w:val="center"/>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7F0EEDA7" w14:textId="631D7BB3" w:rsidR="00651B6D" w:rsidRPr="005E5F40" w:rsidRDefault="00316BA7" w:rsidP="00651B6D">
            <w:pPr>
              <w:keepNext/>
              <w:keepLines/>
              <w:ind w:firstLine="0"/>
              <w:jc w:val="left"/>
              <w:rPr>
                <w:i/>
                <w:color w:val="000000"/>
                <w:sz w:val="18"/>
                <w:szCs w:val="18"/>
              </w:rPr>
            </w:pPr>
            <w:r>
              <w:rPr>
                <w:i/>
                <w:color w:val="000000"/>
                <w:sz w:val="18"/>
                <w:szCs w:val="18"/>
              </w:rPr>
              <w:t>% no iekšzemes kopprodukta</w:t>
            </w:r>
          </w:p>
        </w:tc>
        <w:tc>
          <w:tcPr>
            <w:tcW w:w="919" w:type="dxa"/>
            <w:tcBorders>
              <w:top w:val="nil"/>
              <w:left w:val="nil"/>
              <w:bottom w:val="single" w:sz="4" w:space="0" w:color="auto"/>
              <w:right w:val="single" w:sz="4" w:space="0" w:color="auto"/>
            </w:tcBorders>
            <w:shd w:val="clear" w:color="auto" w:fill="auto"/>
            <w:noWrap/>
            <w:hideMark/>
          </w:tcPr>
          <w:p w14:paraId="7AC02363" w14:textId="77777777" w:rsidR="00651B6D" w:rsidRPr="005E5F40" w:rsidRDefault="00651B6D" w:rsidP="00651B6D">
            <w:pPr>
              <w:keepNext/>
              <w:keepLines/>
              <w:tabs>
                <w:tab w:val="decimal" w:pos="462"/>
              </w:tabs>
              <w:ind w:firstLine="0"/>
              <w:jc w:val="right"/>
              <w:rPr>
                <w:i/>
                <w:iCs/>
                <w:color w:val="000000"/>
                <w:sz w:val="18"/>
                <w:szCs w:val="18"/>
              </w:rPr>
            </w:pPr>
            <w:r w:rsidRPr="005E5F40">
              <w:rPr>
                <w:i/>
                <w:iCs/>
                <w:sz w:val="18"/>
                <w:szCs w:val="18"/>
              </w:rPr>
              <w:t>0,9</w:t>
            </w:r>
          </w:p>
        </w:tc>
        <w:tc>
          <w:tcPr>
            <w:tcW w:w="920" w:type="dxa"/>
            <w:tcBorders>
              <w:top w:val="nil"/>
              <w:left w:val="nil"/>
              <w:bottom w:val="single" w:sz="4" w:space="0" w:color="auto"/>
              <w:right w:val="single" w:sz="4" w:space="0" w:color="auto"/>
            </w:tcBorders>
            <w:shd w:val="clear" w:color="auto" w:fill="auto"/>
            <w:noWrap/>
            <w:hideMark/>
          </w:tcPr>
          <w:p w14:paraId="381A99C2" w14:textId="77777777" w:rsidR="00651B6D" w:rsidRPr="005E5F40" w:rsidRDefault="00651B6D" w:rsidP="00651B6D">
            <w:pPr>
              <w:keepNext/>
              <w:keepLines/>
              <w:tabs>
                <w:tab w:val="decimal" w:pos="462"/>
              </w:tabs>
              <w:ind w:firstLine="0"/>
              <w:jc w:val="right"/>
              <w:rPr>
                <w:i/>
                <w:iCs/>
                <w:color w:val="000000"/>
                <w:sz w:val="18"/>
                <w:szCs w:val="18"/>
              </w:rPr>
            </w:pPr>
            <w:r w:rsidRPr="005E5F40">
              <w:rPr>
                <w:i/>
                <w:iCs/>
                <w:sz w:val="18"/>
                <w:szCs w:val="18"/>
              </w:rPr>
              <w:t>0,9</w:t>
            </w:r>
          </w:p>
        </w:tc>
        <w:tc>
          <w:tcPr>
            <w:tcW w:w="920" w:type="dxa"/>
            <w:tcBorders>
              <w:top w:val="nil"/>
              <w:left w:val="nil"/>
              <w:bottom w:val="single" w:sz="4" w:space="0" w:color="auto"/>
              <w:right w:val="single" w:sz="4" w:space="0" w:color="auto"/>
            </w:tcBorders>
            <w:shd w:val="clear" w:color="auto" w:fill="auto"/>
            <w:noWrap/>
            <w:hideMark/>
          </w:tcPr>
          <w:p w14:paraId="6F8966A3" w14:textId="77777777" w:rsidR="00651B6D" w:rsidRPr="005E5F40" w:rsidRDefault="00651B6D" w:rsidP="00651B6D">
            <w:pPr>
              <w:keepNext/>
              <w:keepLines/>
              <w:tabs>
                <w:tab w:val="decimal" w:pos="462"/>
              </w:tabs>
              <w:ind w:firstLine="0"/>
              <w:jc w:val="right"/>
              <w:rPr>
                <w:i/>
                <w:iCs/>
                <w:color w:val="000000"/>
                <w:sz w:val="18"/>
                <w:szCs w:val="18"/>
              </w:rPr>
            </w:pPr>
            <w:r w:rsidRPr="005E5F40">
              <w:rPr>
                <w:i/>
                <w:iCs/>
                <w:sz w:val="18"/>
                <w:szCs w:val="18"/>
              </w:rPr>
              <w:t>0,9</w:t>
            </w:r>
          </w:p>
        </w:tc>
        <w:tc>
          <w:tcPr>
            <w:tcW w:w="920" w:type="dxa"/>
            <w:tcBorders>
              <w:top w:val="nil"/>
              <w:left w:val="nil"/>
              <w:bottom w:val="single" w:sz="4" w:space="0" w:color="auto"/>
              <w:right w:val="single" w:sz="4" w:space="0" w:color="auto"/>
            </w:tcBorders>
            <w:shd w:val="clear" w:color="auto" w:fill="auto"/>
            <w:noWrap/>
            <w:hideMark/>
          </w:tcPr>
          <w:p w14:paraId="05338024" w14:textId="77777777" w:rsidR="00651B6D" w:rsidRPr="005E5F40" w:rsidRDefault="00651B6D" w:rsidP="00651B6D">
            <w:pPr>
              <w:keepNext/>
              <w:keepLines/>
              <w:tabs>
                <w:tab w:val="decimal" w:pos="462"/>
              </w:tabs>
              <w:ind w:firstLine="0"/>
              <w:jc w:val="right"/>
              <w:rPr>
                <w:i/>
                <w:iCs/>
                <w:color w:val="000000"/>
                <w:sz w:val="18"/>
                <w:szCs w:val="18"/>
              </w:rPr>
            </w:pPr>
            <w:r w:rsidRPr="005E5F40">
              <w:rPr>
                <w:i/>
                <w:iCs/>
                <w:sz w:val="18"/>
                <w:szCs w:val="18"/>
              </w:rPr>
              <w:t>0,9</w:t>
            </w:r>
          </w:p>
        </w:tc>
      </w:tr>
    </w:tbl>
    <w:p w14:paraId="3C8D41BD" w14:textId="77777777" w:rsidR="00651B6D" w:rsidRPr="00E81457" w:rsidRDefault="00651B6D" w:rsidP="00651B6D">
      <w:pPr>
        <w:spacing w:after="240"/>
        <w:ind w:left="425" w:firstLine="0"/>
        <w:jc w:val="left"/>
        <w:rPr>
          <w:sz w:val="18"/>
          <w:szCs w:val="18"/>
        </w:rPr>
      </w:pPr>
      <w:r w:rsidRPr="00E81457">
        <w:rPr>
          <w:sz w:val="18"/>
          <w:szCs w:val="18"/>
          <w:vertAlign w:val="superscript"/>
        </w:rPr>
        <w:t>1</w:t>
      </w:r>
      <w:r w:rsidRPr="00E81457">
        <w:rPr>
          <w:sz w:val="18"/>
          <w:szCs w:val="18"/>
        </w:rPr>
        <w:t> Prognoze 22.07.2021</w:t>
      </w:r>
      <w:r>
        <w:rPr>
          <w:sz w:val="18"/>
          <w:szCs w:val="18"/>
        </w:rPr>
        <w:t>.</w:t>
      </w:r>
    </w:p>
    <w:p w14:paraId="121FCD40" w14:textId="77777777" w:rsidR="00651B6D" w:rsidRPr="001F3492" w:rsidRDefault="00651B6D" w:rsidP="00316BA7">
      <w:pPr>
        <w:pStyle w:val="H3"/>
        <w:spacing w:before="240" w:after="240"/>
      </w:pPr>
      <w:bookmarkStart w:id="71" w:name="_Toc84756425"/>
      <w:r w:rsidRPr="001F3492">
        <w:t>Pievienotās vērtības nodoklis</w:t>
      </w:r>
      <w:bookmarkEnd w:id="71"/>
    </w:p>
    <w:p w14:paraId="6911BEB4" w14:textId="77777777" w:rsidR="00651B6D" w:rsidRPr="000345A6" w:rsidRDefault="00651B6D" w:rsidP="00651B6D">
      <w:pPr>
        <w:rPr>
          <w:highlight w:val="yellow"/>
        </w:rPr>
      </w:pPr>
      <w:r w:rsidRPr="000345A6">
        <w:t>Pievienotās vērtības nodokļa ieņēmumi ir lielākais valsts pamatbudžeta nodokļu ieņēmumu avots, kas 2021</w:t>
      </w:r>
      <w:r>
        <w:t>. gad</w:t>
      </w:r>
      <w:r w:rsidRPr="000345A6">
        <w:t xml:space="preserve">a sešos mēnešos veidoja </w:t>
      </w:r>
      <w:r>
        <w:t>30,2% no valsts kop</w:t>
      </w:r>
      <w:r w:rsidRPr="000345A6">
        <w:t>budžeta nodokļu ieņēmumiem.</w:t>
      </w:r>
      <w:r w:rsidRPr="00B24063">
        <w:t xml:space="preserve"> </w:t>
      </w:r>
      <w:r w:rsidRPr="000345A6">
        <w:t>Pievienotās vērtības nodokļa neto ieņēmumi 2021</w:t>
      </w:r>
      <w:r>
        <w:t>. gad</w:t>
      </w:r>
      <w:r w:rsidRPr="000345A6">
        <w:t>a sešos mēnešos bija 1 321,1</w:t>
      </w:r>
      <w:r>
        <w:t> milj.</w:t>
      </w:r>
      <w:r w:rsidRPr="000345A6">
        <w:rPr>
          <w:i/>
        </w:rPr>
        <w:t> </w:t>
      </w:r>
      <w:r w:rsidRPr="004F46D3">
        <w:rPr>
          <w:i/>
        </w:rPr>
        <w:t>euro</w:t>
      </w:r>
      <w:r w:rsidRPr="000345A6">
        <w:t>, kas salīdzinājumā ar 2020</w:t>
      </w:r>
      <w:r>
        <w:t>. gad</w:t>
      </w:r>
      <w:r w:rsidRPr="000345A6">
        <w:t>a pirmo pusgadu ir par 192,5</w:t>
      </w:r>
      <w:r>
        <w:t> milj.</w:t>
      </w:r>
      <w:r w:rsidRPr="000345A6">
        <w:rPr>
          <w:i/>
        </w:rPr>
        <w:t> </w:t>
      </w:r>
      <w:r w:rsidRPr="004F46D3">
        <w:rPr>
          <w:i/>
        </w:rPr>
        <w:t>euro</w:t>
      </w:r>
      <w:r w:rsidRPr="000345A6">
        <w:t xml:space="preserve"> jeb 17,1% vairāk. Tāpat arī 2021</w:t>
      </w:r>
      <w:r>
        <w:t>. gad</w:t>
      </w:r>
      <w:r w:rsidRPr="000345A6">
        <w:t>a sešu mēnešu izpilde par 42,3</w:t>
      </w:r>
      <w:r>
        <w:t> milj.</w:t>
      </w:r>
      <w:r w:rsidRPr="000345A6">
        <w:rPr>
          <w:i/>
        </w:rPr>
        <w:t> </w:t>
      </w:r>
      <w:r w:rsidRPr="004F46D3">
        <w:rPr>
          <w:i/>
        </w:rPr>
        <w:t>euro</w:t>
      </w:r>
      <w:r w:rsidRPr="000345A6">
        <w:t xml:space="preserve"> jeb 3,3% pārsniedz plānoto, līdz ar to 2021</w:t>
      </w:r>
      <w:r>
        <w:t>. gad</w:t>
      </w:r>
      <w:r w:rsidRPr="000345A6">
        <w:t xml:space="preserve">a pievienotās vērtības nodokļa ieņēmumu prognoze tika palielināta </w:t>
      </w:r>
      <w:r w:rsidRPr="000C3B10">
        <w:t>par 75,0</w:t>
      </w:r>
      <w:r>
        <w:t> milj.</w:t>
      </w:r>
      <w:r w:rsidRPr="000C3B10">
        <w:rPr>
          <w:i/>
        </w:rPr>
        <w:t> </w:t>
      </w:r>
      <w:r w:rsidRPr="004F46D3">
        <w:rPr>
          <w:i/>
        </w:rPr>
        <w:t>euro</w:t>
      </w:r>
      <w:r w:rsidRPr="000C3B10">
        <w:t>.</w:t>
      </w:r>
    </w:p>
    <w:p w14:paraId="68CDF0E8" w14:textId="4907200B" w:rsidR="00651B6D" w:rsidRPr="000345A6" w:rsidRDefault="00651B6D" w:rsidP="00651B6D">
      <w:pPr>
        <w:rPr>
          <w:highlight w:val="yellow"/>
        </w:rPr>
      </w:pPr>
      <w:r w:rsidRPr="000345A6">
        <w:t>2021</w:t>
      </w:r>
      <w:r>
        <w:t>. gad</w:t>
      </w:r>
      <w:r w:rsidRPr="000345A6">
        <w:t>a 1.</w:t>
      </w:r>
      <w:r w:rsidR="00316BA7">
        <w:t xml:space="preserve"> </w:t>
      </w:r>
      <w:r w:rsidRPr="000345A6">
        <w:t>ceturk</w:t>
      </w:r>
      <w:r>
        <w:t>š</w:t>
      </w:r>
      <w:r w:rsidRPr="000345A6">
        <w:t xml:space="preserve">ņa </w:t>
      </w:r>
      <w:r w:rsidRPr="000345A6">
        <w:rPr>
          <w:bCs/>
        </w:rPr>
        <w:t xml:space="preserve">plāna neizpilde </w:t>
      </w:r>
      <w:r w:rsidRPr="000345A6">
        <w:t xml:space="preserve">pievienotās vērtības nodokļa neto ieņēmumiem bija </w:t>
      </w:r>
      <w:r w:rsidRPr="000345A6">
        <w:rPr>
          <w:bCs/>
        </w:rPr>
        <w:t>10,0</w:t>
      </w:r>
      <w:r>
        <w:rPr>
          <w:bCs/>
        </w:rPr>
        <w:t> milj.</w:t>
      </w:r>
      <w:r w:rsidRPr="000345A6">
        <w:rPr>
          <w:bCs/>
          <w:i/>
        </w:rPr>
        <w:t> </w:t>
      </w:r>
      <w:r w:rsidRPr="004F46D3">
        <w:rPr>
          <w:bCs/>
          <w:i/>
        </w:rPr>
        <w:t>euro</w:t>
      </w:r>
      <w:r w:rsidRPr="000345A6">
        <w:rPr>
          <w:bCs/>
          <w:iCs/>
        </w:rPr>
        <w:t xml:space="preserve">. To ietekmēja </w:t>
      </w:r>
      <w:r w:rsidRPr="000345A6">
        <w:rPr>
          <w:bCs/>
        </w:rPr>
        <w:t>ar Covid</w:t>
      </w:r>
      <w:r w:rsidRPr="000345A6">
        <w:rPr>
          <w:bCs/>
        </w:rPr>
        <w:noBreakHyphen/>
        <w:t xml:space="preserve">19 saistītie ierobežojumi, nodokļu samaksas termiņa pagarinājumi, kā arī paliekošais efekts no pievienotās vērtības nodokļa pārmaksas atmaksas kārtības maiņas, kas stājās spēkā pērnā gada martā. </w:t>
      </w:r>
      <w:r w:rsidRPr="000345A6">
        <w:t>2021</w:t>
      </w:r>
      <w:r>
        <w:t>. gad</w:t>
      </w:r>
      <w:r w:rsidRPr="000345A6">
        <w:t>a 2.</w:t>
      </w:r>
      <w:r w:rsidR="00316BA7">
        <w:t xml:space="preserve"> </w:t>
      </w:r>
      <w:r w:rsidRPr="000345A6">
        <w:t>ceturknī</w:t>
      </w:r>
      <w:r>
        <w:t>,</w:t>
      </w:r>
      <w:r w:rsidRPr="000345A6">
        <w:t xml:space="preserve"> uzlabojoties epidemioloģiskajai situācijai valstī</w:t>
      </w:r>
      <w:r>
        <w:t>,</w:t>
      </w:r>
      <w:r w:rsidRPr="000345A6">
        <w:t xml:space="preserve"> bija mīkstināti Covid</w:t>
      </w:r>
      <w:r w:rsidRPr="000345A6">
        <w:noBreakHyphen/>
        <w:t>19 ierobežojumi, kas veicināja ekonomisko attīstību. Rezultātā palielinājās pievienotās vērtības nodokļa ieņēmumi. 2021</w:t>
      </w:r>
      <w:r>
        <w:t>. gad</w:t>
      </w:r>
      <w:r w:rsidRPr="000345A6">
        <w:t>a 2.</w:t>
      </w:r>
      <w:r w:rsidR="005C5F15">
        <w:t xml:space="preserve"> </w:t>
      </w:r>
      <w:r w:rsidRPr="000345A6">
        <w:t>ceturknī pievienotās vērtības nodokļa neto ieņēmumi bija par 52,3</w:t>
      </w:r>
      <w:r>
        <w:t> milj.</w:t>
      </w:r>
      <w:r w:rsidRPr="000345A6">
        <w:rPr>
          <w:i/>
        </w:rPr>
        <w:t> </w:t>
      </w:r>
      <w:r w:rsidRPr="004F46D3">
        <w:rPr>
          <w:i/>
        </w:rPr>
        <w:t>euro</w:t>
      </w:r>
      <w:r w:rsidRPr="000345A6">
        <w:t xml:space="preserve"> lielāki nekā plānots.</w:t>
      </w:r>
    </w:p>
    <w:p w14:paraId="3F9FD53D" w14:textId="77777777" w:rsidR="00651B6D" w:rsidRPr="000345A6" w:rsidRDefault="00651B6D" w:rsidP="00651B6D">
      <w:r w:rsidRPr="000345A6">
        <w:lastRenderedPageBreak/>
        <w:t>Pievienotās vērtības nodokļa bruto iemaksas 2021</w:t>
      </w:r>
      <w:r>
        <w:t>. gad</w:t>
      </w:r>
      <w:r w:rsidRPr="000345A6">
        <w:t>a sešos mēnešos bija 1 773,</w:t>
      </w:r>
      <w:r>
        <w:t>2 milj.</w:t>
      </w:r>
      <w:r w:rsidRPr="000345A6">
        <w:rPr>
          <w:i/>
        </w:rPr>
        <w:t> </w:t>
      </w:r>
      <w:r w:rsidRPr="004F46D3">
        <w:rPr>
          <w:i/>
        </w:rPr>
        <w:t>euro</w:t>
      </w:r>
      <w:r w:rsidRPr="000345A6">
        <w:t>, kas ir par 176,</w:t>
      </w:r>
      <w:r>
        <w:t>4 milj.</w:t>
      </w:r>
      <w:r w:rsidRPr="000345A6">
        <w:rPr>
          <w:i/>
        </w:rPr>
        <w:t> </w:t>
      </w:r>
      <w:r w:rsidRPr="004F46D3">
        <w:rPr>
          <w:i/>
        </w:rPr>
        <w:t>euro</w:t>
      </w:r>
      <w:r w:rsidRPr="000345A6">
        <w:t xml:space="preserve"> jeb 11,</w:t>
      </w:r>
      <w:r>
        <w:t>0</w:t>
      </w:r>
      <w:r w:rsidRPr="000345A6">
        <w:t>% vairāk nekā 2020</w:t>
      </w:r>
      <w:r>
        <w:t>. gad</w:t>
      </w:r>
      <w:r w:rsidRPr="000345A6">
        <w:t xml:space="preserve">a sešos mēnešos. </w:t>
      </w:r>
      <w:r w:rsidRPr="000D7A18">
        <w:t>Sagaidāms, ka ekonomikas atveseļošanās turpināsies arī 2021</w:t>
      </w:r>
      <w:r>
        <w:t>. gad</w:t>
      </w:r>
      <w:r w:rsidRPr="000D7A18">
        <w:t>a otrajā pusē</w:t>
      </w:r>
      <w:r>
        <w:t xml:space="preserve"> pievienotās vērtības nodokļa ieņēmumiem turpinot būt augstākiem nekā 2020. gadā</w:t>
      </w:r>
      <w:r w:rsidRPr="000D7A18">
        <w:t xml:space="preserve">. </w:t>
      </w:r>
      <w:r w:rsidRPr="000345A6">
        <w:t>Salīdzinot ar 2020</w:t>
      </w:r>
      <w:r>
        <w:t>. gad</w:t>
      </w:r>
      <w:r w:rsidRPr="000345A6">
        <w:t>a 1.pusgada neto ieņēmumiem, iekšzemē iekasētā pievienotās vērtības nodokļa neto ieņēmumi palielinājušies par 169,1</w:t>
      </w:r>
      <w:r>
        <w:t> milj.</w:t>
      </w:r>
      <w:r w:rsidRPr="000345A6">
        <w:rPr>
          <w:i/>
        </w:rPr>
        <w:t> </w:t>
      </w:r>
      <w:r w:rsidRPr="004F46D3">
        <w:rPr>
          <w:i/>
        </w:rPr>
        <w:t>euro</w:t>
      </w:r>
      <w:r w:rsidRPr="000345A6">
        <w:t xml:space="preserve"> jeb 15,5% un pievienotās vērtības nodokļa neto ieņēmumi, izlaižot preces brīvam apgrozījumam, palielinājušies par 22,9</w:t>
      </w:r>
      <w:r>
        <w:t> milj.</w:t>
      </w:r>
      <w:r w:rsidRPr="000345A6">
        <w:rPr>
          <w:i/>
        </w:rPr>
        <w:t> </w:t>
      </w:r>
      <w:r w:rsidRPr="004F46D3">
        <w:rPr>
          <w:i/>
        </w:rPr>
        <w:t>euro</w:t>
      </w:r>
      <w:r w:rsidRPr="000345A6">
        <w:t xml:space="preserve"> jeb 66,7</w:t>
      </w:r>
      <w:r>
        <w:t> procent</w:t>
      </w:r>
      <w:r w:rsidRPr="000345A6">
        <w:t>iem.</w:t>
      </w:r>
    </w:p>
    <w:p w14:paraId="71C460A5" w14:textId="77777777" w:rsidR="00651B6D" w:rsidRPr="00E3592C" w:rsidRDefault="00651B6D" w:rsidP="00651B6D">
      <w:pPr>
        <w:rPr>
          <w:color w:val="000000" w:themeColor="text1"/>
          <w:szCs w:val="24"/>
        </w:rPr>
      </w:pPr>
      <w:r w:rsidRPr="004E7267">
        <w:rPr>
          <w:szCs w:val="24"/>
        </w:rPr>
        <w:t>Saskaņā ar likumprojektu „Par vidēja termiņa budžeta ietvaru 2022., 2023.</w:t>
      </w:r>
      <w:r>
        <w:rPr>
          <w:szCs w:val="24"/>
        </w:rPr>
        <w:t xml:space="preserve"> </w:t>
      </w:r>
      <w:r w:rsidRPr="004E7267">
        <w:rPr>
          <w:szCs w:val="24"/>
        </w:rPr>
        <w:t>un 2024</w:t>
      </w:r>
      <w:r>
        <w:rPr>
          <w:szCs w:val="24"/>
        </w:rPr>
        <w:t>. gad</w:t>
      </w:r>
      <w:r w:rsidRPr="004E7267">
        <w:rPr>
          <w:szCs w:val="24"/>
        </w:rPr>
        <w:t>am” 2022</w:t>
      </w:r>
      <w:r>
        <w:rPr>
          <w:szCs w:val="24"/>
        </w:rPr>
        <w:t>. gad</w:t>
      </w:r>
      <w:r w:rsidRPr="004E7267">
        <w:rPr>
          <w:szCs w:val="24"/>
        </w:rPr>
        <w:t xml:space="preserve">ā pievienotās vērtības nodokļa ieņēmumi tiek </w:t>
      </w:r>
      <w:r w:rsidRPr="00D218CD">
        <w:rPr>
          <w:szCs w:val="24"/>
        </w:rPr>
        <w:t xml:space="preserve">plānoti </w:t>
      </w:r>
      <w:r>
        <w:t>3 067,5 milj.</w:t>
      </w:r>
      <w:r w:rsidRPr="00E3592C">
        <w:rPr>
          <w:i/>
          <w:szCs w:val="24"/>
        </w:rPr>
        <w:t> </w:t>
      </w:r>
      <w:r w:rsidRPr="004F46D3">
        <w:rPr>
          <w:i/>
          <w:szCs w:val="24"/>
        </w:rPr>
        <w:t>euro</w:t>
      </w:r>
      <w:r w:rsidRPr="00E3592C">
        <w:rPr>
          <w:szCs w:val="24"/>
        </w:rPr>
        <w:t xml:space="preserve">, </w:t>
      </w:r>
      <w:r w:rsidRPr="00D218CD">
        <w:rPr>
          <w:szCs w:val="24"/>
        </w:rPr>
        <w:t>2023</w:t>
      </w:r>
      <w:r>
        <w:rPr>
          <w:szCs w:val="24"/>
        </w:rPr>
        <w:t>. gad</w:t>
      </w:r>
      <w:r w:rsidRPr="00D218CD">
        <w:rPr>
          <w:szCs w:val="24"/>
        </w:rPr>
        <w:t xml:space="preserve">ā </w:t>
      </w:r>
      <w:r w:rsidRPr="00D218CD">
        <w:t>3</w:t>
      </w:r>
      <w:r>
        <w:t> 291,8 milj.</w:t>
      </w:r>
      <w:r w:rsidRPr="00E3592C">
        <w:rPr>
          <w:i/>
          <w:szCs w:val="24"/>
        </w:rPr>
        <w:t> </w:t>
      </w:r>
      <w:r w:rsidRPr="004F46D3">
        <w:rPr>
          <w:i/>
          <w:szCs w:val="24"/>
        </w:rPr>
        <w:t>euro</w:t>
      </w:r>
      <w:r w:rsidRPr="00E3592C">
        <w:rPr>
          <w:szCs w:val="24"/>
        </w:rPr>
        <w:t xml:space="preserve"> un 2024</w:t>
      </w:r>
      <w:r>
        <w:rPr>
          <w:szCs w:val="24"/>
        </w:rPr>
        <w:t>. gad</w:t>
      </w:r>
      <w:r w:rsidRPr="00D218CD">
        <w:rPr>
          <w:szCs w:val="24"/>
        </w:rPr>
        <w:t xml:space="preserve">ā </w:t>
      </w:r>
      <w:r w:rsidRPr="00D218CD">
        <w:t>3</w:t>
      </w:r>
      <w:r>
        <w:t> 493,6 milj.</w:t>
      </w:r>
      <w:r w:rsidRPr="00E3592C">
        <w:rPr>
          <w:i/>
          <w:szCs w:val="24"/>
        </w:rPr>
        <w:t> </w:t>
      </w:r>
      <w:r w:rsidRPr="004F46D3">
        <w:rPr>
          <w:i/>
          <w:szCs w:val="24"/>
        </w:rPr>
        <w:t>euro</w:t>
      </w:r>
      <w:r w:rsidRPr="00E3592C">
        <w:rPr>
          <w:szCs w:val="24"/>
        </w:rPr>
        <w:t xml:space="preserve"> apmērā</w:t>
      </w:r>
      <w:r>
        <w:rPr>
          <w:szCs w:val="24"/>
        </w:rPr>
        <w:t xml:space="preserve"> (skat. 3.7. tabulu)</w:t>
      </w:r>
      <w:r w:rsidRPr="00E3592C">
        <w:rPr>
          <w:szCs w:val="24"/>
        </w:rPr>
        <w:t>.</w:t>
      </w:r>
      <w:r w:rsidRPr="00E3592C">
        <w:rPr>
          <w:color w:val="000000" w:themeColor="text1"/>
          <w:szCs w:val="24"/>
        </w:rPr>
        <w:t xml:space="preserve"> </w:t>
      </w:r>
      <w:r>
        <w:rPr>
          <w:szCs w:val="24"/>
        </w:rPr>
        <w:t>Pievienotās vērtības</w:t>
      </w:r>
      <w:r w:rsidRPr="0043231D">
        <w:rPr>
          <w:szCs w:val="24"/>
        </w:rPr>
        <w:t xml:space="preserve"> nodokļa ieņēmumu plānu vidējā termiņā ietekmēs </w:t>
      </w:r>
      <w:r w:rsidRPr="00750E15">
        <w:rPr>
          <w:szCs w:val="24"/>
        </w:rPr>
        <w:t>prognozētā privātā patēriņa, eksporta un importa dinamika</w:t>
      </w:r>
      <w:r w:rsidRPr="00C26156">
        <w:t xml:space="preserve"> </w:t>
      </w:r>
      <w:r>
        <w:t>faktiskajās cenās</w:t>
      </w:r>
      <w:r w:rsidRPr="0043231D">
        <w:rPr>
          <w:szCs w:val="24"/>
        </w:rPr>
        <w:t>, 2021</w:t>
      </w:r>
      <w:r>
        <w:rPr>
          <w:szCs w:val="24"/>
        </w:rPr>
        <w:t>. gad</w:t>
      </w:r>
      <w:r w:rsidRPr="0043231D">
        <w:rPr>
          <w:szCs w:val="24"/>
        </w:rPr>
        <w:t>a pirmā pusgada izpilde, kā arī</w:t>
      </w:r>
      <w:r>
        <w:rPr>
          <w:szCs w:val="24"/>
        </w:rPr>
        <w:t xml:space="preserve"> 3.1. sada</w:t>
      </w:r>
      <w:r w:rsidRPr="0043231D">
        <w:rPr>
          <w:szCs w:val="24"/>
        </w:rPr>
        <w:t>ļā minētie pasākumi.</w:t>
      </w:r>
    </w:p>
    <w:p w14:paraId="15BC91D4" w14:textId="77777777" w:rsidR="00651B6D" w:rsidRPr="005E5F40" w:rsidRDefault="00651B6D" w:rsidP="005C5F15">
      <w:pPr>
        <w:keepNext/>
        <w:spacing w:before="120"/>
        <w:ind w:firstLine="0"/>
        <w:jc w:val="right"/>
        <w:rPr>
          <w:b/>
          <w:i/>
          <w:szCs w:val="24"/>
        </w:rPr>
      </w:pPr>
      <w:r w:rsidRPr="005E5F40">
        <w:rPr>
          <w:b/>
          <w:i/>
          <w:szCs w:val="24"/>
        </w:rPr>
        <w:t>3.7</w:t>
      </w:r>
      <w:r>
        <w:rPr>
          <w:b/>
          <w:i/>
          <w:szCs w:val="24"/>
        </w:rPr>
        <w:t>. tab</w:t>
      </w:r>
      <w:r w:rsidRPr="005E5F40">
        <w:rPr>
          <w:b/>
          <w:i/>
          <w:szCs w:val="24"/>
        </w:rPr>
        <w:t>ula. Pievienotās vērtības nodokļa ieņēmumi</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384"/>
        <w:gridCol w:w="920"/>
        <w:gridCol w:w="920"/>
        <w:gridCol w:w="920"/>
        <w:gridCol w:w="921"/>
      </w:tblGrid>
      <w:tr w:rsidR="00651B6D" w:rsidRPr="005E5F40" w14:paraId="425434DC" w14:textId="77777777" w:rsidTr="00651B6D">
        <w:trPr>
          <w:cantSplit/>
          <w:trHeight w:val="20"/>
          <w:jc w:val="center"/>
        </w:trPr>
        <w:tc>
          <w:tcPr>
            <w:tcW w:w="5384" w:type="dxa"/>
            <w:shd w:val="clear" w:color="auto" w:fill="9CC2E5" w:themeFill="accent1" w:themeFillTint="99"/>
            <w:noWrap/>
            <w:vAlign w:val="center"/>
            <w:hideMark/>
          </w:tcPr>
          <w:p w14:paraId="7E333D77" w14:textId="77777777" w:rsidR="00651B6D" w:rsidRPr="005E5F40" w:rsidRDefault="00651B6D" w:rsidP="00651B6D">
            <w:pPr>
              <w:keepNext/>
              <w:ind w:firstLine="0"/>
              <w:jc w:val="center"/>
              <w:rPr>
                <w:color w:val="000000"/>
                <w:sz w:val="18"/>
                <w:szCs w:val="18"/>
                <w:highlight w:val="yellow"/>
              </w:rPr>
            </w:pPr>
          </w:p>
        </w:tc>
        <w:tc>
          <w:tcPr>
            <w:tcW w:w="920" w:type="dxa"/>
            <w:shd w:val="clear" w:color="auto" w:fill="9CC2E5" w:themeFill="accent1" w:themeFillTint="99"/>
            <w:vAlign w:val="center"/>
          </w:tcPr>
          <w:p w14:paraId="0EC9FB10" w14:textId="77777777" w:rsidR="00651B6D" w:rsidRPr="005E5F40" w:rsidRDefault="00651B6D" w:rsidP="00651B6D">
            <w:pPr>
              <w:keepNext/>
              <w:ind w:firstLine="0"/>
              <w:jc w:val="center"/>
              <w:rPr>
                <w:b/>
                <w:color w:val="000000"/>
                <w:sz w:val="18"/>
                <w:szCs w:val="18"/>
              </w:rPr>
            </w:pPr>
            <w:r w:rsidRPr="005E5F40">
              <w:rPr>
                <w:b/>
                <w:color w:val="000000"/>
                <w:sz w:val="18"/>
                <w:szCs w:val="18"/>
              </w:rPr>
              <w:t>2021</w:t>
            </w:r>
          </w:p>
        </w:tc>
        <w:tc>
          <w:tcPr>
            <w:tcW w:w="920" w:type="dxa"/>
            <w:shd w:val="clear" w:color="auto" w:fill="9CC2E5" w:themeFill="accent1" w:themeFillTint="99"/>
            <w:vAlign w:val="center"/>
          </w:tcPr>
          <w:p w14:paraId="75B15FF6" w14:textId="77777777" w:rsidR="00651B6D" w:rsidRPr="005E5F40" w:rsidRDefault="00651B6D" w:rsidP="00651B6D">
            <w:pPr>
              <w:keepNext/>
              <w:ind w:firstLine="0"/>
              <w:jc w:val="center"/>
              <w:rPr>
                <w:b/>
                <w:color w:val="000000"/>
                <w:sz w:val="18"/>
                <w:szCs w:val="18"/>
              </w:rPr>
            </w:pPr>
            <w:r w:rsidRPr="005E5F40">
              <w:rPr>
                <w:b/>
                <w:color w:val="000000"/>
                <w:sz w:val="18"/>
                <w:szCs w:val="18"/>
              </w:rPr>
              <w:t>2022</w:t>
            </w:r>
          </w:p>
        </w:tc>
        <w:tc>
          <w:tcPr>
            <w:tcW w:w="920" w:type="dxa"/>
            <w:shd w:val="clear" w:color="auto" w:fill="9CC2E5" w:themeFill="accent1" w:themeFillTint="99"/>
            <w:noWrap/>
            <w:vAlign w:val="center"/>
            <w:hideMark/>
          </w:tcPr>
          <w:p w14:paraId="30BB67B0" w14:textId="77777777" w:rsidR="00651B6D" w:rsidRPr="005E5F40" w:rsidRDefault="00651B6D" w:rsidP="00651B6D">
            <w:pPr>
              <w:keepNext/>
              <w:ind w:firstLine="0"/>
              <w:jc w:val="center"/>
              <w:rPr>
                <w:b/>
                <w:color w:val="000000"/>
                <w:sz w:val="18"/>
                <w:szCs w:val="18"/>
              </w:rPr>
            </w:pPr>
            <w:r w:rsidRPr="005E5F40">
              <w:rPr>
                <w:b/>
                <w:color w:val="000000"/>
                <w:sz w:val="18"/>
                <w:szCs w:val="18"/>
              </w:rPr>
              <w:t>2023</w:t>
            </w:r>
          </w:p>
        </w:tc>
        <w:tc>
          <w:tcPr>
            <w:tcW w:w="921" w:type="dxa"/>
            <w:shd w:val="clear" w:color="auto" w:fill="9CC2E5" w:themeFill="accent1" w:themeFillTint="99"/>
            <w:vAlign w:val="center"/>
          </w:tcPr>
          <w:p w14:paraId="2085A694" w14:textId="77777777" w:rsidR="00651B6D" w:rsidRPr="005E5F40" w:rsidRDefault="00651B6D" w:rsidP="00651B6D">
            <w:pPr>
              <w:keepNext/>
              <w:ind w:firstLine="0"/>
              <w:jc w:val="center"/>
              <w:rPr>
                <w:b/>
                <w:color w:val="000000"/>
                <w:sz w:val="18"/>
                <w:szCs w:val="18"/>
              </w:rPr>
            </w:pPr>
            <w:r w:rsidRPr="005E5F40">
              <w:rPr>
                <w:b/>
                <w:color w:val="000000"/>
                <w:sz w:val="18"/>
                <w:szCs w:val="18"/>
              </w:rPr>
              <w:t>2024</w:t>
            </w:r>
          </w:p>
        </w:tc>
      </w:tr>
      <w:tr w:rsidR="00651B6D" w:rsidRPr="005E5F40" w14:paraId="0EB850F6" w14:textId="77777777" w:rsidTr="00651B6D">
        <w:trPr>
          <w:cantSplit/>
          <w:trHeight w:val="20"/>
          <w:jc w:val="center"/>
        </w:trPr>
        <w:tc>
          <w:tcPr>
            <w:tcW w:w="5384" w:type="dxa"/>
            <w:shd w:val="clear" w:color="auto" w:fill="auto"/>
            <w:vAlign w:val="center"/>
            <w:hideMark/>
          </w:tcPr>
          <w:p w14:paraId="337CC57F" w14:textId="77777777" w:rsidR="00651B6D" w:rsidRPr="005E5F40" w:rsidRDefault="00651B6D" w:rsidP="00651B6D">
            <w:pPr>
              <w:keepNext/>
              <w:ind w:firstLine="0"/>
              <w:jc w:val="left"/>
              <w:rPr>
                <w:color w:val="000000"/>
                <w:sz w:val="18"/>
                <w:szCs w:val="18"/>
              </w:rPr>
            </w:pPr>
            <w:r w:rsidRPr="005E5F40">
              <w:rPr>
                <w:color w:val="000000"/>
                <w:sz w:val="18"/>
                <w:szCs w:val="18"/>
              </w:rPr>
              <w:t>Saskaņā ar likumprojektu „Par vidēja termiņa budžeta ietvaru 2022., 2023. un 2024</w:t>
            </w:r>
            <w:r>
              <w:rPr>
                <w:color w:val="000000"/>
                <w:sz w:val="18"/>
                <w:szCs w:val="18"/>
              </w:rPr>
              <w:t>. gad</w:t>
            </w:r>
            <w:r w:rsidRPr="005E5F40">
              <w:rPr>
                <w:color w:val="000000"/>
                <w:sz w:val="18"/>
                <w:szCs w:val="18"/>
              </w:rPr>
              <w:t>am”</w:t>
            </w:r>
            <w:r>
              <w:rPr>
                <w:color w:val="000000"/>
                <w:sz w:val="18"/>
                <w:szCs w:val="18"/>
              </w:rPr>
              <w:t>, milj.</w:t>
            </w:r>
            <w:r w:rsidRPr="005E5F40">
              <w:rPr>
                <w:i/>
                <w:color w:val="000000"/>
                <w:sz w:val="18"/>
                <w:szCs w:val="18"/>
              </w:rPr>
              <w:t> </w:t>
            </w:r>
            <w:r w:rsidRPr="004F46D3">
              <w:rPr>
                <w:i/>
                <w:color w:val="000000"/>
                <w:sz w:val="18"/>
                <w:szCs w:val="18"/>
              </w:rPr>
              <w:t>euro</w:t>
            </w:r>
          </w:p>
        </w:tc>
        <w:tc>
          <w:tcPr>
            <w:tcW w:w="920" w:type="dxa"/>
            <w:shd w:val="clear" w:color="auto" w:fill="auto"/>
            <w:noWrap/>
          </w:tcPr>
          <w:p w14:paraId="54B1705A" w14:textId="77777777" w:rsidR="00651B6D" w:rsidRPr="005C5F15" w:rsidRDefault="00651B6D" w:rsidP="00651B6D">
            <w:pPr>
              <w:pStyle w:val="cipari"/>
              <w:rPr>
                <w:sz w:val="18"/>
              </w:rPr>
            </w:pPr>
            <w:r w:rsidRPr="005C5F15">
              <w:rPr>
                <w:sz w:val="18"/>
              </w:rPr>
              <w:t>2 810,6</w:t>
            </w:r>
            <w:r w:rsidRPr="005C5F15">
              <w:rPr>
                <w:sz w:val="18"/>
                <w:vertAlign w:val="superscript"/>
              </w:rPr>
              <w:t>1</w:t>
            </w:r>
          </w:p>
        </w:tc>
        <w:tc>
          <w:tcPr>
            <w:tcW w:w="920" w:type="dxa"/>
            <w:shd w:val="clear" w:color="auto" w:fill="auto"/>
            <w:noWrap/>
          </w:tcPr>
          <w:p w14:paraId="36301705" w14:textId="77777777" w:rsidR="00651B6D" w:rsidRPr="005C5F15" w:rsidRDefault="00651B6D" w:rsidP="00651B6D">
            <w:pPr>
              <w:pStyle w:val="cipari"/>
              <w:rPr>
                <w:sz w:val="18"/>
              </w:rPr>
            </w:pPr>
            <w:r w:rsidRPr="005C5F15">
              <w:rPr>
                <w:sz w:val="18"/>
              </w:rPr>
              <w:t>3 067,5</w:t>
            </w:r>
          </w:p>
        </w:tc>
        <w:tc>
          <w:tcPr>
            <w:tcW w:w="920" w:type="dxa"/>
            <w:shd w:val="clear" w:color="auto" w:fill="auto"/>
            <w:noWrap/>
          </w:tcPr>
          <w:p w14:paraId="6DEFEAFD" w14:textId="77777777" w:rsidR="00651B6D" w:rsidRPr="005C5F15" w:rsidRDefault="00651B6D" w:rsidP="00651B6D">
            <w:pPr>
              <w:pStyle w:val="cipari"/>
              <w:rPr>
                <w:sz w:val="18"/>
              </w:rPr>
            </w:pPr>
            <w:r w:rsidRPr="005C5F15">
              <w:rPr>
                <w:sz w:val="18"/>
              </w:rPr>
              <w:t>3 291,8</w:t>
            </w:r>
          </w:p>
        </w:tc>
        <w:tc>
          <w:tcPr>
            <w:tcW w:w="921" w:type="dxa"/>
          </w:tcPr>
          <w:p w14:paraId="2816D363" w14:textId="77777777" w:rsidR="00651B6D" w:rsidRPr="005C5F15" w:rsidRDefault="00651B6D" w:rsidP="00651B6D">
            <w:pPr>
              <w:pStyle w:val="cipari"/>
              <w:rPr>
                <w:sz w:val="18"/>
              </w:rPr>
            </w:pPr>
            <w:r w:rsidRPr="005C5F15">
              <w:rPr>
                <w:sz w:val="18"/>
              </w:rPr>
              <w:t>3 493,6</w:t>
            </w:r>
          </w:p>
        </w:tc>
      </w:tr>
      <w:tr w:rsidR="00651B6D" w:rsidRPr="005E5F40" w14:paraId="230E5651" w14:textId="77777777" w:rsidTr="00651B6D">
        <w:trPr>
          <w:cantSplit/>
          <w:trHeight w:val="20"/>
          <w:jc w:val="center"/>
        </w:trPr>
        <w:tc>
          <w:tcPr>
            <w:tcW w:w="5384" w:type="dxa"/>
            <w:shd w:val="clear" w:color="auto" w:fill="auto"/>
            <w:vAlign w:val="center"/>
          </w:tcPr>
          <w:p w14:paraId="5006B898" w14:textId="77777777" w:rsidR="00651B6D" w:rsidRPr="005E5F40" w:rsidRDefault="00651B6D" w:rsidP="00651B6D">
            <w:pPr>
              <w:keepNext/>
              <w:ind w:firstLine="0"/>
              <w:jc w:val="left"/>
              <w:rPr>
                <w:i/>
                <w:sz w:val="18"/>
                <w:szCs w:val="18"/>
              </w:rPr>
            </w:pPr>
            <w:r w:rsidRPr="005E5F40">
              <w:rPr>
                <w:sz w:val="18"/>
                <w:szCs w:val="18"/>
              </w:rPr>
              <w:t xml:space="preserve">Saskaņā ar likumu </w:t>
            </w:r>
            <w:r w:rsidRPr="005E5F40">
              <w:rPr>
                <w:color w:val="000000"/>
                <w:sz w:val="18"/>
                <w:szCs w:val="18"/>
              </w:rPr>
              <w:t>„Par vidēja termiņa budžeta ietvaru 2021., 2022. un 2023</w:t>
            </w:r>
            <w:r>
              <w:rPr>
                <w:color w:val="000000"/>
                <w:sz w:val="18"/>
                <w:szCs w:val="18"/>
              </w:rPr>
              <w:t>. gad</w:t>
            </w:r>
            <w:r w:rsidRPr="005E5F40">
              <w:rPr>
                <w:color w:val="000000"/>
                <w:sz w:val="18"/>
                <w:szCs w:val="18"/>
              </w:rPr>
              <w:t>am”</w:t>
            </w:r>
            <w:r>
              <w:rPr>
                <w:color w:val="000000"/>
                <w:sz w:val="18"/>
                <w:szCs w:val="18"/>
              </w:rPr>
              <w:t>, milj.</w:t>
            </w:r>
            <w:r w:rsidRPr="005E5F40">
              <w:rPr>
                <w:i/>
                <w:color w:val="000000"/>
                <w:sz w:val="18"/>
                <w:szCs w:val="18"/>
              </w:rPr>
              <w:t> </w:t>
            </w:r>
            <w:r w:rsidRPr="004F46D3">
              <w:rPr>
                <w:i/>
                <w:color w:val="000000"/>
                <w:sz w:val="18"/>
                <w:szCs w:val="18"/>
              </w:rPr>
              <w:t>euro</w:t>
            </w:r>
          </w:p>
        </w:tc>
        <w:tc>
          <w:tcPr>
            <w:tcW w:w="920" w:type="dxa"/>
            <w:shd w:val="clear" w:color="auto" w:fill="auto"/>
            <w:noWrap/>
          </w:tcPr>
          <w:p w14:paraId="2CE48725" w14:textId="77777777" w:rsidR="00651B6D" w:rsidRPr="005C5F15" w:rsidRDefault="00651B6D" w:rsidP="00651B6D">
            <w:pPr>
              <w:pStyle w:val="cipari"/>
              <w:rPr>
                <w:sz w:val="18"/>
              </w:rPr>
            </w:pPr>
            <w:r w:rsidRPr="005C5F15">
              <w:rPr>
                <w:sz w:val="18"/>
              </w:rPr>
              <w:t>2 735,6</w:t>
            </w:r>
          </w:p>
        </w:tc>
        <w:tc>
          <w:tcPr>
            <w:tcW w:w="920" w:type="dxa"/>
            <w:shd w:val="clear" w:color="auto" w:fill="auto"/>
            <w:noWrap/>
          </w:tcPr>
          <w:p w14:paraId="56216DCF" w14:textId="77777777" w:rsidR="00651B6D" w:rsidRPr="005C5F15" w:rsidRDefault="00651B6D" w:rsidP="00651B6D">
            <w:pPr>
              <w:pStyle w:val="cipari"/>
              <w:rPr>
                <w:sz w:val="18"/>
              </w:rPr>
            </w:pPr>
            <w:r w:rsidRPr="005C5F15">
              <w:rPr>
                <w:sz w:val="18"/>
              </w:rPr>
              <w:t>2 926,4</w:t>
            </w:r>
          </w:p>
        </w:tc>
        <w:tc>
          <w:tcPr>
            <w:tcW w:w="920" w:type="dxa"/>
            <w:shd w:val="clear" w:color="auto" w:fill="auto"/>
            <w:noWrap/>
          </w:tcPr>
          <w:p w14:paraId="5B7E7018" w14:textId="77777777" w:rsidR="00651B6D" w:rsidRPr="005C5F15" w:rsidRDefault="00651B6D" w:rsidP="00651B6D">
            <w:pPr>
              <w:pStyle w:val="cipari"/>
              <w:rPr>
                <w:sz w:val="18"/>
              </w:rPr>
            </w:pPr>
            <w:r w:rsidRPr="005C5F15">
              <w:rPr>
                <w:sz w:val="18"/>
              </w:rPr>
              <w:t>3 118,2</w:t>
            </w:r>
          </w:p>
        </w:tc>
        <w:tc>
          <w:tcPr>
            <w:tcW w:w="921" w:type="dxa"/>
          </w:tcPr>
          <w:p w14:paraId="1C9F3704" w14:textId="77777777" w:rsidR="00651B6D" w:rsidRPr="005C5F15" w:rsidRDefault="00651B6D" w:rsidP="00651B6D">
            <w:pPr>
              <w:pStyle w:val="cipari"/>
              <w:rPr>
                <w:sz w:val="18"/>
              </w:rPr>
            </w:pPr>
            <w:r w:rsidRPr="005C5F15">
              <w:rPr>
                <w:sz w:val="18"/>
              </w:rPr>
              <w:t>-</w:t>
            </w:r>
          </w:p>
        </w:tc>
      </w:tr>
      <w:tr w:rsidR="00651B6D" w:rsidRPr="005E5F40" w14:paraId="7A72463C" w14:textId="77777777" w:rsidTr="00651B6D">
        <w:trPr>
          <w:cantSplit/>
          <w:trHeight w:val="20"/>
          <w:jc w:val="center"/>
        </w:trPr>
        <w:tc>
          <w:tcPr>
            <w:tcW w:w="5384" w:type="dxa"/>
            <w:shd w:val="clear" w:color="auto" w:fill="auto"/>
            <w:vAlign w:val="center"/>
            <w:hideMark/>
          </w:tcPr>
          <w:p w14:paraId="78122E4D" w14:textId="77777777" w:rsidR="00651B6D" w:rsidRPr="005E5F40" w:rsidRDefault="00651B6D" w:rsidP="00651B6D">
            <w:pPr>
              <w:keepNext/>
              <w:ind w:firstLine="0"/>
              <w:jc w:val="left"/>
              <w:rPr>
                <w:i/>
                <w:color w:val="000000"/>
                <w:sz w:val="18"/>
                <w:szCs w:val="18"/>
              </w:rPr>
            </w:pPr>
            <w:r w:rsidRPr="005E5F40">
              <w:rPr>
                <w:i/>
                <w:color w:val="000000"/>
                <w:sz w:val="18"/>
                <w:szCs w:val="18"/>
              </w:rPr>
              <w:t>pieaugums, salīdzinot ar likumu „Par vidēja termiņa budžeta ietvaru 2021., 2022. un 2023</w:t>
            </w:r>
            <w:r>
              <w:rPr>
                <w:i/>
                <w:color w:val="000000"/>
                <w:sz w:val="18"/>
                <w:szCs w:val="18"/>
              </w:rPr>
              <w:t>. gad</w:t>
            </w:r>
            <w:r w:rsidRPr="005E5F40">
              <w:rPr>
                <w:i/>
                <w:color w:val="000000"/>
                <w:sz w:val="18"/>
                <w:szCs w:val="18"/>
              </w:rPr>
              <w:t>am”</w:t>
            </w:r>
            <w:r>
              <w:rPr>
                <w:i/>
                <w:color w:val="000000"/>
                <w:sz w:val="18"/>
                <w:szCs w:val="18"/>
              </w:rPr>
              <w:t>, milj.</w:t>
            </w:r>
            <w:r w:rsidRPr="005E5F40">
              <w:rPr>
                <w:i/>
                <w:color w:val="000000"/>
                <w:sz w:val="18"/>
                <w:szCs w:val="18"/>
              </w:rPr>
              <w:t> </w:t>
            </w:r>
            <w:r w:rsidRPr="004F46D3">
              <w:rPr>
                <w:i/>
                <w:color w:val="000000"/>
                <w:sz w:val="18"/>
                <w:szCs w:val="18"/>
              </w:rPr>
              <w:t>euro</w:t>
            </w:r>
          </w:p>
        </w:tc>
        <w:tc>
          <w:tcPr>
            <w:tcW w:w="920" w:type="dxa"/>
            <w:shd w:val="clear" w:color="auto" w:fill="auto"/>
            <w:noWrap/>
          </w:tcPr>
          <w:p w14:paraId="6C8727BF" w14:textId="77777777" w:rsidR="00651B6D" w:rsidRPr="005C5F15" w:rsidRDefault="00651B6D" w:rsidP="00651B6D">
            <w:pPr>
              <w:pStyle w:val="cipari"/>
              <w:rPr>
                <w:i/>
                <w:iCs/>
                <w:sz w:val="18"/>
              </w:rPr>
            </w:pPr>
            <w:r w:rsidRPr="005C5F15">
              <w:rPr>
                <w:i/>
                <w:iCs/>
                <w:sz w:val="18"/>
              </w:rPr>
              <w:t>75,0</w:t>
            </w:r>
          </w:p>
        </w:tc>
        <w:tc>
          <w:tcPr>
            <w:tcW w:w="920" w:type="dxa"/>
            <w:shd w:val="clear" w:color="auto" w:fill="auto"/>
            <w:noWrap/>
          </w:tcPr>
          <w:p w14:paraId="180CBA42" w14:textId="77777777" w:rsidR="00651B6D" w:rsidRPr="005C5F15" w:rsidRDefault="00651B6D" w:rsidP="00651B6D">
            <w:pPr>
              <w:pStyle w:val="cipari"/>
              <w:rPr>
                <w:i/>
                <w:iCs/>
                <w:sz w:val="18"/>
              </w:rPr>
            </w:pPr>
            <w:r w:rsidRPr="005C5F15">
              <w:rPr>
                <w:i/>
                <w:iCs/>
                <w:sz w:val="18"/>
              </w:rPr>
              <w:t>141,1</w:t>
            </w:r>
          </w:p>
        </w:tc>
        <w:tc>
          <w:tcPr>
            <w:tcW w:w="920" w:type="dxa"/>
            <w:shd w:val="clear" w:color="auto" w:fill="auto"/>
            <w:noWrap/>
          </w:tcPr>
          <w:p w14:paraId="3B5230CC" w14:textId="77777777" w:rsidR="00651B6D" w:rsidRPr="005C5F15" w:rsidRDefault="00651B6D" w:rsidP="00651B6D">
            <w:pPr>
              <w:pStyle w:val="cipari"/>
              <w:rPr>
                <w:i/>
                <w:iCs/>
                <w:sz w:val="18"/>
              </w:rPr>
            </w:pPr>
            <w:r w:rsidRPr="005C5F15">
              <w:rPr>
                <w:i/>
                <w:iCs/>
                <w:sz w:val="18"/>
              </w:rPr>
              <w:t>173,7</w:t>
            </w:r>
          </w:p>
        </w:tc>
        <w:tc>
          <w:tcPr>
            <w:tcW w:w="921" w:type="dxa"/>
            <w:shd w:val="clear" w:color="auto" w:fill="auto"/>
          </w:tcPr>
          <w:p w14:paraId="5B26CC23" w14:textId="77777777" w:rsidR="00651B6D" w:rsidRPr="005C5F15" w:rsidRDefault="00651B6D" w:rsidP="00651B6D">
            <w:pPr>
              <w:pStyle w:val="cipari"/>
              <w:rPr>
                <w:i/>
                <w:iCs/>
                <w:sz w:val="18"/>
              </w:rPr>
            </w:pPr>
            <w:r w:rsidRPr="005C5F15">
              <w:rPr>
                <w:i/>
                <w:iCs/>
                <w:sz w:val="18"/>
              </w:rPr>
              <w:t>-</w:t>
            </w:r>
          </w:p>
        </w:tc>
      </w:tr>
      <w:tr w:rsidR="00651B6D" w:rsidRPr="005E5F40" w14:paraId="426610F4" w14:textId="77777777" w:rsidTr="00651B6D">
        <w:trPr>
          <w:cantSplit/>
          <w:trHeight w:val="20"/>
          <w:jc w:val="center"/>
        </w:trPr>
        <w:tc>
          <w:tcPr>
            <w:tcW w:w="5384" w:type="dxa"/>
            <w:shd w:val="clear" w:color="auto" w:fill="auto"/>
            <w:vAlign w:val="center"/>
            <w:hideMark/>
          </w:tcPr>
          <w:p w14:paraId="0CFD5EBE" w14:textId="77777777" w:rsidR="00651B6D" w:rsidRPr="005E5F40" w:rsidRDefault="00651B6D" w:rsidP="00651B6D">
            <w:pPr>
              <w:keepNext/>
              <w:ind w:firstLine="0"/>
              <w:jc w:val="left"/>
              <w:rPr>
                <w:i/>
                <w:color w:val="000000"/>
                <w:sz w:val="18"/>
                <w:szCs w:val="18"/>
              </w:rPr>
            </w:pPr>
            <w:r w:rsidRPr="005E5F40">
              <w:rPr>
                <w:i/>
                <w:color w:val="000000"/>
                <w:sz w:val="18"/>
                <w:szCs w:val="18"/>
              </w:rPr>
              <w:t>pieaugums, salīdzinot ar likumu „Par vidēja termiņa budžeta ietvaru 2021., 2022. un 2023</w:t>
            </w:r>
            <w:r>
              <w:rPr>
                <w:i/>
                <w:color w:val="000000"/>
                <w:sz w:val="18"/>
                <w:szCs w:val="18"/>
              </w:rPr>
              <w:t>. gad</w:t>
            </w:r>
            <w:r w:rsidRPr="005E5F40">
              <w:rPr>
                <w:i/>
                <w:color w:val="000000"/>
                <w:sz w:val="18"/>
                <w:szCs w:val="18"/>
              </w:rPr>
              <w:t>am”, %</w:t>
            </w:r>
          </w:p>
        </w:tc>
        <w:tc>
          <w:tcPr>
            <w:tcW w:w="920" w:type="dxa"/>
            <w:shd w:val="clear" w:color="auto" w:fill="auto"/>
            <w:noWrap/>
          </w:tcPr>
          <w:p w14:paraId="6F2844B6" w14:textId="77777777" w:rsidR="00651B6D" w:rsidRPr="005C5F15" w:rsidRDefault="00651B6D" w:rsidP="00651B6D">
            <w:pPr>
              <w:pStyle w:val="cipari"/>
              <w:rPr>
                <w:i/>
                <w:iCs/>
                <w:sz w:val="18"/>
              </w:rPr>
            </w:pPr>
            <w:r w:rsidRPr="005C5F15">
              <w:rPr>
                <w:i/>
                <w:iCs/>
                <w:sz w:val="18"/>
              </w:rPr>
              <w:t>2,7</w:t>
            </w:r>
          </w:p>
        </w:tc>
        <w:tc>
          <w:tcPr>
            <w:tcW w:w="920" w:type="dxa"/>
            <w:shd w:val="clear" w:color="auto" w:fill="auto"/>
            <w:noWrap/>
          </w:tcPr>
          <w:p w14:paraId="76E0E1F7" w14:textId="77777777" w:rsidR="00651B6D" w:rsidRPr="005C5F15" w:rsidRDefault="00651B6D" w:rsidP="00651B6D">
            <w:pPr>
              <w:pStyle w:val="cipari"/>
              <w:rPr>
                <w:i/>
                <w:iCs/>
                <w:sz w:val="18"/>
              </w:rPr>
            </w:pPr>
            <w:r w:rsidRPr="005C5F15">
              <w:rPr>
                <w:i/>
                <w:iCs/>
                <w:sz w:val="18"/>
              </w:rPr>
              <w:t>4,8</w:t>
            </w:r>
          </w:p>
        </w:tc>
        <w:tc>
          <w:tcPr>
            <w:tcW w:w="920" w:type="dxa"/>
            <w:shd w:val="clear" w:color="auto" w:fill="auto"/>
            <w:noWrap/>
          </w:tcPr>
          <w:p w14:paraId="2C49B7A5" w14:textId="77777777" w:rsidR="00651B6D" w:rsidRPr="005C5F15" w:rsidRDefault="00651B6D" w:rsidP="00651B6D">
            <w:pPr>
              <w:pStyle w:val="cipari"/>
              <w:rPr>
                <w:i/>
                <w:iCs/>
                <w:sz w:val="18"/>
              </w:rPr>
            </w:pPr>
            <w:r w:rsidRPr="005C5F15">
              <w:rPr>
                <w:i/>
                <w:iCs/>
                <w:sz w:val="18"/>
              </w:rPr>
              <w:t>5,6</w:t>
            </w:r>
          </w:p>
        </w:tc>
        <w:tc>
          <w:tcPr>
            <w:tcW w:w="921" w:type="dxa"/>
            <w:shd w:val="clear" w:color="auto" w:fill="auto"/>
          </w:tcPr>
          <w:p w14:paraId="2316F29C" w14:textId="77777777" w:rsidR="00651B6D" w:rsidRPr="005C5F15" w:rsidRDefault="00651B6D" w:rsidP="00651B6D">
            <w:pPr>
              <w:pStyle w:val="cipari"/>
              <w:rPr>
                <w:i/>
                <w:iCs/>
                <w:sz w:val="18"/>
              </w:rPr>
            </w:pPr>
            <w:r w:rsidRPr="005C5F15">
              <w:rPr>
                <w:i/>
                <w:iCs/>
                <w:sz w:val="18"/>
              </w:rPr>
              <w:t>-</w:t>
            </w:r>
          </w:p>
        </w:tc>
      </w:tr>
      <w:tr w:rsidR="00651B6D" w:rsidRPr="005E5F40" w14:paraId="055E20BB" w14:textId="77777777" w:rsidTr="00651B6D">
        <w:trPr>
          <w:cantSplit/>
          <w:trHeight w:val="20"/>
          <w:jc w:val="center"/>
        </w:trPr>
        <w:tc>
          <w:tcPr>
            <w:tcW w:w="5384" w:type="dxa"/>
            <w:shd w:val="clear" w:color="auto" w:fill="auto"/>
            <w:noWrap/>
            <w:vAlign w:val="center"/>
            <w:hideMark/>
          </w:tcPr>
          <w:p w14:paraId="60A54904" w14:textId="7D990659" w:rsidR="00651B6D" w:rsidRPr="005E5F40" w:rsidRDefault="005C5F15" w:rsidP="00651B6D">
            <w:pPr>
              <w:keepNext/>
              <w:ind w:firstLine="0"/>
              <w:jc w:val="left"/>
              <w:rPr>
                <w:i/>
                <w:color w:val="000000"/>
                <w:sz w:val="18"/>
                <w:szCs w:val="18"/>
              </w:rPr>
            </w:pPr>
            <w:r>
              <w:rPr>
                <w:i/>
                <w:color w:val="000000"/>
                <w:sz w:val="18"/>
                <w:szCs w:val="18"/>
              </w:rPr>
              <w:t>% no iekšzemes kopprodukta</w:t>
            </w:r>
          </w:p>
        </w:tc>
        <w:tc>
          <w:tcPr>
            <w:tcW w:w="920" w:type="dxa"/>
            <w:shd w:val="clear" w:color="auto" w:fill="auto"/>
            <w:noWrap/>
          </w:tcPr>
          <w:p w14:paraId="3FEEF944" w14:textId="77777777" w:rsidR="00651B6D" w:rsidRPr="005C5F15" w:rsidRDefault="00651B6D" w:rsidP="00651B6D">
            <w:pPr>
              <w:pStyle w:val="cipari"/>
              <w:rPr>
                <w:i/>
                <w:iCs/>
                <w:sz w:val="18"/>
              </w:rPr>
            </w:pPr>
            <w:r w:rsidRPr="005C5F15">
              <w:rPr>
                <w:i/>
                <w:iCs/>
                <w:sz w:val="18"/>
              </w:rPr>
              <w:t>9,0</w:t>
            </w:r>
          </w:p>
        </w:tc>
        <w:tc>
          <w:tcPr>
            <w:tcW w:w="920" w:type="dxa"/>
            <w:shd w:val="clear" w:color="auto" w:fill="auto"/>
            <w:noWrap/>
          </w:tcPr>
          <w:p w14:paraId="4DDD853C" w14:textId="77777777" w:rsidR="00651B6D" w:rsidRPr="005C5F15" w:rsidRDefault="00651B6D" w:rsidP="00651B6D">
            <w:pPr>
              <w:pStyle w:val="cipari"/>
              <w:rPr>
                <w:i/>
                <w:iCs/>
                <w:sz w:val="18"/>
              </w:rPr>
            </w:pPr>
            <w:r w:rsidRPr="005C5F15">
              <w:rPr>
                <w:i/>
                <w:iCs/>
                <w:sz w:val="18"/>
              </w:rPr>
              <w:t>9,0</w:t>
            </w:r>
          </w:p>
        </w:tc>
        <w:tc>
          <w:tcPr>
            <w:tcW w:w="920" w:type="dxa"/>
            <w:shd w:val="clear" w:color="auto" w:fill="auto"/>
            <w:noWrap/>
          </w:tcPr>
          <w:p w14:paraId="464D3F57" w14:textId="77777777" w:rsidR="00651B6D" w:rsidRPr="005C5F15" w:rsidRDefault="00651B6D" w:rsidP="00651B6D">
            <w:pPr>
              <w:pStyle w:val="cipari"/>
              <w:rPr>
                <w:i/>
                <w:iCs/>
                <w:sz w:val="18"/>
              </w:rPr>
            </w:pPr>
            <w:r w:rsidRPr="005C5F15">
              <w:rPr>
                <w:i/>
                <w:iCs/>
                <w:sz w:val="18"/>
              </w:rPr>
              <w:t>9,1</w:t>
            </w:r>
          </w:p>
        </w:tc>
        <w:tc>
          <w:tcPr>
            <w:tcW w:w="921" w:type="dxa"/>
          </w:tcPr>
          <w:p w14:paraId="1C83BFB4" w14:textId="77777777" w:rsidR="00651B6D" w:rsidRPr="005C5F15" w:rsidRDefault="00651B6D" w:rsidP="00651B6D">
            <w:pPr>
              <w:pStyle w:val="cipari"/>
              <w:rPr>
                <w:i/>
                <w:iCs/>
                <w:sz w:val="18"/>
              </w:rPr>
            </w:pPr>
            <w:r w:rsidRPr="005C5F15">
              <w:rPr>
                <w:i/>
                <w:iCs/>
                <w:sz w:val="18"/>
              </w:rPr>
              <w:t>9,2</w:t>
            </w:r>
          </w:p>
        </w:tc>
      </w:tr>
    </w:tbl>
    <w:p w14:paraId="071A4C3A" w14:textId="77777777" w:rsidR="00651B6D" w:rsidRPr="00E81457" w:rsidRDefault="00651B6D" w:rsidP="00651B6D">
      <w:pPr>
        <w:spacing w:after="240"/>
        <w:ind w:left="425" w:firstLine="0"/>
        <w:jc w:val="left"/>
        <w:rPr>
          <w:sz w:val="18"/>
          <w:szCs w:val="18"/>
        </w:rPr>
      </w:pPr>
      <w:r w:rsidRPr="00E81457">
        <w:rPr>
          <w:sz w:val="18"/>
          <w:szCs w:val="18"/>
          <w:vertAlign w:val="superscript"/>
        </w:rPr>
        <w:t>1</w:t>
      </w:r>
      <w:r w:rsidRPr="00E81457">
        <w:rPr>
          <w:sz w:val="18"/>
          <w:szCs w:val="18"/>
        </w:rPr>
        <w:t> Prognoze 22.07.2021</w:t>
      </w:r>
      <w:r>
        <w:rPr>
          <w:sz w:val="18"/>
          <w:szCs w:val="18"/>
        </w:rPr>
        <w:t>.</w:t>
      </w:r>
    </w:p>
    <w:p w14:paraId="16EAF995" w14:textId="77777777" w:rsidR="00651B6D" w:rsidRPr="00E04A82" w:rsidRDefault="00651B6D" w:rsidP="005C5F15">
      <w:pPr>
        <w:pStyle w:val="H3"/>
        <w:spacing w:before="240" w:after="240"/>
      </w:pPr>
      <w:bookmarkStart w:id="72" w:name="_Toc84756426"/>
      <w:bookmarkStart w:id="73" w:name="_Hlk82805101"/>
      <w:r w:rsidRPr="00E04A82">
        <w:t>Akcīzes nodoklis</w:t>
      </w:r>
      <w:bookmarkEnd w:id="72"/>
    </w:p>
    <w:p w14:paraId="4F75788F" w14:textId="77777777" w:rsidR="00651B6D" w:rsidRPr="00D87C01" w:rsidRDefault="00651B6D" w:rsidP="00651B6D">
      <w:bookmarkStart w:id="74" w:name="_Toc150840178"/>
      <w:bookmarkStart w:id="75" w:name="_Toc150941368"/>
      <w:bookmarkStart w:id="76" w:name="_Toc150840180"/>
      <w:bookmarkStart w:id="77" w:name="_Toc150941370"/>
      <w:bookmarkEnd w:id="73"/>
      <w:r w:rsidRPr="00D87C01">
        <w:t>2021</w:t>
      </w:r>
      <w:r>
        <w:t>. gad</w:t>
      </w:r>
      <w:r w:rsidRPr="00D87C01">
        <w:t>a pirmajā pusgadā kopējie akcīzes nodokļa ieņēmumi bija 512,8</w:t>
      </w:r>
      <w:r>
        <w:rPr>
          <w:rFonts w:eastAsia="Calibri"/>
          <w:szCs w:val="28"/>
        </w:rPr>
        <w:t> milj.</w:t>
      </w:r>
      <w:r w:rsidRPr="00D87C01">
        <w:rPr>
          <w:rFonts w:eastAsia="Calibri"/>
          <w:szCs w:val="28"/>
        </w:rPr>
        <w:t> </w:t>
      </w:r>
      <w:r w:rsidRPr="004F46D3">
        <w:rPr>
          <w:i/>
          <w:iCs/>
        </w:rPr>
        <w:t>euro</w:t>
      </w:r>
      <w:r w:rsidRPr="00D87C01">
        <w:t>. Salīdzinājumā ar 2020</w:t>
      </w:r>
      <w:r>
        <w:t>. gad</w:t>
      </w:r>
      <w:r w:rsidRPr="00D87C01">
        <w:t>a pirmo pusgadu akcīzes nodokļa ieņēmumi palielinājās par 23,5</w:t>
      </w:r>
      <w:r>
        <w:rPr>
          <w:rFonts w:eastAsia="Calibri"/>
          <w:szCs w:val="28"/>
        </w:rPr>
        <w:t> milj.</w:t>
      </w:r>
      <w:r w:rsidRPr="00D87C01">
        <w:rPr>
          <w:rFonts w:eastAsia="Calibri"/>
          <w:szCs w:val="28"/>
        </w:rPr>
        <w:t> </w:t>
      </w:r>
      <w:r w:rsidRPr="004F46D3">
        <w:rPr>
          <w:i/>
          <w:iCs/>
        </w:rPr>
        <w:t>euro</w:t>
      </w:r>
      <w:r w:rsidRPr="00D87C01">
        <w:t xml:space="preserve"> jeb 4,8%, savukārt, salīdzinot ar plānoto, 2021</w:t>
      </w:r>
      <w:r>
        <w:t>. gad</w:t>
      </w:r>
      <w:r w:rsidRPr="00D87C01">
        <w:t>a pirmajā pusgadā tika iekasēts par 10,7</w:t>
      </w:r>
      <w:r>
        <w:rPr>
          <w:rFonts w:eastAsia="Calibri"/>
          <w:szCs w:val="28"/>
        </w:rPr>
        <w:t> milj.</w:t>
      </w:r>
      <w:r w:rsidRPr="00D87C01">
        <w:rPr>
          <w:rFonts w:eastAsia="Calibri"/>
          <w:szCs w:val="28"/>
        </w:rPr>
        <w:t> </w:t>
      </w:r>
      <w:r w:rsidRPr="004F46D3">
        <w:rPr>
          <w:i/>
          <w:iCs/>
        </w:rPr>
        <w:t>euro</w:t>
      </w:r>
      <w:r w:rsidRPr="00D87C01">
        <w:t xml:space="preserve"> jeb 2,1% mazāk. </w:t>
      </w:r>
      <w:bookmarkStart w:id="78" w:name="_Hlk83115367"/>
      <w:r>
        <w:t>Plāna neizpildi ietekmēja</w:t>
      </w:r>
      <w:r w:rsidRPr="00D87C01">
        <w:t xml:space="preserve"> ieņēmumi no akcīzes nodokļa alkoholiskajiem dzērieniem (-10,7</w:t>
      </w:r>
      <w:r>
        <w:rPr>
          <w:rFonts w:eastAsia="Calibri"/>
          <w:szCs w:val="28"/>
        </w:rPr>
        <w:t> milj.</w:t>
      </w:r>
      <w:r w:rsidRPr="00D87C01">
        <w:rPr>
          <w:rFonts w:eastAsia="Calibri"/>
          <w:szCs w:val="28"/>
        </w:rPr>
        <w:t> </w:t>
      </w:r>
      <w:r w:rsidRPr="004F46D3">
        <w:rPr>
          <w:i/>
          <w:iCs/>
        </w:rPr>
        <w:t>euro</w:t>
      </w:r>
      <w:r w:rsidRPr="00D87C01">
        <w:t xml:space="preserve"> jeb -10,7%) un alus (-3,5</w:t>
      </w:r>
      <w:r>
        <w:rPr>
          <w:rFonts w:eastAsia="Calibri"/>
          <w:szCs w:val="28"/>
        </w:rPr>
        <w:t> milj.</w:t>
      </w:r>
      <w:r w:rsidRPr="00D87C01">
        <w:rPr>
          <w:rFonts w:eastAsia="Calibri"/>
          <w:szCs w:val="28"/>
        </w:rPr>
        <w:t> </w:t>
      </w:r>
      <w:r w:rsidRPr="004F46D3">
        <w:rPr>
          <w:i/>
          <w:iCs/>
        </w:rPr>
        <w:t>euro</w:t>
      </w:r>
      <w:r>
        <w:t xml:space="preserve"> </w:t>
      </w:r>
      <w:r w:rsidRPr="00D87C01">
        <w:t xml:space="preserve">jeb </w:t>
      </w:r>
      <w:r>
        <w:noBreakHyphen/>
      </w:r>
      <w:r w:rsidRPr="00D87C01">
        <w:t xml:space="preserve">13,4%). </w:t>
      </w:r>
    </w:p>
    <w:bookmarkEnd w:id="78"/>
    <w:p w14:paraId="689EDEF6" w14:textId="325BD8A8" w:rsidR="00651B6D" w:rsidRDefault="00651B6D" w:rsidP="00651B6D">
      <w:r w:rsidRPr="00D87C01">
        <w:t>Sagatavojot 2022.</w:t>
      </w:r>
      <w:r>
        <w:t>-2024. gad</w:t>
      </w:r>
      <w:r w:rsidRPr="00D87C01">
        <w:t xml:space="preserve">a akcīzes nodokļa ieņēmumu plānu, </w:t>
      </w:r>
      <w:r w:rsidR="005C5F15">
        <w:t>tika ņemts vērā prognozētais iekšzemes kopprodukta</w:t>
      </w:r>
      <w:r w:rsidRPr="00D87C01">
        <w:t xml:space="preserve">, darba samaksas un privātā patēriņa </w:t>
      </w:r>
      <w:r w:rsidRPr="005E5F40">
        <w:t xml:space="preserve">pieauguma temps, </w:t>
      </w:r>
      <w:r w:rsidRPr="0043231D">
        <w:rPr>
          <w:szCs w:val="24"/>
        </w:rPr>
        <w:t>2021</w:t>
      </w:r>
      <w:r>
        <w:rPr>
          <w:szCs w:val="24"/>
        </w:rPr>
        <w:t>. gad</w:t>
      </w:r>
      <w:r w:rsidRPr="0043231D">
        <w:rPr>
          <w:szCs w:val="24"/>
        </w:rPr>
        <w:t>a pirmā pusgada izpilde</w:t>
      </w:r>
      <w:r w:rsidRPr="005E5F40">
        <w:t xml:space="preserve">, pieņemtie grozījumi normatīvajos aktos (skat. </w:t>
      </w:r>
      <w:r w:rsidRPr="005E5F40">
        <w:rPr>
          <w:iCs/>
        </w:rPr>
        <w:t>3.1</w:t>
      </w:r>
      <w:r>
        <w:rPr>
          <w:iCs/>
        </w:rPr>
        <w:t>. sadaļu</w:t>
      </w:r>
      <w:r w:rsidRPr="005E5F40">
        <w:t>), piešķirtie termiņu pagarinājumi, kā arī akcīzes nodokļa politika Baltijas valstīs un prognozētā</w:t>
      </w:r>
      <w:r w:rsidRPr="00D87C01">
        <w:t xml:space="preserve"> akcīzes preču patēriņa dinamika.</w:t>
      </w:r>
    </w:p>
    <w:p w14:paraId="31DC7B7A" w14:textId="77777777" w:rsidR="00651B6D" w:rsidRPr="009B55EB" w:rsidRDefault="00651B6D" w:rsidP="00651B6D">
      <w:pPr>
        <w:rPr>
          <w:szCs w:val="24"/>
        </w:rPr>
      </w:pPr>
      <w:r w:rsidRPr="000732B6">
        <w:rPr>
          <w:szCs w:val="24"/>
        </w:rPr>
        <w:t>Saskaņā ar likumprojektu „Par vidēja termiņa budžeta ietvaru 2022., 2023. un 2024</w:t>
      </w:r>
      <w:r>
        <w:rPr>
          <w:szCs w:val="24"/>
        </w:rPr>
        <w:t>. gad</w:t>
      </w:r>
      <w:r w:rsidRPr="000732B6">
        <w:rPr>
          <w:szCs w:val="24"/>
        </w:rPr>
        <w:t>am” kopējie akcīzes nodokļa ieņēmumi tiek plānoti 2022</w:t>
      </w:r>
      <w:r>
        <w:rPr>
          <w:szCs w:val="24"/>
        </w:rPr>
        <w:t>. gad</w:t>
      </w:r>
      <w:r w:rsidRPr="000732B6">
        <w:rPr>
          <w:szCs w:val="24"/>
        </w:rPr>
        <w:t>ā 1 166,8</w:t>
      </w:r>
      <w:r>
        <w:rPr>
          <w:szCs w:val="24"/>
        </w:rPr>
        <w:t> milj.</w:t>
      </w:r>
      <w:r w:rsidRPr="000732B6">
        <w:rPr>
          <w:i/>
          <w:szCs w:val="24"/>
        </w:rPr>
        <w:t> </w:t>
      </w:r>
      <w:r w:rsidRPr="004F46D3">
        <w:rPr>
          <w:i/>
          <w:szCs w:val="24"/>
        </w:rPr>
        <w:t>euro</w:t>
      </w:r>
      <w:r w:rsidRPr="000732B6">
        <w:rPr>
          <w:szCs w:val="24"/>
        </w:rPr>
        <w:t>, 2023</w:t>
      </w:r>
      <w:r>
        <w:rPr>
          <w:szCs w:val="24"/>
        </w:rPr>
        <w:t>. gad</w:t>
      </w:r>
      <w:r w:rsidRPr="000732B6">
        <w:rPr>
          <w:szCs w:val="24"/>
        </w:rPr>
        <w:t>ā 1</w:t>
      </w:r>
      <w:r w:rsidRPr="00AE4B7C">
        <w:t> </w:t>
      </w:r>
      <w:r w:rsidRPr="000732B6">
        <w:rPr>
          <w:szCs w:val="24"/>
        </w:rPr>
        <w:t>204,4milj.</w:t>
      </w:r>
      <w:r w:rsidRPr="000732B6">
        <w:rPr>
          <w:i/>
          <w:szCs w:val="24"/>
        </w:rPr>
        <w:t> </w:t>
      </w:r>
      <w:r w:rsidRPr="004F46D3">
        <w:rPr>
          <w:i/>
          <w:szCs w:val="24"/>
        </w:rPr>
        <w:t>euro</w:t>
      </w:r>
      <w:r w:rsidRPr="000732B6">
        <w:rPr>
          <w:szCs w:val="24"/>
        </w:rPr>
        <w:t>, bet 2024</w:t>
      </w:r>
      <w:r>
        <w:rPr>
          <w:szCs w:val="24"/>
        </w:rPr>
        <w:t>. gad</w:t>
      </w:r>
      <w:r w:rsidRPr="000732B6">
        <w:rPr>
          <w:szCs w:val="24"/>
        </w:rPr>
        <w:t>ā 1 234,5</w:t>
      </w:r>
      <w:r>
        <w:rPr>
          <w:szCs w:val="24"/>
        </w:rPr>
        <w:t> milj.</w:t>
      </w:r>
      <w:r w:rsidRPr="000732B6">
        <w:rPr>
          <w:i/>
          <w:szCs w:val="24"/>
        </w:rPr>
        <w:t> </w:t>
      </w:r>
      <w:r w:rsidRPr="004F46D3">
        <w:rPr>
          <w:i/>
          <w:szCs w:val="24"/>
        </w:rPr>
        <w:t>euro</w:t>
      </w:r>
      <w:r>
        <w:rPr>
          <w:iCs/>
          <w:szCs w:val="24"/>
        </w:rPr>
        <w:t xml:space="preserve"> (skat. 3.8. tabulu)</w:t>
      </w:r>
      <w:r w:rsidRPr="000732B6">
        <w:rPr>
          <w:szCs w:val="24"/>
        </w:rPr>
        <w:t xml:space="preserve">. </w:t>
      </w:r>
    </w:p>
    <w:p w14:paraId="7279D7AD" w14:textId="77777777" w:rsidR="00651B6D" w:rsidRPr="003C0AF5" w:rsidRDefault="00651B6D" w:rsidP="00B243D9">
      <w:pPr>
        <w:keepNext/>
        <w:ind w:firstLine="0"/>
        <w:jc w:val="right"/>
        <w:rPr>
          <w:b/>
          <w:i/>
          <w:szCs w:val="24"/>
        </w:rPr>
      </w:pPr>
      <w:r w:rsidRPr="003C0AF5">
        <w:rPr>
          <w:b/>
          <w:i/>
          <w:szCs w:val="24"/>
        </w:rPr>
        <w:lastRenderedPageBreak/>
        <w:t>3.</w:t>
      </w:r>
      <w:r>
        <w:rPr>
          <w:b/>
          <w:i/>
          <w:szCs w:val="24"/>
        </w:rPr>
        <w:t>8. tab</w:t>
      </w:r>
      <w:r w:rsidRPr="003C0AF5">
        <w:rPr>
          <w:b/>
          <w:i/>
          <w:szCs w:val="24"/>
        </w:rPr>
        <w:t>ula. Akcīzes nodokļa ieņēmumi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4"/>
        <w:gridCol w:w="981"/>
        <w:gridCol w:w="982"/>
        <w:gridCol w:w="982"/>
        <w:gridCol w:w="982"/>
      </w:tblGrid>
      <w:tr w:rsidR="00651B6D" w:rsidRPr="003C0AF5" w14:paraId="04A4EA0F" w14:textId="77777777" w:rsidTr="00651B6D">
        <w:trPr>
          <w:cantSplit/>
          <w:trHeight w:val="20"/>
          <w:jc w:val="center"/>
        </w:trPr>
        <w:tc>
          <w:tcPr>
            <w:tcW w:w="5134" w:type="dxa"/>
            <w:shd w:val="clear" w:color="auto" w:fill="9CC2E5" w:themeFill="accent1" w:themeFillTint="99"/>
            <w:vAlign w:val="center"/>
          </w:tcPr>
          <w:p w14:paraId="4753F851" w14:textId="77777777" w:rsidR="00651B6D" w:rsidRPr="003C0AF5" w:rsidRDefault="00651B6D" w:rsidP="00651B6D">
            <w:pPr>
              <w:keepNext/>
              <w:ind w:firstLine="0"/>
              <w:jc w:val="center"/>
              <w:rPr>
                <w:sz w:val="18"/>
                <w:szCs w:val="18"/>
                <w:highlight w:val="yellow"/>
              </w:rPr>
            </w:pPr>
          </w:p>
        </w:tc>
        <w:tc>
          <w:tcPr>
            <w:tcW w:w="981" w:type="dxa"/>
            <w:shd w:val="clear" w:color="auto" w:fill="9CC2E5" w:themeFill="accent1" w:themeFillTint="99"/>
            <w:vAlign w:val="center"/>
          </w:tcPr>
          <w:p w14:paraId="7B6A07A0" w14:textId="77777777" w:rsidR="00651B6D" w:rsidRPr="003C0AF5" w:rsidRDefault="00651B6D" w:rsidP="00651B6D">
            <w:pPr>
              <w:keepNext/>
              <w:ind w:firstLine="0"/>
              <w:jc w:val="center"/>
              <w:rPr>
                <w:b/>
                <w:sz w:val="18"/>
                <w:szCs w:val="18"/>
              </w:rPr>
            </w:pPr>
            <w:r w:rsidRPr="003C0AF5">
              <w:rPr>
                <w:b/>
                <w:sz w:val="18"/>
                <w:szCs w:val="18"/>
              </w:rPr>
              <w:t>2021</w:t>
            </w:r>
          </w:p>
        </w:tc>
        <w:tc>
          <w:tcPr>
            <w:tcW w:w="982" w:type="dxa"/>
            <w:shd w:val="clear" w:color="auto" w:fill="9CC2E5" w:themeFill="accent1" w:themeFillTint="99"/>
            <w:vAlign w:val="center"/>
          </w:tcPr>
          <w:p w14:paraId="2DB37AEA" w14:textId="77777777" w:rsidR="00651B6D" w:rsidRPr="003C0AF5" w:rsidRDefault="00651B6D" w:rsidP="00651B6D">
            <w:pPr>
              <w:keepNext/>
              <w:ind w:firstLine="0"/>
              <w:jc w:val="center"/>
              <w:rPr>
                <w:b/>
                <w:sz w:val="18"/>
                <w:szCs w:val="18"/>
              </w:rPr>
            </w:pPr>
            <w:r w:rsidRPr="003C0AF5">
              <w:rPr>
                <w:b/>
                <w:sz w:val="18"/>
                <w:szCs w:val="18"/>
              </w:rPr>
              <w:t>2022</w:t>
            </w:r>
          </w:p>
        </w:tc>
        <w:tc>
          <w:tcPr>
            <w:tcW w:w="982" w:type="dxa"/>
            <w:shd w:val="clear" w:color="auto" w:fill="9CC2E5" w:themeFill="accent1" w:themeFillTint="99"/>
            <w:vAlign w:val="center"/>
          </w:tcPr>
          <w:p w14:paraId="597F2B2A" w14:textId="77777777" w:rsidR="00651B6D" w:rsidRPr="003C0AF5" w:rsidRDefault="00651B6D" w:rsidP="00651B6D">
            <w:pPr>
              <w:keepNext/>
              <w:ind w:firstLine="0"/>
              <w:jc w:val="center"/>
              <w:rPr>
                <w:b/>
                <w:sz w:val="18"/>
                <w:szCs w:val="18"/>
              </w:rPr>
            </w:pPr>
            <w:r w:rsidRPr="003C0AF5">
              <w:rPr>
                <w:b/>
                <w:sz w:val="18"/>
                <w:szCs w:val="18"/>
              </w:rPr>
              <w:t>2023</w:t>
            </w:r>
          </w:p>
        </w:tc>
        <w:tc>
          <w:tcPr>
            <w:tcW w:w="982" w:type="dxa"/>
            <w:shd w:val="clear" w:color="auto" w:fill="9CC2E5" w:themeFill="accent1" w:themeFillTint="99"/>
            <w:vAlign w:val="center"/>
          </w:tcPr>
          <w:p w14:paraId="7EA7C105" w14:textId="77777777" w:rsidR="00651B6D" w:rsidRPr="003C0AF5" w:rsidRDefault="00651B6D" w:rsidP="00651B6D">
            <w:pPr>
              <w:keepNext/>
              <w:ind w:firstLine="0"/>
              <w:jc w:val="center"/>
              <w:rPr>
                <w:b/>
                <w:sz w:val="18"/>
                <w:szCs w:val="18"/>
              </w:rPr>
            </w:pPr>
            <w:r w:rsidRPr="003C0AF5">
              <w:rPr>
                <w:b/>
                <w:sz w:val="18"/>
                <w:szCs w:val="18"/>
              </w:rPr>
              <w:t>2024</w:t>
            </w:r>
          </w:p>
        </w:tc>
      </w:tr>
      <w:tr w:rsidR="00651B6D" w:rsidRPr="003C0AF5" w14:paraId="539A8B84" w14:textId="77777777" w:rsidTr="00651B6D">
        <w:trPr>
          <w:cantSplit/>
          <w:trHeight w:val="20"/>
          <w:jc w:val="center"/>
        </w:trPr>
        <w:tc>
          <w:tcPr>
            <w:tcW w:w="5134" w:type="dxa"/>
          </w:tcPr>
          <w:p w14:paraId="45B4040F" w14:textId="77777777" w:rsidR="00651B6D" w:rsidRPr="003C0AF5" w:rsidRDefault="00651B6D" w:rsidP="00651B6D">
            <w:pPr>
              <w:keepNext/>
              <w:ind w:firstLine="0"/>
              <w:rPr>
                <w:i/>
                <w:color w:val="000000"/>
                <w:sz w:val="18"/>
                <w:szCs w:val="18"/>
              </w:rPr>
            </w:pPr>
            <w:r w:rsidRPr="003C0AF5">
              <w:rPr>
                <w:color w:val="000000"/>
                <w:sz w:val="18"/>
                <w:szCs w:val="18"/>
              </w:rPr>
              <w:t>Saskaņā ar likumprojektu „Par vidēja termiņa budžeta ietvaru 2022., 2023. un 2024</w:t>
            </w:r>
            <w:r>
              <w:rPr>
                <w:color w:val="000000"/>
                <w:sz w:val="18"/>
                <w:szCs w:val="18"/>
              </w:rPr>
              <w:t>. gad</w:t>
            </w:r>
            <w:r w:rsidRPr="003C0AF5">
              <w:rPr>
                <w:color w:val="000000"/>
                <w:sz w:val="18"/>
                <w:szCs w:val="18"/>
              </w:rPr>
              <w:t>am”</w:t>
            </w:r>
            <w:r>
              <w:rPr>
                <w:color w:val="000000"/>
                <w:sz w:val="18"/>
                <w:szCs w:val="18"/>
              </w:rPr>
              <w:t>, milj.</w:t>
            </w:r>
            <w:r w:rsidRPr="003C0AF5">
              <w:rPr>
                <w:i/>
                <w:color w:val="000000"/>
                <w:sz w:val="18"/>
                <w:szCs w:val="18"/>
              </w:rPr>
              <w:t> </w:t>
            </w:r>
            <w:r w:rsidRPr="004F46D3">
              <w:rPr>
                <w:i/>
                <w:color w:val="000000"/>
                <w:sz w:val="18"/>
                <w:szCs w:val="18"/>
              </w:rPr>
              <w:t>euro</w:t>
            </w:r>
          </w:p>
        </w:tc>
        <w:tc>
          <w:tcPr>
            <w:tcW w:w="981" w:type="dxa"/>
          </w:tcPr>
          <w:p w14:paraId="260C9FA6" w14:textId="77777777" w:rsidR="00651B6D" w:rsidRPr="003C0AF5" w:rsidRDefault="00651B6D" w:rsidP="00651B6D">
            <w:pPr>
              <w:tabs>
                <w:tab w:val="decimal" w:pos="462"/>
              </w:tabs>
              <w:ind w:firstLine="0"/>
              <w:jc w:val="right"/>
              <w:rPr>
                <w:color w:val="000000"/>
                <w:sz w:val="18"/>
                <w:szCs w:val="18"/>
              </w:rPr>
            </w:pPr>
            <w:r w:rsidRPr="003C0AF5">
              <w:rPr>
                <w:color w:val="000000"/>
                <w:sz w:val="18"/>
                <w:szCs w:val="18"/>
              </w:rPr>
              <w:t>1 118,0</w:t>
            </w:r>
            <w:r w:rsidRPr="003C0AF5">
              <w:rPr>
                <w:color w:val="000000"/>
                <w:sz w:val="18"/>
                <w:szCs w:val="18"/>
                <w:vertAlign w:val="superscript"/>
              </w:rPr>
              <w:t>1</w:t>
            </w:r>
          </w:p>
        </w:tc>
        <w:tc>
          <w:tcPr>
            <w:tcW w:w="982" w:type="dxa"/>
          </w:tcPr>
          <w:p w14:paraId="4D5561DF" w14:textId="77777777" w:rsidR="00651B6D" w:rsidRPr="003C0AF5" w:rsidRDefault="00651B6D" w:rsidP="00651B6D">
            <w:pPr>
              <w:tabs>
                <w:tab w:val="decimal" w:pos="462"/>
              </w:tabs>
              <w:ind w:firstLine="0"/>
              <w:jc w:val="right"/>
              <w:rPr>
                <w:color w:val="000000"/>
                <w:sz w:val="18"/>
                <w:szCs w:val="18"/>
              </w:rPr>
            </w:pPr>
            <w:r w:rsidRPr="003C0AF5">
              <w:rPr>
                <w:color w:val="000000"/>
                <w:sz w:val="18"/>
                <w:szCs w:val="18"/>
              </w:rPr>
              <w:t>1 166,8</w:t>
            </w:r>
          </w:p>
        </w:tc>
        <w:tc>
          <w:tcPr>
            <w:tcW w:w="982" w:type="dxa"/>
          </w:tcPr>
          <w:p w14:paraId="5F987530" w14:textId="77777777" w:rsidR="00651B6D" w:rsidRPr="003C0AF5" w:rsidRDefault="00651B6D" w:rsidP="00651B6D">
            <w:pPr>
              <w:tabs>
                <w:tab w:val="decimal" w:pos="462"/>
              </w:tabs>
              <w:ind w:firstLine="0"/>
              <w:jc w:val="right"/>
              <w:rPr>
                <w:color w:val="000000"/>
                <w:sz w:val="18"/>
                <w:szCs w:val="18"/>
              </w:rPr>
            </w:pPr>
            <w:r w:rsidRPr="003C0AF5">
              <w:rPr>
                <w:color w:val="000000"/>
                <w:sz w:val="18"/>
                <w:szCs w:val="18"/>
              </w:rPr>
              <w:t>1 204,4</w:t>
            </w:r>
          </w:p>
        </w:tc>
        <w:tc>
          <w:tcPr>
            <w:tcW w:w="982" w:type="dxa"/>
          </w:tcPr>
          <w:p w14:paraId="76D48FB8" w14:textId="77777777" w:rsidR="00651B6D" w:rsidRPr="003C0AF5" w:rsidRDefault="00651B6D" w:rsidP="00651B6D">
            <w:pPr>
              <w:tabs>
                <w:tab w:val="decimal" w:pos="462"/>
              </w:tabs>
              <w:ind w:firstLine="0"/>
              <w:jc w:val="right"/>
              <w:rPr>
                <w:color w:val="000000"/>
                <w:sz w:val="18"/>
                <w:szCs w:val="18"/>
              </w:rPr>
            </w:pPr>
            <w:r w:rsidRPr="003C0AF5">
              <w:rPr>
                <w:color w:val="000000"/>
                <w:sz w:val="18"/>
                <w:szCs w:val="18"/>
              </w:rPr>
              <w:t>1 234,5</w:t>
            </w:r>
          </w:p>
        </w:tc>
      </w:tr>
      <w:tr w:rsidR="00651B6D" w:rsidRPr="003C0AF5" w14:paraId="36934B19" w14:textId="77777777" w:rsidTr="00651B6D">
        <w:trPr>
          <w:cantSplit/>
          <w:trHeight w:val="20"/>
          <w:jc w:val="center"/>
        </w:trPr>
        <w:tc>
          <w:tcPr>
            <w:tcW w:w="5134" w:type="dxa"/>
          </w:tcPr>
          <w:p w14:paraId="6AE72297" w14:textId="77777777" w:rsidR="00651B6D" w:rsidRPr="003C0AF5" w:rsidRDefault="00651B6D" w:rsidP="00651B6D">
            <w:pPr>
              <w:keepNext/>
              <w:ind w:firstLine="0"/>
              <w:rPr>
                <w:i/>
                <w:iCs/>
                <w:color w:val="000000"/>
                <w:sz w:val="18"/>
                <w:szCs w:val="18"/>
              </w:rPr>
            </w:pPr>
            <w:r w:rsidRPr="003C0AF5">
              <w:rPr>
                <w:color w:val="000000"/>
                <w:sz w:val="18"/>
                <w:szCs w:val="18"/>
              </w:rPr>
              <w:t>S</w:t>
            </w:r>
            <w:r w:rsidRPr="003C0AF5">
              <w:rPr>
                <w:iCs/>
                <w:color w:val="000000"/>
                <w:sz w:val="18"/>
                <w:szCs w:val="18"/>
              </w:rPr>
              <w:t>askaņā ar likumu „Par vidēja termiņa budžeta ietvaru 2021., 2022. un 2023</w:t>
            </w:r>
            <w:r>
              <w:rPr>
                <w:iCs/>
                <w:color w:val="000000"/>
                <w:sz w:val="18"/>
                <w:szCs w:val="18"/>
              </w:rPr>
              <w:t>. gad</w:t>
            </w:r>
            <w:r w:rsidRPr="003C0AF5">
              <w:rPr>
                <w:iCs/>
                <w:color w:val="000000"/>
                <w:sz w:val="18"/>
                <w:szCs w:val="18"/>
              </w:rPr>
              <w:t>am”</w:t>
            </w:r>
            <w:r>
              <w:rPr>
                <w:color w:val="000000"/>
                <w:sz w:val="18"/>
                <w:szCs w:val="18"/>
              </w:rPr>
              <w:t>, milj.</w:t>
            </w:r>
            <w:r w:rsidRPr="003C0AF5">
              <w:rPr>
                <w:i/>
                <w:color w:val="000000"/>
                <w:sz w:val="18"/>
                <w:szCs w:val="18"/>
              </w:rPr>
              <w:t> </w:t>
            </w:r>
            <w:r w:rsidRPr="004F46D3">
              <w:rPr>
                <w:i/>
                <w:color w:val="000000"/>
                <w:sz w:val="18"/>
                <w:szCs w:val="18"/>
              </w:rPr>
              <w:t>euro</w:t>
            </w:r>
          </w:p>
        </w:tc>
        <w:tc>
          <w:tcPr>
            <w:tcW w:w="981" w:type="dxa"/>
          </w:tcPr>
          <w:p w14:paraId="4026DA50" w14:textId="77777777" w:rsidR="00651B6D" w:rsidRPr="003C0AF5" w:rsidRDefault="00651B6D" w:rsidP="00651B6D">
            <w:pPr>
              <w:tabs>
                <w:tab w:val="decimal" w:pos="462"/>
              </w:tabs>
              <w:ind w:firstLine="0"/>
              <w:jc w:val="right"/>
              <w:rPr>
                <w:color w:val="000000"/>
                <w:sz w:val="18"/>
                <w:szCs w:val="18"/>
                <w:highlight w:val="yellow"/>
              </w:rPr>
            </w:pPr>
            <w:r w:rsidRPr="003C0AF5">
              <w:rPr>
                <w:color w:val="000000"/>
                <w:sz w:val="18"/>
                <w:szCs w:val="18"/>
              </w:rPr>
              <w:t>1 116,0</w:t>
            </w:r>
          </w:p>
        </w:tc>
        <w:tc>
          <w:tcPr>
            <w:tcW w:w="982" w:type="dxa"/>
          </w:tcPr>
          <w:p w14:paraId="2D9218CA" w14:textId="77777777" w:rsidR="00651B6D" w:rsidRPr="003C0AF5" w:rsidRDefault="00651B6D" w:rsidP="00651B6D">
            <w:pPr>
              <w:tabs>
                <w:tab w:val="decimal" w:pos="462"/>
              </w:tabs>
              <w:ind w:firstLine="0"/>
              <w:jc w:val="right"/>
              <w:rPr>
                <w:color w:val="000000"/>
                <w:sz w:val="18"/>
                <w:szCs w:val="18"/>
                <w:highlight w:val="yellow"/>
              </w:rPr>
            </w:pPr>
            <w:r w:rsidRPr="003C0AF5">
              <w:rPr>
                <w:color w:val="000000"/>
                <w:sz w:val="18"/>
                <w:szCs w:val="18"/>
              </w:rPr>
              <w:t>1 161,7</w:t>
            </w:r>
          </w:p>
        </w:tc>
        <w:tc>
          <w:tcPr>
            <w:tcW w:w="982" w:type="dxa"/>
          </w:tcPr>
          <w:p w14:paraId="58CDBC2C" w14:textId="77777777" w:rsidR="00651B6D" w:rsidRPr="003C0AF5" w:rsidRDefault="00651B6D" w:rsidP="00651B6D">
            <w:pPr>
              <w:tabs>
                <w:tab w:val="decimal" w:pos="462"/>
              </w:tabs>
              <w:ind w:firstLine="0"/>
              <w:jc w:val="right"/>
              <w:rPr>
                <w:color w:val="000000"/>
                <w:sz w:val="18"/>
                <w:szCs w:val="18"/>
                <w:highlight w:val="yellow"/>
              </w:rPr>
            </w:pPr>
            <w:r w:rsidRPr="003C0AF5">
              <w:rPr>
                <w:color w:val="000000"/>
                <w:sz w:val="18"/>
                <w:szCs w:val="18"/>
              </w:rPr>
              <w:t>1 198,2</w:t>
            </w:r>
          </w:p>
        </w:tc>
        <w:tc>
          <w:tcPr>
            <w:tcW w:w="982" w:type="dxa"/>
          </w:tcPr>
          <w:p w14:paraId="67B8C610" w14:textId="77777777" w:rsidR="00651B6D" w:rsidRPr="003C0AF5" w:rsidRDefault="00651B6D" w:rsidP="00651B6D">
            <w:pPr>
              <w:keepNext/>
              <w:ind w:firstLine="0"/>
              <w:jc w:val="right"/>
              <w:rPr>
                <w:sz w:val="18"/>
                <w:szCs w:val="18"/>
                <w:highlight w:val="yellow"/>
              </w:rPr>
            </w:pPr>
            <w:r w:rsidRPr="003C0AF5">
              <w:rPr>
                <w:sz w:val="18"/>
                <w:szCs w:val="18"/>
              </w:rPr>
              <w:t>-</w:t>
            </w:r>
          </w:p>
        </w:tc>
      </w:tr>
      <w:tr w:rsidR="00651B6D" w:rsidRPr="003C0AF5" w14:paraId="422E9426" w14:textId="77777777" w:rsidTr="00651B6D">
        <w:trPr>
          <w:cantSplit/>
          <w:trHeight w:val="20"/>
          <w:jc w:val="center"/>
        </w:trPr>
        <w:tc>
          <w:tcPr>
            <w:tcW w:w="5134" w:type="dxa"/>
          </w:tcPr>
          <w:p w14:paraId="4BB4DE84" w14:textId="77777777" w:rsidR="00651B6D" w:rsidRPr="003C0AF5" w:rsidRDefault="00651B6D" w:rsidP="00651B6D">
            <w:pPr>
              <w:keepNext/>
              <w:ind w:firstLine="0"/>
              <w:rPr>
                <w:sz w:val="18"/>
                <w:szCs w:val="18"/>
              </w:rPr>
            </w:pPr>
            <w:r w:rsidRPr="003C0AF5">
              <w:rPr>
                <w:i/>
                <w:iCs/>
                <w:color w:val="000000"/>
                <w:sz w:val="18"/>
                <w:szCs w:val="18"/>
              </w:rPr>
              <w:t>pieaugums, salīdzinot ar likumu „Par vidēja termiņa budžeta ietvaru 2021., 2022. un 2023</w:t>
            </w:r>
            <w:r>
              <w:rPr>
                <w:i/>
                <w:iCs/>
                <w:color w:val="000000"/>
                <w:sz w:val="18"/>
                <w:szCs w:val="18"/>
              </w:rPr>
              <w:t>. gad</w:t>
            </w:r>
            <w:r w:rsidRPr="003C0AF5">
              <w:rPr>
                <w:i/>
                <w:iCs/>
                <w:color w:val="000000"/>
                <w:sz w:val="18"/>
                <w:szCs w:val="18"/>
              </w:rPr>
              <w:t>am”</w:t>
            </w:r>
            <w:r>
              <w:rPr>
                <w:i/>
                <w:iCs/>
                <w:color w:val="000000"/>
                <w:sz w:val="18"/>
                <w:szCs w:val="18"/>
              </w:rPr>
              <w:t>, milj.</w:t>
            </w:r>
            <w:r w:rsidRPr="003C0AF5">
              <w:rPr>
                <w:i/>
                <w:iCs/>
                <w:color w:val="000000"/>
                <w:sz w:val="18"/>
                <w:szCs w:val="18"/>
              </w:rPr>
              <w:t> </w:t>
            </w:r>
            <w:r w:rsidRPr="004F46D3">
              <w:rPr>
                <w:i/>
                <w:iCs/>
                <w:color w:val="000000"/>
                <w:sz w:val="18"/>
                <w:szCs w:val="18"/>
              </w:rPr>
              <w:t>euro</w:t>
            </w:r>
          </w:p>
        </w:tc>
        <w:tc>
          <w:tcPr>
            <w:tcW w:w="981" w:type="dxa"/>
          </w:tcPr>
          <w:p w14:paraId="74C93F06" w14:textId="77777777" w:rsidR="00651B6D" w:rsidRPr="003C0AF5" w:rsidRDefault="00651B6D" w:rsidP="00651B6D">
            <w:pPr>
              <w:keepNext/>
              <w:keepLines/>
              <w:tabs>
                <w:tab w:val="decimal" w:pos="462"/>
              </w:tabs>
              <w:ind w:firstLine="0"/>
              <w:jc w:val="right"/>
              <w:rPr>
                <w:i/>
                <w:color w:val="000000"/>
                <w:sz w:val="18"/>
                <w:szCs w:val="18"/>
              </w:rPr>
            </w:pPr>
            <w:r w:rsidRPr="003C0AF5">
              <w:rPr>
                <w:i/>
                <w:color w:val="000000"/>
                <w:sz w:val="18"/>
                <w:szCs w:val="18"/>
              </w:rPr>
              <w:t>2,0</w:t>
            </w:r>
          </w:p>
        </w:tc>
        <w:tc>
          <w:tcPr>
            <w:tcW w:w="982" w:type="dxa"/>
          </w:tcPr>
          <w:p w14:paraId="6783B78C" w14:textId="77777777" w:rsidR="00651B6D" w:rsidRPr="003C0AF5" w:rsidRDefault="00651B6D" w:rsidP="00651B6D">
            <w:pPr>
              <w:keepNext/>
              <w:keepLines/>
              <w:tabs>
                <w:tab w:val="decimal" w:pos="462"/>
              </w:tabs>
              <w:ind w:firstLine="0"/>
              <w:jc w:val="right"/>
              <w:rPr>
                <w:i/>
                <w:color w:val="000000"/>
                <w:sz w:val="18"/>
                <w:szCs w:val="18"/>
              </w:rPr>
            </w:pPr>
            <w:r w:rsidRPr="003C0AF5">
              <w:rPr>
                <w:i/>
                <w:color w:val="000000"/>
                <w:sz w:val="18"/>
                <w:szCs w:val="18"/>
              </w:rPr>
              <w:t>5,1</w:t>
            </w:r>
          </w:p>
        </w:tc>
        <w:tc>
          <w:tcPr>
            <w:tcW w:w="982" w:type="dxa"/>
          </w:tcPr>
          <w:p w14:paraId="43256521" w14:textId="77777777" w:rsidR="00651B6D" w:rsidRPr="003C0AF5" w:rsidRDefault="00651B6D" w:rsidP="00651B6D">
            <w:pPr>
              <w:keepNext/>
              <w:keepLines/>
              <w:tabs>
                <w:tab w:val="decimal" w:pos="462"/>
              </w:tabs>
              <w:ind w:firstLine="0"/>
              <w:jc w:val="right"/>
              <w:rPr>
                <w:i/>
                <w:color w:val="000000"/>
                <w:sz w:val="18"/>
                <w:szCs w:val="18"/>
              </w:rPr>
            </w:pPr>
            <w:r w:rsidRPr="003C0AF5">
              <w:rPr>
                <w:i/>
                <w:color w:val="000000"/>
                <w:sz w:val="18"/>
                <w:szCs w:val="18"/>
              </w:rPr>
              <w:t>6,2</w:t>
            </w:r>
          </w:p>
        </w:tc>
        <w:tc>
          <w:tcPr>
            <w:tcW w:w="982" w:type="dxa"/>
          </w:tcPr>
          <w:p w14:paraId="0CA572B7" w14:textId="77777777" w:rsidR="00651B6D" w:rsidRPr="003C0AF5" w:rsidRDefault="00651B6D" w:rsidP="00651B6D">
            <w:pPr>
              <w:keepNext/>
              <w:ind w:firstLine="0"/>
              <w:jc w:val="right"/>
              <w:rPr>
                <w:i/>
                <w:sz w:val="18"/>
                <w:szCs w:val="18"/>
              </w:rPr>
            </w:pPr>
            <w:r w:rsidRPr="003C0AF5">
              <w:rPr>
                <w:i/>
                <w:sz w:val="18"/>
                <w:szCs w:val="18"/>
              </w:rPr>
              <w:t>-</w:t>
            </w:r>
          </w:p>
        </w:tc>
      </w:tr>
      <w:tr w:rsidR="00651B6D" w:rsidRPr="003C0AF5" w14:paraId="3DC7860C" w14:textId="77777777" w:rsidTr="00651B6D">
        <w:trPr>
          <w:cantSplit/>
          <w:trHeight w:val="20"/>
          <w:jc w:val="center"/>
        </w:trPr>
        <w:tc>
          <w:tcPr>
            <w:tcW w:w="5134" w:type="dxa"/>
          </w:tcPr>
          <w:p w14:paraId="0FF63C17" w14:textId="77777777" w:rsidR="00651B6D" w:rsidRPr="003C0AF5" w:rsidRDefault="00651B6D" w:rsidP="00651B6D">
            <w:pPr>
              <w:keepNext/>
              <w:ind w:firstLine="0"/>
              <w:rPr>
                <w:sz w:val="18"/>
                <w:szCs w:val="18"/>
              </w:rPr>
            </w:pPr>
            <w:r w:rsidRPr="003C0AF5">
              <w:rPr>
                <w:i/>
                <w:iCs/>
                <w:color w:val="000000"/>
                <w:sz w:val="18"/>
                <w:szCs w:val="18"/>
              </w:rPr>
              <w:t>pieaugums, salīdzinot ar likumu „Par vidēja termiņa budžeta ietvaru 2021., 2022. un 2023</w:t>
            </w:r>
            <w:r>
              <w:rPr>
                <w:i/>
                <w:iCs/>
                <w:color w:val="000000"/>
                <w:sz w:val="18"/>
                <w:szCs w:val="18"/>
              </w:rPr>
              <w:t>. gad</w:t>
            </w:r>
            <w:r w:rsidRPr="003C0AF5">
              <w:rPr>
                <w:i/>
                <w:iCs/>
                <w:color w:val="000000"/>
                <w:sz w:val="18"/>
                <w:szCs w:val="18"/>
              </w:rPr>
              <w:t>am”, %</w:t>
            </w:r>
          </w:p>
        </w:tc>
        <w:tc>
          <w:tcPr>
            <w:tcW w:w="981" w:type="dxa"/>
          </w:tcPr>
          <w:p w14:paraId="746C005D" w14:textId="77777777" w:rsidR="00651B6D" w:rsidRPr="003C0AF5" w:rsidRDefault="00651B6D" w:rsidP="00651B6D">
            <w:pPr>
              <w:keepNext/>
              <w:keepLines/>
              <w:tabs>
                <w:tab w:val="decimal" w:pos="462"/>
              </w:tabs>
              <w:ind w:firstLine="0"/>
              <w:jc w:val="right"/>
              <w:rPr>
                <w:i/>
                <w:color w:val="000000"/>
                <w:sz w:val="18"/>
                <w:szCs w:val="18"/>
              </w:rPr>
            </w:pPr>
            <w:r w:rsidRPr="003C0AF5">
              <w:rPr>
                <w:i/>
                <w:color w:val="000000"/>
                <w:sz w:val="18"/>
                <w:szCs w:val="18"/>
              </w:rPr>
              <w:t>0,2</w:t>
            </w:r>
          </w:p>
        </w:tc>
        <w:tc>
          <w:tcPr>
            <w:tcW w:w="982" w:type="dxa"/>
          </w:tcPr>
          <w:p w14:paraId="6E56F0F6" w14:textId="77777777" w:rsidR="00651B6D" w:rsidRPr="003C0AF5" w:rsidRDefault="00651B6D" w:rsidP="00651B6D">
            <w:pPr>
              <w:keepNext/>
              <w:keepLines/>
              <w:tabs>
                <w:tab w:val="decimal" w:pos="462"/>
              </w:tabs>
              <w:ind w:firstLine="0"/>
              <w:jc w:val="right"/>
              <w:rPr>
                <w:i/>
                <w:color w:val="000000"/>
                <w:sz w:val="18"/>
                <w:szCs w:val="18"/>
              </w:rPr>
            </w:pPr>
            <w:r w:rsidRPr="003C0AF5">
              <w:rPr>
                <w:i/>
                <w:color w:val="000000"/>
                <w:sz w:val="18"/>
                <w:szCs w:val="18"/>
              </w:rPr>
              <w:t>0,4</w:t>
            </w:r>
          </w:p>
        </w:tc>
        <w:tc>
          <w:tcPr>
            <w:tcW w:w="982" w:type="dxa"/>
          </w:tcPr>
          <w:p w14:paraId="1866ECE7" w14:textId="77777777" w:rsidR="00651B6D" w:rsidRPr="003C0AF5" w:rsidRDefault="00651B6D" w:rsidP="00651B6D">
            <w:pPr>
              <w:keepNext/>
              <w:keepLines/>
              <w:tabs>
                <w:tab w:val="decimal" w:pos="462"/>
              </w:tabs>
              <w:ind w:firstLine="0"/>
              <w:jc w:val="right"/>
              <w:rPr>
                <w:i/>
                <w:color w:val="000000"/>
                <w:sz w:val="18"/>
                <w:szCs w:val="18"/>
              </w:rPr>
            </w:pPr>
            <w:r w:rsidRPr="003C0AF5">
              <w:rPr>
                <w:i/>
                <w:color w:val="000000"/>
                <w:sz w:val="18"/>
                <w:szCs w:val="18"/>
              </w:rPr>
              <w:t>0,5</w:t>
            </w:r>
          </w:p>
        </w:tc>
        <w:tc>
          <w:tcPr>
            <w:tcW w:w="982" w:type="dxa"/>
          </w:tcPr>
          <w:p w14:paraId="3F9B242C" w14:textId="77777777" w:rsidR="00651B6D" w:rsidRPr="003C0AF5" w:rsidRDefault="00651B6D" w:rsidP="00651B6D">
            <w:pPr>
              <w:keepNext/>
              <w:ind w:firstLine="0"/>
              <w:jc w:val="right"/>
              <w:rPr>
                <w:i/>
                <w:sz w:val="18"/>
                <w:szCs w:val="18"/>
              </w:rPr>
            </w:pPr>
            <w:r w:rsidRPr="003C0AF5">
              <w:rPr>
                <w:i/>
                <w:sz w:val="18"/>
                <w:szCs w:val="18"/>
              </w:rPr>
              <w:t>-</w:t>
            </w:r>
          </w:p>
        </w:tc>
      </w:tr>
      <w:tr w:rsidR="00651B6D" w:rsidRPr="003C0AF5" w14:paraId="6CE7CA50" w14:textId="77777777" w:rsidTr="00651B6D">
        <w:trPr>
          <w:cantSplit/>
          <w:trHeight w:val="20"/>
          <w:jc w:val="center"/>
        </w:trPr>
        <w:tc>
          <w:tcPr>
            <w:tcW w:w="5134" w:type="dxa"/>
          </w:tcPr>
          <w:p w14:paraId="2A6E60F0" w14:textId="27D3D84C" w:rsidR="00651B6D" w:rsidRPr="003C0AF5" w:rsidRDefault="005C5F15" w:rsidP="00651B6D">
            <w:pPr>
              <w:keepNext/>
              <w:ind w:firstLine="0"/>
              <w:rPr>
                <w:i/>
                <w:iCs/>
                <w:color w:val="000000"/>
                <w:sz w:val="18"/>
                <w:szCs w:val="18"/>
              </w:rPr>
            </w:pPr>
            <w:r>
              <w:rPr>
                <w:i/>
                <w:iCs/>
                <w:color w:val="000000"/>
                <w:sz w:val="18"/>
                <w:szCs w:val="18"/>
              </w:rPr>
              <w:t>% no iekšzemes ko</w:t>
            </w:r>
          </w:p>
        </w:tc>
        <w:tc>
          <w:tcPr>
            <w:tcW w:w="981" w:type="dxa"/>
            <w:tcBorders>
              <w:top w:val="single" w:sz="4" w:space="0" w:color="auto"/>
              <w:left w:val="single" w:sz="4" w:space="0" w:color="auto"/>
              <w:bottom w:val="single" w:sz="4" w:space="0" w:color="auto"/>
              <w:right w:val="single" w:sz="4" w:space="0" w:color="auto"/>
            </w:tcBorders>
            <w:shd w:val="clear" w:color="auto" w:fill="auto"/>
          </w:tcPr>
          <w:p w14:paraId="6789A436" w14:textId="77777777" w:rsidR="00651B6D" w:rsidRPr="003C0AF5" w:rsidRDefault="00651B6D" w:rsidP="00651B6D">
            <w:pPr>
              <w:keepNext/>
              <w:keepLines/>
              <w:tabs>
                <w:tab w:val="decimal" w:pos="462"/>
              </w:tabs>
              <w:ind w:firstLine="0"/>
              <w:jc w:val="right"/>
              <w:rPr>
                <w:i/>
                <w:color w:val="000000"/>
                <w:sz w:val="18"/>
                <w:szCs w:val="18"/>
              </w:rPr>
            </w:pPr>
            <w:r w:rsidRPr="003C0AF5">
              <w:rPr>
                <w:i/>
                <w:sz w:val="18"/>
                <w:szCs w:val="18"/>
              </w:rPr>
              <w:t>3,6</w:t>
            </w:r>
          </w:p>
        </w:tc>
        <w:tc>
          <w:tcPr>
            <w:tcW w:w="982" w:type="dxa"/>
            <w:tcBorders>
              <w:top w:val="single" w:sz="4" w:space="0" w:color="auto"/>
              <w:left w:val="nil"/>
              <w:bottom w:val="single" w:sz="4" w:space="0" w:color="auto"/>
              <w:right w:val="single" w:sz="4" w:space="0" w:color="auto"/>
            </w:tcBorders>
            <w:shd w:val="clear" w:color="auto" w:fill="auto"/>
          </w:tcPr>
          <w:p w14:paraId="266DA155" w14:textId="77777777" w:rsidR="00651B6D" w:rsidRPr="003C0AF5" w:rsidRDefault="00651B6D" w:rsidP="00651B6D">
            <w:pPr>
              <w:keepNext/>
              <w:keepLines/>
              <w:tabs>
                <w:tab w:val="decimal" w:pos="462"/>
              </w:tabs>
              <w:ind w:firstLine="0"/>
              <w:jc w:val="right"/>
              <w:rPr>
                <w:i/>
                <w:color w:val="000000"/>
                <w:sz w:val="18"/>
                <w:szCs w:val="18"/>
              </w:rPr>
            </w:pPr>
            <w:r w:rsidRPr="003C0AF5">
              <w:rPr>
                <w:i/>
                <w:sz w:val="18"/>
                <w:szCs w:val="18"/>
              </w:rPr>
              <w:t>3,4</w:t>
            </w:r>
          </w:p>
        </w:tc>
        <w:tc>
          <w:tcPr>
            <w:tcW w:w="982" w:type="dxa"/>
            <w:tcBorders>
              <w:top w:val="single" w:sz="4" w:space="0" w:color="auto"/>
              <w:left w:val="nil"/>
              <w:bottom w:val="single" w:sz="4" w:space="0" w:color="auto"/>
              <w:right w:val="single" w:sz="4" w:space="0" w:color="auto"/>
            </w:tcBorders>
            <w:shd w:val="clear" w:color="auto" w:fill="auto"/>
          </w:tcPr>
          <w:p w14:paraId="56D2FB11" w14:textId="77777777" w:rsidR="00651B6D" w:rsidRPr="003C0AF5" w:rsidRDefault="00651B6D" w:rsidP="00651B6D">
            <w:pPr>
              <w:keepNext/>
              <w:keepLines/>
              <w:tabs>
                <w:tab w:val="decimal" w:pos="462"/>
              </w:tabs>
              <w:ind w:firstLine="0"/>
              <w:jc w:val="right"/>
              <w:rPr>
                <w:i/>
                <w:color w:val="000000"/>
                <w:sz w:val="18"/>
                <w:szCs w:val="18"/>
              </w:rPr>
            </w:pPr>
            <w:r w:rsidRPr="003C0AF5">
              <w:rPr>
                <w:i/>
                <w:sz w:val="18"/>
                <w:szCs w:val="18"/>
              </w:rPr>
              <w:t>3,3</w:t>
            </w:r>
          </w:p>
        </w:tc>
        <w:tc>
          <w:tcPr>
            <w:tcW w:w="982" w:type="dxa"/>
            <w:tcBorders>
              <w:top w:val="single" w:sz="4" w:space="0" w:color="auto"/>
              <w:left w:val="nil"/>
              <w:bottom w:val="single" w:sz="4" w:space="0" w:color="auto"/>
              <w:right w:val="single" w:sz="4" w:space="0" w:color="auto"/>
            </w:tcBorders>
            <w:shd w:val="clear" w:color="auto" w:fill="auto"/>
          </w:tcPr>
          <w:p w14:paraId="76F69610" w14:textId="77777777" w:rsidR="00651B6D" w:rsidRPr="003C0AF5" w:rsidRDefault="00651B6D" w:rsidP="00651B6D">
            <w:pPr>
              <w:keepNext/>
              <w:keepLines/>
              <w:tabs>
                <w:tab w:val="decimal" w:pos="462"/>
              </w:tabs>
              <w:ind w:firstLine="0"/>
              <w:jc w:val="right"/>
              <w:rPr>
                <w:i/>
                <w:color w:val="000000"/>
                <w:sz w:val="18"/>
                <w:szCs w:val="18"/>
              </w:rPr>
            </w:pPr>
            <w:r w:rsidRPr="003C0AF5">
              <w:rPr>
                <w:i/>
                <w:sz w:val="18"/>
                <w:szCs w:val="18"/>
              </w:rPr>
              <w:t>3,2</w:t>
            </w:r>
          </w:p>
        </w:tc>
      </w:tr>
    </w:tbl>
    <w:p w14:paraId="13494B7D" w14:textId="77777777" w:rsidR="00651B6D" w:rsidRPr="00E81457" w:rsidRDefault="00651B6D" w:rsidP="00651B6D">
      <w:pPr>
        <w:spacing w:after="240"/>
        <w:ind w:left="425" w:firstLine="0"/>
        <w:jc w:val="left"/>
        <w:rPr>
          <w:sz w:val="18"/>
          <w:szCs w:val="18"/>
        </w:rPr>
      </w:pPr>
      <w:r w:rsidRPr="00E81457">
        <w:rPr>
          <w:sz w:val="18"/>
          <w:szCs w:val="18"/>
          <w:vertAlign w:val="superscript"/>
        </w:rPr>
        <w:t>1</w:t>
      </w:r>
      <w:r w:rsidRPr="00E81457">
        <w:rPr>
          <w:sz w:val="18"/>
          <w:szCs w:val="18"/>
        </w:rPr>
        <w:t> Prognoze 22.07.2021</w:t>
      </w:r>
      <w:r>
        <w:rPr>
          <w:sz w:val="18"/>
          <w:szCs w:val="18"/>
        </w:rPr>
        <w:t>.</w:t>
      </w:r>
    </w:p>
    <w:p w14:paraId="7DE1A797" w14:textId="77777777" w:rsidR="00651B6D" w:rsidRPr="00BF6775" w:rsidRDefault="00651B6D" w:rsidP="00651B6D">
      <w:pPr>
        <w:pStyle w:val="H4"/>
      </w:pPr>
      <w:r w:rsidRPr="001F3492">
        <w:t>Akcīzes</w:t>
      </w:r>
      <w:r w:rsidRPr="00BF6775">
        <w:t xml:space="preserve"> nodok</w:t>
      </w:r>
      <w:r>
        <w:t>lis</w:t>
      </w:r>
      <w:r w:rsidRPr="00BF6775">
        <w:t xml:space="preserve"> naftas produktiem</w:t>
      </w:r>
    </w:p>
    <w:p w14:paraId="54E73A00" w14:textId="77777777" w:rsidR="00651B6D" w:rsidRPr="00D87C01" w:rsidRDefault="00651B6D" w:rsidP="00651B6D">
      <w:r w:rsidRPr="00D87C01">
        <w:t>2021</w:t>
      </w:r>
      <w:r>
        <w:t>. gad</w:t>
      </w:r>
      <w:r w:rsidRPr="00D87C01">
        <w:t xml:space="preserve">a pirmajā pusgadā akcīzes nodokļa </w:t>
      </w:r>
      <w:r w:rsidRPr="00E04A82">
        <w:rPr>
          <w:bCs/>
        </w:rPr>
        <w:t>naftas produktiem</w:t>
      </w:r>
      <w:r w:rsidRPr="00D87C01">
        <w:rPr>
          <w:b/>
          <w:bCs/>
        </w:rPr>
        <w:t xml:space="preserve"> </w:t>
      </w:r>
      <w:r w:rsidRPr="00D87C01">
        <w:t>ieņēmumi bija 270,1</w:t>
      </w:r>
      <w:r>
        <w:rPr>
          <w:rFonts w:eastAsia="Calibri"/>
          <w:szCs w:val="28"/>
        </w:rPr>
        <w:t> milj.</w:t>
      </w:r>
      <w:r w:rsidRPr="00D87C01">
        <w:rPr>
          <w:rFonts w:eastAsia="Calibri"/>
          <w:szCs w:val="28"/>
        </w:rPr>
        <w:t> </w:t>
      </w:r>
      <w:r w:rsidRPr="004F46D3">
        <w:rPr>
          <w:i/>
          <w:iCs/>
        </w:rPr>
        <w:t>euro</w:t>
      </w:r>
      <w:r w:rsidRPr="00D87C01">
        <w:t>. Salīdzinot ar 2020</w:t>
      </w:r>
      <w:r>
        <w:t>. gad</w:t>
      </w:r>
      <w:r w:rsidRPr="00D87C01">
        <w:t>a pirmo pusgadu, tie palielinājās par 10,9</w:t>
      </w:r>
      <w:r>
        <w:t> milj. </w:t>
      </w:r>
      <w:r w:rsidRPr="004F46D3">
        <w:rPr>
          <w:i/>
          <w:iCs/>
        </w:rPr>
        <w:t>euro</w:t>
      </w:r>
      <w:r w:rsidRPr="00D87C01">
        <w:rPr>
          <w:i/>
          <w:iCs/>
        </w:rPr>
        <w:t xml:space="preserve"> </w:t>
      </w:r>
      <w:r w:rsidRPr="00D87C01">
        <w:t>jeb 4,2%, bet, salīdzinot ar plānoto, iekasēts par 1,7</w:t>
      </w:r>
      <w:r>
        <w:rPr>
          <w:rFonts w:eastAsia="Calibri"/>
          <w:szCs w:val="28"/>
        </w:rPr>
        <w:t> milj.</w:t>
      </w:r>
      <w:r w:rsidRPr="00D87C01">
        <w:rPr>
          <w:rFonts w:eastAsia="Calibri"/>
          <w:szCs w:val="28"/>
        </w:rPr>
        <w:t> </w:t>
      </w:r>
      <w:r w:rsidRPr="004F46D3">
        <w:rPr>
          <w:i/>
          <w:iCs/>
        </w:rPr>
        <w:t>euro</w:t>
      </w:r>
      <w:r w:rsidRPr="00D87C01">
        <w:t xml:space="preserve"> jeb 0,6% vairāk. </w:t>
      </w:r>
    </w:p>
    <w:p w14:paraId="45A8EC70" w14:textId="15A2F116" w:rsidR="00651B6D" w:rsidRPr="00D87C01" w:rsidRDefault="00651B6D" w:rsidP="00651B6D">
      <w:r w:rsidRPr="00D87C01">
        <w:t>Atbilstoši likumam “Par akcīzes nodokli” ar 2021</w:t>
      </w:r>
      <w:r>
        <w:t>. gad</w:t>
      </w:r>
      <w:r w:rsidRPr="00D87C01">
        <w:t xml:space="preserve">a </w:t>
      </w:r>
      <w:r>
        <w:t>1. febr</w:t>
      </w:r>
      <w:r w:rsidRPr="00D87C01">
        <w:t>uāri palielinātas likmes benzīna un etilspirta maisījumam (70</w:t>
      </w:r>
      <w:r>
        <w:t xml:space="preserve"> –</w:t>
      </w:r>
      <w:r w:rsidRPr="00D87C01">
        <w:t xml:space="preserve"> 85</w:t>
      </w:r>
      <w:r>
        <w:t> tilpumproc</w:t>
      </w:r>
      <w:r w:rsidRPr="00D87C01">
        <w:t>enti).</w:t>
      </w:r>
      <w:r>
        <w:t xml:space="preserve"> </w:t>
      </w:r>
      <w:r w:rsidRPr="00D87C01">
        <w:t>Noteiktas jaunas likmes parafinizētai dīzeļdegvielai</w:t>
      </w:r>
      <w:r>
        <w:t xml:space="preserve"> </w:t>
      </w:r>
      <w:r w:rsidRPr="00D87C01">
        <w:t>un</w:t>
      </w:r>
      <w:r>
        <w:t xml:space="preserve"> </w:t>
      </w:r>
      <w:r w:rsidRPr="00D87C01">
        <w:t>dīzeļdegvielai, ko izgatavo no biomasas un izmanto par degvielu. No 2021</w:t>
      </w:r>
      <w:r>
        <w:t>. gad</w:t>
      </w:r>
      <w:r w:rsidRPr="00D87C01">
        <w:t>a 1.</w:t>
      </w:r>
      <w:r w:rsidR="005C5F15">
        <w:t xml:space="preserve"> </w:t>
      </w:r>
      <w:r w:rsidRPr="00D87C01">
        <w:t>jūlija noteiktas jaunas likmes parafinizētai dīzeļdegvielai un dīzeļdegvielai, ko izgatavo no biomasas un izmanto par kurināmo. Kā arī noteiktas atsevišķas likmes dīzeļdegvielai, degvieleļļai un petrolejai, ko izmanto kā kurināmo.</w:t>
      </w:r>
    </w:p>
    <w:p w14:paraId="7C8367BD" w14:textId="77777777" w:rsidR="00651B6D" w:rsidRPr="00D87C01" w:rsidRDefault="00651B6D" w:rsidP="00651B6D">
      <w:r w:rsidRPr="00D87C01">
        <w:t>Saskaņā ar Valsts ieņēmumu dienesta informāciju naftas produktu kopējā patēriņa apjoms 2020</w:t>
      </w:r>
      <w:r>
        <w:t>. gad</w:t>
      </w:r>
      <w:r w:rsidRPr="00D87C01">
        <w:t>a decembrī un 2021</w:t>
      </w:r>
      <w:r>
        <w:t>. gad</w:t>
      </w:r>
      <w:r w:rsidRPr="00D87C01">
        <w:t>a piecos mēnešos un salīdzinājumā ar 2019. un 2020</w:t>
      </w:r>
      <w:r>
        <w:t>. gad</w:t>
      </w:r>
      <w:r w:rsidRPr="00D87C01">
        <w:t>a attiecīgo periodu samazinājies par 2,4%, t.sk. dīzeļdegvielas patēriņš palielinājies par 18,8%, bet benzīna un sašķidrinātās naftas gāzes patēriņš samazinājies attiecīgi par 2,0% un 8,3</w:t>
      </w:r>
      <w:r>
        <w:t> procent</w:t>
      </w:r>
      <w:r w:rsidRPr="00D87C01">
        <w:t>iem. Degvieleļļas patēriņš palielinājies par 35,1%, bet petrolejas patēriņš samazinājies par 65,1</w:t>
      </w:r>
      <w:r>
        <w:t> procent</w:t>
      </w:r>
      <w:r w:rsidRPr="00D87C01">
        <w:t>iem.</w:t>
      </w:r>
    </w:p>
    <w:p w14:paraId="582FC2CE" w14:textId="77777777" w:rsidR="00651B6D" w:rsidRPr="001F3492" w:rsidRDefault="00651B6D" w:rsidP="005C5F15">
      <w:pPr>
        <w:keepNext/>
        <w:spacing w:before="120"/>
        <w:ind w:firstLine="0"/>
        <w:jc w:val="right"/>
        <w:rPr>
          <w:b/>
          <w:i/>
          <w:szCs w:val="24"/>
        </w:rPr>
      </w:pPr>
      <w:r w:rsidRPr="001F3492">
        <w:rPr>
          <w:b/>
          <w:i/>
          <w:szCs w:val="24"/>
        </w:rPr>
        <w:t>3.</w:t>
      </w:r>
      <w:r>
        <w:rPr>
          <w:b/>
          <w:i/>
          <w:szCs w:val="24"/>
        </w:rPr>
        <w:t>9. tab</w:t>
      </w:r>
      <w:r w:rsidRPr="001F3492">
        <w:rPr>
          <w:b/>
          <w:i/>
          <w:szCs w:val="24"/>
        </w:rPr>
        <w:t>ula. Akcīzes nodokļa likmes degvielai Baltijas valstīs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6"/>
        <w:gridCol w:w="1680"/>
        <w:gridCol w:w="1577"/>
        <w:gridCol w:w="1578"/>
      </w:tblGrid>
      <w:tr w:rsidR="00651B6D" w:rsidRPr="005C5F15" w14:paraId="6B311DF2" w14:textId="77777777" w:rsidTr="00651B6D">
        <w:trPr>
          <w:trHeight w:val="20"/>
          <w:tblHeader/>
          <w:jc w:val="center"/>
        </w:trPr>
        <w:tc>
          <w:tcPr>
            <w:tcW w:w="2332" w:type="pct"/>
            <w:shd w:val="clear" w:color="auto" w:fill="9CC2E5" w:themeFill="accent1" w:themeFillTint="99"/>
            <w:noWrap/>
            <w:vAlign w:val="center"/>
            <w:hideMark/>
          </w:tcPr>
          <w:p w14:paraId="3B51507F" w14:textId="77777777" w:rsidR="00651B6D" w:rsidRPr="005C5F15" w:rsidRDefault="00651B6D" w:rsidP="00651B6D">
            <w:pPr>
              <w:keepNext/>
              <w:keepLines/>
              <w:ind w:firstLine="709"/>
              <w:contextualSpacing/>
              <w:rPr>
                <w:rFonts w:cs="Times New Roman"/>
                <w:b/>
                <w:sz w:val="18"/>
                <w:szCs w:val="18"/>
              </w:rPr>
            </w:pPr>
          </w:p>
        </w:tc>
        <w:tc>
          <w:tcPr>
            <w:tcW w:w="927" w:type="pct"/>
            <w:shd w:val="clear" w:color="auto" w:fill="9CC2E5" w:themeFill="accent1" w:themeFillTint="99"/>
            <w:noWrap/>
            <w:vAlign w:val="center"/>
            <w:hideMark/>
          </w:tcPr>
          <w:p w14:paraId="3989F50C" w14:textId="77777777" w:rsidR="00651B6D" w:rsidRPr="005C5F15" w:rsidRDefault="00651B6D" w:rsidP="00651B6D">
            <w:pPr>
              <w:keepNext/>
              <w:keepLines/>
              <w:ind w:firstLine="0"/>
              <w:contextualSpacing/>
              <w:jc w:val="center"/>
              <w:rPr>
                <w:rFonts w:cs="Times New Roman"/>
                <w:b/>
                <w:sz w:val="18"/>
                <w:szCs w:val="18"/>
              </w:rPr>
            </w:pPr>
            <w:r w:rsidRPr="005C5F15">
              <w:rPr>
                <w:rFonts w:cs="Times New Roman"/>
                <w:b/>
                <w:sz w:val="18"/>
                <w:szCs w:val="18"/>
              </w:rPr>
              <w:t>2019</w:t>
            </w:r>
          </w:p>
        </w:tc>
        <w:tc>
          <w:tcPr>
            <w:tcW w:w="870" w:type="pct"/>
            <w:shd w:val="clear" w:color="auto" w:fill="9CC2E5" w:themeFill="accent1" w:themeFillTint="99"/>
            <w:noWrap/>
            <w:vAlign w:val="center"/>
            <w:hideMark/>
          </w:tcPr>
          <w:p w14:paraId="7C8AB030" w14:textId="77777777" w:rsidR="00651B6D" w:rsidRPr="005C5F15" w:rsidRDefault="00651B6D" w:rsidP="00651B6D">
            <w:pPr>
              <w:keepNext/>
              <w:keepLines/>
              <w:ind w:firstLine="0"/>
              <w:contextualSpacing/>
              <w:jc w:val="center"/>
              <w:rPr>
                <w:rFonts w:cs="Times New Roman"/>
                <w:b/>
                <w:sz w:val="18"/>
                <w:szCs w:val="18"/>
              </w:rPr>
            </w:pPr>
            <w:r w:rsidRPr="005C5F15">
              <w:rPr>
                <w:rFonts w:cs="Times New Roman"/>
                <w:b/>
                <w:sz w:val="18"/>
                <w:szCs w:val="18"/>
              </w:rPr>
              <w:t>2020</w:t>
            </w:r>
          </w:p>
        </w:tc>
        <w:tc>
          <w:tcPr>
            <w:tcW w:w="871" w:type="pct"/>
            <w:shd w:val="clear" w:color="auto" w:fill="9CC2E5" w:themeFill="accent1" w:themeFillTint="99"/>
            <w:noWrap/>
            <w:vAlign w:val="center"/>
            <w:hideMark/>
          </w:tcPr>
          <w:p w14:paraId="6F9611AD" w14:textId="77777777" w:rsidR="00651B6D" w:rsidRPr="005C5F15" w:rsidRDefault="00651B6D" w:rsidP="00651B6D">
            <w:pPr>
              <w:keepNext/>
              <w:keepLines/>
              <w:ind w:firstLine="0"/>
              <w:contextualSpacing/>
              <w:jc w:val="center"/>
              <w:rPr>
                <w:rFonts w:cs="Times New Roman"/>
                <w:b/>
                <w:sz w:val="18"/>
                <w:szCs w:val="18"/>
              </w:rPr>
            </w:pPr>
            <w:r w:rsidRPr="005C5F15">
              <w:rPr>
                <w:rFonts w:cs="Times New Roman"/>
                <w:b/>
                <w:sz w:val="18"/>
                <w:szCs w:val="18"/>
              </w:rPr>
              <w:t>2021</w:t>
            </w:r>
          </w:p>
        </w:tc>
      </w:tr>
      <w:tr w:rsidR="00651B6D" w:rsidRPr="005C5F15" w14:paraId="56A0FC57" w14:textId="77777777" w:rsidTr="00651B6D">
        <w:trPr>
          <w:trHeight w:val="20"/>
          <w:jc w:val="center"/>
        </w:trPr>
        <w:tc>
          <w:tcPr>
            <w:tcW w:w="5000" w:type="pct"/>
            <w:gridSpan w:val="4"/>
            <w:shd w:val="clear" w:color="auto" w:fill="9CC2E5" w:themeFill="accent1" w:themeFillTint="99"/>
            <w:noWrap/>
            <w:vAlign w:val="center"/>
          </w:tcPr>
          <w:p w14:paraId="5656AFBE" w14:textId="77777777" w:rsidR="00651B6D" w:rsidRPr="005C5F15" w:rsidRDefault="00651B6D" w:rsidP="00651B6D">
            <w:pPr>
              <w:keepNext/>
              <w:keepLines/>
              <w:ind w:firstLine="28"/>
              <w:contextualSpacing/>
              <w:rPr>
                <w:rFonts w:cs="Times New Roman"/>
                <w:sz w:val="18"/>
                <w:szCs w:val="18"/>
              </w:rPr>
            </w:pPr>
            <w:r w:rsidRPr="005C5F15">
              <w:rPr>
                <w:rFonts w:cs="Times New Roman"/>
                <w:sz w:val="18"/>
                <w:szCs w:val="18"/>
              </w:rPr>
              <w:t>Benzīns,</w:t>
            </w:r>
            <w:r w:rsidRPr="005C5F15">
              <w:rPr>
                <w:rFonts w:cs="Times New Roman"/>
                <w:i/>
                <w:sz w:val="18"/>
                <w:szCs w:val="18"/>
              </w:rPr>
              <w:t> euro</w:t>
            </w:r>
            <w:r w:rsidRPr="005C5F15">
              <w:rPr>
                <w:rFonts w:cs="Times New Roman"/>
                <w:sz w:val="18"/>
                <w:szCs w:val="18"/>
              </w:rPr>
              <w:t xml:space="preserve"> par 1000 l</w:t>
            </w:r>
          </w:p>
        </w:tc>
      </w:tr>
      <w:tr w:rsidR="00651B6D" w:rsidRPr="005C5F15" w14:paraId="5871E06D" w14:textId="77777777" w:rsidTr="00B243D9">
        <w:trPr>
          <w:trHeight w:val="211"/>
          <w:jc w:val="center"/>
        </w:trPr>
        <w:tc>
          <w:tcPr>
            <w:tcW w:w="2332" w:type="pct"/>
            <w:shd w:val="clear" w:color="auto" w:fill="auto"/>
            <w:noWrap/>
            <w:vAlign w:val="center"/>
            <w:hideMark/>
          </w:tcPr>
          <w:p w14:paraId="78FD7A28" w14:textId="77777777" w:rsidR="00651B6D" w:rsidRPr="005C5F15" w:rsidRDefault="00651B6D" w:rsidP="00B243D9">
            <w:pPr>
              <w:keepNext/>
              <w:keepLines/>
              <w:spacing w:after="0"/>
              <w:ind w:firstLine="34"/>
              <w:contextualSpacing/>
              <w:rPr>
                <w:rFonts w:cs="Times New Roman"/>
                <w:bCs/>
                <w:sz w:val="18"/>
                <w:szCs w:val="18"/>
              </w:rPr>
            </w:pPr>
            <w:r w:rsidRPr="005C5F15">
              <w:rPr>
                <w:rFonts w:cs="Times New Roman"/>
                <w:bCs/>
                <w:sz w:val="18"/>
                <w:szCs w:val="18"/>
              </w:rPr>
              <w:t>Latvija</w:t>
            </w:r>
          </w:p>
        </w:tc>
        <w:tc>
          <w:tcPr>
            <w:tcW w:w="927" w:type="pct"/>
            <w:shd w:val="clear" w:color="auto" w:fill="auto"/>
            <w:noWrap/>
          </w:tcPr>
          <w:p w14:paraId="2F444798" w14:textId="77777777" w:rsidR="00651B6D" w:rsidRPr="005C5F15" w:rsidRDefault="00651B6D" w:rsidP="00B243D9">
            <w:pPr>
              <w:pStyle w:val="cipari"/>
              <w:spacing w:after="0"/>
              <w:rPr>
                <w:sz w:val="18"/>
                <w:szCs w:val="18"/>
                <w:lang w:eastAsia="lv-LV"/>
              </w:rPr>
            </w:pPr>
            <w:r w:rsidRPr="005C5F15">
              <w:rPr>
                <w:sz w:val="18"/>
                <w:szCs w:val="18"/>
                <w:lang w:eastAsia="lv-LV"/>
              </w:rPr>
              <w:t>476</w:t>
            </w:r>
          </w:p>
        </w:tc>
        <w:tc>
          <w:tcPr>
            <w:tcW w:w="870" w:type="pct"/>
            <w:shd w:val="clear" w:color="auto" w:fill="auto"/>
            <w:noWrap/>
          </w:tcPr>
          <w:p w14:paraId="697B5DD2" w14:textId="77777777" w:rsidR="00651B6D" w:rsidRPr="005C5F15" w:rsidRDefault="00651B6D" w:rsidP="00B243D9">
            <w:pPr>
              <w:pStyle w:val="cipari"/>
              <w:spacing w:after="0"/>
              <w:rPr>
                <w:sz w:val="18"/>
                <w:szCs w:val="18"/>
                <w:lang w:eastAsia="lv-LV"/>
              </w:rPr>
            </w:pPr>
            <w:r w:rsidRPr="005C5F15">
              <w:rPr>
                <w:sz w:val="18"/>
                <w:szCs w:val="18"/>
                <w:lang w:eastAsia="lv-LV"/>
              </w:rPr>
              <w:t>509</w:t>
            </w:r>
          </w:p>
        </w:tc>
        <w:tc>
          <w:tcPr>
            <w:tcW w:w="871" w:type="pct"/>
            <w:shd w:val="clear" w:color="auto" w:fill="auto"/>
            <w:noWrap/>
          </w:tcPr>
          <w:p w14:paraId="3CCB25B2" w14:textId="77777777" w:rsidR="00651B6D" w:rsidRPr="005C5F15" w:rsidRDefault="00651B6D" w:rsidP="00B243D9">
            <w:pPr>
              <w:pStyle w:val="cipari"/>
              <w:spacing w:after="0"/>
              <w:rPr>
                <w:sz w:val="18"/>
                <w:szCs w:val="18"/>
                <w:lang w:eastAsia="lv-LV"/>
              </w:rPr>
            </w:pPr>
            <w:r w:rsidRPr="005C5F15">
              <w:rPr>
                <w:sz w:val="18"/>
                <w:szCs w:val="18"/>
                <w:lang w:eastAsia="lv-LV"/>
              </w:rPr>
              <w:t>509</w:t>
            </w:r>
          </w:p>
        </w:tc>
      </w:tr>
      <w:tr w:rsidR="00651B6D" w:rsidRPr="005C5F15" w14:paraId="5046543F" w14:textId="77777777" w:rsidTr="00B243D9">
        <w:trPr>
          <w:trHeight w:val="54"/>
          <w:jc w:val="center"/>
        </w:trPr>
        <w:tc>
          <w:tcPr>
            <w:tcW w:w="2332" w:type="pct"/>
            <w:shd w:val="clear" w:color="auto" w:fill="auto"/>
            <w:noWrap/>
            <w:vAlign w:val="center"/>
            <w:hideMark/>
          </w:tcPr>
          <w:p w14:paraId="23BB895F" w14:textId="77777777" w:rsidR="00651B6D" w:rsidRPr="005C5F15" w:rsidRDefault="00651B6D" w:rsidP="00B243D9">
            <w:pPr>
              <w:keepNext/>
              <w:keepLines/>
              <w:spacing w:after="0"/>
              <w:ind w:firstLine="34"/>
              <w:contextualSpacing/>
              <w:rPr>
                <w:rFonts w:cs="Times New Roman"/>
                <w:sz w:val="18"/>
                <w:szCs w:val="18"/>
              </w:rPr>
            </w:pPr>
            <w:r w:rsidRPr="005C5F15">
              <w:rPr>
                <w:rFonts w:cs="Times New Roman"/>
                <w:sz w:val="18"/>
                <w:szCs w:val="18"/>
              </w:rPr>
              <w:t>Lietuva</w:t>
            </w:r>
          </w:p>
        </w:tc>
        <w:tc>
          <w:tcPr>
            <w:tcW w:w="927" w:type="pct"/>
            <w:shd w:val="clear" w:color="auto" w:fill="auto"/>
            <w:noWrap/>
          </w:tcPr>
          <w:p w14:paraId="6C91B7D5" w14:textId="77777777" w:rsidR="00651B6D" w:rsidRPr="005C5F15" w:rsidRDefault="00651B6D" w:rsidP="00B243D9">
            <w:pPr>
              <w:pStyle w:val="cipari"/>
              <w:spacing w:after="0"/>
              <w:rPr>
                <w:sz w:val="18"/>
                <w:szCs w:val="18"/>
                <w:lang w:eastAsia="lv-LV"/>
              </w:rPr>
            </w:pPr>
            <w:r w:rsidRPr="005C5F15">
              <w:rPr>
                <w:sz w:val="18"/>
                <w:szCs w:val="18"/>
                <w:lang w:eastAsia="lv-LV"/>
              </w:rPr>
              <w:t>434,43</w:t>
            </w:r>
          </w:p>
        </w:tc>
        <w:tc>
          <w:tcPr>
            <w:tcW w:w="870" w:type="pct"/>
            <w:shd w:val="clear" w:color="auto" w:fill="auto"/>
            <w:noWrap/>
          </w:tcPr>
          <w:p w14:paraId="2D465AAB" w14:textId="77777777" w:rsidR="00651B6D" w:rsidRPr="005C5F15" w:rsidRDefault="00651B6D" w:rsidP="00B243D9">
            <w:pPr>
              <w:pStyle w:val="cipari"/>
              <w:spacing w:after="0"/>
              <w:rPr>
                <w:sz w:val="18"/>
                <w:szCs w:val="18"/>
                <w:lang w:eastAsia="lv-LV"/>
              </w:rPr>
            </w:pPr>
            <w:r w:rsidRPr="005C5F15">
              <w:rPr>
                <w:sz w:val="18"/>
                <w:szCs w:val="18"/>
                <w:lang w:eastAsia="lv-LV"/>
              </w:rPr>
              <w:t>466</w:t>
            </w:r>
          </w:p>
        </w:tc>
        <w:tc>
          <w:tcPr>
            <w:tcW w:w="871" w:type="pct"/>
            <w:shd w:val="clear" w:color="auto" w:fill="auto"/>
            <w:noWrap/>
          </w:tcPr>
          <w:p w14:paraId="7F11285C" w14:textId="77777777" w:rsidR="00651B6D" w:rsidRPr="005C5F15" w:rsidRDefault="00651B6D" w:rsidP="00B243D9">
            <w:pPr>
              <w:pStyle w:val="cipari"/>
              <w:spacing w:after="0"/>
              <w:rPr>
                <w:sz w:val="18"/>
                <w:szCs w:val="18"/>
                <w:lang w:eastAsia="lv-LV"/>
              </w:rPr>
            </w:pPr>
            <w:r w:rsidRPr="005C5F15">
              <w:rPr>
                <w:sz w:val="18"/>
                <w:szCs w:val="18"/>
                <w:lang w:eastAsia="lv-LV"/>
              </w:rPr>
              <w:t>466</w:t>
            </w:r>
          </w:p>
        </w:tc>
      </w:tr>
      <w:tr w:rsidR="00651B6D" w:rsidRPr="005C5F15" w14:paraId="6063DA97" w14:textId="77777777" w:rsidTr="00651B6D">
        <w:trPr>
          <w:trHeight w:val="20"/>
          <w:jc w:val="center"/>
        </w:trPr>
        <w:tc>
          <w:tcPr>
            <w:tcW w:w="2332" w:type="pct"/>
            <w:shd w:val="clear" w:color="auto" w:fill="auto"/>
            <w:noWrap/>
            <w:vAlign w:val="center"/>
            <w:hideMark/>
          </w:tcPr>
          <w:p w14:paraId="351AD46C" w14:textId="77777777" w:rsidR="00651B6D" w:rsidRPr="005C5F15" w:rsidRDefault="00651B6D" w:rsidP="00B243D9">
            <w:pPr>
              <w:keepNext/>
              <w:keepLines/>
              <w:spacing w:after="0"/>
              <w:ind w:firstLine="34"/>
              <w:contextualSpacing/>
              <w:rPr>
                <w:rFonts w:cs="Times New Roman"/>
                <w:sz w:val="18"/>
                <w:szCs w:val="18"/>
              </w:rPr>
            </w:pPr>
            <w:r w:rsidRPr="005C5F15">
              <w:rPr>
                <w:rFonts w:cs="Times New Roman"/>
                <w:sz w:val="18"/>
                <w:szCs w:val="18"/>
              </w:rPr>
              <w:t>Igaunija</w:t>
            </w:r>
          </w:p>
        </w:tc>
        <w:tc>
          <w:tcPr>
            <w:tcW w:w="927" w:type="pct"/>
            <w:shd w:val="clear" w:color="auto" w:fill="auto"/>
            <w:noWrap/>
          </w:tcPr>
          <w:p w14:paraId="6153FD69" w14:textId="77777777" w:rsidR="00651B6D" w:rsidRPr="005C5F15" w:rsidRDefault="00651B6D" w:rsidP="00B243D9">
            <w:pPr>
              <w:pStyle w:val="cipari"/>
              <w:spacing w:after="0"/>
              <w:rPr>
                <w:sz w:val="18"/>
                <w:szCs w:val="18"/>
                <w:lang w:eastAsia="lv-LV"/>
              </w:rPr>
            </w:pPr>
            <w:r w:rsidRPr="005C5F15">
              <w:rPr>
                <w:sz w:val="18"/>
                <w:szCs w:val="18"/>
                <w:lang w:eastAsia="lv-LV"/>
              </w:rPr>
              <w:t>563</w:t>
            </w:r>
          </w:p>
        </w:tc>
        <w:tc>
          <w:tcPr>
            <w:tcW w:w="870" w:type="pct"/>
            <w:shd w:val="clear" w:color="auto" w:fill="auto"/>
            <w:noWrap/>
          </w:tcPr>
          <w:p w14:paraId="6E2D9E9A" w14:textId="77777777" w:rsidR="00651B6D" w:rsidRPr="005C5F15" w:rsidRDefault="00651B6D" w:rsidP="00B243D9">
            <w:pPr>
              <w:pStyle w:val="cipari"/>
              <w:spacing w:after="0"/>
              <w:rPr>
                <w:sz w:val="18"/>
                <w:szCs w:val="18"/>
                <w:lang w:eastAsia="lv-LV"/>
              </w:rPr>
            </w:pPr>
            <w:r w:rsidRPr="005C5F15">
              <w:rPr>
                <w:sz w:val="18"/>
                <w:szCs w:val="18"/>
                <w:lang w:eastAsia="lv-LV"/>
              </w:rPr>
              <w:t>563</w:t>
            </w:r>
          </w:p>
        </w:tc>
        <w:tc>
          <w:tcPr>
            <w:tcW w:w="871" w:type="pct"/>
            <w:shd w:val="clear" w:color="auto" w:fill="auto"/>
            <w:noWrap/>
          </w:tcPr>
          <w:p w14:paraId="672A64A4" w14:textId="77777777" w:rsidR="00651B6D" w:rsidRPr="005C5F15" w:rsidRDefault="00651B6D" w:rsidP="00B243D9">
            <w:pPr>
              <w:pStyle w:val="cipari"/>
              <w:spacing w:after="0"/>
              <w:rPr>
                <w:sz w:val="18"/>
                <w:szCs w:val="18"/>
                <w:lang w:eastAsia="lv-LV"/>
              </w:rPr>
            </w:pPr>
            <w:r w:rsidRPr="005C5F15">
              <w:rPr>
                <w:sz w:val="18"/>
                <w:szCs w:val="18"/>
                <w:lang w:eastAsia="lv-LV"/>
              </w:rPr>
              <w:t>563</w:t>
            </w:r>
          </w:p>
        </w:tc>
      </w:tr>
      <w:tr w:rsidR="00651B6D" w:rsidRPr="005C5F15" w14:paraId="4C336426" w14:textId="77777777" w:rsidTr="00651B6D">
        <w:trPr>
          <w:trHeight w:val="58"/>
          <w:jc w:val="center"/>
        </w:trPr>
        <w:tc>
          <w:tcPr>
            <w:tcW w:w="5000" w:type="pct"/>
            <w:gridSpan w:val="4"/>
            <w:shd w:val="clear" w:color="auto" w:fill="9CC2E5" w:themeFill="accent1" w:themeFillTint="99"/>
            <w:noWrap/>
            <w:vAlign w:val="center"/>
            <w:hideMark/>
          </w:tcPr>
          <w:p w14:paraId="71C5CC16" w14:textId="77777777" w:rsidR="00651B6D" w:rsidRPr="005C5F15" w:rsidRDefault="00651B6D" w:rsidP="005C5F15">
            <w:pPr>
              <w:keepNext/>
              <w:keepLines/>
              <w:ind w:firstLine="34"/>
              <w:contextualSpacing/>
              <w:rPr>
                <w:rFonts w:cs="Times New Roman"/>
                <w:sz w:val="18"/>
                <w:szCs w:val="18"/>
              </w:rPr>
            </w:pPr>
            <w:r w:rsidRPr="005C5F15">
              <w:rPr>
                <w:rFonts w:cs="Times New Roman"/>
                <w:sz w:val="18"/>
                <w:szCs w:val="18"/>
              </w:rPr>
              <w:t>Dīzeļdegviela,</w:t>
            </w:r>
            <w:r w:rsidRPr="005C5F15">
              <w:rPr>
                <w:rFonts w:cs="Times New Roman"/>
                <w:i/>
                <w:sz w:val="18"/>
                <w:szCs w:val="18"/>
              </w:rPr>
              <w:t> euro</w:t>
            </w:r>
            <w:r w:rsidRPr="005C5F15">
              <w:rPr>
                <w:rFonts w:cs="Times New Roman"/>
                <w:sz w:val="18"/>
                <w:szCs w:val="18"/>
              </w:rPr>
              <w:t xml:space="preserve"> par 1000 l</w:t>
            </w:r>
          </w:p>
        </w:tc>
      </w:tr>
      <w:tr w:rsidR="00651B6D" w:rsidRPr="005C5F15" w14:paraId="6E82DDDD" w14:textId="77777777" w:rsidTr="00651B6D">
        <w:trPr>
          <w:trHeight w:val="58"/>
          <w:jc w:val="center"/>
        </w:trPr>
        <w:tc>
          <w:tcPr>
            <w:tcW w:w="2332" w:type="pct"/>
            <w:shd w:val="clear" w:color="auto" w:fill="auto"/>
            <w:noWrap/>
            <w:vAlign w:val="center"/>
            <w:hideMark/>
          </w:tcPr>
          <w:p w14:paraId="6A95DEE4" w14:textId="77777777" w:rsidR="00651B6D" w:rsidRPr="005C5F15" w:rsidRDefault="00651B6D" w:rsidP="005C5F15">
            <w:pPr>
              <w:keepNext/>
              <w:keepLines/>
              <w:ind w:firstLine="34"/>
              <w:contextualSpacing/>
              <w:rPr>
                <w:rFonts w:cs="Times New Roman"/>
                <w:bCs/>
                <w:sz w:val="18"/>
                <w:szCs w:val="18"/>
              </w:rPr>
            </w:pPr>
            <w:r w:rsidRPr="005C5F15">
              <w:rPr>
                <w:rFonts w:cs="Times New Roman"/>
                <w:bCs/>
                <w:sz w:val="18"/>
                <w:szCs w:val="18"/>
              </w:rPr>
              <w:t>Latvija</w:t>
            </w:r>
            <w:r w:rsidRPr="005C5F15">
              <w:rPr>
                <w:rFonts w:cs="Times New Roman"/>
                <w:bCs/>
                <w:sz w:val="18"/>
                <w:szCs w:val="18"/>
                <w:vertAlign w:val="superscript"/>
              </w:rPr>
              <w:t>1</w:t>
            </w:r>
          </w:p>
        </w:tc>
        <w:tc>
          <w:tcPr>
            <w:tcW w:w="927" w:type="pct"/>
            <w:shd w:val="clear" w:color="auto" w:fill="auto"/>
            <w:noWrap/>
          </w:tcPr>
          <w:p w14:paraId="1294CFE9" w14:textId="77777777" w:rsidR="00651B6D" w:rsidRPr="005C5F15" w:rsidRDefault="00651B6D" w:rsidP="00651B6D">
            <w:pPr>
              <w:keepNext/>
              <w:keepLines/>
              <w:ind w:firstLine="709"/>
              <w:contextualSpacing/>
              <w:jc w:val="right"/>
              <w:rPr>
                <w:rFonts w:cs="Times New Roman"/>
                <w:bCs/>
                <w:sz w:val="18"/>
                <w:szCs w:val="18"/>
              </w:rPr>
            </w:pPr>
            <w:r w:rsidRPr="005C5F15">
              <w:rPr>
                <w:rFonts w:cs="Times New Roman"/>
                <w:bCs/>
                <w:sz w:val="18"/>
                <w:szCs w:val="18"/>
              </w:rPr>
              <w:t>372</w:t>
            </w:r>
          </w:p>
        </w:tc>
        <w:tc>
          <w:tcPr>
            <w:tcW w:w="870" w:type="pct"/>
            <w:shd w:val="clear" w:color="auto" w:fill="auto"/>
            <w:noWrap/>
          </w:tcPr>
          <w:p w14:paraId="71F8D384" w14:textId="77777777" w:rsidR="00651B6D" w:rsidRPr="005C5F15" w:rsidRDefault="00651B6D" w:rsidP="00651B6D">
            <w:pPr>
              <w:keepNext/>
              <w:keepLines/>
              <w:ind w:firstLine="709"/>
              <w:contextualSpacing/>
              <w:jc w:val="right"/>
              <w:rPr>
                <w:rFonts w:cs="Times New Roman"/>
                <w:bCs/>
                <w:sz w:val="18"/>
                <w:szCs w:val="18"/>
              </w:rPr>
            </w:pPr>
            <w:r w:rsidRPr="005C5F15">
              <w:rPr>
                <w:rFonts w:cs="Times New Roman"/>
                <w:bCs/>
                <w:sz w:val="18"/>
                <w:szCs w:val="18"/>
              </w:rPr>
              <w:t>414</w:t>
            </w:r>
          </w:p>
        </w:tc>
        <w:tc>
          <w:tcPr>
            <w:tcW w:w="871" w:type="pct"/>
            <w:shd w:val="clear" w:color="auto" w:fill="auto"/>
            <w:noWrap/>
          </w:tcPr>
          <w:p w14:paraId="71D75FCB" w14:textId="77777777" w:rsidR="00651B6D" w:rsidRPr="005C5F15" w:rsidRDefault="00651B6D" w:rsidP="00651B6D">
            <w:pPr>
              <w:keepNext/>
              <w:keepLines/>
              <w:ind w:firstLine="709"/>
              <w:contextualSpacing/>
              <w:jc w:val="right"/>
              <w:rPr>
                <w:rFonts w:cs="Times New Roman"/>
                <w:bCs/>
                <w:sz w:val="18"/>
                <w:szCs w:val="18"/>
              </w:rPr>
            </w:pPr>
            <w:r w:rsidRPr="005C5F15">
              <w:rPr>
                <w:rFonts w:cs="Times New Roman"/>
                <w:bCs/>
                <w:sz w:val="18"/>
                <w:szCs w:val="18"/>
              </w:rPr>
              <w:t>414</w:t>
            </w:r>
          </w:p>
        </w:tc>
      </w:tr>
      <w:tr w:rsidR="00651B6D" w:rsidRPr="005C5F15" w14:paraId="7F1130DF" w14:textId="77777777" w:rsidTr="00651B6D">
        <w:trPr>
          <w:trHeight w:val="20"/>
          <w:jc w:val="center"/>
        </w:trPr>
        <w:tc>
          <w:tcPr>
            <w:tcW w:w="2332" w:type="pct"/>
            <w:shd w:val="clear" w:color="auto" w:fill="auto"/>
            <w:noWrap/>
            <w:vAlign w:val="center"/>
            <w:hideMark/>
          </w:tcPr>
          <w:p w14:paraId="2D864F83" w14:textId="77777777" w:rsidR="00651B6D" w:rsidRPr="005C5F15" w:rsidRDefault="00651B6D" w:rsidP="005C5F15">
            <w:pPr>
              <w:keepNext/>
              <w:keepLines/>
              <w:ind w:firstLine="34"/>
              <w:contextualSpacing/>
              <w:rPr>
                <w:rFonts w:cs="Times New Roman"/>
                <w:bCs/>
                <w:sz w:val="18"/>
                <w:szCs w:val="18"/>
              </w:rPr>
            </w:pPr>
            <w:r w:rsidRPr="005C5F15">
              <w:rPr>
                <w:rFonts w:cs="Times New Roman"/>
                <w:bCs/>
                <w:sz w:val="18"/>
                <w:szCs w:val="18"/>
              </w:rPr>
              <w:t>Lietuva</w:t>
            </w:r>
          </w:p>
        </w:tc>
        <w:tc>
          <w:tcPr>
            <w:tcW w:w="927" w:type="pct"/>
            <w:shd w:val="clear" w:color="auto" w:fill="auto"/>
            <w:noWrap/>
          </w:tcPr>
          <w:p w14:paraId="14A5218B" w14:textId="77777777" w:rsidR="00651B6D" w:rsidRPr="005C5F15" w:rsidRDefault="00651B6D" w:rsidP="00651B6D">
            <w:pPr>
              <w:keepNext/>
              <w:keepLines/>
              <w:ind w:firstLine="709"/>
              <w:contextualSpacing/>
              <w:jc w:val="right"/>
              <w:rPr>
                <w:rFonts w:cs="Times New Roman"/>
                <w:sz w:val="18"/>
                <w:szCs w:val="18"/>
              </w:rPr>
            </w:pPr>
            <w:r w:rsidRPr="005C5F15">
              <w:rPr>
                <w:rFonts w:cs="Times New Roman"/>
                <w:sz w:val="18"/>
                <w:szCs w:val="18"/>
              </w:rPr>
              <w:t>347</w:t>
            </w:r>
          </w:p>
        </w:tc>
        <w:tc>
          <w:tcPr>
            <w:tcW w:w="870" w:type="pct"/>
            <w:shd w:val="clear" w:color="auto" w:fill="auto"/>
            <w:noWrap/>
          </w:tcPr>
          <w:p w14:paraId="1E0499E1" w14:textId="77777777" w:rsidR="00651B6D" w:rsidRPr="005C5F15" w:rsidRDefault="00651B6D" w:rsidP="00651B6D">
            <w:pPr>
              <w:keepNext/>
              <w:keepLines/>
              <w:ind w:firstLine="709"/>
              <w:contextualSpacing/>
              <w:jc w:val="right"/>
              <w:rPr>
                <w:rFonts w:cs="Times New Roman"/>
                <w:sz w:val="18"/>
                <w:szCs w:val="18"/>
              </w:rPr>
            </w:pPr>
            <w:r w:rsidRPr="005C5F15">
              <w:rPr>
                <w:rFonts w:cs="Times New Roman"/>
                <w:sz w:val="18"/>
                <w:szCs w:val="18"/>
              </w:rPr>
              <w:t>372</w:t>
            </w:r>
          </w:p>
        </w:tc>
        <w:tc>
          <w:tcPr>
            <w:tcW w:w="871" w:type="pct"/>
            <w:shd w:val="clear" w:color="auto" w:fill="auto"/>
            <w:noWrap/>
          </w:tcPr>
          <w:p w14:paraId="3190120C" w14:textId="77777777" w:rsidR="00651B6D" w:rsidRPr="005C5F15" w:rsidRDefault="00651B6D" w:rsidP="00651B6D">
            <w:pPr>
              <w:keepNext/>
              <w:keepLines/>
              <w:ind w:firstLine="709"/>
              <w:contextualSpacing/>
              <w:jc w:val="right"/>
              <w:rPr>
                <w:rFonts w:cs="Times New Roman"/>
                <w:sz w:val="18"/>
                <w:szCs w:val="18"/>
              </w:rPr>
            </w:pPr>
            <w:r w:rsidRPr="005C5F15">
              <w:rPr>
                <w:rFonts w:cs="Times New Roman"/>
                <w:sz w:val="18"/>
                <w:szCs w:val="18"/>
              </w:rPr>
              <w:t>372</w:t>
            </w:r>
          </w:p>
        </w:tc>
      </w:tr>
      <w:tr w:rsidR="00651B6D" w:rsidRPr="005C5F15" w14:paraId="6439B2A7" w14:textId="77777777" w:rsidTr="00651B6D">
        <w:trPr>
          <w:trHeight w:val="20"/>
          <w:jc w:val="center"/>
        </w:trPr>
        <w:tc>
          <w:tcPr>
            <w:tcW w:w="2332" w:type="pct"/>
            <w:shd w:val="clear" w:color="auto" w:fill="auto"/>
            <w:noWrap/>
            <w:vAlign w:val="center"/>
            <w:hideMark/>
          </w:tcPr>
          <w:p w14:paraId="518CC509" w14:textId="77777777" w:rsidR="00651B6D" w:rsidRPr="005C5F15" w:rsidRDefault="00651B6D" w:rsidP="005C5F15">
            <w:pPr>
              <w:keepNext/>
              <w:keepLines/>
              <w:ind w:firstLine="34"/>
              <w:contextualSpacing/>
              <w:rPr>
                <w:rFonts w:cs="Times New Roman"/>
                <w:bCs/>
                <w:sz w:val="18"/>
                <w:szCs w:val="18"/>
              </w:rPr>
            </w:pPr>
            <w:r w:rsidRPr="005C5F15">
              <w:rPr>
                <w:rFonts w:cs="Times New Roman"/>
                <w:bCs/>
                <w:sz w:val="18"/>
                <w:szCs w:val="18"/>
              </w:rPr>
              <w:t>Igaunija</w:t>
            </w:r>
          </w:p>
        </w:tc>
        <w:tc>
          <w:tcPr>
            <w:tcW w:w="927" w:type="pct"/>
            <w:shd w:val="clear" w:color="auto" w:fill="auto"/>
            <w:noWrap/>
          </w:tcPr>
          <w:p w14:paraId="206FC503" w14:textId="77777777" w:rsidR="00651B6D" w:rsidRPr="005C5F15" w:rsidRDefault="00651B6D" w:rsidP="00651B6D">
            <w:pPr>
              <w:keepNext/>
              <w:keepLines/>
              <w:ind w:firstLine="709"/>
              <w:contextualSpacing/>
              <w:jc w:val="right"/>
              <w:rPr>
                <w:rFonts w:cs="Times New Roman"/>
                <w:sz w:val="18"/>
                <w:szCs w:val="18"/>
              </w:rPr>
            </w:pPr>
            <w:r w:rsidRPr="005C5F15">
              <w:rPr>
                <w:rFonts w:cs="Times New Roman"/>
                <w:sz w:val="18"/>
                <w:szCs w:val="18"/>
              </w:rPr>
              <w:t>493</w:t>
            </w:r>
          </w:p>
        </w:tc>
        <w:tc>
          <w:tcPr>
            <w:tcW w:w="870" w:type="pct"/>
            <w:shd w:val="clear" w:color="auto" w:fill="auto"/>
            <w:noWrap/>
          </w:tcPr>
          <w:p w14:paraId="7AE5B64A" w14:textId="77777777" w:rsidR="00651B6D" w:rsidRPr="005C5F15" w:rsidRDefault="00651B6D" w:rsidP="00651B6D">
            <w:pPr>
              <w:keepNext/>
              <w:keepLines/>
              <w:ind w:firstLine="709"/>
              <w:contextualSpacing/>
              <w:jc w:val="right"/>
              <w:rPr>
                <w:rFonts w:cs="Times New Roman"/>
                <w:sz w:val="18"/>
                <w:szCs w:val="18"/>
              </w:rPr>
            </w:pPr>
            <w:r w:rsidRPr="005C5F15">
              <w:rPr>
                <w:rFonts w:cs="Times New Roman"/>
                <w:sz w:val="18"/>
                <w:szCs w:val="18"/>
              </w:rPr>
              <w:t>493/372</w:t>
            </w:r>
            <w:r w:rsidRPr="005C5F15">
              <w:rPr>
                <w:rFonts w:cs="Times New Roman"/>
                <w:sz w:val="18"/>
                <w:szCs w:val="18"/>
                <w:vertAlign w:val="superscript"/>
              </w:rPr>
              <w:t>2</w:t>
            </w:r>
          </w:p>
        </w:tc>
        <w:tc>
          <w:tcPr>
            <w:tcW w:w="871" w:type="pct"/>
            <w:shd w:val="clear" w:color="auto" w:fill="auto"/>
            <w:noWrap/>
          </w:tcPr>
          <w:p w14:paraId="598F298C" w14:textId="77777777" w:rsidR="00651B6D" w:rsidRPr="005C5F15" w:rsidRDefault="00651B6D" w:rsidP="00651B6D">
            <w:pPr>
              <w:keepNext/>
              <w:keepLines/>
              <w:ind w:firstLine="709"/>
              <w:contextualSpacing/>
              <w:jc w:val="right"/>
              <w:rPr>
                <w:rFonts w:cs="Times New Roman"/>
                <w:sz w:val="18"/>
                <w:szCs w:val="18"/>
              </w:rPr>
            </w:pPr>
            <w:r w:rsidRPr="005C5F15">
              <w:rPr>
                <w:rFonts w:cs="Times New Roman"/>
                <w:sz w:val="18"/>
                <w:szCs w:val="18"/>
              </w:rPr>
              <w:t>372</w:t>
            </w:r>
          </w:p>
        </w:tc>
      </w:tr>
      <w:tr w:rsidR="00651B6D" w:rsidRPr="005C5F15" w14:paraId="32F29FB2" w14:textId="77777777" w:rsidTr="00651B6D">
        <w:trPr>
          <w:trHeight w:val="20"/>
          <w:jc w:val="center"/>
        </w:trPr>
        <w:tc>
          <w:tcPr>
            <w:tcW w:w="5000" w:type="pct"/>
            <w:gridSpan w:val="4"/>
            <w:shd w:val="clear" w:color="auto" w:fill="9CC2E5" w:themeFill="accent1" w:themeFillTint="99"/>
            <w:noWrap/>
            <w:vAlign w:val="center"/>
            <w:hideMark/>
          </w:tcPr>
          <w:p w14:paraId="1487A5DC" w14:textId="77777777" w:rsidR="00651B6D" w:rsidRPr="005C5F15" w:rsidRDefault="00651B6D" w:rsidP="005C5F15">
            <w:pPr>
              <w:keepNext/>
              <w:keepLines/>
              <w:ind w:firstLine="34"/>
              <w:contextualSpacing/>
              <w:rPr>
                <w:rFonts w:cs="Times New Roman"/>
                <w:sz w:val="18"/>
                <w:szCs w:val="18"/>
              </w:rPr>
            </w:pPr>
            <w:r w:rsidRPr="005C5F15">
              <w:rPr>
                <w:rFonts w:cs="Times New Roman"/>
                <w:sz w:val="18"/>
                <w:szCs w:val="18"/>
              </w:rPr>
              <w:t>Sašķidrinātās naftas gāzes,</w:t>
            </w:r>
            <w:r w:rsidRPr="005C5F15">
              <w:rPr>
                <w:rFonts w:cs="Times New Roman"/>
                <w:i/>
                <w:sz w:val="18"/>
                <w:szCs w:val="18"/>
              </w:rPr>
              <w:t> euro</w:t>
            </w:r>
            <w:r w:rsidRPr="005C5F15">
              <w:rPr>
                <w:rFonts w:cs="Times New Roman"/>
                <w:sz w:val="18"/>
                <w:szCs w:val="18"/>
              </w:rPr>
              <w:t xml:space="preserve"> par 1000 kg</w:t>
            </w:r>
          </w:p>
        </w:tc>
      </w:tr>
      <w:tr w:rsidR="00651B6D" w:rsidRPr="005C5F15" w14:paraId="57B92751" w14:textId="77777777" w:rsidTr="00651B6D">
        <w:trPr>
          <w:trHeight w:val="20"/>
          <w:jc w:val="center"/>
        </w:trPr>
        <w:tc>
          <w:tcPr>
            <w:tcW w:w="2332" w:type="pct"/>
            <w:shd w:val="clear" w:color="auto" w:fill="auto"/>
            <w:noWrap/>
            <w:vAlign w:val="center"/>
            <w:hideMark/>
          </w:tcPr>
          <w:p w14:paraId="20E5410A" w14:textId="77777777" w:rsidR="00651B6D" w:rsidRPr="005C5F15" w:rsidRDefault="00651B6D" w:rsidP="005C5F15">
            <w:pPr>
              <w:keepNext/>
              <w:keepLines/>
              <w:ind w:firstLine="34"/>
              <w:contextualSpacing/>
              <w:rPr>
                <w:rFonts w:cs="Times New Roman"/>
                <w:bCs/>
                <w:sz w:val="18"/>
                <w:szCs w:val="18"/>
              </w:rPr>
            </w:pPr>
            <w:r w:rsidRPr="005C5F15">
              <w:rPr>
                <w:rFonts w:cs="Times New Roman"/>
                <w:bCs/>
                <w:sz w:val="18"/>
                <w:szCs w:val="18"/>
              </w:rPr>
              <w:t>Latvija</w:t>
            </w:r>
          </w:p>
        </w:tc>
        <w:tc>
          <w:tcPr>
            <w:tcW w:w="927" w:type="pct"/>
            <w:shd w:val="clear" w:color="auto" w:fill="auto"/>
            <w:noWrap/>
          </w:tcPr>
          <w:p w14:paraId="15FCDA27" w14:textId="77777777" w:rsidR="00651B6D" w:rsidRPr="005C5F15" w:rsidRDefault="00651B6D" w:rsidP="00651B6D">
            <w:pPr>
              <w:keepNext/>
              <w:keepLines/>
              <w:ind w:firstLine="709"/>
              <w:contextualSpacing/>
              <w:jc w:val="right"/>
              <w:rPr>
                <w:rFonts w:cs="Times New Roman"/>
                <w:bCs/>
                <w:sz w:val="18"/>
                <w:szCs w:val="18"/>
              </w:rPr>
            </w:pPr>
            <w:r w:rsidRPr="005C5F15">
              <w:rPr>
                <w:rFonts w:cs="Times New Roman"/>
                <w:bCs/>
                <w:sz w:val="18"/>
                <w:szCs w:val="18"/>
              </w:rPr>
              <w:t>244</w:t>
            </w:r>
          </w:p>
        </w:tc>
        <w:tc>
          <w:tcPr>
            <w:tcW w:w="870" w:type="pct"/>
            <w:shd w:val="clear" w:color="auto" w:fill="auto"/>
            <w:noWrap/>
          </w:tcPr>
          <w:p w14:paraId="2049C284" w14:textId="77777777" w:rsidR="00651B6D" w:rsidRPr="005C5F15" w:rsidRDefault="00651B6D" w:rsidP="00651B6D">
            <w:pPr>
              <w:keepNext/>
              <w:keepLines/>
              <w:ind w:firstLine="709"/>
              <w:contextualSpacing/>
              <w:jc w:val="right"/>
              <w:rPr>
                <w:rFonts w:cs="Times New Roman"/>
                <w:bCs/>
                <w:sz w:val="18"/>
                <w:szCs w:val="18"/>
              </w:rPr>
            </w:pPr>
            <w:r w:rsidRPr="005C5F15">
              <w:rPr>
                <w:rFonts w:cs="Times New Roman"/>
                <w:bCs/>
                <w:sz w:val="18"/>
                <w:szCs w:val="18"/>
              </w:rPr>
              <w:t>285</w:t>
            </w:r>
          </w:p>
        </w:tc>
        <w:tc>
          <w:tcPr>
            <w:tcW w:w="871" w:type="pct"/>
            <w:shd w:val="clear" w:color="auto" w:fill="auto"/>
            <w:noWrap/>
          </w:tcPr>
          <w:p w14:paraId="48B80C35" w14:textId="77777777" w:rsidR="00651B6D" w:rsidRPr="005C5F15" w:rsidRDefault="00651B6D" w:rsidP="00651B6D">
            <w:pPr>
              <w:keepNext/>
              <w:keepLines/>
              <w:ind w:firstLine="709"/>
              <w:contextualSpacing/>
              <w:jc w:val="right"/>
              <w:rPr>
                <w:rFonts w:cs="Times New Roman"/>
                <w:bCs/>
                <w:sz w:val="18"/>
                <w:szCs w:val="18"/>
              </w:rPr>
            </w:pPr>
            <w:r w:rsidRPr="005C5F15">
              <w:rPr>
                <w:rFonts w:cs="Times New Roman"/>
                <w:bCs/>
                <w:sz w:val="18"/>
                <w:szCs w:val="18"/>
              </w:rPr>
              <w:t>285</w:t>
            </w:r>
          </w:p>
        </w:tc>
      </w:tr>
      <w:tr w:rsidR="00651B6D" w:rsidRPr="005C5F15" w14:paraId="0FFD8EF2" w14:textId="77777777" w:rsidTr="00651B6D">
        <w:trPr>
          <w:trHeight w:val="20"/>
          <w:jc w:val="center"/>
        </w:trPr>
        <w:tc>
          <w:tcPr>
            <w:tcW w:w="2332" w:type="pct"/>
            <w:shd w:val="clear" w:color="auto" w:fill="auto"/>
            <w:noWrap/>
            <w:vAlign w:val="center"/>
            <w:hideMark/>
          </w:tcPr>
          <w:p w14:paraId="75263500" w14:textId="77777777" w:rsidR="00651B6D" w:rsidRPr="005C5F15" w:rsidRDefault="00651B6D" w:rsidP="005C5F15">
            <w:pPr>
              <w:keepNext/>
              <w:keepLines/>
              <w:ind w:firstLine="34"/>
              <w:contextualSpacing/>
              <w:rPr>
                <w:rFonts w:cs="Times New Roman"/>
                <w:bCs/>
                <w:sz w:val="18"/>
                <w:szCs w:val="18"/>
              </w:rPr>
            </w:pPr>
            <w:r w:rsidRPr="005C5F15">
              <w:rPr>
                <w:rFonts w:cs="Times New Roman"/>
                <w:bCs/>
                <w:sz w:val="18"/>
                <w:szCs w:val="18"/>
              </w:rPr>
              <w:t>Lietuva</w:t>
            </w:r>
          </w:p>
        </w:tc>
        <w:tc>
          <w:tcPr>
            <w:tcW w:w="927" w:type="pct"/>
            <w:shd w:val="clear" w:color="auto" w:fill="auto"/>
            <w:noWrap/>
          </w:tcPr>
          <w:p w14:paraId="55CC3463" w14:textId="77777777" w:rsidR="00651B6D" w:rsidRPr="005C5F15" w:rsidRDefault="00651B6D" w:rsidP="00651B6D">
            <w:pPr>
              <w:keepNext/>
              <w:keepLines/>
              <w:ind w:firstLine="709"/>
              <w:contextualSpacing/>
              <w:jc w:val="right"/>
              <w:rPr>
                <w:rFonts w:cs="Times New Roman"/>
                <w:sz w:val="18"/>
                <w:szCs w:val="18"/>
              </w:rPr>
            </w:pPr>
            <w:r w:rsidRPr="005C5F15">
              <w:rPr>
                <w:rFonts w:cs="Times New Roman"/>
                <w:sz w:val="18"/>
                <w:szCs w:val="18"/>
              </w:rPr>
              <w:t>304,10</w:t>
            </w:r>
          </w:p>
        </w:tc>
        <w:tc>
          <w:tcPr>
            <w:tcW w:w="870" w:type="pct"/>
            <w:shd w:val="clear" w:color="auto" w:fill="auto"/>
            <w:noWrap/>
          </w:tcPr>
          <w:p w14:paraId="1602AFAE" w14:textId="77777777" w:rsidR="00651B6D" w:rsidRPr="005C5F15" w:rsidRDefault="00651B6D" w:rsidP="00651B6D">
            <w:pPr>
              <w:keepNext/>
              <w:keepLines/>
              <w:ind w:firstLine="709"/>
              <w:contextualSpacing/>
              <w:jc w:val="right"/>
              <w:rPr>
                <w:rFonts w:cs="Times New Roman"/>
                <w:sz w:val="18"/>
                <w:szCs w:val="18"/>
              </w:rPr>
            </w:pPr>
            <w:r w:rsidRPr="005C5F15">
              <w:rPr>
                <w:rFonts w:cs="Times New Roman"/>
                <w:sz w:val="18"/>
                <w:szCs w:val="18"/>
              </w:rPr>
              <w:t>304,10</w:t>
            </w:r>
          </w:p>
        </w:tc>
        <w:tc>
          <w:tcPr>
            <w:tcW w:w="871" w:type="pct"/>
            <w:shd w:val="clear" w:color="auto" w:fill="auto"/>
            <w:noWrap/>
          </w:tcPr>
          <w:p w14:paraId="001A6767" w14:textId="77777777" w:rsidR="00651B6D" w:rsidRPr="005C5F15" w:rsidRDefault="00651B6D" w:rsidP="00651B6D">
            <w:pPr>
              <w:keepNext/>
              <w:keepLines/>
              <w:ind w:firstLine="709"/>
              <w:contextualSpacing/>
              <w:jc w:val="right"/>
              <w:rPr>
                <w:rFonts w:cs="Times New Roman"/>
                <w:sz w:val="18"/>
                <w:szCs w:val="18"/>
              </w:rPr>
            </w:pPr>
            <w:r w:rsidRPr="005C5F15">
              <w:rPr>
                <w:rFonts w:cs="Times New Roman"/>
                <w:sz w:val="18"/>
                <w:szCs w:val="18"/>
              </w:rPr>
              <w:t>304,10</w:t>
            </w:r>
          </w:p>
        </w:tc>
      </w:tr>
      <w:tr w:rsidR="00651B6D" w:rsidRPr="005C5F15" w14:paraId="43F3F18C" w14:textId="77777777" w:rsidTr="00651B6D">
        <w:trPr>
          <w:trHeight w:val="20"/>
          <w:jc w:val="center"/>
        </w:trPr>
        <w:tc>
          <w:tcPr>
            <w:tcW w:w="2332" w:type="pct"/>
            <w:shd w:val="clear" w:color="auto" w:fill="auto"/>
            <w:noWrap/>
            <w:vAlign w:val="center"/>
            <w:hideMark/>
          </w:tcPr>
          <w:p w14:paraId="0D619A0F" w14:textId="77777777" w:rsidR="00651B6D" w:rsidRPr="005C5F15" w:rsidRDefault="00651B6D" w:rsidP="005C5F15">
            <w:pPr>
              <w:keepNext/>
              <w:keepLines/>
              <w:ind w:firstLine="34"/>
              <w:contextualSpacing/>
              <w:rPr>
                <w:rFonts w:cs="Times New Roman"/>
                <w:bCs/>
                <w:sz w:val="18"/>
                <w:szCs w:val="18"/>
              </w:rPr>
            </w:pPr>
            <w:r w:rsidRPr="005C5F15">
              <w:rPr>
                <w:rFonts w:cs="Times New Roman"/>
                <w:bCs/>
                <w:sz w:val="18"/>
                <w:szCs w:val="18"/>
              </w:rPr>
              <w:t>Igaunija</w:t>
            </w:r>
          </w:p>
        </w:tc>
        <w:tc>
          <w:tcPr>
            <w:tcW w:w="927" w:type="pct"/>
            <w:shd w:val="clear" w:color="auto" w:fill="auto"/>
            <w:noWrap/>
          </w:tcPr>
          <w:p w14:paraId="745FDF82" w14:textId="77777777" w:rsidR="00651B6D" w:rsidRPr="005C5F15" w:rsidRDefault="00651B6D" w:rsidP="00651B6D">
            <w:pPr>
              <w:keepNext/>
              <w:keepLines/>
              <w:ind w:firstLine="709"/>
              <w:contextualSpacing/>
              <w:jc w:val="right"/>
              <w:rPr>
                <w:rFonts w:cs="Times New Roman"/>
                <w:sz w:val="18"/>
                <w:szCs w:val="18"/>
              </w:rPr>
            </w:pPr>
            <w:r w:rsidRPr="005C5F15">
              <w:rPr>
                <w:rFonts w:cs="Times New Roman"/>
                <w:sz w:val="18"/>
                <w:szCs w:val="18"/>
              </w:rPr>
              <w:t>193</w:t>
            </w:r>
          </w:p>
        </w:tc>
        <w:tc>
          <w:tcPr>
            <w:tcW w:w="870" w:type="pct"/>
            <w:shd w:val="clear" w:color="auto" w:fill="auto"/>
            <w:noWrap/>
          </w:tcPr>
          <w:p w14:paraId="1D0E7B1E" w14:textId="77777777" w:rsidR="00651B6D" w:rsidRPr="005C5F15" w:rsidRDefault="00651B6D" w:rsidP="00651B6D">
            <w:pPr>
              <w:keepNext/>
              <w:keepLines/>
              <w:ind w:firstLine="709"/>
              <w:contextualSpacing/>
              <w:jc w:val="right"/>
              <w:rPr>
                <w:rFonts w:cs="Times New Roman"/>
                <w:sz w:val="18"/>
                <w:szCs w:val="18"/>
              </w:rPr>
            </w:pPr>
            <w:r w:rsidRPr="005C5F15">
              <w:rPr>
                <w:rFonts w:cs="Times New Roman"/>
                <w:sz w:val="18"/>
                <w:szCs w:val="18"/>
              </w:rPr>
              <w:t>193</w:t>
            </w:r>
          </w:p>
        </w:tc>
        <w:tc>
          <w:tcPr>
            <w:tcW w:w="871" w:type="pct"/>
            <w:shd w:val="clear" w:color="auto" w:fill="auto"/>
            <w:noWrap/>
          </w:tcPr>
          <w:p w14:paraId="4F95E160" w14:textId="77777777" w:rsidR="00651B6D" w:rsidRPr="005C5F15" w:rsidRDefault="00651B6D" w:rsidP="00651B6D">
            <w:pPr>
              <w:keepNext/>
              <w:keepLines/>
              <w:ind w:firstLine="709"/>
              <w:contextualSpacing/>
              <w:jc w:val="right"/>
              <w:rPr>
                <w:rFonts w:cs="Times New Roman"/>
                <w:sz w:val="18"/>
                <w:szCs w:val="18"/>
              </w:rPr>
            </w:pPr>
            <w:r w:rsidRPr="005C5F15">
              <w:rPr>
                <w:rFonts w:cs="Times New Roman"/>
                <w:sz w:val="18"/>
                <w:szCs w:val="18"/>
              </w:rPr>
              <w:t>193</w:t>
            </w:r>
          </w:p>
        </w:tc>
      </w:tr>
    </w:tbl>
    <w:p w14:paraId="00866141" w14:textId="351C33BA" w:rsidR="00651B6D" w:rsidRPr="00994940" w:rsidRDefault="00651B6D" w:rsidP="005C5F15">
      <w:pPr>
        <w:keepNext/>
        <w:keepLines/>
        <w:spacing w:before="120" w:after="0"/>
        <w:ind w:left="141" w:hanging="113"/>
        <w:rPr>
          <w:iCs/>
          <w:sz w:val="18"/>
        </w:rPr>
      </w:pPr>
      <w:r w:rsidRPr="00E86687">
        <w:rPr>
          <w:iCs/>
          <w:sz w:val="18"/>
          <w:vertAlign w:val="superscript"/>
        </w:rPr>
        <w:t>1</w:t>
      </w:r>
      <w:r w:rsidRPr="00994940">
        <w:rPr>
          <w:sz w:val="18"/>
          <w:szCs w:val="24"/>
        </w:rPr>
        <w:t xml:space="preserve"> </w:t>
      </w:r>
      <w:r>
        <w:rPr>
          <w:sz w:val="18"/>
          <w:szCs w:val="24"/>
        </w:rPr>
        <w:t>D</w:t>
      </w:r>
      <w:r w:rsidRPr="00994940">
        <w:rPr>
          <w:sz w:val="18"/>
          <w:szCs w:val="24"/>
        </w:rPr>
        <w:t>īzeļdegvielai, kas tiek marķēta saskaņā ar likuma “Par akcīzes nodokli” 28</w:t>
      </w:r>
      <w:r>
        <w:rPr>
          <w:sz w:val="18"/>
          <w:szCs w:val="24"/>
        </w:rPr>
        <w:t>. pant</w:t>
      </w:r>
      <w:r w:rsidRPr="00994940">
        <w:rPr>
          <w:sz w:val="18"/>
          <w:szCs w:val="24"/>
        </w:rPr>
        <w:t>u un kuru izmanto atbilstoši minētā likuma 18. panta piektajā daļā noteiktajam veidam, mērķiem un nosacījumiem, ar 2018</w:t>
      </w:r>
      <w:r>
        <w:rPr>
          <w:sz w:val="18"/>
          <w:szCs w:val="24"/>
        </w:rPr>
        <w:t>. gad</w:t>
      </w:r>
      <w:r w:rsidRPr="00994940">
        <w:rPr>
          <w:sz w:val="18"/>
          <w:szCs w:val="24"/>
        </w:rPr>
        <w:t xml:space="preserve">a </w:t>
      </w:r>
      <w:r>
        <w:rPr>
          <w:sz w:val="18"/>
          <w:szCs w:val="24"/>
        </w:rPr>
        <w:t>1. jūl</w:t>
      </w:r>
      <w:r w:rsidRPr="00994940">
        <w:rPr>
          <w:sz w:val="18"/>
          <w:szCs w:val="24"/>
        </w:rPr>
        <w:t>iju akcīzes nodoklis tiek piemērots 15% apm</w:t>
      </w:r>
      <w:r w:rsidR="005C5F15">
        <w:rPr>
          <w:sz w:val="18"/>
          <w:szCs w:val="24"/>
        </w:rPr>
        <w:t>ērā no akcīzes nodokļa standart</w:t>
      </w:r>
      <w:r w:rsidRPr="00994940">
        <w:rPr>
          <w:sz w:val="18"/>
          <w:szCs w:val="24"/>
        </w:rPr>
        <w:t>likmes dīzeļdegvielai</w:t>
      </w:r>
      <w:r>
        <w:rPr>
          <w:sz w:val="18"/>
          <w:szCs w:val="24"/>
        </w:rPr>
        <w:t>.</w:t>
      </w:r>
    </w:p>
    <w:p w14:paraId="3E4DA27A" w14:textId="77777777" w:rsidR="00651B6D" w:rsidRPr="00994940" w:rsidRDefault="00651B6D" w:rsidP="005C5F15">
      <w:pPr>
        <w:spacing w:after="240"/>
        <w:ind w:left="142" w:hanging="142"/>
        <w:jc w:val="left"/>
        <w:rPr>
          <w:iCs/>
          <w:sz w:val="18"/>
        </w:rPr>
      </w:pPr>
      <w:r w:rsidRPr="00E86687">
        <w:rPr>
          <w:iCs/>
          <w:sz w:val="18"/>
          <w:vertAlign w:val="superscript"/>
        </w:rPr>
        <w:t>2</w:t>
      </w:r>
      <w:r w:rsidRPr="00994940">
        <w:rPr>
          <w:iCs/>
          <w:sz w:val="18"/>
        </w:rPr>
        <w:t xml:space="preserve"> </w:t>
      </w:r>
      <w:r>
        <w:rPr>
          <w:iCs/>
          <w:sz w:val="18"/>
        </w:rPr>
        <w:t>L</w:t>
      </w:r>
      <w:r w:rsidRPr="00994940">
        <w:rPr>
          <w:iCs/>
          <w:sz w:val="18"/>
        </w:rPr>
        <w:t>ikme samazināta ar 01.05.2020.</w:t>
      </w:r>
    </w:p>
    <w:p w14:paraId="435EEE13" w14:textId="77777777" w:rsidR="00651B6D" w:rsidRPr="00D87C01" w:rsidRDefault="00651B6D" w:rsidP="00651B6D">
      <w:r w:rsidRPr="00D87C01">
        <w:lastRenderedPageBreak/>
        <w:t>3.</w:t>
      </w:r>
      <w:r>
        <w:t>9. tab</w:t>
      </w:r>
      <w:r w:rsidRPr="00D87C01">
        <w:t>ulā redzams, ka 2021</w:t>
      </w:r>
      <w:r>
        <w:t>. gad</w:t>
      </w:r>
      <w:r w:rsidRPr="00D87C01">
        <w:t>ā Baltijas valstu degvielas likmes benzīnam, dīzeļdegvielai un sašķidrinātai naftas gāzei ir nemainīgas, salīdzinot ar 2020</w:t>
      </w:r>
      <w:r>
        <w:t>. gad</w:t>
      </w:r>
      <w:r w:rsidRPr="00D87C01">
        <w:t xml:space="preserve">u. Kopumā benzīna likmes ir visaugstākās Igaunijā, dīzeļdegvielai – Latvijā un sašķidrinātai gāzei – Lietuvā. </w:t>
      </w:r>
    </w:p>
    <w:p w14:paraId="2BE02658" w14:textId="377A5BAB" w:rsidR="00651B6D" w:rsidRPr="00D87C01" w:rsidRDefault="00651B6D" w:rsidP="00651B6D">
      <w:r w:rsidRPr="00D87C01">
        <w:t>Degvielas patēriņa izmaiņas atspoguļojas arī transportlīdzekļu skaita izmaiņās pa degvielas veidiem. Saskaņā ar Ceļu satiksmes drošības direkcijas informāciju 2021</w:t>
      </w:r>
      <w:r>
        <w:t>. gad</w:t>
      </w:r>
      <w:r w:rsidRPr="00D87C01">
        <w:t>a 1.</w:t>
      </w:r>
      <w:r w:rsidR="007B5592">
        <w:t xml:space="preserve"> </w:t>
      </w:r>
      <w:r w:rsidRPr="00D87C01">
        <w:t>jūlijā, salīdzinot ar 2020</w:t>
      </w:r>
      <w:r>
        <w:t>. gad</w:t>
      </w:r>
      <w:r w:rsidRPr="00D87C01">
        <w:t>a 1.</w:t>
      </w:r>
      <w:r w:rsidR="007B5592">
        <w:t xml:space="preserve"> </w:t>
      </w:r>
      <w:r w:rsidRPr="00D87C01">
        <w:t xml:space="preserve">jūliju, kopējais reģistrēto transportlīdzekļu skaits palielinājies par 2,4%, t.sk. transportlīdzekļu, kas patērē dīzeļdegvielu, īpatsvars kopējā transportlīdzekļu skaitā ir pieaudzis </w:t>
      </w:r>
      <w:r>
        <w:t xml:space="preserve">no </w:t>
      </w:r>
      <w:r w:rsidRPr="00D87C01">
        <w:t>66,2% līdz 67,6% un to skaits bija 575 134, benzīnu patērējošo transportlīdzekļu īpatsvars ir samazinājies no 27,8% līdz 26,7% un to skaits bija 227 410. Sašķidrinātās naftas gāzes patērējošo transportlīdzekļu īpatsvars samazinājies par 0,5</w:t>
      </w:r>
      <w:r>
        <w:t> procent</w:t>
      </w:r>
      <w:r w:rsidRPr="00D87C01">
        <w:t>punktiem.</w:t>
      </w:r>
    </w:p>
    <w:p w14:paraId="512BD6D5" w14:textId="77777777" w:rsidR="00651B6D" w:rsidRPr="00D87C01" w:rsidRDefault="00651B6D" w:rsidP="00651B6D">
      <w:r w:rsidRPr="00D87C01">
        <w:t>Likumprojektā „Par valsts budžetu 2022</w:t>
      </w:r>
      <w:r>
        <w:t>. gad</w:t>
      </w:r>
      <w:r w:rsidRPr="00D87C01">
        <w:t>am” 2022</w:t>
      </w:r>
      <w:r>
        <w:t>. gad</w:t>
      </w:r>
      <w:r w:rsidRPr="00D87C01">
        <w:t>ā akcīzes nodokļa naftas produktiem ieņēmumi tiek plānoti 599,6</w:t>
      </w:r>
      <w:r>
        <w:rPr>
          <w:rFonts w:eastAsia="Calibri"/>
          <w:szCs w:val="28"/>
        </w:rPr>
        <w:t> milj.</w:t>
      </w:r>
      <w:r w:rsidRPr="00D87C01">
        <w:rPr>
          <w:rFonts w:eastAsia="Calibri"/>
          <w:szCs w:val="28"/>
        </w:rPr>
        <w:t> </w:t>
      </w:r>
      <w:r w:rsidRPr="004F46D3">
        <w:rPr>
          <w:i/>
          <w:iCs/>
        </w:rPr>
        <w:t>euro</w:t>
      </w:r>
      <w:r w:rsidRPr="00D87C01">
        <w:t xml:space="preserve"> apmērā, kas ir par 24,5</w:t>
      </w:r>
      <w:r>
        <w:rPr>
          <w:rFonts w:eastAsia="Calibri"/>
          <w:szCs w:val="28"/>
        </w:rPr>
        <w:t> milj.</w:t>
      </w:r>
      <w:r w:rsidRPr="00D87C01">
        <w:rPr>
          <w:rFonts w:eastAsia="Calibri"/>
          <w:szCs w:val="28"/>
        </w:rPr>
        <w:t> </w:t>
      </w:r>
      <w:r w:rsidRPr="004F46D3">
        <w:rPr>
          <w:i/>
          <w:iCs/>
        </w:rPr>
        <w:t>euro</w:t>
      </w:r>
      <w:r w:rsidRPr="00D87C01">
        <w:rPr>
          <w:i/>
          <w:iCs/>
        </w:rPr>
        <w:t xml:space="preserve"> </w:t>
      </w:r>
      <w:r w:rsidRPr="00D87C01">
        <w:t>jeb 4,3% vairāk nekā prognozēts 2021</w:t>
      </w:r>
      <w:r>
        <w:t>. gad</w:t>
      </w:r>
      <w:r w:rsidRPr="00D87C01">
        <w:t>am.</w:t>
      </w:r>
    </w:p>
    <w:p w14:paraId="19DD938E" w14:textId="77777777" w:rsidR="00651B6D" w:rsidRPr="001F3492" w:rsidRDefault="00651B6D" w:rsidP="007B5592">
      <w:pPr>
        <w:pStyle w:val="H4"/>
        <w:spacing w:before="240" w:after="240"/>
      </w:pPr>
      <w:r>
        <w:t>Akcīzes nodoklis</w:t>
      </w:r>
      <w:r w:rsidRPr="00D87C01">
        <w:t xml:space="preserve"> alkoholiskajiem dzērieniem</w:t>
      </w:r>
      <w:r>
        <w:t xml:space="preserve"> </w:t>
      </w:r>
      <w:r w:rsidRPr="00A7431D">
        <w:t>(neskaitot alu)</w:t>
      </w:r>
    </w:p>
    <w:p w14:paraId="647270D2" w14:textId="77777777" w:rsidR="00651B6D" w:rsidRPr="00D87C01" w:rsidRDefault="00651B6D" w:rsidP="00651B6D">
      <w:r w:rsidRPr="00D87C01">
        <w:t>2021</w:t>
      </w:r>
      <w:r>
        <w:t>. gad</w:t>
      </w:r>
      <w:r w:rsidRPr="00D87C01">
        <w:t xml:space="preserve">a pirmajā pusgadā akcīzes nodokļa </w:t>
      </w:r>
      <w:r w:rsidRPr="00E04A82">
        <w:rPr>
          <w:bCs/>
        </w:rPr>
        <w:t>alkoholiskajiem dzērieniem</w:t>
      </w:r>
      <w:r w:rsidRPr="00D87C01">
        <w:t xml:space="preserve"> (neskaitot alu) ieņēmumi bija 89,2</w:t>
      </w:r>
      <w:r>
        <w:rPr>
          <w:rFonts w:eastAsia="Calibri"/>
          <w:szCs w:val="28"/>
        </w:rPr>
        <w:t> milj.</w:t>
      </w:r>
      <w:r w:rsidRPr="00D87C01">
        <w:rPr>
          <w:rFonts w:eastAsia="Calibri"/>
          <w:szCs w:val="28"/>
        </w:rPr>
        <w:t> </w:t>
      </w:r>
      <w:r w:rsidRPr="004F46D3">
        <w:rPr>
          <w:i/>
          <w:iCs/>
        </w:rPr>
        <w:t>euro</w:t>
      </w:r>
      <w:r w:rsidRPr="00D87C01">
        <w:rPr>
          <w:i/>
          <w:iCs/>
        </w:rPr>
        <w:t>.</w:t>
      </w:r>
      <w:r w:rsidRPr="00D87C01">
        <w:t xml:space="preserve"> Salīdzinot ar 2020</w:t>
      </w:r>
      <w:r>
        <w:t>. gad</w:t>
      </w:r>
      <w:r w:rsidRPr="00D87C01">
        <w:t>a pirmo pusgadu, akcīzes nodokļa ieņēmumi no alkoholiskajiem dzērieniem palielinājušies par 1,2</w:t>
      </w:r>
      <w:r>
        <w:rPr>
          <w:rFonts w:eastAsia="Calibri"/>
          <w:szCs w:val="28"/>
        </w:rPr>
        <w:t> milj.</w:t>
      </w:r>
      <w:r w:rsidRPr="00D87C01">
        <w:rPr>
          <w:rFonts w:eastAsia="Calibri"/>
          <w:szCs w:val="28"/>
        </w:rPr>
        <w:t> </w:t>
      </w:r>
      <w:r w:rsidRPr="004F46D3">
        <w:rPr>
          <w:i/>
          <w:iCs/>
        </w:rPr>
        <w:t>euro</w:t>
      </w:r>
      <w:r w:rsidRPr="00D87C01">
        <w:t xml:space="preserve"> jeb par 1,4</w:t>
      </w:r>
      <w:r>
        <w:rPr>
          <w:rFonts w:eastAsia="Calibri"/>
          <w:szCs w:val="28"/>
        </w:rPr>
        <w:t> procent</w:t>
      </w:r>
      <w:r w:rsidRPr="00D87C01">
        <w:t>iem. Savukārt salīdzinājumā ar plānoto iekasēts par 10,7</w:t>
      </w:r>
      <w:r>
        <w:rPr>
          <w:rFonts w:eastAsia="Calibri"/>
          <w:szCs w:val="28"/>
        </w:rPr>
        <w:t> milj.</w:t>
      </w:r>
      <w:r w:rsidRPr="00D87C01">
        <w:rPr>
          <w:rFonts w:eastAsia="Calibri"/>
          <w:szCs w:val="28"/>
        </w:rPr>
        <w:t> </w:t>
      </w:r>
      <w:r w:rsidRPr="004F46D3">
        <w:rPr>
          <w:i/>
          <w:iCs/>
        </w:rPr>
        <w:t>euro</w:t>
      </w:r>
      <w:r w:rsidRPr="00D87C01">
        <w:t xml:space="preserve"> jeb 10,7% mazāk.</w:t>
      </w:r>
    </w:p>
    <w:p w14:paraId="155F1803" w14:textId="77777777" w:rsidR="00651B6D" w:rsidRPr="00D87C01" w:rsidRDefault="00651B6D" w:rsidP="00651B6D">
      <w:r w:rsidRPr="00D87C01">
        <w:t>Ar 2021</w:t>
      </w:r>
      <w:r>
        <w:t>. gad</w:t>
      </w:r>
      <w:r w:rsidRPr="00D87C01">
        <w:t xml:space="preserve">a </w:t>
      </w:r>
      <w:r>
        <w:t>1. mart</w:t>
      </w:r>
      <w:r w:rsidRPr="00D87C01">
        <w:t>u tika palielinātas akcīzes nodokļa likmes vīnam, raudzētiem dzērieniem (virs 6%) un starpproduktiem (līdz 15%), starpproduktiem (virs 15% un līdz 22%), spirtam un pārējiem alkoholiskajiem dzērieniem.</w:t>
      </w:r>
    </w:p>
    <w:p w14:paraId="7C28D7E5" w14:textId="77777777" w:rsidR="00651B6D" w:rsidRPr="00D87C01" w:rsidRDefault="00651B6D" w:rsidP="00651B6D">
      <w:r w:rsidRPr="00D87C01">
        <w:t>Saskaņā ar Valsts ieņēmumu dienesta informāciju 2020</w:t>
      </w:r>
      <w:r>
        <w:t>. gad</w:t>
      </w:r>
      <w:r w:rsidRPr="00D87C01">
        <w:t>a decembrī un 2021</w:t>
      </w:r>
      <w:r>
        <w:t>. gad</w:t>
      </w:r>
      <w:r w:rsidRPr="00D87C01">
        <w:t>a piecos mēnešos, salīdzinot ar 2019. un 2020</w:t>
      </w:r>
      <w:r>
        <w:t>. gad</w:t>
      </w:r>
      <w:r w:rsidRPr="00D87C01">
        <w:t>a attiecīgo periodu, patēriņam nodots par 0,6% vairāk alkoholisko dzērienu (no tiem neskaitot alu). Pārējo alkoholisko dzērienu patēriņš palielinājies par 6,9%, vīna un raudzēto dzērienu patēriņš palielinājies par 5,1% un starpproduktu patēriņš samazinājies par 31,7</w:t>
      </w:r>
      <w:r>
        <w:t> procent</w:t>
      </w:r>
      <w:r w:rsidRPr="00D87C01">
        <w:t>iem.</w:t>
      </w:r>
    </w:p>
    <w:p w14:paraId="45EF5DDC" w14:textId="77777777" w:rsidR="00651B6D" w:rsidRDefault="00651B6D" w:rsidP="00651B6D">
      <w:pPr>
        <w:rPr>
          <w:szCs w:val="24"/>
        </w:rPr>
      </w:pPr>
      <w:r w:rsidRPr="00D87C01">
        <w:rPr>
          <w:szCs w:val="24"/>
        </w:rPr>
        <w:t>2022</w:t>
      </w:r>
      <w:r>
        <w:rPr>
          <w:szCs w:val="24"/>
        </w:rPr>
        <w:t>. gad</w:t>
      </w:r>
      <w:r w:rsidRPr="00D87C01">
        <w:rPr>
          <w:szCs w:val="24"/>
        </w:rPr>
        <w:t xml:space="preserve">a akcīzes nodokļa no alkoholiskajiem dzērieniem ieņēmumi saskaņā ar </w:t>
      </w:r>
      <w:r w:rsidRPr="00D87C01">
        <w:t>likumprojektu</w:t>
      </w:r>
      <w:r>
        <w:t xml:space="preserve"> </w:t>
      </w:r>
      <w:r w:rsidRPr="00D87C01">
        <w:t>„Par valsts budžetu 2022</w:t>
      </w:r>
      <w:r>
        <w:t>. gad</w:t>
      </w:r>
      <w:r w:rsidRPr="00D87C01">
        <w:t xml:space="preserve">am” </w:t>
      </w:r>
      <w:r w:rsidRPr="00D87C01">
        <w:rPr>
          <w:szCs w:val="24"/>
        </w:rPr>
        <w:t>plānoti 219,3</w:t>
      </w:r>
      <w:r>
        <w:rPr>
          <w:szCs w:val="24"/>
        </w:rPr>
        <w:t> milj.</w:t>
      </w:r>
      <w:r w:rsidRPr="00D87C01">
        <w:rPr>
          <w:i/>
          <w:szCs w:val="24"/>
        </w:rPr>
        <w:t> </w:t>
      </w:r>
      <w:r w:rsidRPr="004F46D3">
        <w:rPr>
          <w:i/>
          <w:szCs w:val="24"/>
        </w:rPr>
        <w:t>euro</w:t>
      </w:r>
      <w:r w:rsidRPr="00D87C01">
        <w:rPr>
          <w:szCs w:val="24"/>
        </w:rPr>
        <w:t xml:space="preserve"> apmērā, kas ir par 10,8</w:t>
      </w:r>
      <w:r>
        <w:rPr>
          <w:szCs w:val="24"/>
        </w:rPr>
        <w:t> milj.</w:t>
      </w:r>
      <w:r w:rsidRPr="00D87C01">
        <w:rPr>
          <w:i/>
          <w:szCs w:val="24"/>
        </w:rPr>
        <w:t> </w:t>
      </w:r>
      <w:r w:rsidRPr="004F46D3">
        <w:rPr>
          <w:i/>
          <w:szCs w:val="24"/>
        </w:rPr>
        <w:t>euro</w:t>
      </w:r>
      <w:r w:rsidRPr="00D87C01">
        <w:rPr>
          <w:szCs w:val="24"/>
        </w:rPr>
        <w:t xml:space="preserve"> jeb 5,2% vairāk nekā prognozēts 2021</w:t>
      </w:r>
      <w:r>
        <w:rPr>
          <w:szCs w:val="24"/>
        </w:rPr>
        <w:t>. gad</w:t>
      </w:r>
      <w:r w:rsidRPr="00D87C01">
        <w:rPr>
          <w:szCs w:val="24"/>
        </w:rPr>
        <w:t>am.</w:t>
      </w:r>
    </w:p>
    <w:p w14:paraId="0AF08988" w14:textId="77777777" w:rsidR="00651B6D" w:rsidRPr="001F3492" w:rsidRDefault="00651B6D" w:rsidP="007B5592">
      <w:pPr>
        <w:pStyle w:val="H4"/>
        <w:spacing w:before="240" w:after="240"/>
      </w:pPr>
      <w:r>
        <w:t>Akcīzes nodoklis</w:t>
      </w:r>
      <w:r w:rsidRPr="00D87C01">
        <w:t xml:space="preserve"> </w:t>
      </w:r>
      <w:r>
        <w:t>alum</w:t>
      </w:r>
    </w:p>
    <w:p w14:paraId="48D8DA42" w14:textId="77777777" w:rsidR="00651B6D" w:rsidRPr="00D87C01" w:rsidRDefault="00651B6D" w:rsidP="00651B6D">
      <w:r w:rsidRPr="00D87C01">
        <w:t>2021</w:t>
      </w:r>
      <w:r>
        <w:t>. gad</w:t>
      </w:r>
      <w:r w:rsidRPr="00D87C01">
        <w:t xml:space="preserve">a pirmajā pusgadā akcīzes nodokļa </w:t>
      </w:r>
      <w:r w:rsidRPr="00CF0DD4">
        <w:t>alum</w:t>
      </w:r>
      <w:r w:rsidRPr="00D87C01">
        <w:t xml:space="preserve"> ieņēmumi bija 22,5</w:t>
      </w:r>
      <w:r>
        <w:t> milj.</w:t>
      </w:r>
      <w:r w:rsidRPr="00D87C01">
        <w:rPr>
          <w:i/>
        </w:rPr>
        <w:t> </w:t>
      </w:r>
      <w:r w:rsidRPr="004F46D3">
        <w:rPr>
          <w:i/>
        </w:rPr>
        <w:t>euro</w:t>
      </w:r>
      <w:r w:rsidRPr="00D87C01">
        <w:t>, kas, salīdzinot ar 2020</w:t>
      </w:r>
      <w:r>
        <w:t>. gad</w:t>
      </w:r>
      <w:r w:rsidRPr="00D87C01">
        <w:t>a pirmo pusgadu, ir par 0,1</w:t>
      </w:r>
      <w:r>
        <w:t> milj.</w:t>
      </w:r>
      <w:r w:rsidRPr="00D87C01">
        <w:rPr>
          <w:i/>
        </w:rPr>
        <w:t> </w:t>
      </w:r>
      <w:r w:rsidRPr="004F46D3">
        <w:rPr>
          <w:i/>
        </w:rPr>
        <w:t>euro</w:t>
      </w:r>
      <w:r w:rsidRPr="00D87C01">
        <w:t xml:space="preserve"> jeb 0,3% mazāk. Salīdzinot ar pirmajā pusgadā plānoto, iekasēts par 3,5</w:t>
      </w:r>
      <w:r>
        <w:t> milj.</w:t>
      </w:r>
      <w:r w:rsidRPr="00D87C01">
        <w:rPr>
          <w:i/>
        </w:rPr>
        <w:t> </w:t>
      </w:r>
      <w:r w:rsidRPr="004F46D3">
        <w:rPr>
          <w:i/>
        </w:rPr>
        <w:t>euro</w:t>
      </w:r>
      <w:r w:rsidRPr="00D87C01">
        <w:t xml:space="preserve"> jeb 13,4% mazāk. </w:t>
      </w:r>
    </w:p>
    <w:p w14:paraId="4239E421" w14:textId="77777777" w:rsidR="00651B6D" w:rsidRPr="00D87C01" w:rsidRDefault="00651B6D" w:rsidP="00651B6D">
      <w:r w:rsidRPr="00D87C01">
        <w:t>No 2021</w:t>
      </w:r>
      <w:r>
        <w:t>. gad</w:t>
      </w:r>
      <w:r w:rsidRPr="00D87C01">
        <w:t xml:space="preserve">a </w:t>
      </w:r>
      <w:r>
        <w:t>1. mart</w:t>
      </w:r>
      <w:r w:rsidRPr="00D87C01">
        <w:t>a tika palielināta alus nodokļa likme gan par absolūto spirta</w:t>
      </w:r>
      <w:r>
        <w:t> tilpumproc</w:t>
      </w:r>
      <w:r w:rsidRPr="00D87C01">
        <w:t>entu, gan arī minimālā likme.</w:t>
      </w:r>
      <w:r>
        <w:t xml:space="preserve"> </w:t>
      </w:r>
      <w:r w:rsidRPr="00D87C01">
        <w:t>Saskaņā ar Valsts ieņēmumu dienesta informāciju alus produktu kopējais patēriņš 2020</w:t>
      </w:r>
      <w:r>
        <w:t>. gad</w:t>
      </w:r>
      <w:r w:rsidRPr="00D87C01">
        <w:t>a decembrī un 2021</w:t>
      </w:r>
      <w:r>
        <w:t>. gad</w:t>
      </w:r>
      <w:r w:rsidRPr="00D87C01">
        <w:t>a piecos mēnešos un salīdzinājumā ar 2019. un 2020</w:t>
      </w:r>
      <w:r>
        <w:t>. gad</w:t>
      </w:r>
      <w:r w:rsidRPr="00D87C01">
        <w:t>a atbilstošo periodu ir samazinājies par 6,6</w:t>
      </w:r>
      <w:r>
        <w:t> procent</w:t>
      </w:r>
      <w:r w:rsidRPr="00D87C01">
        <w:t xml:space="preserve">iem. </w:t>
      </w:r>
    </w:p>
    <w:p w14:paraId="41F18AC6" w14:textId="77777777" w:rsidR="00651B6D" w:rsidRPr="00D87C01" w:rsidRDefault="00651B6D" w:rsidP="00651B6D">
      <w:r w:rsidRPr="00D87C01">
        <w:lastRenderedPageBreak/>
        <w:t>3.</w:t>
      </w:r>
      <w:r>
        <w:t>10. tab</w:t>
      </w:r>
      <w:r w:rsidRPr="00D87C01">
        <w:t>ulā atspoguļotas akcīzes nodokļa alum likmes Baltijas valstīs. 2022</w:t>
      </w:r>
      <w:r>
        <w:t>. gad</w:t>
      </w:r>
      <w:r w:rsidRPr="00D87C01">
        <w:t>ā alus akcīzes nodokļa likme paliks nemainīga Latvijā un Igaunijā. Ar 2022</w:t>
      </w:r>
      <w:r>
        <w:t>. gad</w:t>
      </w:r>
      <w:r w:rsidRPr="00D87C01">
        <w:t>u Lietuvā tiek pakāpeniski paaugstināta akcīzes nodokļu likme, pamazām pietuvojoties pārējo Baltijas valstu nodokļa likmei.</w:t>
      </w:r>
    </w:p>
    <w:p w14:paraId="6A659E07" w14:textId="77777777" w:rsidR="00651B6D" w:rsidRPr="003C0AF5" w:rsidRDefault="00651B6D" w:rsidP="007B5592">
      <w:pPr>
        <w:keepNext/>
        <w:spacing w:before="120"/>
        <w:ind w:firstLine="0"/>
        <w:jc w:val="right"/>
        <w:rPr>
          <w:b/>
          <w:i/>
          <w:szCs w:val="24"/>
        </w:rPr>
      </w:pPr>
      <w:r w:rsidRPr="003C0AF5">
        <w:rPr>
          <w:b/>
          <w:i/>
          <w:szCs w:val="24"/>
        </w:rPr>
        <w:t>3.</w:t>
      </w:r>
      <w:r>
        <w:rPr>
          <w:b/>
          <w:i/>
          <w:szCs w:val="24"/>
        </w:rPr>
        <w:t>10. tab</w:t>
      </w:r>
      <w:r w:rsidRPr="003C0AF5">
        <w:rPr>
          <w:b/>
          <w:i/>
          <w:szCs w:val="24"/>
        </w:rPr>
        <w:t>ula. Akcīzes nodokļa likmes alum Baltijas valstīs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028"/>
        <w:gridCol w:w="2028"/>
        <w:gridCol w:w="1680"/>
      </w:tblGrid>
      <w:tr w:rsidR="00651B6D" w:rsidRPr="003C0AF5" w14:paraId="4DAAB849" w14:textId="77777777" w:rsidTr="00651B6D">
        <w:trPr>
          <w:trHeight w:val="20"/>
          <w:jc w:val="center"/>
        </w:trPr>
        <w:tc>
          <w:tcPr>
            <w:tcW w:w="1835" w:type="pct"/>
            <w:shd w:val="clear" w:color="auto" w:fill="9CC2E5" w:themeFill="accent1" w:themeFillTint="99"/>
            <w:noWrap/>
            <w:vAlign w:val="bottom"/>
            <w:hideMark/>
          </w:tcPr>
          <w:p w14:paraId="576C530D" w14:textId="77777777" w:rsidR="00651B6D" w:rsidRPr="003C0AF5" w:rsidRDefault="00651B6D" w:rsidP="00B243D9">
            <w:pPr>
              <w:keepNext/>
              <w:keepLines/>
              <w:spacing w:after="0"/>
              <w:ind w:firstLine="709"/>
              <w:rPr>
                <w:b/>
                <w:sz w:val="18"/>
                <w:szCs w:val="18"/>
              </w:rPr>
            </w:pPr>
          </w:p>
        </w:tc>
        <w:tc>
          <w:tcPr>
            <w:tcW w:w="1119" w:type="pct"/>
            <w:shd w:val="clear" w:color="auto" w:fill="9CC2E5" w:themeFill="accent1" w:themeFillTint="99"/>
            <w:noWrap/>
            <w:vAlign w:val="center"/>
            <w:hideMark/>
          </w:tcPr>
          <w:p w14:paraId="71BAF1C3" w14:textId="77777777" w:rsidR="00651B6D" w:rsidRPr="003C0AF5" w:rsidRDefault="00651B6D" w:rsidP="00B243D9">
            <w:pPr>
              <w:keepNext/>
              <w:keepLines/>
              <w:spacing w:after="0"/>
              <w:ind w:firstLine="709"/>
              <w:jc w:val="center"/>
              <w:rPr>
                <w:b/>
                <w:bCs/>
                <w:sz w:val="18"/>
                <w:szCs w:val="18"/>
              </w:rPr>
            </w:pPr>
            <w:r w:rsidRPr="003C0AF5">
              <w:rPr>
                <w:b/>
                <w:bCs/>
                <w:sz w:val="18"/>
                <w:szCs w:val="18"/>
              </w:rPr>
              <w:t>2020</w:t>
            </w:r>
          </w:p>
        </w:tc>
        <w:tc>
          <w:tcPr>
            <w:tcW w:w="1119" w:type="pct"/>
            <w:shd w:val="clear" w:color="auto" w:fill="9CC2E5" w:themeFill="accent1" w:themeFillTint="99"/>
            <w:noWrap/>
            <w:vAlign w:val="center"/>
            <w:hideMark/>
          </w:tcPr>
          <w:p w14:paraId="2BD9B017" w14:textId="77777777" w:rsidR="00651B6D" w:rsidRPr="003C0AF5" w:rsidRDefault="00651B6D" w:rsidP="00B243D9">
            <w:pPr>
              <w:keepNext/>
              <w:keepLines/>
              <w:spacing w:after="0"/>
              <w:ind w:firstLine="709"/>
              <w:jc w:val="center"/>
              <w:rPr>
                <w:b/>
                <w:bCs/>
                <w:sz w:val="18"/>
                <w:szCs w:val="18"/>
              </w:rPr>
            </w:pPr>
            <w:r w:rsidRPr="003C0AF5">
              <w:rPr>
                <w:b/>
                <w:bCs/>
                <w:sz w:val="18"/>
                <w:szCs w:val="18"/>
              </w:rPr>
              <w:t>2021</w:t>
            </w:r>
          </w:p>
        </w:tc>
        <w:tc>
          <w:tcPr>
            <w:tcW w:w="927" w:type="pct"/>
            <w:shd w:val="clear" w:color="auto" w:fill="9CC2E5" w:themeFill="accent1" w:themeFillTint="99"/>
            <w:vAlign w:val="center"/>
          </w:tcPr>
          <w:p w14:paraId="59452BB6" w14:textId="77777777" w:rsidR="00651B6D" w:rsidRPr="003C0AF5" w:rsidRDefault="00651B6D" w:rsidP="00B243D9">
            <w:pPr>
              <w:keepNext/>
              <w:keepLines/>
              <w:spacing w:after="0"/>
              <w:ind w:firstLine="709"/>
              <w:jc w:val="center"/>
              <w:rPr>
                <w:b/>
                <w:bCs/>
                <w:sz w:val="18"/>
                <w:szCs w:val="18"/>
              </w:rPr>
            </w:pPr>
            <w:r w:rsidRPr="003C0AF5">
              <w:rPr>
                <w:b/>
                <w:bCs/>
                <w:sz w:val="18"/>
                <w:szCs w:val="18"/>
              </w:rPr>
              <w:t>2022</w:t>
            </w:r>
          </w:p>
        </w:tc>
      </w:tr>
      <w:tr w:rsidR="00651B6D" w:rsidRPr="003C0AF5" w14:paraId="4B2F8BF8" w14:textId="77777777" w:rsidTr="00651B6D">
        <w:trPr>
          <w:trHeight w:val="20"/>
          <w:jc w:val="center"/>
        </w:trPr>
        <w:tc>
          <w:tcPr>
            <w:tcW w:w="5000" w:type="pct"/>
            <w:gridSpan w:val="4"/>
            <w:shd w:val="clear" w:color="auto" w:fill="9CC2E5" w:themeFill="accent1" w:themeFillTint="99"/>
            <w:noWrap/>
            <w:vAlign w:val="center"/>
            <w:hideMark/>
          </w:tcPr>
          <w:p w14:paraId="296CBA30" w14:textId="77777777" w:rsidR="00651B6D" w:rsidRPr="003C0AF5" w:rsidRDefault="00651B6D" w:rsidP="00B243D9">
            <w:pPr>
              <w:keepNext/>
              <w:keepLines/>
              <w:spacing w:after="0"/>
              <w:ind w:firstLine="28"/>
              <w:rPr>
                <w:b/>
                <w:sz w:val="18"/>
                <w:szCs w:val="18"/>
              </w:rPr>
            </w:pPr>
            <w:r w:rsidRPr="00E1479A">
              <w:rPr>
                <w:sz w:val="18"/>
                <w:szCs w:val="18"/>
              </w:rPr>
              <w:t>Alus</w:t>
            </w:r>
            <w:r w:rsidRPr="003C0AF5">
              <w:rPr>
                <w:sz w:val="18"/>
                <w:szCs w:val="18"/>
              </w:rPr>
              <w:t>,</w:t>
            </w:r>
            <w:r w:rsidRPr="003C0AF5">
              <w:rPr>
                <w:i/>
                <w:sz w:val="18"/>
                <w:szCs w:val="18"/>
              </w:rPr>
              <w:t> </w:t>
            </w:r>
            <w:r w:rsidRPr="004F46D3">
              <w:rPr>
                <w:i/>
                <w:sz w:val="18"/>
                <w:szCs w:val="18"/>
              </w:rPr>
              <w:t>euro</w:t>
            </w:r>
            <w:r w:rsidRPr="003C0AF5">
              <w:rPr>
                <w:sz w:val="18"/>
                <w:szCs w:val="18"/>
              </w:rPr>
              <w:t xml:space="preserve"> par katru spirta</w:t>
            </w:r>
            <w:r>
              <w:rPr>
                <w:sz w:val="18"/>
                <w:szCs w:val="18"/>
              </w:rPr>
              <w:t> tilpumproc</w:t>
            </w:r>
            <w:r w:rsidRPr="003C0AF5">
              <w:rPr>
                <w:sz w:val="18"/>
                <w:szCs w:val="18"/>
              </w:rPr>
              <w:t xml:space="preserve">entu par 100 l </w:t>
            </w:r>
          </w:p>
        </w:tc>
      </w:tr>
      <w:tr w:rsidR="00651B6D" w:rsidRPr="003C0AF5" w14:paraId="65792847" w14:textId="77777777" w:rsidTr="00651B6D">
        <w:trPr>
          <w:trHeight w:val="20"/>
          <w:jc w:val="center"/>
        </w:trPr>
        <w:tc>
          <w:tcPr>
            <w:tcW w:w="1835" w:type="pct"/>
            <w:shd w:val="clear" w:color="auto" w:fill="auto"/>
            <w:noWrap/>
            <w:vAlign w:val="center"/>
            <w:hideMark/>
          </w:tcPr>
          <w:p w14:paraId="7A197C56" w14:textId="77777777" w:rsidR="00651B6D" w:rsidRPr="003C0AF5" w:rsidRDefault="00651B6D" w:rsidP="00B243D9">
            <w:pPr>
              <w:keepNext/>
              <w:keepLines/>
              <w:spacing w:after="0"/>
              <w:ind w:left="1134" w:hanging="1134"/>
              <w:rPr>
                <w:sz w:val="18"/>
                <w:szCs w:val="18"/>
              </w:rPr>
            </w:pPr>
            <w:r>
              <w:rPr>
                <w:sz w:val="18"/>
                <w:szCs w:val="18"/>
              </w:rPr>
              <w:t>Latvija</w:t>
            </w:r>
            <w:r w:rsidRPr="00677361">
              <w:rPr>
                <w:snapToGrid w:val="0"/>
                <w:sz w:val="18"/>
                <w:szCs w:val="18"/>
                <w:vertAlign w:val="superscript"/>
              </w:rPr>
              <w:t>1</w:t>
            </w:r>
          </w:p>
        </w:tc>
        <w:tc>
          <w:tcPr>
            <w:tcW w:w="1119" w:type="pct"/>
            <w:shd w:val="clear" w:color="auto" w:fill="auto"/>
            <w:noWrap/>
          </w:tcPr>
          <w:p w14:paraId="3EC3E7E1" w14:textId="77777777" w:rsidR="00651B6D" w:rsidRPr="003C0AF5" w:rsidRDefault="00651B6D" w:rsidP="00B243D9">
            <w:pPr>
              <w:keepNext/>
              <w:keepLines/>
              <w:spacing w:after="0"/>
              <w:ind w:firstLine="709"/>
              <w:jc w:val="right"/>
              <w:rPr>
                <w:bCs/>
                <w:iCs/>
                <w:sz w:val="18"/>
                <w:szCs w:val="18"/>
              </w:rPr>
            </w:pPr>
            <w:r w:rsidRPr="003C0AF5">
              <w:rPr>
                <w:bCs/>
                <w:iCs/>
                <w:sz w:val="18"/>
                <w:szCs w:val="18"/>
              </w:rPr>
              <w:t>7,40 / 7,80</w:t>
            </w:r>
          </w:p>
        </w:tc>
        <w:tc>
          <w:tcPr>
            <w:tcW w:w="1119" w:type="pct"/>
            <w:shd w:val="clear" w:color="auto" w:fill="auto"/>
            <w:noWrap/>
          </w:tcPr>
          <w:p w14:paraId="7CA3674B" w14:textId="77777777" w:rsidR="00651B6D" w:rsidRPr="003C0AF5" w:rsidRDefault="00651B6D" w:rsidP="00B243D9">
            <w:pPr>
              <w:keepNext/>
              <w:keepLines/>
              <w:spacing w:after="0"/>
              <w:ind w:firstLine="709"/>
              <w:jc w:val="right"/>
              <w:rPr>
                <w:bCs/>
                <w:iCs/>
                <w:sz w:val="18"/>
                <w:szCs w:val="18"/>
              </w:rPr>
            </w:pPr>
            <w:r w:rsidRPr="003C0AF5">
              <w:rPr>
                <w:bCs/>
                <w:iCs/>
                <w:sz w:val="18"/>
                <w:szCs w:val="18"/>
              </w:rPr>
              <w:t>7,80 / 8,20</w:t>
            </w:r>
          </w:p>
        </w:tc>
        <w:tc>
          <w:tcPr>
            <w:tcW w:w="927" w:type="pct"/>
          </w:tcPr>
          <w:p w14:paraId="23BEB02B" w14:textId="77777777" w:rsidR="00651B6D" w:rsidRPr="003C0AF5" w:rsidRDefault="00651B6D" w:rsidP="00B243D9">
            <w:pPr>
              <w:keepNext/>
              <w:keepLines/>
              <w:spacing w:after="0"/>
              <w:ind w:firstLine="709"/>
              <w:jc w:val="right"/>
              <w:rPr>
                <w:bCs/>
                <w:iCs/>
                <w:sz w:val="18"/>
                <w:szCs w:val="18"/>
              </w:rPr>
            </w:pPr>
            <w:r w:rsidRPr="003C0AF5">
              <w:rPr>
                <w:bCs/>
                <w:iCs/>
                <w:sz w:val="18"/>
                <w:szCs w:val="18"/>
              </w:rPr>
              <w:t>8,20</w:t>
            </w:r>
          </w:p>
        </w:tc>
      </w:tr>
      <w:tr w:rsidR="00651B6D" w:rsidRPr="003C0AF5" w14:paraId="3E7A2B17" w14:textId="77777777" w:rsidTr="00651B6D">
        <w:trPr>
          <w:trHeight w:val="20"/>
          <w:jc w:val="center"/>
        </w:trPr>
        <w:tc>
          <w:tcPr>
            <w:tcW w:w="1835" w:type="pct"/>
            <w:shd w:val="clear" w:color="auto" w:fill="auto"/>
            <w:noWrap/>
            <w:vAlign w:val="center"/>
            <w:hideMark/>
          </w:tcPr>
          <w:p w14:paraId="740B10A5" w14:textId="77777777" w:rsidR="00651B6D" w:rsidRPr="003C0AF5" w:rsidRDefault="00651B6D" w:rsidP="00B243D9">
            <w:pPr>
              <w:keepNext/>
              <w:keepLines/>
              <w:spacing w:after="0"/>
              <w:ind w:left="1134" w:hanging="1134"/>
              <w:rPr>
                <w:sz w:val="18"/>
                <w:szCs w:val="18"/>
              </w:rPr>
            </w:pPr>
            <w:r w:rsidRPr="003C0AF5">
              <w:rPr>
                <w:sz w:val="18"/>
                <w:szCs w:val="18"/>
              </w:rPr>
              <w:t>Lietuva</w:t>
            </w:r>
          </w:p>
        </w:tc>
        <w:tc>
          <w:tcPr>
            <w:tcW w:w="1119" w:type="pct"/>
            <w:shd w:val="clear" w:color="auto" w:fill="auto"/>
            <w:noWrap/>
          </w:tcPr>
          <w:p w14:paraId="678A7683" w14:textId="77777777" w:rsidR="00651B6D" w:rsidRPr="003C0AF5" w:rsidRDefault="00651B6D" w:rsidP="00B243D9">
            <w:pPr>
              <w:keepNext/>
              <w:keepLines/>
              <w:spacing w:after="0"/>
              <w:ind w:firstLine="709"/>
              <w:jc w:val="right"/>
              <w:rPr>
                <w:sz w:val="18"/>
                <w:szCs w:val="18"/>
              </w:rPr>
            </w:pPr>
            <w:r w:rsidRPr="003C0AF5">
              <w:rPr>
                <w:sz w:val="18"/>
                <w:szCs w:val="18"/>
              </w:rPr>
              <w:t>7,11</w:t>
            </w:r>
          </w:p>
        </w:tc>
        <w:tc>
          <w:tcPr>
            <w:tcW w:w="1119" w:type="pct"/>
            <w:shd w:val="clear" w:color="auto" w:fill="auto"/>
            <w:noWrap/>
          </w:tcPr>
          <w:p w14:paraId="45F16112" w14:textId="77777777" w:rsidR="00651B6D" w:rsidRPr="003C0AF5" w:rsidRDefault="00651B6D" w:rsidP="00B243D9">
            <w:pPr>
              <w:keepNext/>
              <w:keepLines/>
              <w:spacing w:after="0"/>
              <w:ind w:firstLine="709"/>
              <w:jc w:val="right"/>
              <w:rPr>
                <w:sz w:val="18"/>
                <w:szCs w:val="18"/>
              </w:rPr>
            </w:pPr>
            <w:r w:rsidRPr="003C0AF5">
              <w:rPr>
                <w:sz w:val="18"/>
                <w:szCs w:val="18"/>
              </w:rPr>
              <w:t>7,11</w:t>
            </w:r>
          </w:p>
        </w:tc>
        <w:tc>
          <w:tcPr>
            <w:tcW w:w="927" w:type="pct"/>
          </w:tcPr>
          <w:p w14:paraId="5825D571" w14:textId="77777777" w:rsidR="00651B6D" w:rsidRPr="003C0AF5" w:rsidRDefault="00651B6D" w:rsidP="00B243D9">
            <w:pPr>
              <w:keepNext/>
              <w:keepLines/>
              <w:spacing w:after="0"/>
              <w:ind w:firstLine="709"/>
              <w:jc w:val="right"/>
              <w:rPr>
                <w:sz w:val="18"/>
                <w:szCs w:val="18"/>
              </w:rPr>
            </w:pPr>
            <w:r w:rsidRPr="003C0AF5">
              <w:rPr>
                <w:sz w:val="18"/>
                <w:szCs w:val="18"/>
              </w:rPr>
              <w:t>7,82</w:t>
            </w:r>
          </w:p>
        </w:tc>
      </w:tr>
      <w:tr w:rsidR="00651B6D" w:rsidRPr="003C0AF5" w14:paraId="3CDAC57A" w14:textId="77777777" w:rsidTr="00651B6D">
        <w:trPr>
          <w:trHeight w:val="20"/>
          <w:jc w:val="center"/>
        </w:trPr>
        <w:tc>
          <w:tcPr>
            <w:tcW w:w="1835" w:type="pct"/>
            <w:shd w:val="clear" w:color="auto" w:fill="auto"/>
            <w:noWrap/>
            <w:vAlign w:val="center"/>
            <w:hideMark/>
          </w:tcPr>
          <w:p w14:paraId="6FD3DF6E" w14:textId="77777777" w:rsidR="00651B6D" w:rsidRPr="003C0AF5" w:rsidRDefault="00651B6D" w:rsidP="00B243D9">
            <w:pPr>
              <w:keepNext/>
              <w:keepLines/>
              <w:spacing w:after="0"/>
              <w:ind w:left="1134" w:hanging="1134"/>
              <w:rPr>
                <w:sz w:val="18"/>
                <w:szCs w:val="18"/>
              </w:rPr>
            </w:pPr>
            <w:r w:rsidRPr="003C0AF5">
              <w:rPr>
                <w:sz w:val="18"/>
                <w:szCs w:val="18"/>
              </w:rPr>
              <w:t>Igaunija</w:t>
            </w:r>
          </w:p>
        </w:tc>
        <w:tc>
          <w:tcPr>
            <w:tcW w:w="1119" w:type="pct"/>
            <w:shd w:val="clear" w:color="auto" w:fill="auto"/>
            <w:noWrap/>
          </w:tcPr>
          <w:p w14:paraId="2E2F6324" w14:textId="77777777" w:rsidR="00651B6D" w:rsidRPr="003C0AF5" w:rsidRDefault="00651B6D" w:rsidP="00B243D9">
            <w:pPr>
              <w:keepNext/>
              <w:keepLines/>
              <w:spacing w:after="0"/>
              <w:ind w:firstLine="709"/>
              <w:jc w:val="right"/>
              <w:rPr>
                <w:sz w:val="18"/>
                <w:szCs w:val="18"/>
              </w:rPr>
            </w:pPr>
            <w:r w:rsidRPr="003C0AF5">
              <w:rPr>
                <w:sz w:val="18"/>
                <w:szCs w:val="18"/>
              </w:rPr>
              <w:t>12,70</w:t>
            </w:r>
          </w:p>
        </w:tc>
        <w:tc>
          <w:tcPr>
            <w:tcW w:w="1119" w:type="pct"/>
            <w:shd w:val="clear" w:color="auto" w:fill="auto"/>
            <w:noWrap/>
          </w:tcPr>
          <w:p w14:paraId="6AFB305F" w14:textId="77777777" w:rsidR="00651B6D" w:rsidRPr="003C0AF5" w:rsidRDefault="00651B6D" w:rsidP="00B243D9">
            <w:pPr>
              <w:keepNext/>
              <w:keepLines/>
              <w:spacing w:after="0"/>
              <w:ind w:firstLine="709"/>
              <w:jc w:val="right"/>
              <w:rPr>
                <w:sz w:val="18"/>
                <w:szCs w:val="18"/>
              </w:rPr>
            </w:pPr>
            <w:r w:rsidRPr="003C0AF5">
              <w:rPr>
                <w:sz w:val="18"/>
                <w:szCs w:val="18"/>
              </w:rPr>
              <w:t>12,70</w:t>
            </w:r>
          </w:p>
        </w:tc>
        <w:tc>
          <w:tcPr>
            <w:tcW w:w="927" w:type="pct"/>
          </w:tcPr>
          <w:p w14:paraId="417B939D" w14:textId="77777777" w:rsidR="00651B6D" w:rsidRPr="003C0AF5" w:rsidRDefault="00651B6D" w:rsidP="00B243D9">
            <w:pPr>
              <w:keepNext/>
              <w:keepLines/>
              <w:spacing w:after="0"/>
              <w:ind w:firstLine="709"/>
              <w:jc w:val="right"/>
              <w:rPr>
                <w:sz w:val="18"/>
                <w:szCs w:val="18"/>
              </w:rPr>
            </w:pPr>
            <w:r w:rsidRPr="003C0AF5">
              <w:rPr>
                <w:sz w:val="18"/>
                <w:szCs w:val="18"/>
              </w:rPr>
              <w:t>12,70</w:t>
            </w:r>
          </w:p>
        </w:tc>
      </w:tr>
    </w:tbl>
    <w:p w14:paraId="2FD6B230" w14:textId="77777777" w:rsidR="00651B6D" w:rsidRPr="00E86687" w:rsidRDefault="00651B6D" w:rsidP="007B5592">
      <w:pPr>
        <w:spacing w:before="120" w:after="240"/>
        <w:ind w:left="425" w:hanging="425"/>
        <w:jc w:val="left"/>
        <w:rPr>
          <w:sz w:val="18"/>
          <w:szCs w:val="18"/>
        </w:rPr>
      </w:pPr>
      <w:r w:rsidRPr="00E86687">
        <w:rPr>
          <w:sz w:val="18"/>
          <w:szCs w:val="18"/>
          <w:vertAlign w:val="superscript"/>
        </w:rPr>
        <w:t>1</w:t>
      </w:r>
      <w:r w:rsidRPr="00E86687">
        <w:rPr>
          <w:sz w:val="18"/>
          <w:szCs w:val="18"/>
        </w:rPr>
        <w:t xml:space="preserve"> Latvijā likme tiek paaugstināta ar katra gada </w:t>
      </w:r>
      <w:r>
        <w:rPr>
          <w:sz w:val="18"/>
          <w:szCs w:val="18"/>
        </w:rPr>
        <w:t>1. mart</w:t>
      </w:r>
      <w:r w:rsidRPr="00E86687">
        <w:rPr>
          <w:sz w:val="18"/>
          <w:szCs w:val="18"/>
        </w:rPr>
        <w:t>u, izņemot 2022. gadā</w:t>
      </w:r>
      <w:r>
        <w:rPr>
          <w:sz w:val="18"/>
          <w:szCs w:val="18"/>
        </w:rPr>
        <w:t>.</w:t>
      </w:r>
    </w:p>
    <w:p w14:paraId="5A7E9F3F" w14:textId="77777777" w:rsidR="00651B6D" w:rsidRPr="00D87C01" w:rsidRDefault="00651B6D" w:rsidP="00651B6D">
      <w:pPr>
        <w:rPr>
          <w:highlight w:val="yellow"/>
        </w:rPr>
      </w:pPr>
      <w:r w:rsidRPr="00D87C01">
        <w:t>2022</w:t>
      </w:r>
      <w:r>
        <w:t>. gad</w:t>
      </w:r>
      <w:r w:rsidRPr="00D87C01">
        <w:t>a akcīzes nodokļa no alus ieņēmumi saskaņā ar likumprojektu</w:t>
      </w:r>
      <w:r>
        <w:t xml:space="preserve"> </w:t>
      </w:r>
      <w:r w:rsidRPr="00D87C01">
        <w:t>„Par valsts budžetu 2022</w:t>
      </w:r>
      <w:r>
        <w:t>. gad</w:t>
      </w:r>
      <w:r w:rsidRPr="00D87C01">
        <w:t>am” tiek plānoti 58,2</w:t>
      </w:r>
      <w:r>
        <w:rPr>
          <w:rFonts w:eastAsia="Calibri"/>
          <w:szCs w:val="28"/>
        </w:rPr>
        <w:t> milj.</w:t>
      </w:r>
      <w:r w:rsidRPr="00D87C01">
        <w:rPr>
          <w:rFonts w:eastAsia="Calibri"/>
          <w:szCs w:val="28"/>
        </w:rPr>
        <w:t> </w:t>
      </w:r>
      <w:r w:rsidRPr="004F46D3">
        <w:rPr>
          <w:i/>
          <w:iCs/>
        </w:rPr>
        <w:t>euro</w:t>
      </w:r>
      <w:r w:rsidRPr="00D87C01">
        <w:t xml:space="preserve"> apmērā, kas ir par 2,9</w:t>
      </w:r>
      <w:r>
        <w:rPr>
          <w:rFonts w:eastAsia="Calibri"/>
          <w:szCs w:val="28"/>
        </w:rPr>
        <w:t> milj.</w:t>
      </w:r>
      <w:r w:rsidRPr="00D87C01">
        <w:rPr>
          <w:rFonts w:eastAsia="Calibri"/>
          <w:szCs w:val="28"/>
        </w:rPr>
        <w:t> </w:t>
      </w:r>
      <w:r w:rsidRPr="004F46D3">
        <w:rPr>
          <w:i/>
          <w:iCs/>
        </w:rPr>
        <w:t>euro</w:t>
      </w:r>
      <w:r w:rsidRPr="00D87C01">
        <w:t xml:space="preserve"> jeb 5,2% vairāk nekā prognozēts 2021</w:t>
      </w:r>
      <w:r>
        <w:t>. gad</w:t>
      </w:r>
      <w:r w:rsidRPr="00D87C01">
        <w:t>am.</w:t>
      </w:r>
    </w:p>
    <w:p w14:paraId="46B01C7D" w14:textId="77777777" w:rsidR="00651B6D" w:rsidRPr="001F3492" w:rsidRDefault="00651B6D" w:rsidP="007B5592">
      <w:pPr>
        <w:pStyle w:val="H4"/>
        <w:spacing w:before="240" w:after="240"/>
      </w:pPr>
      <w:r>
        <w:t>Akcīzes nodoklis</w:t>
      </w:r>
      <w:r w:rsidRPr="001F3492">
        <w:t xml:space="preserve"> tabakas izstrādājumiem</w:t>
      </w:r>
    </w:p>
    <w:p w14:paraId="6D41B0C3" w14:textId="77777777" w:rsidR="00651B6D" w:rsidRPr="00D87C01" w:rsidRDefault="00651B6D" w:rsidP="00651B6D">
      <w:pPr>
        <w:rPr>
          <w:rFonts w:eastAsia="Calibri"/>
          <w:szCs w:val="24"/>
        </w:rPr>
      </w:pPr>
      <w:r w:rsidRPr="00D87C01">
        <w:rPr>
          <w:rFonts w:eastAsia="Calibri"/>
          <w:szCs w:val="24"/>
        </w:rPr>
        <w:t xml:space="preserve">Akcīzes nodokļa </w:t>
      </w:r>
      <w:r w:rsidRPr="00CF0DD4">
        <w:rPr>
          <w:rFonts w:eastAsia="Calibri"/>
          <w:bCs/>
          <w:szCs w:val="24"/>
        </w:rPr>
        <w:t>tabakas izstrādājumiem</w:t>
      </w:r>
      <w:r w:rsidRPr="00D87C01">
        <w:rPr>
          <w:rFonts w:eastAsia="Calibri"/>
          <w:szCs w:val="24"/>
        </w:rPr>
        <w:t xml:space="preserve"> ieņēmumi 2021</w:t>
      </w:r>
      <w:r>
        <w:rPr>
          <w:rFonts w:eastAsia="Calibri"/>
          <w:szCs w:val="24"/>
        </w:rPr>
        <w:t>. gad</w:t>
      </w:r>
      <w:r w:rsidRPr="00D87C01">
        <w:rPr>
          <w:rFonts w:eastAsia="Calibri"/>
          <w:szCs w:val="24"/>
        </w:rPr>
        <w:t>a pirmajā pusgadā bija 109,7</w:t>
      </w:r>
      <w:r>
        <w:rPr>
          <w:rFonts w:eastAsia="Calibri"/>
          <w:szCs w:val="28"/>
        </w:rPr>
        <w:t> milj.</w:t>
      </w:r>
      <w:r w:rsidRPr="00D87C01">
        <w:rPr>
          <w:rFonts w:eastAsia="Calibri"/>
          <w:szCs w:val="28"/>
        </w:rPr>
        <w:t> </w:t>
      </w:r>
      <w:r w:rsidRPr="004F46D3">
        <w:rPr>
          <w:rFonts w:eastAsia="Calibri"/>
          <w:i/>
          <w:iCs/>
          <w:szCs w:val="24"/>
        </w:rPr>
        <w:t>euro</w:t>
      </w:r>
      <w:r w:rsidRPr="00D87C01">
        <w:rPr>
          <w:rFonts w:eastAsia="Calibri"/>
          <w:szCs w:val="24"/>
        </w:rPr>
        <w:t>. Salīdzinot ar 2020</w:t>
      </w:r>
      <w:r>
        <w:rPr>
          <w:rFonts w:eastAsia="Calibri"/>
          <w:szCs w:val="24"/>
        </w:rPr>
        <w:t>. gad</w:t>
      </w:r>
      <w:r w:rsidRPr="00D87C01">
        <w:rPr>
          <w:rFonts w:eastAsia="Calibri"/>
          <w:szCs w:val="24"/>
        </w:rPr>
        <w:t>a pirmo pusgadu, akcīzes nodokļa ieņēmumi no tabakas izstrādājumiem ir palielinājušies par 8,8</w:t>
      </w:r>
      <w:r>
        <w:rPr>
          <w:rFonts w:eastAsia="Calibri"/>
          <w:szCs w:val="28"/>
        </w:rPr>
        <w:t> milj.</w:t>
      </w:r>
      <w:r w:rsidRPr="00D87C01">
        <w:rPr>
          <w:rFonts w:eastAsia="Calibri"/>
          <w:szCs w:val="28"/>
        </w:rPr>
        <w:t> </w:t>
      </w:r>
      <w:r w:rsidRPr="004F46D3">
        <w:rPr>
          <w:rFonts w:eastAsia="Calibri"/>
          <w:i/>
          <w:iCs/>
          <w:szCs w:val="24"/>
        </w:rPr>
        <w:t>euro</w:t>
      </w:r>
      <w:r w:rsidRPr="00D87C01">
        <w:rPr>
          <w:rFonts w:eastAsia="Calibri"/>
          <w:szCs w:val="24"/>
        </w:rPr>
        <w:t xml:space="preserve"> jeb 8,7%, bet, salīdzinot ar pirmajā pusgadā plānoto, iekasēts par 1,1</w:t>
      </w:r>
      <w:r>
        <w:rPr>
          <w:rFonts w:eastAsia="Calibri"/>
          <w:szCs w:val="28"/>
        </w:rPr>
        <w:t> milj.</w:t>
      </w:r>
      <w:r w:rsidRPr="00D87C01">
        <w:rPr>
          <w:rFonts w:eastAsia="Calibri"/>
          <w:szCs w:val="28"/>
        </w:rPr>
        <w:t> </w:t>
      </w:r>
      <w:r w:rsidRPr="004F46D3">
        <w:rPr>
          <w:rFonts w:eastAsia="Calibri"/>
          <w:i/>
          <w:iCs/>
          <w:szCs w:val="24"/>
        </w:rPr>
        <w:t>euro</w:t>
      </w:r>
      <w:r w:rsidRPr="00D87C01">
        <w:rPr>
          <w:rFonts w:eastAsia="Calibri"/>
          <w:szCs w:val="24"/>
        </w:rPr>
        <w:t xml:space="preserve"> jeb 1,0% vairāk.</w:t>
      </w:r>
    </w:p>
    <w:p w14:paraId="0C272261" w14:textId="77777777" w:rsidR="00651B6D" w:rsidRPr="00D87C01" w:rsidRDefault="00651B6D" w:rsidP="00651B6D">
      <w:pPr>
        <w:rPr>
          <w:rFonts w:eastAsia="Calibri"/>
          <w:szCs w:val="24"/>
        </w:rPr>
      </w:pPr>
      <w:r w:rsidRPr="00D87C01">
        <w:rPr>
          <w:rFonts w:eastAsia="Calibri"/>
          <w:szCs w:val="24"/>
        </w:rPr>
        <w:t>Atbilstoši likumam “Par akcīzes nodokli” ar 2021</w:t>
      </w:r>
      <w:r>
        <w:rPr>
          <w:rFonts w:eastAsia="Calibri"/>
          <w:szCs w:val="24"/>
        </w:rPr>
        <w:t>. gad</w:t>
      </w:r>
      <w:r w:rsidRPr="00D87C01">
        <w:rPr>
          <w:rFonts w:eastAsia="Calibri"/>
          <w:szCs w:val="24"/>
        </w:rPr>
        <w:t xml:space="preserve">a </w:t>
      </w:r>
      <w:r>
        <w:rPr>
          <w:rFonts w:eastAsia="Calibri"/>
          <w:szCs w:val="24"/>
        </w:rPr>
        <w:t>1. janv</w:t>
      </w:r>
      <w:r w:rsidRPr="00D87C01">
        <w:rPr>
          <w:rFonts w:eastAsia="Calibri"/>
          <w:szCs w:val="24"/>
        </w:rPr>
        <w:t>āri paaugstinātas akcīzes nodokļa likmes cigāriem, cigarillām, smēķējamajai un karsējamajai tabakai un tabakas lapām. Ar 2021</w:t>
      </w:r>
      <w:r>
        <w:rPr>
          <w:rFonts w:eastAsia="Calibri"/>
          <w:szCs w:val="24"/>
        </w:rPr>
        <w:t>. gad</w:t>
      </w:r>
      <w:r w:rsidRPr="00D87C01">
        <w:rPr>
          <w:rFonts w:eastAsia="Calibri"/>
          <w:szCs w:val="24"/>
        </w:rPr>
        <w:t xml:space="preserve">a </w:t>
      </w:r>
      <w:r>
        <w:rPr>
          <w:rFonts w:eastAsia="Calibri"/>
          <w:szCs w:val="24"/>
        </w:rPr>
        <w:t>1. mart</w:t>
      </w:r>
      <w:r w:rsidRPr="00D87C01">
        <w:rPr>
          <w:rFonts w:eastAsia="Calibri"/>
          <w:szCs w:val="24"/>
        </w:rPr>
        <w:t>u tika paaugstinātas akcīzes nodokļa likmes cigaretēm.</w:t>
      </w:r>
    </w:p>
    <w:p w14:paraId="545E8854" w14:textId="77777777" w:rsidR="00651B6D" w:rsidRPr="00D87C01" w:rsidRDefault="00651B6D" w:rsidP="00651B6D">
      <w:pPr>
        <w:rPr>
          <w:rFonts w:eastAsia="Calibri"/>
          <w:szCs w:val="24"/>
        </w:rPr>
      </w:pPr>
      <w:r w:rsidRPr="00D87C01">
        <w:rPr>
          <w:rFonts w:eastAsia="Calibri"/>
          <w:szCs w:val="24"/>
        </w:rPr>
        <w:t>Saskaņā ar Valsts ieņēmumu dienesta informāciju kopējais patēriņam Latvijā nodoto cigarešu apjoms 2020</w:t>
      </w:r>
      <w:r>
        <w:rPr>
          <w:rFonts w:eastAsia="Calibri"/>
          <w:szCs w:val="24"/>
        </w:rPr>
        <w:t>. gad</w:t>
      </w:r>
      <w:r w:rsidRPr="00D87C01">
        <w:rPr>
          <w:rFonts w:eastAsia="Calibri"/>
          <w:szCs w:val="24"/>
        </w:rPr>
        <w:t>a decembrī</w:t>
      </w:r>
      <w:r>
        <w:rPr>
          <w:rFonts w:eastAsia="Calibri"/>
          <w:szCs w:val="24"/>
        </w:rPr>
        <w:t xml:space="preserve"> </w:t>
      </w:r>
      <w:r w:rsidRPr="00D87C01">
        <w:rPr>
          <w:rFonts w:eastAsia="Calibri"/>
          <w:szCs w:val="24"/>
        </w:rPr>
        <w:t>un 2021</w:t>
      </w:r>
      <w:r>
        <w:rPr>
          <w:rFonts w:eastAsia="Calibri"/>
          <w:szCs w:val="24"/>
        </w:rPr>
        <w:t>. gad</w:t>
      </w:r>
      <w:r w:rsidRPr="00D87C01">
        <w:rPr>
          <w:rFonts w:eastAsia="Calibri"/>
          <w:szCs w:val="24"/>
        </w:rPr>
        <w:t>a piecos mēnešos un salīdzinājumā ar 2019. un 2020</w:t>
      </w:r>
      <w:r>
        <w:rPr>
          <w:rFonts w:eastAsia="Calibri"/>
          <w:szCs w:val="24"/>
        </w:rPr>
        <w:t>. gad</w:t>
      </w:r>
      <w:r w:rsidRPr="00D87C01">
        <w:rPr>
          <w:rFonts w:eastAsia="Calibri"/>
          <w:szCs w:val="24"/>
        </w:rPr>
        <w:t>a atbilstošo periodu ir samazinājies par 0,1%, cigāru un cigarillu patēriņš palielinājies par 33,2%, smēķējamās tabakas patēriņš palielinājies par 24,7% un karsējamai tabakai par 12,3</w:t>
      </w:r>
      <w:r>
        <w:t> procent</w:t>
      </w:r>
      <w:r w:rsidRPr="00D87C01">
        <w:rPr>
          <w:rFonts w:eastAsia="Calibri"/>
          <w:szCs w:val="24"/>
        </w:rPr>
        <w:t>iem.</w:t>
      </w:r>
    </w:p>
    <w:p w14:paraId="49A0D4FC" w14:textId="77777777" w:rsidR="00651B6D" w:rsidRPr="00D87C01" w:rsidRDefault="00651B6D" w:rsidP="00651B6D">
      <w:pPr>
        <w:rPr>
          <w:rFonts w:eastAsia="Calibri"/>
          <w:szCs w:val="28"/>
        </w:rPr>
      </w:pPr>
      <w:r w:rsidRPr="00D87C01">
        <w:rPr>
          <w:rFonts w:eastAsia="Calibri"/>
          <w:szCs w:val="28"/>
        </w:rPr>
        <w:t>Likums “Par akcīzes nodokli” paredz ar 2022</w:t>
      </w:r>
      <w:r>
        <w:rPr>
          <w:rFonts w:eastAsia="Calibri"/>
          <w:szCs w:val="28"/>
        </w:rPr>
        <w:t>. gad</w:t>
      </w:r>
      <w:r w:rsidRPr="00D87C01">
        <w:rPr>
          <w:rFonts w:eastAsia="Calibri"/>
          <w:szCs w:val="28"/>
        </w:rPr>
        <w:t xml:space="preserve">a </w:t>
      </w:r>
      <w:r>
        <w:rPr>
          <w:rFonts w:eastAsia="Calibri"/>
          <w:szCs w:val="28"/>
        </w:rPr>
        <w:t>1. janv</w:t>
      </w:r>
      <w:r w:rsidRPr="00D87C01">
        <w:rPr>
          <w:rFonts w:eastAsia="Calibri"/>
          <w:szCs w:val="28"/>
        </w:rPr>
        <w:t>āri paaugstināt akcīzes nodokļa likmes cigaretēm; cigāriem un cigarillām; smēķējamajai tabakai, tabakas lapām un karsējamajai tabakai.</w:t>
      </w:r>
    </w:p>
    <w:p w14:paraId="3A17928D" w14:textId="77777777" w:rsidR="00651B6D" w:rsidRPr="003C0AF5" w:rsidRDefault="00651B6D" w:rsidP="007B5592">
      <w:pPr>
        <w:keepNext/>
        <w:spacing w:before="120"/>
        <w:ind w:firstLine="0"/>
        <w:jc w:val="right"/>
        <w:rPr>
          <w:b/>
          <w:i/>
          <w:szCs w:val="24"/>
        </w:rPr>
      </w:pPr>
      <w:r w:rsidRPr="003C0AF5">
        <w:rPr>
          <w:b/>
          <w:i/>
          <w:szCs w:val="24"/>
        </w:rPr>
        <w:t>3.</w:t>
      </w:r>
      <w:r>
        <w:rPr>
          <w:b/>
          <w:i/>
          <w:szCs w:val="24"/>
        </w:rPr>
        <w:t>11. tab</w:t>
      </w:r>
      <w:r w:rsidRPr="003C0AF5">
        <w:rPr>
          <w:b/>
          <w:i/>
          <w:szCs w:val="24"/>
        </w:rPr>
        <w:t xml:space="preserve">ula. </w:t>
      </w:r>
      <w:bookmarkStart w:id="79" w:name="_Hlk84231906"/>
      <w:r w:rsidRPr="003C0AF5">
        <w:rPr>
          <w:b/>
          <w:i/>
          <w:szCs w:val="24"/>
        </w:rPr>
        <w:t>Akcīzes nodokļ</w:t>
      </w:r>
      <w:r>
        <w:rPr>
          <w:b/>
          <w:i/>
          <w:szCs w:val="24"/>
        </w:rPr>
        <w:t>a likmes tabakas izstrādājumiem</w:t>
      </w:r>
      <w:bookmarkEnd w:id="7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1417"/>
        <w:gridCol w:w="1276"/>
        <w:gridCol w:w="1276"/>
        <w:gridCol w:w="1269"/>
      </w:tblGrid>
      <w:tr w:rsidR="00651B6D" w:rsidRPr="00E1479A" w14:paraId="54F911EC" w14:textId="77777777" w:rsidTr="00651B6D">
        <w:trPr>
          <w:trHeight w:val="221"/>
          <w:jc w:val="center"/>
        </w:trPr>
        <w:tc>
          <w:tcPr>
            <w:tcW w:w="2110" w:type="pct"/>
            <w:shd w:val="clear" w:color="auto" w:fill="9CC2E5" w:themeFill="accent1" w:themeFillTint="99"/>
            <w:noWrap/>
            <w:vAlign w:val="center"/>
          </w:tcPr>
          <w:p w14:paraId="355DFE3F" w14:textId="77777777" w:rsidR="00651B6D" w:rsidRPr="00E1479A" w:rsidRDefault="00651B6D" w:rsidP="0010115D">
            <w:pPr>
              <w:keepNext/>
              <w:keepLines/>
              <w:spacing w:after="0"/>
              <w:ind w:firstLine="0"/>
              <w:jc w:val="center"/>
              <w:rPr>
                <w:rFonts w:eastAsia="Calibri"/>
                <w:b/>
                <w:bCs/>
                <w:sz w:val="18"/>
                <w:szCs w:val="18"/>
              </w:rPr>
            </w:pPr>
          </w:p>
        </w:tc>
        <w:tc>
          <w:tcPr>
            <w:tcW w:w="782" w:type="pct"/>
            <w:shd w:val="clear" w:color="auto" w:fill="9CC2E5" w:themeFill="accent1" w:themeFillTint="99"/>
            <w:noWrap/>
            <w:vAlign w:val="center"/>
          </w:tcPr>
          <w:p w14:paraId="71EF7440" w14:textId="77777777" w:rsidR="00651B6D" w:rsidRPr="00E1479A" w:rsidRDefault="00651B6D" w:rsidP="0010115D">
            <w:pPr>
              <w:keepNext/>
              <w:keepLines/>
              <w:spacing w:after="0"/>
              <w:ind w:firstLine="0"/>
              <w:jc w:val="center"/>
              <w:rPr>
                <w:rFonts w:eastAsia="Calibri"/>
                <w:b/>
                <w:sz w:val="18"/>
                <w:szCs w:val="18"/>
                <w:highlight w:val="yellow"/>
              </w:rPr>
            </w:pPr>
            <w:r w:rsidRPr="00E1479A">
              <w:rPr>
                <w:rFonts w:eastAsia="Calibri"/>
                <w:b/>
                <w:sz w:val="18"/>
                <w:szCs w:val="18"/>
              </w:rPr>
              <w:t>Iepriekšējās likmes</w:t>
            </w:r>
          </w:p>
        </w:tc>
        <w:tc>
          <w:tcPr>
            <w:tcW w:w="704" w:type="pct"/>
            <w:shd w:val="clear" w:color="auto" w:fill="9CC2E5" w:themeFill="accent1" w:themeFillTint="99"/>
            <w:noWrap/>
            <w:vAlign w:val="center"/>
          </w:tcPr>
          <w:p w14:paraId="0A4BB264" w14:textId="77777777" w:rsidR="00651B6D" w:rsidRPr="00E1479A" w:rsidRDefault="00651B6D" w:rsidP="0010115D">
            <w:pPr>
              <w:keepNext/>
              <w:keepLines/>
              <w:spacing w:after="0"/>
              <w:ind w:firstLine="0"/>
              <w:jc w:val="center"/>
              <w:rPr>
                <w:rFonts w:eastAsia="Calibri"/>
                <w:b/>
                <w:sz w:val="18"/>
                <w:szCs w:val="18"/>
              </w:rPr>
            </w:pPr>
            <w:r w:rsidRPr="00E1479A">
              <w:rPr>
                <w:rFonts w:eastAsia="Calibri"/>
                <w:b/>
                <w:sz w:val="18"/>
                <w:szCs w:val="18"/>
              </w:rPr>
              <w:t>Spēkā esošās likmes</w:t>
            </w:r>
          </w:p>
        </w:tc>
        <w:tc>
          <w:tcPr>
            <w:tcW w:w="1404" w:type="pct"/>
            <w:gridSpan w:val="2"/>
            <w:shd w:val="clear" w:color="auto" w:fill="9CC2E5" w:themeFill="accent1" w:themeFillTint="99"/>
            <w:vAlign w:val="center"/>
          </w:tcPr>
          <w:p w14:paraId="1507529D" w14:textId="77777777" w:rsidR="00651B6D" w:rsidRPr="00E1479A" w:rsidRDefault="00651B6D" w:rsidP="0010115D">
            <w:pPr>
              <w:keepNext/>
              <w:keepLines/>
              <w:spacing w:after="0"/>
              <w:ind w:firstLine="0"/>
              <w:jc w:val="center"/>
              <w:rPr>
                <w:rFonts w:eastAsia="Calibri"/>
                <w:b/>
                <w:sz w:val="18"/>
                <w:szCs w:val="18"/>
              </w:rPr>
            </w:pPr>
            <w:r w:rsidRPr="00E1479A">
              <w:rPr>
                <w:rFonts w:eastAsia="Calibri"/>
                <w:b/>
                <w:sz w:val="18"/>
                <w:szCs w:val="18"/>
              </w:rPr>
              <w:t>Plānotās likmes</w:t>
            </w:r>
          </w:p>
        </w:tc>
      </w:tr>
      <w:tr w:rsidR="00651B6D" w:rsidRPr="00E1479A" w14:paraId="05A6AEBB" w14:textId="77777777" w:rsidTr="00651B6D">
        <w:trPr>
          <w:trHeight w:val="221"/>
          <w:jc w:val="center"/>
        </w:trPr>
        <w:tc>
          <w:tcPr>
            <w:tcW w:w="2110" w:type="pct"/>
            <w:shd w:val="clear" w:color="auto" w:fill="9CC2E5" w:themeFill="accent1" w:themeFillTint="99"/>
            <w:noWrap/>
            <w:vAlign w:val="bottom"/>
            <w:hideMark/>
          </w:tcPr>
          <w:p w14:paraId="7231701C" w14:textId="77777777" w:rsidR="00651B6D" w:rsidRPr="00E1479A" w:rsidRDefault="00651B6D" w:rsidP="0010115D">
            <w:pPr>
              <w:keepNext/>
              <w:keepLines/>
              <w:spacing w:after="0"/>
              <w:ind w:firstLine="0"/>
              <w:jc w:val="left"/>
              <w:rPr>
                <w:rFonts w:eastAsia="Calibri"/>
                <w:bCs/>
                <w:sz w:val="18"/>
                <w:szCs w:val="18"/>
              </w:rPr>
            </w:pPr>
            <w:r w:rsidRPr="00E1479A">
              <w:rPr>
                <w:rFonts w:eastAsia="Calibri"/>
                <w:bCs/>
                <w:sz w:val="18"/>
                <w:szCs w:val="18"/>
              </w:rPr>
              <w:t>Cigaretes</w:t>
            </w:r>
          </w:p>
        </w:tc>
        <w:tc>
          <w:tcPr>
            <w:tcW w:w="782" w:type="pct"/>
            <w:shd w:val="clear" w:color="auto" w:fill="9CC2E5" w:themeFill="accent1" w:themeFillTint="99"/>
            <w:noWrap/>
            <w:vAlign w:val="bottom"/>
            <w:hideMark/>
          </w:tcPr>
          <w:p w14:paraId="6DA6D928" w14:textId="77777777" w:rsidR="00651B6D" w:rsidRPr="00E1479A" w:rsidRDefault="00651B6D" w:rsidP="0010115D">
            <w:pPr>
              <w:keepNext/>
              <w:keepLines/>
              <w:spacing w:after="0"/>
              <w:ind w:firstLine="0"/>
              <w:jc w:val="center"/>
              <w:rPr>
                <w:rFonts w:eastAsia="Calibri"/>
                <w:sz w:val="18"/>
                <w:szCs w:val="18"/>
              </w:rPr>
            </w:pPr>
            <w:r w:rsidRPr="00E1479A">
              <w:rPr>
                <w:rFonts w:eastAsia="Calibri"/>
                <w:sz w:val="18"/>
                <w:szCs w:val="18"/>
              </w:rPr>
              <w:t>ar 01.07.2019.</w:t>
            </w:r>
          </w:p>
        </w:tc>
        <w:tc>
          <w:tcPr>
            <w:tcW w:w="704" w:type="pct"/>
            <w:shd w:val="clear" w:color="auto" w:fill="9CC2E5" w:themeFill="accent1" w:themeFillTint="99"/>
            <w:noWrap/>
            <w:vAlign w:val="bottom"/>
            <w:hideMark/>
          </w:tcPr>
          <w:p w14:paraId="34E5BE74" w14:textId="77777777" w:rsidR="00651B6D" w:rsidRPr="00E1479A" w:rsidRDefault="00651B6D" w:rsidP="0010115D">
            <w:pPr>
              <w:keepNext/>
              <w:keepLines/>
              <w:spacing w:after="0"/>
              <w:ind w:firstLine="0"/>
              <w:jc w:val="center"/>
              <w:rPr>
                <w:rFonts w:eastAsia="Calibri"/>
                <w:sz w:val="18"/>
                <w:szCs w:val="18"/>
              </w:rPr>
            </w:pPr>
            <w:r w:rsidRPr="00E1479A">
              <w:rPr>
                <w:rFonts w:eastAsia="Calibri"/>
                <w:sz w:val="18"/>
                <w:szCs w:val="18"/>
              </w:rPr>
              <w:t>ar 01.03.2021.</w:t>
            </w:r>
          </w:p>
        </w:tc>
        <w:tc>
          <w:tcPr>
            <w:tcW w:w="704" w:type="pct"/>
            <w:shd w:val="clear" w:color="auto" w:fill="9CC2E5" w:themeFill="accent1" w:themeFillTint="99"/>
            <w:noWrap/>
            <w:vAlign w:val="bottom"/>
            <w:hideMark/>
          </w:tcPr>
          <w:p w14:paraId="6CC849C5" w14:textId="77777777" w:rsidR="00651B6D" w:rsidRPr="00E1479A" w:rsidRDefault="00651B6D" w:rsidP="0010115D">
            <w:pPr>
              <w:keepNext/>
              <w:keepLines/>
              <w:spacing w:after="0"/>
              <w:ind w:firstLine="0"/>
              <w:jc w:val="center"/>
              <w:rPr>
                <w:rFonts w:eastAsia="Calibri"/>
                <w:sz w:val="18"/>
                <w:szCs w:val="18"/>
              </w:rPr>
            </w:pPr>
            <w:r w:rsidRPr="00E1479A">
              <w:rPr>
                <w:rFonts w:eastAsia="Calibri"/>
                <w:sz w:val="18"/>
                <w:szCs w:val="18"/>
              </w:rPr>
              <w:t>ar 01.01.2022.</w:t>
            </w:r>
          </w:p>
        </w:tc>
        <w:tc>
          <w:tcPr>
            <w:tcW w:w="700" w:type="pct"/>
            <w:shd w:val="clear" w:color="auto" w:fill="9CC2E5" w:themeFill="accent1" w:themeFillTint="99"/>
            <w:noWrap/>
            <w:vAlign w:val="bottom"/>
            <w:hideMark/>
          </w:tcPr>
          <w:p w14:paraId="5AC2FE67" w14:textId="77777777" w:rsidR="00651B6D" w:rsidRPr="00E1479A" w:rsidRDefault="00651B6D" w:rsidP="0010115D">
            <w:pPr>
              <w:keepNext/>
              <w:keepLines/>
              <w:spacing w:after="0"/>
              <w:ind w:firstLine="0"/>
              <w:jc w:val="center"/>
              <w:rPr>
                <w:rFonts w:eastAsia="Calibri"/>
                <w:sz w:val="18"/>
                <w:szCs w:val="18"/>
              </w:rPr>
            </w:pPr>
            <w:r w:rsidRPr="00E1479A">
              <w:rPr>
                <w:rFonts w:eastAsia="Calibri"/>
                <w:sz w:val="18"/>
                <w:szCs w:val="18"/>
              </w:rPr>
              <w:t>ar 01.01.2023.</w:t>
            </w:r>
          </w:p>
        </w:tc>
      </w:tr>
      <w:tr w:rsidR="00651B6D" w:rsidRPr="00E1479A" w14:paraId="00D1E691" w14:textId="77777777" w:rsidTr="00651B6D">
        <w:trPr>
          <w:trHeight w:val="221"/>
          <w:jc w:val="center"/>
        </w:trPr>
        <w:tc>
          <w:tcPr>
            <w:tcW w:w="2110" w:type="pct"/>
            <w:shd w:val="clear" w:color="auto" w:fill="auto"/>
            <w:noWrap/>
            <w:vAlign w:val="bottom"/>
            <w:hideMark/>
          </w:tcPr>
          <w:p w14:paraId="6689F254" w14:textId="77777777" w:rsidR="00651B6D" w:rsidRPr="00E1479A" w:rsidRDefault="00651B6D" w:rsidP="0010115D">
            <w:pPr>
              <w:keepNext/>
              <w:keepLines/>
              <w:spacing w:after="0"/>
              <w:ind w:firstLine="0"/>
              <w:jc w:val="left"/>
              <w:rPr>
                <w:rFonts w:eastAsia="Calibri"/>
                <w:sz w:val="18"/>
                <w:szCs w:val="18"/>
              </w:rPr>
            </w:pPr>
            <w:r w:rsidRPr="00E1479A">
              <w:rPr>
                <w:rFonts w:eastAsia="Calibri"/>
                <w:sz w:val="18"/>
                <w:szCs w:val="18"/>
              </w:rPr>
              <w:t xml:space="preserve">Nodokļa likme par 1 000 cig., </w:t>
            </w:r>
            <w:r w:rsidRPr="00E1479A">
              <w:rPr>
                <w:rFonts w:eastAsia="Calibri"/>
                <w:i/>
                <w:sz w:val="18"/>
                <w:szCs w:val="18"/>
              </w:rPr>
              <w:t>euro</w:t>
            </w:r>
          </w:p>
        </w:tc>
        <w:tc>
          <w:tcPr>
            <w:tcW w:w="782" w:type="pct"/>
            <w:shd w:val="clear" w:color="auto" w:fill="auto"/>
            <w:noWrap/>
            <w:hideMark/>
          </w:tcPr>
          <w:p w14:paraId="55227BC6"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78,70</w:t>
            </w:r>
          </w:p>
        </w:tc>
        <w:tc>
          <w:tcPr>
            <w:tcW w:w="704" w:type="pct"/>
            <w:shd w:val="clear" w:color="auto" w:fill="auto"/>
            <w:noWrap/>
            <w:hideMark/>
          </w:tcPr>
          <w:p w14:paraId="26F32D0E"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92,50</w:t>
            </w:r>
          </w:p>
        </w:tc>
        <w:tc>
          <w:tcPr>
            <w:tcW w:w="704" w:type="pct"/>
            <w:shd w:val="clear" w:color="auto" w:fill="auto"/>
            <w:noWrap/>
            <w:hideMark/>
          </w:tcPr>
          <w:p w14:paraId="5A14288F"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98,00</w:t>
            </w:r>
          </w:p>
        </w:tc>
        <w:tc>
          <w:tcPr>
            <w:tcW w:w="700" w:type="pct"/>
            <w:shd w:val="clear" w:color="auto" w:fill="auto"/>
            <w:noWrap/>
            <w:hideMark/>
          </w:tcPr>
          <w:p w14:paraId="5264D1CF"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104,00</w:t>
            </w:r>
          </w:p>
        </w:tc>
      </w:tr>
      <w:tr w:rsidR="00651B6D" w:rsidRPr="00E1479A" w14:paraId="651AAE14" w14:textId="77777777" w:rsidTr="00651B6D">
        <w:trPr>
          <w:trHeight w:val="221"/>
          <w:jc w:val="center"/>
        </w:trPr>
        <w:tc>
          <w:tcPr>
            <w:tcW w:w="2110" w:type="pct"/>
            <w:shd w:val="clear" w:color="auto" w:fill="auto"/>
            <w:noWrap/>
            <w:vAlign w:val="bottom"/>
            <w:hideMark/>
          </w:tcPr>
          <w:p w14:paraId="0F86FF87" w14:textId="77777777" w:rsidR="00651B6D" w:rsidRPr="00E1479A" w:rsidRDefault="00651B6D" w:rsidP="0010115D">
            <w:pPr>
              <w:keepNext/>
              <w:keepLines/>
              <w:spacing w:after="0"/>
              <w:ind w:firstLine="0"/>
              <w:jc w:val="left"/>
              <w:rPr>
                <w:rFonts w:eastAsia="Calibri"/>
                <w:sz w:val="18"/>
                <w:szCs w:val="18"/>
              </w:rPr>
            </w:pPr>
            <w:r w:rsidRPr="00E1479A">
              <w:rPr>
                <w:rFonts w:eastAsia="Calibri"/>
                <w:sz w:val="18"/>
                <w:szCs w:val="18"/>
              </w:rPr>
              <w:t xml:space="preserve">Nodokļa minimālais līmenis par 1000 cig., </w:t>
            </w:r>
            <w:r w:rsidRPr="00E1479A">
              <w:rPr>
                <w:rFonts w:eastAsia="Calibri"/>
                <w:i/>
                <w:sz w:val="18"/>
                <w:szCs w:val="18"/>
              </w:rPr>
              <w:t>euro</w:t>
            </w:r>
            <w:r w:rsidRPr="00E1479A">
              <w:rPr>
                <w:rFonts w:eastAsia="Calibri"/>
                <w:sz w:val="18"/>
                <w:szCs w:val="18"/>
              </w:rPr>
              <w:t xml:space="preserve"> </w:t>
            </w:r>
          </w:p>
        </w:tc>
        <w:tc>
          <w:tcPr>
            <w:tcW w:w="782" w:type="pct"/>
            <w:shd w:val="clear" w:color="auto" w:fill="auto"/>
            <w:noWrap/>
            <w:hideMark/>
          </w:tcPr>
          <w:p w14:paraId="49059005"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114,70</w:t>
            </w:r>
          </w:p>
        </w:tc>
        <w:tc>
          <w:tcPr>
            <w:tcW w:w="704" w:type="pct"/>
            <w:shd w:val="clear" w:color="auto" w:fill="auto"/>
            <w:noWrap/>
            <w:hideMark/>
          </w:tcPr>
          <w:p w14:paraId="7572FB13"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121,40</w:t>
            </w:r>
          </w:p>
        </w:tc>
        <w:tc>
          <w:tcPr>
            <w:tcW w:w="704" w:type="pct"/>
            <w:shd w:val="clear" w:color="auto" w:fill="auto"/>
            <w:noWrap/>
            <w:hideMark/>
          </w:tcPr>
          <w:p w14:paraId="5716F599"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128,40</w:t>
            </w:r>
          </w:p>
        </w:tc>
        <w:tc>
          <w:tcPr>
            <w:tcW w:w="700" w:type="pct"/>
            <w:shd w:val="clear" w:color="auto" w:fill="auto"/>
            <w:noWrap/>
            <w:hideMark/>
          </w:tcPr>
          <w:p w14:paraId="26D8C56D"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135,90</w:t>
            </w:r>
          </w:p>
        </w:tc>
      </w:tr>
      <w:tr w:rsidR="00651B6D" w:rsidRPr="00E1479A" w14:paraId="371EED58" w14:textId="77777777" w:rsidTr="00651B6D">
        <w:trPr>
          <w:trHeight w:val="221"/>
          <w:jc w:val="center"/>
        </w:trPr>
        <w:tc>
          <w:tcPr>
            <w:tcW w:w="2110" w:type="pct"/>
            <w:shd w:val="clear" w:color="auto" w:fill="auto"/>
            <w:noWrap/>
            <w:vAlign w:val="bottom"/>
            <w:hideMark/>
          </w:tcPr>
          <w:p w14:paraId="4B951A0B" w14:textId="77777777" w:rsidR="00651B6D" w:rsidRPr="00E1479A" w:rsidRDefault="00651B6D" w:rsidP="0010115D">
            <w:pPr>
              <w:keepNext/>
              <w:keepLines/>
              <w:spacing w:after="0"/>
              <w:ind w:firstLine="0"/>
              <w:jc w:val="left"/>
              <w:rPr>
                <w:rFonts w:eastAsia="Calibri"/>
                <w:sz w:val="18"/>
                <w:szCs w:val="18"/>
              </w:rPr>
            </w:pPr>
            <w:r w:rsidRPr="00E1479A">
              <w:rPr>
                <w:rFonts w:eastAsia="Calibri"/>
                <w:i/>
                <w:sz w:val="18"/>
                <w:szCs w:val="18"/>
              </w:rPr>
              <w:t>Ad valorem</w:t>
            </w:r>
            <w:r w:rsidRPr="00E1479A">
              <w:rPr>
                <w:rFonts w:eastAsia="Calibri"/>
                <w:sz w:val="18"/>
                <w:szCs w:val="18"/>
              </w:rPr>
              <w:t>, %</w:t>
            </w:r>
          </w:p>
        </w:tc>
        <w:tc>
          <w:tcPr>
            <w:tcW w:w="782" w:type="pct"/>
            <w:shd w:val="clear" w:color="auto" w:fill="auto"/>
            <w:noWrap/>
            <w:hideMark/>
          </w:tcPr>
          <w:p w14:paraId="3214FD9A"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20,0%</w:t>
            </w:r>
          </w:p>
        </w:tc>
        <w:tc>
          <w:tcPr>
            <w:tcW w:w="704" w:type="pct"/>
            <w:shd w:val="clear" w:color="auto" w:fill="auto"/>
            <w:noWrap/>
            <w:hideMark/>
          </w:tcPr>
          <w:p w14:paraId="6A51BC1C"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15,0%</w:t>
            </w:r>
          </w:p>
        </w:tc>
        <w:tc>
          <w:tcPr>
            <w:tcW w:w="704" w:type="pct"/>
            <w:shd w:val="clear" w:color="auto" w:fill="auto"/>
            <w:noWrap/>
            <w:hideMark/>
          </w:tcPr>
          <w:p w14:paraId="5CAA5CBB"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15,0%</w:t>
            </w:r>
          </w:p>
        </w:tc>
        <w:tc>
          <w:tcPr>
            <w:tcW w:w="700" w:type="pct"/>
            <w:shd w:val="clear" w:color="auto" w:fill="auto"/>
            <w:noWrap/>
            <w:hideMark/>
          </w:tcPr>
          <w:p w14:paraId="0EB4549E"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15,0%</w:t>
            </w:r>
          </w:p>
        </w:tc>
      </w:tr>
      <w:tr w:rsidR="00651B6D" w:rsidRPr="00E1479A" w14:paraId="64563393" w14:textId="77777777" w:rsidTr="00651B6D">
        <w:trPr>
          <w:trHeight w:val="221"/>
          <w:jc w:val="center"/>
        </w:trPr>
        <w:tc>
          <w:tcPr>
            <w:tcW w:w="2110" w:type="pct"/>
            <w:shd w:val="clear" w:color="auto" w:fill="9CC2E5" w:themeFill="accent1" w:themeFillTint="99"/>
            <w:noWrap/>
            <w:vAlign w:val="bottom"/>
            <w:hideMark/>
          </w:tcPr>
          <w:p w14:paraId="3884086F" w14:textId="77777777" w:rsidR="00651B6D" w:rsidRPr="00E1479A" w:rsidRDefault="00651B6D" w:rsidP="0010115D">
            <w:pPr>
              <w:keepNext/>
              <w:keepLines/>
              <w:spacing w:after="0"/>
              <w:ind w:firstLine="0"/>
              <w:jc w:val="left"/>
              <w:rPr>
                <w:rFonts w:eastAsia="Calibri"/>
                <w:bCs/>
                <w:sz w:val="18"/>
                <w:szCs w:val="18"/>
              </w:rPr>
            </w:pPr>
            <w:r w:rsidRPr="00E1479A">
              <w:rPr>
                <w:rFonts w:eastAsia="Calibri"/>
                <w:bCs/>
                <w:sz w:val="18"/>
                <w:szCs w:val="18"/>
              </w:rPr>
              <w:t xml:space="preserve">Cigāri, cigarillas </w:t>
            </w:r>
          </w:p>
        </w:tc>
        <w:tc>
          <w:tcPr>
            <w:tcW w:w="782" w:type="pct"/>
            <w:shd w:val="clear" w:color="auto" w:fill="9CC2E5" w:themeFill="accent1" w:themeFillTint="99"/>
            <w:noWrap/>
            <w:vAlign w:val="center"/>
            <w:hideMark/>
          </w:tcPr>
          <w:p w14:paraId="3C445E65" w14:textId="77777777" w:rsidR="00651B6D" w:rsidRPr="00E1479A" w:rsidRDefault="00651B6D" w:rsidP="0010115D">
            <w:pPr>
              <w:keepNext/>
              <w:keepLines/>
              <w:spacing w:after="0"/>
              <w:ind w:firstLine="0"/>
              <w:jc w:val="center"/>
              <w:rPr>
                <w:rFonts w:eastAsia="Calibri"/>
                <w:sz w:val="18"/>
                <w:szCs w:val="18"/>
              </w:rPr>
            </w:pPr>
            <w:r w:rsidRPr="00E1479A">
              <w:rPr>
                <w:rFonts w:eastAsia="Calibri"/>
                <w:sz w:val="18"/>
                <w:szCs w:val="18"/>
              </w:rPr>
              <w:t>ar 01.01.2020.</w:t>
            </w:r>
          </w:p>
        </w:tc>
        <w:tc>
          <w:tcPr>
            <w:tcW w:w="704" w:type="pct"/>
            <w:shd w:val="clear" w:color="auto" w:fill="9CC2E5" w:themeFill="accent1" w:themeFillTint="99"/>
            <w:noWrap/>
            <w:vAlign w:val="center"/>
            <w:hideMark/>
          </w:tcPr>
          <w:p w14:paraId="25E61AE4" w14:textId="77777777" w:rsidR="00651B6D" w:rsidRPr="00E1479A" w:rsidRDefault="00651B6D" w:rsidP="0010115D">
            <w:pPr>
              <w:keepNext/>
              <w:keepLines/>
              <w:spacing w:after="0"/>
              <w:ind w:firstLine="0"/>
              <w:jc w:val="center"/>
              <w:rPr>
                <w:rFonts w:eastAsia="Calibri"/>
                <w:sz w:val="18"/>
                <w:szCs w:val="18"/>
              </w:rPr>
            </w:pPr>
            <w:r w:rsidRPr="00E1479A">
              <w:rPr>
                <w:rFonts w:eastAsia="Calibri"/>
                <w:sz w:val="18"/>
                <w:szCs w:val="18"/>
              </w:rPr>
              <w:t>ar 01.01.2021.</w:t>
            </w:r>
          </w:p>
        </w:tc>
        <w:tc>
          <w:tcPr>
            <w:tcW w:w="704" w:type="pct"/>
            <w:shd w:val="clear" w:color="auto" w:fill="9CC2E5" w:themeFill="accent1" w:themeFillTint="99"/>
            <w:noWrap/>
            <w:vAlign w:val="center"/>
            <w:hideMark/>
          </w:tcPr>
          <w:p w14:paraId="07A25A46" w14:textId="77777777" w:rsidR="00651B6D" w:rsidRPr="00E1479A" w:rsidRDefault="00651B6D" w:rsidP="0010115D">
            <w:pPr>
              <w:keepNext/>
              <w:keepLines/>
              <w:spacing w:after="0"/>
              <w:ind w:firstLine="0"/>
              <w:jc w:val="center"/>
              <w:rPr>
                <w:rFonts w:eastAsia="Calibri"/>
                <w:sz w:val="18"/>
                <w:szCs w:val="18"/>
              </w:rPr>
            </w:pPr>
            <w:r w:rsidRPr="00E1479A">
              <w:rPr>
                <w:rFonts w:eastAsia="Calibri"/>
                <w:sz w:val="18"/>
                <w:szCs w:val="18"/>
              </w:rPr>
              <w:t>ar 01.01.2022.</w:t>
            </w:r>
          </w:p>
        </w:tc>
        <w:tc>
          <w:tcPr>
            <w:tcW w:w="700" w:type="pct"/>
            <w:shd w:val="clear" w:color="auto" w:fill="9CC2E5" w:themeFill="accent1" w:themeFillTint="99"/>
            <w:noWrap/>
            <w:vAlign w:val="center"/>
            <w:hideMark/>
          </w:tcPr>
          <w:p w14:paraId="7A6DE0CE" w14:textId="77777777" w:rsidR="00651B6D" w:rsidRPr="00E1479A" w:rsidRDefault="00651B6D" w:rsidP="0010115D">
            <w:pPr>
              <w:keepNext/>
              <w:keepLines/>
              <w:spacing w:after="0"/>
              <w:ind w:firstLine="0"/>
              <w:jc w:val="center"/>
              <w:rPr>
                <w:rFonts w:eastAsia="Calibri"/>
                <w:sz w:val="18"/>
                <w:szCs w:val="18"/>
              </w:rPr>
            </w:pPr>
            <w:r w:rsidRPr="00E1479A">
              <w:rPr>
                <w:rFonts w:eastAsia="Calibri"/>
                <w:sz w:val="18"/>
                <w:szCs w:val="18"/>
              </w:rPr>
              <w:t>ar 01.01.2023.</w:t>
            </w:r>
          </w:p>
        </w:tc>
      </w:tr>
      <w:tr w:rsidR="00651B6D" w:rsidRPr="00E1479A" w14:paraId="450EFE67" w14:textId="77777777" w:rsidTr="00651B6D">
        <w:trPr>
          <w:trHeight w:val="221"/>
          <w:jc w:val="center"/>
        </w:trPr>
        <w:tc>
          <w:tcPr>
            <w:tcW w:w="2110" w:type="pct"/>
            <w:shd w:val="clear" w:color="auto" w:fill="auto"/>
            <w:noWrap/>
            <w:vAlign w:val="bottom"/>
            <w:hideMark/>
          </w:tcPr>
          <w:p w14:paraId="5A05683D" w14:textId="77777777" w:rsidR="00651B6D" w:rsidRPr="00E1479A" w:rsidRDefault="00651B6D" w:rsidP="0010115D">
            <w:pPr>
              <w:keepNext/>
              <w:keepLines/>
              <w:spacing w:after="0"/>
              <w:ind w:firstLine="0"/>
              <w:jc w:val="left"/>
              <w:rPr>
                <w:rFonts w:eastAsia="Calibri"/>
                <w:sz w:val="18"/>
                <w:szCs w:val="18"/>
              </w:rPr>
            </w:pPr>
            <w:r w:rsidRPr="00E1479A">
              <w:rPr>
                <w:rFonts w:eastAsia="Calibri"/>
                <w:sz w:val="18"/>
                <w:szCs w:val="18"/>
              </w:rPr>
              <w:t>Nodokļa likme par 1 000</w:t>
            </w:r>
            <w:r>
              <w:rPr>
                <w:rFonts w:eastAsia="Calibri"/>
                <w:sz w:val="18"/>
                <w:szCs w:val="18"/>
              </w:rPr>
              <w:t> gab.</w:t>
            </w:r>
            <w:r w:rsidRPr="00E1479A">
              <w:rPr>
                <w:rFonts w:eastAsia="Calibri"/>
                <w:sz w:val="18"/>
                <w:szCs w:val="18"/>
              </w:rPr>
              <w:t xml:space="preserve">, </w:t>
            </w:r>
            <w:r w:rsidRPr="00E1479A">
              <w:rPr>
                <w:rFonts w:eastAsia="Calibri"/>
                <w:i/>
                <w:sz w:val="18"/>
                <w:szCs w:val="18"/>
              </w:rPr>
              <w:t>euro</w:t>
            </w:r>
            <w:r w:rsidRPr="00E1479A">
              <w:rPr>
                <w:rFonts w:eastAsia="Calibri"/>
                <w:sz w:val="18"/>
                <w:szCs w:val="18"/>
              </w:rPr>
              <w:t xml:space="preserve"> </w:t>
            </w:r>
          </w:p>
        </w:tc>
        <w:tc>
          <w:tcPr>
            <w:tcW w:w="782" w:type="pct"/>
            <w:shd w:val="clear" w:color="auto" w:fill="auto"/>
            <w:noWrap/>
            <w:hideMark/>
          </w:tcPr>
          <w:p w14:paraId="1C7CE433"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95,20</w:t>
            </w:r>
          </w:p>
        </w:tc>
        <w:tc>
          <w:tcPr>
            <w:tcW w:w="704" w:type="pct"/>
            <w:shd w:val="clear" w:color="auto" w:fill="auto"/>
            <w:noWrap/>
            <w:hideMark/>
          </w:tcPr>
          <w:p w14:paraId="7E4B2B8D"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104,70</w:t>
            </w:r>
          </w:p>
        </w:tc>
        <w:tc>
          <w:tcPr>
            <w:tcW w:w="704" w:type="pct"/>
            <w:shd w:val="clear" w:color="auto" w:fill="auto"/>
            <w:noWrap/>
            <w:hideMark/>
          </w:tcPr>
          <w:p w14:paraId="24D2B4D0"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115,2</w:t>
            </w:r>
          </w:p>
        </w:tc>
        <w:tc>
          <w:tcPr>
            <w:tcW w:w="700" w:type="pct"/>
            <w:shd w:val="clear" w:color="auto" w:fill="auto"/>
            <w:noWrap/>
            <w:hideMark/>
          </w:tcPr>
          <w:p w14:paraId="426F5B51"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126,7</w:t>
            </w:r>
          </w:p>
        </w:tc>
      </w:tr>
      <w:tr w:rsidR="00651B6D" w:rsidRPr="00E1479A" w14:paraId="2FDE0834" w14:textId="77777777" w:rsidTr="00651B6D">
        <w:trPr>
          <w:trHeight w:val="221"/>
          <w:jc w:val="center"/>
        </w:trPr>
        <w:tc>
          <w:tcPr>
            <w:tcW w:w="2110" w:type="pct"/>
            <w:shd w:val="clear" w:color="auto" w:fill="9CC2E5" w:themeFill="accent1" w:themeFillTint="99"/>
            <w:noWrap/>
            <w:vAlign w:val="bottom"/>
            <w:hideMark/>
          </w:tcPr>
          <w:p w14:paraId="6B42964C" w14:textId="77777777" w:rsidR="00651B6D" w:rsidRPr="00E1479A" w:rsidRDefault="00651B6D" w:rsidP="0010115D">
            <w:pPr>
              <w:keepNext/>
              <w:keepLines/>
              <w:spacing w:after="0"/>
              <w:ind w:firstLine="0"/>
              <w:jc w:val="left"/>
              <w:rPr>
                <w:rFonts w:eastAsia="Calibri"/>
                <w:bCs/>
                <w:sz w:val="18"/>
                <w:szCs w:val="18"/>
              </w:rPr>
            </w:pPr>
            <w:r w:rsidRPr="00E1479A">
              <w:rPr>
                <w:rFonts w:eastAsia="Calibri"/>
                <w:bCs/>
                <w:sz w:val="18"/>
                <w:szCs w:val="18"/>
              </w:rPr>
              <w:t>Smēķējamā tabaka, tabakas lapas</w:t>
            </w:r>
          </w:p>
        </w:tc>
        <w:tc>
          <w:tcPr>
            <w:tcW w:w="782" w:type="pct"/>
            <w:shd w:val="clear" w:color="auto" w:fill="9CC2E5" w:themeFill="accent1" w:themeFillTint="99"/>
            <w:noWrap/>
            <w:vAlign w:val="center"/>
            <w:hideMark/>
          </w:tcPr>
          <w:p w14:paraId="748CDC7D" w14:textId="77777777" w:rsidR="00651B6D" w:rsidRPr="00E1479A" w:rsidRDefault="00651B6D" w:rsidP="0010115D">
            <w:pPr>
              <w:keepNext/>
              <w:keepLines/>
              <w:spacing w:after="0"/>
              <w:ind w:firstLine="0"/>
              <w:jc w:val="center"/>
              <w:rPr>
                <w:rFonts w:eastAsia="Calibri"/>
                <w:sz w:val="18"/>
                <w:szCs w:val="18"/>
              </w:rPr>
            </w:pPr>
            <w:r w:rsidRPr="00E1479A">
              <w:rPr>
                <w:rFonts w:eastAsia="Calibri"/>
                <w:sz w:val="18"/>
                <w:szCs w:val="18"/>
              </w:rPr>
              <w:t>ar 01.01.2020.</w:t>
            </w:r>
          </w:p>
        </w:tc>
        <w:tc>
          <w:tcPr>
            <w:tcW w:w="704" w:type="pct"/>
            <w:shd w:val="clear" w:color="auto" w:fill="9CC2E5" w:themeFill="accent1" w:themeFillTint="99"/>
            <w:noWrap/>
            <w:vAlign w:val="center"/>
            <w:hideMark/>
          </w:tcPr>
          <w:p w14:paraId="5AF3A36A" w14:textId="77777777" w:rsidR="00651B6D" w:rsidRPr="00E1479A" w:rsidRDefault="00651B6D" w:rsidP="0010115D">
            <w:pPr>
              <w:keepNext/>
              <w:keepLines/>
              <w:spacing w:after="0"/>
              <w:ind w:firstLine="0"/>
              <w:jc w:val="center"/>
              <w:rPr>
                <w:rFonts w:eastAsia="Calibri"/>
                <w:sz w:val="18"/>
                <w:szCs w:val="18"/>
              </w:rPr>
            </w:pPr>
            <w:r w:rsidRPr="00E1479A">
              <w:rPr>
                <w:rFonts w:eastAsia="Calibri"/>
                <w:sz w:val="18"/>
                <w:szCs w:val="18"/>
              </w:rPr>
              <w:t>ar 01.01.2021.</w:t>
            </w:r>
          </w:p>
        </w:tc>
        <w:tc>
          <w:tcPr>
            <w:tcW w:w="704" w:type="pct"/>
            <w:shd w:val="clear" w:color="auto" w:fill="9CC2E5" w:themeFill="accent1" w:themeFillTint="99"/>
            <w:noWrap/>
            <w:vAlign w:val="center"/>
            <w:hideMark/>
          </w:tcPr>
          <w:p w14:paraId="4FD10B06" w14:textId="77777777" w:rsidR="00651B6D" w:rsidRPr="00E1479A" w:rsidRDefault="00651B6D" w:rsidP="0010115D">
            <w:pPr>
              <w:keepNext/>
              <w:keepLines/>
              <w:spacing w:after="0"/>
              <w:ind w:firstLine="0"/>
              <w:jc w:val="center"/>
              <w:rPr>
                <w:rFonts w:eastAsia="Calibri"/>
                <w:sz w:val="18"/>
                <w:szCs w:val="18"/>
              </w:rPr>
            </w:pPr>
            <w:r w:rsidRPr="00E1479A">
              <w:rPr>
                <w:rFonts w:eastAsia="Calibri"/>
                <w:sz w:val="18"/>
                <w:szCs w:val="18"/>
              </w:rPr>
              <w:t>ar 01.01.2022.</w:t>
            </w:r>
          </w:p>
        </w:tc>
        <w:tc>
          <w:tcPr>
            <w:tcW w:w="700" w:type="pct"/>
            <w:shd w:val="clear" w:color="auto" w:fill="9CC2E5" w:themeFill="accent1" w:themeFillTint="99"/>
            <w:noWrap/>
            <w:vAlign w:val="center"/>
            <w:hideMark/>
          </w:tcPr>
          <w:p w14:paraId="21A0C624" w14:textId="77777777" w:rsidR="00651B6D" w:rsidRPr="00E1479A" w:rsidRDefault="00651B6D" w:rsidP="0010115D">
            <w:pPr>
              <w:keepNext/>
              <w:keepLines/>
              <w:spacing w:after="0"/>
              <w:ind w:firstLine="0"/>
              <w:jc w:val="center"/>
              <w:rPr>
                <w:rFonts w:eastAsia="Calibri"/>
                <w:sz w:val="18"/>
                <w:szCs w:val="18"/>
              </w:rPr>
            </w:pPr>
            <w:r w:rsidRPr="00E1479A">
              <w:rPr>
                <w:rFonts w:eastAsia="Calibri"/>
                <w:sz w:val="18"/>
                <w:szCs w:val="18"/>
              </w:rPr>
              <w:t>ar 01.01.2023.</w:t>
            </w:r>
          </w:p>
        </w:tc>
      </w:tr>
      <w:tr w:rsidR="00651B6D" w:rsidRPr="00E1479A" w14:paraId="52F6499A" w14:textId="77777777" w:rsidTr="00651B6D">
        <w:trPr>
          <w:trHeight w:val="221"/>
          <w:jc w:val="center"/>
        </w:trPr>
        <w:tc>
          <w:tcPr>
            <w:tcW w:w="2110" w:type="pct"/>
            <w:shd w:val="clear" w:color="auto" w:fill="auto"/>
            <w:noWrap/>
            <w:vAlign w:val="bottom"/>
            <w:hideMark/>
          </w:tcPr>
          <w:p w14:paraId="73ED8469" w14:textId="77777777" w:rsidR="00651B6D" w:rsidRPr="00E1479A" w:rsidRDefault="00651B6D" w:rsidP="0010115D">
            <w:pPr>
              <w:keepNext/>
              <w:keepLines/>
              <w:spacing w:after="0"/>
              <w:ind w:firstLine="0"/>
              <w:jc w:val="left"/>
              <w:rPr>
                <w:rFonts w:eastAsia="Calibri"/>
                <w:sz w:val="18"/>
                <w:szCs w:val="18"/>
              </w:rPr>
            </w:pPr>
            <w:r w:rsidRPr="00E1479A">
              <w:rPr>
                <w:rFonts w:eastAsia="Calibri"/>
                <w:sz w:val="18"/>
                <w:szCs w:val="18"/>
              </w:rPr>
              <w:t xml:space="preserve">Nodokļa likme par 1 000 g., </w:t>
            </w:r>
            <w:r w:rsidRPr="00E1479A">
              <w:rPr>
                <w:rFonts w:eastAsia="Calibri"/>
                <w:i/>
                <w:sz w:val="18"/>
                <w:szCs w:val="18"/>
              </w:rPr>
              <w:t>euro</w:t>
            </w:r>
          </w:p>
        </w:tc>
        <w:tc>
          <w:tcPr>
            <w:tcW w:w="782" w:type="pct"/>
            <w:shd w:val="clear" w:color="auto" w:fill="auto"/>
            <w:noWrap/>
            <w:hideMark/>
          </w:tcPr>
          <w:p w14:paraId="79FDA1F5"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75,00</w:t>
            </w:r>
          </w:p>
        </w:tc>
        <w:tc>
          <w:tcPr>
            <w:tcW w:w="704" w:type="pct"/>
            <w:shd w:val="clear" w:color="auto" w:fill="auto"/>
            <w:noWrap/>
            <w:hideMark/>
          </w:tcPr>
          <w:p w14:paraId="123B30EA"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80,25</w:t>
            </w:r>
          </w:p>
        </w:tc>
        <w:tc>
          <w:tcPr>
            <w:tcW w:w="704" w:type="pct"/>
            <w:shd w:val="clear" w:color="auto" w:fill="auto"/>
            <w:noWrap/>
            <w:hideMark/>
          </w:tcPr>
          <w:p w14:paraId="03D02CB2"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85,90</w:t>
            </w:r>
          </w:p>
        </w:tc>
        <w:tc>
          <w:tcPr>
            <w:tcW w:w="700" w:type="pct"/>
            <w:shd w:val="clear" w:color="auto" w:fill="auto"/>
            <w:noWrap/>
            <w:hideMark/>
          </w:tcPr>
          <w:p w14:paraId="644F582B"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91,90</w:t>
            </w:r>
          </w:p>
        </w:tc>
      </w:tr>
      <w:tr w:rsidR="00651B6D" w:rsidRPr="00E1479A" w14:paraId="5DA30B6F" w14:textId="77777777" w:rsidTr="00651B6D">
        <w:trPr>
          <w:trHeight w:val="221"/>
          <w:jc w:val="center"/>
        </w:trPr>
        <w:tc>
          <w:tcPr>
            <w:tcW w:w="2110" w:type="pct"/>
            <w:shd w:val="clear" w:color="auto" w:fill="9CC2E5" w:themeFill="accent1" w:themeFillTint="99"/>
            <w:noWrap/>
            <w:vAlign w:val="bottom"/>
            <w:hideMark/>
          </w:tcPr>
          <w:p w14:paraId="4D728CEF" w14:textId="77777777" w:rsidR="00651B6D" w:rsidRPr="00E1479A" w:rsidRDefault="00651B6D" w:rsidP="0010115D">
            <w:pPr>
              <w:keepNext/>
              <w:keepLines/>
              <w:spacing w:after="0"/>
              <w:ind w:firstLine="0"/>
              <w:jc w:val="left"/>
              <w:rPr>
                <w:rFonts w:eastAsia="Calibri"/>
                <w:bCs/>
                <w:sz w:val="18"/>
                <w:szCs w:val="18"/>
              </w:rPr>
            </w:pPr>
            <w:r w:rsidRPr="00E1479A">
              <w:rPr>
                <w:rFonts w:eastAsia="Calibri"/>
                <w:bCs/>
                <w:sz w:val="18"/>
                <w:szCs w:val="18"/>
              </w:rPr>
              <w:t>Karsējamā tabaka</w:t>
            </w:r>
          </w:p>
        </w:tc>
        <w:tc>
          <w:tcPr>
            <w:tcW w:w="782" w:type="pct"/>
            <w:shd w:val="clear" w:color="auto" w:fill="9CC2E5" w:themeFill="accent1" w:themeFillTint="99"/>
            <w:noWrap/>
            <w:vAlign w:val="center"/>
            <w:hideMark/>
          </w:tcPr>
          <w:p w14:paraId="3E958D8F" w14:textId="77777777" w:rsidR="00651B6D" w:rsidRPr="00E1479A" w:rsidRDefault="00651B6D" w:rsidP="0010115D">
            <w:pPr>
              <w:keepNext/>
              <w:keepLines/>
              <w:spacing w:after="0"/>
              <w:ind w:firstLine="0"/>
              <w:jc w:val="center"/>
              <w:rPr>
                <w:rFonts w:eastAsia="Calibri"/>
                <w:sz w:val="18"/>
                <w:szCs w:val="18"/>
              </w:rPr>
            </w:pPr>
            <w:r w:rsidRPr="00E1479A">
              <w:rPr>
                <w:rFonts w:eastAsia="Calibri"/>
                <w:sz w:val="18"/>
                <w:szCs w:val="18"/>
              </w:rPr>
              <w:t>ar 01.01.2020.</w:t>
            </w:r>
          </w:p>
        </w:tc>
        <w:tc>
          <w:tcPr>
            <w:tcW w:w="704" w:type="pct"/>
            <w:shd w:val="clear" w:color="auto" w:fill="9CC2E5" w:themeFill="accent1" w:themeFillTint="99"/>
            <w:noWrap/>
            <w:vAlign w:val="center"/>
            <w:hideMark/>
          </w:tcPr>
          <w:p w14:paraId="0A646D89" w14:textId="77777777" w:rsidR="00651B6D" w:rsidRPr="00E1479A" w:rsidRDefault="00651B6D" w:rsidP="0010115D">
            <w:pPr>
              <w:keepNext/>
              <w:keepLines/>
              <w:spacing w:after="0"/>
              <w:ind w:firstLine="0"/>
              <w:jc w:val="center"/>
              <w:rPr>
                <w:rFonts w:eastAsia="Calibri"/>
                <w:sz w:val="18"/>
                <w:szCs w:val="18"/>
              </w:rPr>
            </w:pPr>
            <w:r w:rsidRPr="00E1479A">
              <w:rPr>
                <w:rFonts w:eastAsia="Calibri"/>
                <w:sz w:val="18"/>
                <w:szCs w:val="18"/>
              </w:rPr>
              <w:t>ar 01.01.2021.</w:t>
            </w:r>
          </w:p>
        </w:tc>
        <w:tc>
          <w:tcPr>
            <w:tcW w:w="704" w:type="pct"/>
            <w:shd w:val="clear" w:color="auto" w:fill="9CC2E5" w:themeFill="accent1" w:themeFillTint="99"/>
            <w:noWrap/>
            <w:vAlign w:val="center"/>
            <w:hideMark/>
          </w:tcPr>
          <w:p w14:paraId="49CAD84B" w14:textId="77777777" w:rsidR="00651B6D" w:rsidRPr="00E1479A" w:rsidRDefault="00651B6D" w:rsidP="0010115D">
            <w:pPr>
              <w:keepNext/>
              <w:keepLines/>
              <w:spacing w:after="0"/>
              <w:ind w:firstLine="0"/>
              <w:jc w:val="center"/>
              <w:rPr>
                <w:rFonts w:eastAsia="Calibri"/>
                <w:sz w:val="18"/>
                <w:szCs w:val="18"/>
              </w:rPr>
            </w:pPr>
            <w:r w:rsidRPr="00E1479A">
              <w:rPr>
                <w:rFonts w:eastAsia="Calibri"/>
                <w:sz w:val="18"/>
                <w:szCs w:val="18"/>
              </w:rPr>
              <w:t>ar 01.01.2022.</w:t>
            </w:r>
          </w:p>
        </w:tc>
        <w:tc>
          <w:tcPr>
            <w:tcW w:w="700" w:type="pct"/>
            <w:shd w:val="clear" w:color="auto" w:fill="9CC2E5" w:themeFill="accent1" w:themeFillTint="99"/>
            <w:noWrap/>
            <w:vAlign w:val="center"/>
            <w:hideMark/>
          </w:tcPr>
          <w:p w14:paraId="05D87F94" w14:textId="77777777" w:rsidR="00651B6D" w:rsidRPr="00E1479A" w:rsidRDefault="00651B6D" w:rsidP="0010115D">
            <w:pPr>
              <w:keepNext/>
              <w:keepLines/>
              <w:spacing w:after="0"/>
              <w:ind w:firstLine="0"/>
              <w:jc w:val="center"/>
              <w:rPr>
                <w:rFonts w:eastAsia="Calibri"/>
                <w:sz w:val="18"/>
                <w:szCs w:val="18"/>
              </w:rPr>
            </w:pPr>
            <w:r w:rsidRPr="00E1479A">
              <w:rPr>
                <w:rFonts w:eastAsia="Calibri"/>
                <w:sz w:val="18"/>
                <w:szCs w:val="18"/>
              </w:rPr>
              <w:t>ar 01.01.2023.</w:t>
            </w:r>
          </w:p>
        </w:tc>
      </w:tr>
      <w:tr w:rsidR="00651B6D" w:rsidRPr="00E1479A" w14:paraId="082EE122" w14:textId="77777777" w:rsidTr="00651B6D">
        <w:trPr>
          <w:trHeight w:val="221"/>
          <w:jc w:val="center"/>
        </w:trPr>
        <w:tc>
          <w:tcPr>
            <w:tcW w:w="2110" w:type="pct"/>
            <w:shd w:val="clear" w:color="auto" w:fill="auto"/>
            <w:noWrap/>
            <w:vAlign w:val="bottom"/>
            <w:hideMark/>
          </w:tcPr>
          <w:p w14:paraId="52FA83C7" w14:textId="77777777" w:rsidR="00651B6D" w:rsidRPr="00E1479A" w:rsidRDefault="00651B6D" w:rsidP="0010115D">
            <w:pPr>
              <w:keepNext/>
              <w:keepLines/>
              <w:spacing w:after="0"/>
              <w:ind w:firstLine="0"/>
              <w:jc w:val="left"/>
              <w:rPr>
                <w:rFonts w:eastAsia="Calibri"/>
                <w:sz w:val="18"/>
                <w:szCs w:val="18"/>
              </w:rPr>
            </w:pPr>
            <w:r w:rsidRPr="00E1479A">
              <w:rPr>
                <w:rFonts w:eastAsia="Calibri"/>
                <w:sz w:val="18"/>
                <w:szCs w:val="18"/>
              </w:rPr>
              <w:t xml:space="preserve">Nodokļa likme par 1 000 g., </w:t>
            </w:r>
            <w:r w:rsidRPr="00E1479A">
              <w:rPr>
                <w:rFonts w:eastAsia="Calibri"/>
                <w:i/>
                <w:sz w:val="18"/>
                <w:szCs w:val="18"/>
              </w:rPr>
              <w:t>euro</w:t>
            </w:r>
          </w:p>
        </w:tc>
        <w:tc>
          <w:tcPr>
            <w:tcW w:w="782" w:type="pct"/>
            <w:shd w:val="clear" w:color="auto" w:fill="auto"/>
            <w:noWrap/>
            <w:hideMark/>
          </w:tcPr>
          <w:p w14:paraId="6F9E5D0E"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75,00</w:t>
            </w:r>
          </w:p>
        </w:tc>
        <w:tc>
          <w:tcPr>
            <w:tcW w:w="704" w:type="pct"/>
            <w:shd w:val="clear" w:color="auto" w:fill="auto"/>
            <w:noWrap/>
            <w:hideMark/>
          </w:tcPr>
          <w:p w14:paraId="2964D447"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160,00</w:t>
            </w:r>
          </w:p>
        </w:tc>
        <w:tc>
          <w:tcPr>
            <w:tcW w:w="704" w:type="pct"/>
            <w:shd w:val="clear" w:color="auto" w:fill="auto"/>
            <w:noWrap/>
            <w:hideMark/>
          </w:tcPr>
          <w:p w14:paraId="1C307ABE"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207,00</w:t>
            </w:r>
          </w:p>
        </w:tc>
        <w:tc>
          <w:tcPr>
            <w:tcW w:w="700" w:type="pct"/>
            <w:shd w:val="clear" w:color="auto" w:fill="auto"/>
            <w:noWrap/>
            <w:hideMark/>
          </w:tcPr>
          <w:p w14:paraId="0AE1816D" w14:textId="77777777" w:rsidR="00651B6D" w:rsidRPr="00E1479A" w:rsidRDefault="00651B6D" w:rsidP="0010115D">
            <w:pPr>
              <w:keepNext/>
              <w:keepLines/>
              <w:spacing w:after="0"/>
              <w:ind w:firstLine="0"/>
              <w:jc w:val="right"/>
              <w:rPr>
                <w:rFonts w:eastAsia="Calibri"/>
                <w:sz w:val="18"/>
                <w:szCs w:val="18"/>
              </w:rPr>
            </w:pPr>
            <w:r w:rsidRPr="00E1479A">
              <w:rPr>
                <w:rFonts w:eastAsia="Calibri"/>
                <w:sz w:val="18"/>
                <w:szCs w:val="18"/>
              </w:rPr>
              <w:t>218,00</w:t>
            </w:r>
          </w:p>
        </w:tc>
      </w:tr>
    </w:tbl>
    <w:p w14:paraId="097F811D" w14:textId="77777777" w:rsidR="00651B6D" w:rsidRPr="008701B1" w:rsidRDefault="00651B6D" w:rsidP="00651B6D">
      <w:pPr>
        <w:rPr>
          <w:rFonts w:eastAsia="Calibri"/>
          <w:szCs w:val="28"/>
        </w:rPr>
      </w:pPr>
    </w:p>
    <w:p w14:paraId="7B88EC01" w14:textId="77777777" w:rsidR="00651B6D" w:rsidRPr="00D87C01" w:rsidRDefault="00651B6D" w:rsidP="00651B6D">
      <w:pPr>
        <w:keepNext/>
        <w:rPr>
          <w:rFonts w:eastAsia="Calibri"/>
          <w:szCs w:val="24"/>
        </w:rPr>
      </w:pPr>
      <w:r>
        <w:rPr>
          <w:rFonts w:eastAsia="Calibri"/>
          <w:szCs w:val="24"/>
        </w:rPr>
        <w:lastRenderedPageBreak/>
        <w:t>Ak</w:t>
      </w:r>
      <w:r w:rsidRPr="001C32C8">
        <w:rPr>
          <w:rFonts w:eastAsia="Calibri"/>
          <w:szCs w:val="24"/>
        </w:rPr>
        <w:t xml:space="preserve">cīzes </w:t>
      </w:r>
      <w:r w:rsidRPr="00D87C01">
        <w:rPr>
          <w:rFonts w:eastAsia="Calibri"/>
          <w:szCs w:val="24"/>
        </w:rPr>
        <w:t>nodokļa likmju paaugstināšanas rezultātā ar 2022</w:t>
      </w:r>
      <w:r>
        <w:rPr>
          <w:rFonts w:eastAsia="Calibri"/>
          <w:szCs w:val="24"/>
        </w:rPr>
        <w:t>. gad</w:t>
      </w:r>
      <w:r w:rsidRPr="00D87C01">
        <w:rPr>
          <w:rFonts w:eastAsia="Calibri"/>
          <w:szCs w:val="24"/>
        </w:rPr>
        <w:t xml:space="preserve">a </w:t>
      </w:r>
      <w:r>
        <w:rPr>
          <w:rFonts w:eastAsia="Calibri"/>
          <w:szCs w:val="24"/>
        </w:rPr>
        <w:t>1. janv</w:t>
      </w:r>
      <w:r w:rsidRPr="00D87C01">
        <w:rPr>
          <w:rFonts w:eastAsia="Calibri"/>
          <w:szCs w:val="24"/>
        </w:rPr>
        <w:t>āri:</w:t>
      </w:r>
    </w:p>
    <w:p w14:paraId="4ED2E497" w14:textId="77777777" w:rsidR="00651B6D" w:rsidRPr="00D87C01" w:rsidRDefault="00651B6D" w:rsidP="00F70213">
      <w:pPr>
        <w:numPr>
          <w:ilvl w:val="0"/>
          <w:numId w:val="15"/>
        </w:numPr>
        <w:spacing w:after="0"/>
        <w:ind w:left="1701" w:hanging="567"/>
        <w:contextualSpacing/>
        <w:rPr>
          <w:rFonts w:eastAsia="Calibri"/>
          <w:szCs w:val="24"/>
        </w:rPr>
      </w:pPr>
      <w:r w:rsidRPr="00D87C01">
        <w:rPr>
          <w:rFonts w:eastAsia="Calibri"/>
          <w:szCs w:val="24"/>
        </w:rPr>
        <w:t>cigāru vai cigarillu paciņas (10</w:t>
      </w:r>
      <w:r>
        <w:rPr>
          <w:rFonts w:eastAsia="Calibri"/>
          <w:szCs w:val="24"/>
        </w:rPr>
        <w:t> gab.</w:t>
      </w:r>
      <w:r w:rsidRPr="00D87C01">
        <w:rPr>
          <w:rFonts w:eastAsia="Calibri"/>
          <w:szCs w:val="24"/>
        </w:rPr>
        <w:t>) mazumtirdzniecības cenas nodokļu daļas pieaugums būs +0,13</w:t>
      </w:r>
      <w:r w:rsidRPr="00D87C01">
        <w:t> </w:t>
      </w:r>
      <w:r w:rsidRPr="004F46D3">
        <w:rPr>
          <w:rFonts w:eastAsia="Calibri"/>
          <w:i/>
          <w:iCs/>
          <w:szCs w:val="24"/>
        </w:rPr>
        <w:t>euro</w:t>
      </w:r>
      <w:r w:rsidRPr="00D87C01">
        <w:rPr>
          <w:rFonts w:eastAsia="Calibri"/>
          <w:szCs w:val="24"/>
        </w:rPr>
        <w:t>;</w:t>
      </w:r>
    </w:p>
    <w:p w14:paraId="0B984302" w14:textId="77777777" w:rsidR="00651B6D" w:rsidRPr="00D87C01" w:rsidRDefault="00651B6D" w:rsidP="00F70213">
      <w:pPr>
        <w:numPr>
          <w:ilvl w:val="0"/>
          <w:numId w:val="15"/>
        </w:numPr>
        <w:spacing w:after="0"/>
        <w:ind w:left="1701" w:hanging="567"/>
        <w:contextualSpacing/>
        <w:rPr>
          <w:rFonts w:eastAsia="Calibri"/>
          <w:szCs w:val="24"/>
        </w:rPr>
      </w:pPr>
      <w:r w:rsidRPr="00D87C01">
        <w:rPr>
          <w:rFonts w:eastAsia="Calibri"/>
          <w:szCs w:val="24"/>
        </w:rPr>
        <w:t>viena smēķējamās tabakas 40 gramu iepakojuma mazumtirdzniecības cenas nodokļu daļas pieaugums būs +0,27</w:t>
      </w:r>
      <w:r w:rsidRPr="00D87C01">
        <w:t> </w:t>
      </w:r>
      <w:r w:rsidRPr="004F46D3">
        <w:rPr>
          <w:rFonts w:eastAsia="Calibri"/>
          <w:i/>
          <w:iCs/>
          <w:szCs w:val="24"/>
        </w:rPr>
        <w:t>euro</w:t>
      </w:r>
      <w:r w:rsidRPr="00D87C01">
        <w:rPr>
          <w:rFonts w:eastAsia="Calibri"/>
          <w:szCs w:val="24"/>
        </w:rPr>
        <w:t>;</w:t>
      </w:r>
    </w:p>
    <w:p w14:paraId="6B4F6882" w14:textId="77777777" w:rsidR="00651B6D" w:rsidRPr="00D87C01" w:rsidRDefault="00651B6D" w:rsidP="00F70213">
      <w:pPr>
        <w:numPr>
          <w:ilvl w:val="0"/>
          <w:numId w:val="15"/>
        </w:numPr>
        <w:spacing w:after="0"/>
        <w:ind w:left="1701" w:hanging="567"/>
        <w:contextualSpacing/>
        <w:rPr>
          <w:rFonts w:eastAsia="Calibri"/>
          <w:szCs w:val="24"/>
        </w:rPr>
      </w:pPr>
      <w:r w:rsidRPr="00D87C01">
        <w:rPr>
          <w:rFonts w:eastAsia="Calibri"/>
          <w:szCs w:val="24"/>
        </w:rPr>
        <w:t>vienas karsējamās tabakas paciņas (20</w:t>
      </w:r>
      <w:r>
        <w:rPr>
          <w:rFonts w:eastAsia="Calibri"/>
          <w:szCs w:val="24"/>
        </w:rPr>
        <w:t> gab.</w:t>
      </w:r>
      <w:r w:rsidRPr="00D87C01">
        <w:rPr>
          <w:rFonts w:eastAsia="Calibri"/>
          <w:szCs w:val="24"/>
        </w:rPr>
        <w:t>, 5,4 grami tabakas) mazumtirdzniecības cenas nodokļu daļas pieaugums 2021</w:t>
      </w:r>
      <w:r>
        <w:rPr>
          <w:rFonts w:eastAsia="Calibri"/>
          <w:szCs w:val="24"/>
        </w:rPr>
        <w:t>. gad</w:t>
      </w:r>
      <w:r w:rsidRPr="00D87C01">
        <w:rPr>
          <w:rFonts w:eastAsia="Calibri"/>
          <w:szCs w:val="24"/>
        </w:rPr>
        <w:t>ā būs +0,31</w:t>
      </w:r>
      <w:r w:rsidRPr="00D87C01">
        <w:t> </w:t>
      </w:r>
      <w:r w:rsidRPr="004F46D3">
        <w:rPr>
          <w:rFonts w:eastAsia="Calibri"/>
          <w:i/>
          <w:iCs/>
          <w:szCs w:val="24"/>
        </w:rPr>
        <w:t>euro</w:t>
      </w:r>
      <w:r w:rsidRPr="00D87C01">
        <w:rPr>
          <w:rFonts w:eastAsia="Calibri"/>
          <w:szCs w:val="24"/>
        </w:rPr>
        <w:t>;</w:t>
      </w:r>
    </w:p>
    <w:p w14:paraId="606939B0" w14:textId="77777777" w:rsidR="00651B6D" w:rsidRPr="00D87C01" w:rsidRDefault="00651B6D" w:rsidP="00F70213">
      <w:pPr>
        <w:numPr>
          <w:ilvl w:val="0"/>
          <w:numId w:val="15"/>
        </w:numPr>
        <w:spacing w:after="0"/>
        <w:ind w:left="1701" w:hanging="567"/>
        <w:rPr>
          <w:rFonts w:eastAsia="Calibri"/>
          <w:szCs w:val="24"/>
        </w:rPr>
      </w:pPr>
      <w:r w:rsidRPr="00D87C01">
        <w:rPr>
          <w:rFonts w:eastAsia="Calibri"/>
          <w:szCs w:val="24"/>
        </w:rPr>
        <w:t xml:space="preserve">vienas cigarešu paciņas (20 cigaretes) nodokļu daļas pieaugums būs ap </w:t>
      </w:r>
      <w:r>
        <w:rPr>
          <w:rFonts w:eastAsia="Calibri"/>
          <w:szCs w:val="24"/>
        </w:rPr>
        <w:t>+</w:t>
      </w:r>
      <w:r w:rsidRPr="00D87C01">
        <w:rPr>
          <w:rFonts w:eastAsia="Calibri"/>
          <w:szCs w:val="24"/>
        </w:rPr>
        <w:t>0,13</w:t>
      </w:r>
      <w:r w:rsidRPr="00D87C01">
        <w:t> </w:t>
      </w:r>
      <w:r w:rsidRPr="004F46D3">
        <w:rPr>
          <w:rFonts w:eastAsia="Calibri"/>
          <w:i/>
          <w:iCs/>
          <w:szCs w:val="24"/>
        </w:rPr>
        <w:t>euro</w:t>
      </w:r>
      <w:r w:rsidRPr="00D87C01">
        <w:rPr>
          <w:rFonts w:eastAsia="Calibri"/>
          <w:szCs w:val="24"/>
        </w:rPr>
        <w:t xml:space="preserve"> pie nemainīgas mazumtirdzniecības cenas. Nodokļu daļas pieaugums var mainīties atkarībā no noteiktās mazumtirdzniecības cenas.</w:t>
      </w:r>
    </w:p>
    <w:p w14:paraId="3FD6F585" w14:textId="77777777" w:rsidR="00651B6D" w:rsidRPr="00D87C01" w:rsidRDefault="00651B6D" w:rsidP="00651B6D">
      <w:pPr>
        <w:rPr>
          <w:rFonts w:eastAsia="Calibri"/>
          <w:sz w:val="22"/>
          <w:szCs w:val="24"/>
        </w:rPr>
      </w:pPr>
      <w:r w:rsidRPr="00D87C01">
        <w:rPr>
          <w:rFonts w:eastAsia="Calibri"/>
          <w:szCs w:val="28"/>
        </w:rPr>
        <w:t>2022</w:t>
      </w:r>
      <w:r>
        <w:rPr>
          <w:rFonts w:eastAsia="Calibri"/>
          <w:szCs w:val="28"/>
        </w:rPr>
        <w:t>. gad</w:t>
      </w:r>
      <w:r w:rsidRPr="00D87C01">
        <w:rPr>
          <w:rFonts w:eastAsia="Calibri"/>
          <w:szCs w:val="28"/>
        </w:rPr>
        <w:t>a akcīzes nodokļa no tabakas izstrādājumiem ieņēmumi saskaņā ar likumprojektu „Par valsts budžetu 2022</w:t>
      </w:r>
      <w:r>
        <w:rPr>
          <w:rFonts w:eastAsia="Calibri"/>
          <w:szCs w:val="28"/>
        </w:rPr>
        <w:t>. gad</w:t>
      </w:r>
      <w:r w:rsidRPr="00D87C01">
        <w:rPr>
          <w:rFonts w:eastAsia="Calibri"/>
          <w:szCs w:val="28"/>
        </w:rPr>
        <w:t>am” tiek plānoti 247,0</w:t>
      </w:r>
      <w:r>
        <w:rPr>
          <w:rFonts w:eastAsia="Calibri"/>
          <w:szCs w:val="28"/>
        </w:rPr>
        <w:t> milj.</w:t>
      </w:r>
      <w:r w:rsidRPr="00D87C01">
        <w:rPr>
          <w:rFonts w:eastAsia="Calibri"/>
          <w:szCs w:val="28"/>
        </w:rPr>
        <w:t> </w:t>
      </w:r>
      <w:r w:rsidRPr="004F46D3">
        <w:rPr>
          <w:rFonts w:eastAsia="Calibri"/>
          <w:i/>
          <w:iCs/>
          <w:szCs w:val="28"/>
        </w:rPr>
        <w:t>euro</w:t>
      </w:r>
      <w:r w:rsidRPr="00D87C01">
        <w:rPr>
          <w:rFonts w:eastAsia="Calibri"/>
          <w:i/>
          <w:iCs/>
          <w:szCs w:val="28"/>
        </w:rPr>
        <w:t xml:space="preserve"> </w:t>
      </w:r>
      <w:r w:rsidRPr="00D87C01">
        <w:rPr>
          <w:rFonts w:eastAsia="Calibri"/>
          <w:szCs w:val="28"/>
        </w:rPr>
        <w:t>apmērā, kas, salīdzinot ar 2021</w:t>
      </w:r>
      <w:r>
        <w:rPr>
          <w:rFonts w:eastAsia="Calibri"/>
          <w:szCs w:val="28"/>
        </w:rPr>
        <w:t>. gad</w:t>
      </w:r>
      <w:r w:rsidRPr="00D87C01">
        <w:rPr>
          <w:rFonts w:eastAsia="Calibri"/>
          <w:szCs w:val="28"/>
        </w:rPr>
        <w:t>a prognozi, ir par 8,7</w:t>
      </w:r>
      <w:r>
        <w:rPr>
          <w:rFonts w:eastAsia="Calibri"/>
          <w:szCs w:val="28"/>
        </w:rPr>
        <w:t> milj.</w:t>
      </w:r>
      <w:r w:rsidRPr="00D87C01">
        <w:rPr>
          <w:rFonts w:eastAsia="Calibri"/>
          <w:szCs w:val="28"/>
        </w:rPr>
        <w:t> </w:t>
      </w:r>
      <w:r w:rsidRPr="004F46D3">
        <w:rPr>
          <w:rFonts w:eastAsia="Calibri"/>
          <w:i/>
          <w:iCs/>
          <w:szCs w:val="28"/>
        </w:rPr>
        <w:t>euro</w:t>
      </w:r>
      <w:r w:rsidRPr="00D87C01">
        <w:rPr>
          <w:rFonts w:eastAsia="Calibri"/>
          <w:szCs w:val="28"/>
        </w:rPr>
        <w:t xml:space="preserve"> jeb 3,7% vairāk. </w:t>
      </w:r>
    </w:p>
    <w:p w14:paraId="3495CE54" w14:textId="77777777" w:rsidR="00651B6D" w:rsidRPr="001F3492" w:rsidRDefault="00651B6D" w:rsidP="007B5592">
      <w:pPr>
        <w:pStyle w:val="H4"/>
        <w:spacing w:before="240" w:after="240"/>
      </w:pPr>
      <w:r>
        <w:t xml:space="preserve">Akcīzes nodoklis </w:t>
      </w:r>
      <w:r w:rsidRPr="001F3492">
        <w:t>dabasgāzei</w:t>
      </w:r>
    </w:p>
    <w:p w14:paraId="72192C47" w14:textId="77777777" w:rsidR="00651B6D" w:rsidRPr="00D87C01" w:rsidRDefault="00651B6D" w:rsidP="00651B6D">
      <w:r w:rsidRPr="00D87C01">
        <w:t>2021</w:t>
      </w:r>
      <w:r>
        <w:t>. gad</w:t>
      </w:r>
      <w:r w:rsidRPr="00D87C01">
        <w:t xml:space="preserve">a pirmajā pusgadā akcīzes nodokļa ieņēmumi par </w:t>
      </w:r>
      <w:r w:rsidRPr="00CF0DD4">
        <w:rPr>
          <w:bCs/>
        </w:rPr>
        <w:t>dabasgāzi</w:t>
      </w:r>
      <w:r w:rsidRPr="00D87C01">
        <w:t xml:space="preserve"> bija 12,2</w:t>
      </w:r>
      <w:r>
        <w:rPr>
          <w:rFonts w:eastAsia="Calibri"/>
          <w:szCs w:val="28"/>
        </w:rPr>
        <w:t> milj.</w:t>
      </w:r>
      <w:r w:rsidRPr="00D87C01">
        <w:rPr>
          <w:rFonts w:eastAsia="Calibri"/>
          <w:szCs w:val="28"/>
        </w:rPr>
        <w:t> </w:t>
      </w:r>
      <w:r w:rsidRPr="004F46D3">
        <w:rPr>
          <w:i/>
          <w:iCs/>
        </w:rPr>
        <w:t>euro</w:t>
      </w:r>
      <w:r w:rsidRPr="00D87C01">
        <w:t>. Salīdzinot ar 2020</w:t>
      </w:r>
      <w:r>
        <w:t>. gad</w:t>
      </w:r>
      <w:r w:rsidRPr="00D87C01">
        <w:t>a pirmo pusgadu, akcīzes nodoklis par dabasgāzi iekasēts par 2,2</w:t>
      </w:r>
      <w:r>
        <w:rPr>
          <w:rFonts w:eastAsia="Calibri"/>
          <w:szCs w:val="28"/>
        </w:rPr>
        <w:t> milj.</w:t>
      </w:r>
      <w:r w:rsidRPr="00D87C01">
        <w:rPr>
          <w:rFonts w:eastAsia="Calibri"/>
          <w:szCs w:val="28"/>
        </w:rPr>
        <w:t> </w:t>
      </w:r>
      <w:r w:rsidRPr="004F46D3">
        <w:rPr>
          <w:i/>
          <w:iCs/>
        </w:rPr>
        <w:t>euro</w:t>
      </w:r>
      <w:r w:rsidRPr="00D87C01">
        <w:t xml:space="preserve"> jeb 22,5% vairāk. Salīdzinot ar plānoto, iekasēts par 0,4</w:t>
      </w:r>
      <w:r>
        <w:rPr>
          <w:rFonts w:eastAsia="Calibri"/>
          <w:szCs w:val="28"/>
        </w:rPr>
        <w:t> milj.</w:t>
      </w:r>
      <w:r w:rsidRPr="00D87C01">
        <w:rPr>
          <w:rFonts w:eastAsia="Calibri"/>
          <w:szCs w:val="28"/>
        </w:rPr>
        <w:t> </w:t>
      </w:r>
      <w:r w:rsidRPr="004F46D3">
        <w:rPr>
          <w:i/>
          <w:iCs/>
        </w:rPr>
        <w:t>euro</w:t>
      </w:r>
      <w:r w:rsidRPr="00D87C01">
        <w:t xml:space="preserve"> jeb 3,1% vairāk.</w:t>
      </w:r>
    </w:p>
    <w:p w14:paraId="71CB0785" w14:textId="4F300692" w:rsidR="00651B6D" w:rsidRPr="00D87C01" w:rsidRDefault="00651B6D" w:rsidP="0010115D">
      <w:r w:rsidRPr="00D87C01">
        <w:t>Likums “Par akcīzes nodokli” nosaka, ka no 2021</w:t>
      </w:r>
      <w:r>
        <w:t>. gad</w:t>
      </w:r>
      <w:r w:rsidRPr="00D87C01">
        <w:t xml:space="preserve">a </w:t>
      </w:r>
      <w:r>
        <w:t>1. janv</w:t>
      </w:r>
      <w:r w:rsidRPr="00D87C01">
        <w:t>āra līdz 2025</w:t>
      </w:r>
      <w:r>
        <w:t>. gad</w:t>
      </w:r>
      <w:r w:rsidRPr="00D87C01">
        <w:t>a 31.</w:t>
      </w:r>
      <w:r w:rsidR="007B5592">
        <w:t> </w:t>
      </w:r>
      <w:r w:rsidRPr="00D87C01">
        <w:t>decembrim</w:t>
      </w:r>
      <w:r>
        <w:t xml:space="preserve"> </w:t>
      </w:r>
      <w:r w:rsidRPr="00D87C01">
        <w:t>tiek samazināta akcīzes nodokļa likme dabasgāzei, ko izmanto par degvielu transportā.</w:t>
      </w:r>
      <w:r>
        <w:t xml:space="preserve"> </w:t>
      </w:r>
      <w:r w:rsidRPr="00D87C01">
        <w:t xml:space="preserve">Saskaņā ar Valsts ieņēmumu dienesta informāciju par dabasgāzes patēriņu </w:t>
      </w:r>
      <w:r>
        <w:t>–</w:t>
      </w:r>
      <w:r w:rsidRPr="00D87C01">
        <w:t xml:space="preserve"> dabasgāzes daudzums, ko izmanto par kurināmo, 2020</w:t>
      </w:r>
      <w:r>
        <w:t>. gad</w:t>
      </w:r>
      <w:r w:rsidRPr="00D87C01">
        <w:t>a decembrī un 2021</w:t>
      </w:r>
      <w:r>
        <w:t>. gad</w:t>
      </w:r>
      <w:r w:rsidRPr="00D87C01">
        <w:t>a piecos mēnešos, salīdzinot ar attiecīgo periodu pērn, palielinājies par 24,4</w:t>
      </w:r>
      <w:r>
        <w:t> procent</w:t>
      </w:r>
      <w:r w:rsidRPr="00D87C01">
        <w:t>iem. Dabasgāzes, ko izmanto par kurināmo, patēriņa dinamika ir tieši saistīta ar laikapstākļiem. Saskaņā ar Centrālās statistikas pārvaldes apkopoto informāciju 2020</w:t>
      </w:r>
      <w:r>
        <w:t>. gad</w:t>
      </w:r>
      <w:r w:rsidRPr="00D87C01">
        <w:t>a decembrī un 2021</w:t>
      </w:r>
      <w:r>
        <w:t>. gad</w:t>
      </w:r>
      <w:r w:rsidRPr="00D87C01">
        <w:t>a pirmajos piecos mēnešos vidējā gaisa temperatūra, salīdzinot ar 2019. un 2020</w:t>
      </w:r>
      <w:r>
        <w:t>. gad</w:t>
      </w:r>
      <w:r w:rsidRPr="00D87C01">
        <w:t>a atbilstošo periodu, samazinājusies par 2,8</w:t>
      </w:r>
      <w:r>
        <w:t> </w:t>
      </w:r>
      <w:r w:rsidRPr="00D87C01">
        <w:t>C</w:t>
      </w:r>
      <w:r w:rsidRPr="00D87C01">
        <w:rPr>
          <w:vertAlign w:val="superscript"/>
        </w:rPr>
        <w:t>o</w:t>
      </w:r>
      <w:r w:rsidRPr="00D87C01">
        <w:t>, kas atspoguļojas gan dabasgāzes, ko izmanto par kurināmo, patēriņa dinamikā,</w:t>
      </w:r>
      <w:r w:rsidR="0010115D">
        <w:t xml:space="preserve"> gan akcīzes nodokļa ieņēmumos. </w:t>
      </w:r>
      <w:r w:rsidRPr="00D87C01">
        <w:t>2022</w:t>
      </w:r>
      <w:r>
        <w:t>. gad</w:t>
      </w:r>
      <w:r w:rsidRPr="00D87C01">
        <w:t>a akcīzes nodokļa ieņēmumi no dabasgāzes tiek plānoti 20,8</w:t>
      </w:r>
      <w:r>
        <w:rPr>
          <w:rFonts w:eastAsia="Calibri"/>
          <w:szCs w:val="28"/>
        </w:rPr>
        <w:t> milj.</w:t>
      </w:r>
      <w:r w:rsidRPr="00D87C01">
        <w:rPr>
          <w:rFonts w:eastAsia="Calibri"/>
          <w:szCs w:val="28"/>
        </w:rPr>
        <w:t> </w:t>
      </w:r>
      <w:r w:rsidRPr="004F46D3">
        <w:rPr>
          <w:i/>
          <w:iCs/>
        </w:rPr>
        <w:t>euro</w:t>
      </w:r>
      <w:r w:rsidRPr="00D87C01">
        <w:t xml:space="preserve"> apmērā, kas ir par 0,1</w:t>
      </w:r>
      <w:r>
        <w:rPr>
          <w:rFonts w:eastAsia="Calibri"/>
          <w:szCs w:val="28"/>
        </w:rPr>
        <w:t> milj.</w:t>
      </w:r>
      <w:r w:rsidRPr="00D87C01">
        <w:rPr>
          <w:rFonts w:eastAsia="Calibri"/>
          <w:szCs w:val="28"/>
        </w:rPr>
        <w:t> </w:t>
      </w:r>
      <w:r w:rsidRPr="004F46D3">
        <w:rPr>
          <w:i/>
          <w:iCs/>
        </w:rPr>
        <w:t>euro</w:t>
      </w:r>
      <w:r w:rsidRPr="00D87C01">
        <w:t xml:space="preserve"> jeb par 0,5% vairāk nekā prognozēts 2021</w:t>
      </w:r>
      <w:r>
        <w:t>. gad</w:t>
      </w:r>
      <w:r w:rsidRPr="00D87C01">
        <w:t>am.</w:t>
      </w:r>
    </w:p>
    <w:p w14:paraId="14EC6C8F" w14:textId="77777777" w:rsidR="00651B6D" w:rsidRPr="001F3492" w:rsidRDefault="00651B6D" w:rsidP="007B5592">
      <w:pPr>
        <w:pStyle w:val="H4"/>
        <w:spacing w:before="240" w:after="240"/>
      </w:pPr>
      <w:r>
        <w:t>Akcīzes nodoklis</w:t>
      </w:r>
      <w:r w:rsidRPr="00CF0DD4">
        <w:t xml:space="preserve"> </w:t>
      </w:r>
      <w:r w:rsidRPr="00D87C01">
        <w:t>pārējām akcīzes precēm</w:t>
      </w:r>
    </w:p>
    <w:p w14:paraId="4D0D6B83" w14:textId="77777777" w:rsidR="00651B6D" w:rsidRPr="00D87C01" w:rsidRDefault="00651B6D" w:rsidP="00651B6D">
      <w:r w:rsidRPr="00D87C01">
        <w:t>2021</w:t>
      </w:r>
      <w:r>
        <w:t>. gad</w:t>
      </w:r>
      <w:r w:rsidRPr="00D87C01">
        <w:t xml:space="preserve">a pirmajā pusgadā akcīzes nodokļa ieņēmumi no </w:t>
      </w:r>
      <w:r w:rsidRPr="00CF0DD4">
        <w:rPr>
          <w:bCs/>
        </w:rPr>
        <w:t>pārējām akcīzes precēm</w:t>
      </w:r>
      <w:r w:rsidRPr="00D87C01">
        <w:t xml:space="preserve"> </w:t>
      </w:r>
      <w:r>
        <w:t>–</w:t>
      </w:r>
      <w:r w:rsidRPr="00D87C01">
        <w:t xml:space="preserve"> kafiju, bezalkoholiskajiem dzērieniem un elektroniskajās cigaretēs izmantojamajiem šķidrumiem </w:t>
      </w:r>
      <w:r>
        <w:t>–</w:t>
      </w:r>
      <w:r w:rsidRPr="00D87C01">
        <w:t xml:space="preserve"> bija 9,0</w:t>
      </w:r>
      <w:r>
        <w:rPr>
          <w:rFonts w:eastAsia="Calibri"/>
          <w:szCs w:val="28"/>
        </w:rPr>
        <w:t> milj.</w:t>
      </w:r>
      <w:r w:rsidRPr="00D87C01">
        <w:rPr>
          <w:rFonts w:eastAsia="Calibri"/>
          <w:szCs w:val="28"/>
        </w:rPr>
        <w:t> </w:t>
      </w:r>
      <w:r w:rsidRPr="004F46D3">
        <w:rPr>
          <w:i/>
          <w:iCs/>
        </w:rPr>
        <w:t>euro</w:t>
      </w:r>
      <w:r w:rsidRPr="00D87C01">
        <w:t>. Salīdzinājumā ar 2020</w:t>
      </w:r>
      <w:r>
        <w:t>. gad</w:t>
      </w:r>
      <w:r w:rsidRPr="00D87C01">
        <w:t>a atbilstošo periodu akcīzes nodokļa ieņēmumi no tām ir palielinājušies par 0,5</w:t>
      </w:r>
      <w:r>
        <w:rPr>
          <w:rFonts w:eastAsia="Calibri"/>
          <w:szCs w:val="28"/>
        </w:rPr>
        <w:t> milj.</w:t>
      </w:r>
      <w:r w:rsidRPr="00D87C01">
        <w:rPr>
          <w:rFonts w:eastAsia="Calibri"/>
          <w:szCs w:val="28"/>
        </w:rPr>
        <w:t> </w:t>
      </w:r>
      <w:r w:rsidRPr="004F46D3">
        <w:rPr>
          <w:i/>
          <w:iCs/>
        </w:rPr>
        <w:t>euro</w:t>
      </w:r>
      <w:r w:rsidRPr="00D87C01">
        <w:t xml:space="preserve"> jeb 5,8</w:t>
      </w:r>
      <w:r>
        <w:rPr>
          <w:rFonts w:eastAsia="Calibri"/>
          <w:szCs w:val="28"/>
        </w:rPr>
        <w:t> procent</w:t>
      </w:r>
      <w:r w:rsidRPr="00D87C01">
        <w:t>iem. Salīdzinot ar pirmajā pusgadā plānoto, iekasēts par 0,3</w:t>
      </w:r>
      <w:r>
        <w:rPr>
          <w:rFonts w:eastAsia="Calibri"/>
          <w:szCs w:val="28"/>
        </w:rPr>
        <w:t> milj.</w:t>
      </w:r>
      <w:r w:rsidRPr="00D87C01">
        <w:rPr>
          <w:rFonts w:eastAsia="Calibri"/>
          <w:szCs w:val="28"/>
        </w:rPr>
        <w:t> </w:t>
      </w:r>
      <w:r w:rsidRPr="004F46D3">
        <w:rPr>
          <w:i/>
          <w:iCs/>
        </w:rPr>
        <w:t>euro</w:t>
      </w:r>
      <w:r w:rsidRPr="00D87C01">
        <w:rPr>
          <w:i/>
          <w:iCs/>
        </w:rPr>
        <w:t xml:space="preserve"> </w:t>
      </w:r>
      <w:r w:rsidRPr="00D87C01">
        <w:t>jeb 3,4% vairāk.</w:t>
      </w:r>
    </w:p>
    <w:p w14:paraId="16E257F6" w14:textId="77777777" w:rsidR="00651B6D" w:rsidRPr="00D87C01" w:rsidRDefault="00651B6D" w:rsidP="00651B6D">
      <w:r w:rsidRPr="00D87C01">
        <w:t>Saskaņā ar Valsts ieņēmumu dienesta sniegto informāciju bezalkoholisko dzērienu patēriņš 2020</w:t>
      </w:r>
      <w:r>
        <w:t>. gad</w:t>
      </w:r>
      <w:r w:rsidRPr="00D87C01">
        <w:t>a decembrī un 2021</w:t>
      </w:r>
      <w:r>
        <w:t>. gad</w:t>
      </w:r>
      <w:r w:rsidRPr="00D87C01">
        <w:t>a piecos</w:t>
      </w:r>
      <w:bookmarkStart w:id="80" w:name="_Hlk82809113"/>
      <w:r w:rsidRPr="00D87C01">
        <w:t> </w:t>
      </w:r>
      <w:bookmarkEnd w:id="80"/>
      <w:r w:rsidRPr="00D87C01">
        <w:t>mēnešos un salīdzinājumā ar 2019.</w:t>
      </w:r>
      <w:r>
        <w:t xml:space="preserve"> </w:t>
      </w:r>
      <w:r w:rsidRPr="00D87C01">
        <w:t>un 2020</w:t>
      </w:r>
      <w:r>
        <w:t>. gad</w:t>
      </w:r>
      <w:r w:rsidRPr="00D87C01">
        <w:t>a atbilstošo periodu ir samazinājies par 7,0%, bet kafijas patēriņš tai pašā periodā palielinājies par 1,8</w:t>
      </w:r>
      <w:r>
        <w:t> procent</w:t>
      </w:r>
      <w:r w:rsidRPr="00D87C01">
        <w:t xml:space="preserve">iem. Elektroniskajās cigaretēs izmantojamo šķidrumu patēriņš palielinājies par 4,3 reizēm. </w:t>
      </w:r>
    </w:p>
    <w:p w14:paraId="045523E8" w14:textId="77777777" w:rsidR="00651B6D" w:rsidRPr="00D87C01" w:rsidRDefault="00651B6D" w:rsidP="00651B6D">
      <w:r w:rsidRPr="00D87C01">
        <w:lastRenderedPageBreak/>
        <w:t>Likums “Par akcīzes nodokli” nosaka, ka no 2021</w:t>
      </w:r>
      <w:r>
        <w:t>. gad</w:t>
      </w:r>
      <w:r w:rsidRPr="00D87C01">
        <w:t xml:space="preserve">a </w:t>
      </w:r>
      <w:r>
        <w:t>1. janv</w:t>
      </w:r>
      <w:r w:rsidRPr="00D87C01">
        <w:t>āra elektroniskajās cigaretēs izmantojamiem šķidrumiem noteikta akcīzes nodokļa likme par vienu mililitru e-šķidruma neatkarīgi no nikotīna daudzuma produktā</w:t>
      </w:r>
      <w:r>
        <w:t>,</w:t>
      </w:r>
      <w:r w:rsidRPr="00D87C01">
        <w:t xml:space="preserve"> un nodoklis tiek piemērots arī elektroniskajās cigaretēs izmantojamo šķidrumu sagatavošanas sastāvdaļām (propilenglikols, aromatizatori, augu izcelsmes glicerīns un nikotīna ekstrakti). Iepriekš šīs sastāvdaļas plaši tika piedāvātas Latvijas tirgū un patērētāji tās iegādājas, lai sagatavotu elektroniskajās cigaretēs izmantojamo šķidrumu, tādējādi izvairoties no akcīzes nodokļa nomaksas. Kā arī tiek piemērots akcīzes nodoklis tabakas aizstājējproduktiem.</w:t>
      </w:r>
    </w:p>
    <w:p w14:paraId="6312990E" w14:textId="17D358AE" w:rsidR="00651B6D" w:rsidRPr="0010115D" w:rsidRDefault="00651B6D" w:rsidP="0010115D">
      <w:pPr>
        <w:rPr>
          <w:highlight w:val="yellow"/>
        </w:rPr>
      </w:pPr>
      <w:r w:rsidRPr="00D87C01">
        <w:t>Saskaņā ar likumu “Par akcīzes nodokli” no 2022</w:t>
      </w:r>
      <w:r>
        <w:t>. gad</w:t>
      </w:r>
      <w:r w:rsidRPr="00D87C01">
        <w:t>a janvāra paredzētas izmaiņas bezalkoholisko dzērienu, tabakas aizstājējproduktu un elektroniskajās cigaretēs izmantojamo šķidrumu akcīzes nodokļa likmēs.</w:t>
      </w:r>
      <w:r w:rsidR="0010115D">
        <w:t xml:space="preserve"> </w:t>
      </w:r>
      <w:r w:rsidRPr="00D87C01">
        <w:rPr>
          <w:szCs w:val="24"/>
        </w:rPr>
        <w:t>2022</w:t>
      </w:r>
      <w:r>
        <w:rPr>
          <w:szCs w:val="24"/>
        </w:rPr>
        <w:t>. gad</w:t>
      </w:r>
      <w:r w:rsidRPr="00D87C01">
        <w:rPr>
          <w:szCs w:val="24"/>
        </w:rPr>
        <w:t>a akcīzes nodokļa ieņēmumi no pārējām akcīzes precēm s</w:t>
      </w:r>
      <w:r w:rsidRPr="00D87C01">
        <w:t>askaņā ar likumprojektu „Par valsts budžetu 2022</w:t>
      </w:r>
      <w:r>
        <w:t>. gad</w:t>
      </w:r>
      <w:r w:rsidRPr="00D87C01">
        <w:t>am” tiek plānoti 21,9</w:t>
      </w:r>
      <w:r>
        <w:t> milj.</w:t>
      </w:r>
      <w:r w:rsidRPr="00D87C01">
        <w:rPr>
          <w:i/>
        </w:rPr>
        <w:t> </w:t>
      </w:r>
      <w:r w:rsidRPr="004F46D3">
        <w:rPr>
          <w:i/>
        </w:rPr>
        <w:t>euro</w:t>
      </w:r>
      <w:r w:rsidRPr="00D87C01">
        <w:t xml:space="preserve"> apmērā, kas ir par 1,8</w:t>
      </w:r>
      <w:r>
        <w:t> milj.</w:t>
      </w:r>
      <w:r w:rsidRPr="00D87C01">
        <w:rPr>
          <w:i/>
        </w:rPr>
        <w:t> </w:t>
      </w:r>
      <w:r w:rsidRPr="004F46D3">
        <w:rPr>
          <w:i/>
        </w:rPr>
        <w:t>euro</w:t>
      </w:r>
      <w:r w:rsidRPr="00D87C01">
        <w:t xml:space="preserve"> jeb 9,0% vairāk nekā prognozēts 2021</w:t>
      </w:r>
      <w:r>
        <w:t>. gad</w:t>
      </w:r>
      <w:r w:rsidRPr="00D87C01">
        <w:t>am.</w:t>
      </w:r>
    </w:p>
    <w:p w14:paraId="5B86A153" w14:textId="77777777" w:rsidR="00651B6D" w:rsidRPr="008C6453" w:rsidRDefault="00651B6D" w:rsidP="007B5592">
      <w:pPr>
        <w:pStyle w:val="H3"/>
        <w:spacing w:before="240" w:after="240"/>
      </w:pPr>
      <w:bookmarkStart w:id="81" w:name="_Toc84756427"/>
      <w:bookmarkEnd w:id="74"/>
      <w:bookmarkEnd w:id="75"/>
      <w:bookmarkEnd w:id="76"/>
      <w:bookmarkEnd w:id="77"/>
      <w:r w:rsidRPr="008C6453">
        <w:t xml:space="preserve">Transportlīdzekļu ekspluatācijas </w:t>
      </w:r>
      <w:r>
        <w:t>nodoklis</w:t>
      </w:r>
      <w:bookmarkEnd w:id="81"/>
    </w:p>
    <w:p w14:paraId="56E7D4ED" w14:textId="0144AACF" w:rsidR="00651B6D" w:rsidRDefault="00651B6D" w:rsidP="00651B6D">
      <w:r w:rsidRPr="00CA2EA4">
        <w:rPr>
          <w:bCs/>
          <w:szCs w:val="24"/>
        </w:rPr>
        <w:t>Transportlīdzekļu ekspluatācijas nodokļa</w:t>
      </w:r>
      <w:r w:rsidRPr="009D0DD8">
        <w:rPr>
          <w:szCs w:val="24"/>
        </w:rPr>
        <w:t xml:space="preserve"> ieņēmumi 2021</w:t>
      </w:r>
      <w:r>
        <w:rPr>
          <w:szCs w:val="24"/>
        </w:rPr>
        <w:t>. gad</w:t>
      </w:r>
      <w:r w:rsidRPr="009D0DD8">
        <w:rPr>
          <w:szCs w:val="24"/>
        </w:rPr>
        <w:t>a sešos mēnešos bija</w:t>
      </w:r>
      <w:r>
        <w:rPr>
          <w:szCs w:val="24"/>
        </w:rPr>
        <w:t xml:space="preserve"> 53,0 milj.</w:t>
      </w:r>
      <w:r>
        <w:rPr>
          <w:i/>
          <w:szCs w:val="24"/>
        </w:rPr>
        <w:t> </w:t>
      </w:r>
      <w:r w:rsidRPr="004F46D3">
        <w:rPr>
          <w:i/>
          <w:szCs w:val="24"/>
        </w:rPr>
        <w:t>euro</w:t>
      </w:r>
      <w:r>
        <w:rPr>
          <w:szCs w:val="24"/>
        </w:rPr>
        <w:t>, kas salīdzinājumā ar 2020. gada 1.</w:t>
      </w:r>
      <w:r w:rsidR="007B5592">
        <w:rPr>
          <w:szCs w:val="24"/>
        </w:rPr>
        <w:t xml:space="preserve"> </w:t>
      </w:r>
      <w:r>
        <w:rPr>
          <w:szCs w:val="24"/>
        </w:rPr>
        <w:t>pusgadu ir par 2,2 milj.</w:t>
      </w:r>
      <w:r>
        <w:rPr>
          <w:i/>
          <w:szCs w:val="24"/>
        </w:rPr>
        <w:t> </w:t>
      </w:r>
      <w:r w:rsidRPr="004F46D3">
        <w:rPr>
          <w:i/>
          <w:szCs w:val="24"/>
        </w:rPr>
        <w:t>euro</w:t>
      </w:r>
      <w:r>
        <w:rPr>
          <w:szCs w:val="24"/>
        </w:rPr>
        <w:t xml:space="preserve"> jeb 4,3% vairāk. Salīdzinājumā ar 2021. gada sešu mēnešu plānu ieņēmumi atpaliek par 3,0 milj.</w:t>
      </w:r>
      <w:r>
        <w:rPr>
          <w:i/>
          <w:szCs w:val="24"/>
        </w:rPr>
        <w:t> </w:t>
      </w:r>
      <w:r w:rsidRPr="004F46D3">
        <w:rPr>
          <w:i/>
          <w:szCs w:val="24"/>
        </w:rPr>
        <w:t>euro</w:t>
      </w:r>
      <w:r>
        <w:rPr>
          <w:szCs w:val="24"/>
        </w:rPr>
        <w:t xml:space="preserve"> jeb 5,4 procentiem. </w:t>
      </w:r>
      <w:r>
        <w:t>Nodokļa plāna neizpilde izveidojās galvenokārt pateicoties zemākiem nekā bija plānots nodokļa ieņēmumiem janvārī un saistāma ar nodokļa likmju pieaugumu kopš gada sākuma, kā rezultātā daļa no transportlīdzekļu īpašniekiem samaksāja nodokli par 2021. gadu 2020. gada beigās</w:t>
      </w:r>
      <w:r w:rsidRPr="00746F7D">
        <w:t>. Līdz ar to prognoze 2021</w:t>
      </w:r>
      <w:r>
        <w:t>. gad</w:t>
      </w:r>
      <w:r w:rsidRPr="00746F7D">
        <w:t>am ir samazināta par 1,5</w:t>
      </w:r>
      <w:r>
        <w:t> milj.</w:t>
      </w:r>
      <w:r w:rsidRPr="00746F7D">
        <w:rPr>
          <w:i/>
        </w:rPr>
        <w:t> </w:t>
      </w:r>
      <w:r w:rsidRPr="004F46D3">
        <w:rPr>
          <w:i/>
        </w:rPr>
        <w:t>euro</w:t>
      </w:r>
      <w:r w:rsidRPr="00746F7D">
        <w:t xml:space="preserve"> jeb 1,4% no plāna</w:t>
      </w:r>
      <w:r>
        <w:t xml:space="preserve"> un </w:t>
      </w:r>
      <w:r w:rsidRPr="001104D6">
        <w:t>nodok</w:t>
      </w:r>
      <w:r>
        <w:t>ļa ieņēmumi</w:t>
      </w:r>
      <w:r w:rsidRPr="001104D6">
        <w:t xml:space="preserve"> prognozēti </w:t>
      </w:r>
      <w:r>
        <w:t>102,2 milj.</w:t>
      </w:r>
      <w:r w:rsidRPr="001104D6">
        <w:rPr>
          <w:i/>
        </w:rPr>
        <w:t> </w:t>
      </w:r>
      <w:r w:rsidRPr="004F46D3">
        <w:rPr>
          <w:i/>
        </w:rPr>
        <w:t>euro</w:t>
      </w:r>
      <w:r w:rsidRPr="001104D6">
        <w:t xml:space="preserve"> </w:t>
      </w:r>
      <w:r>
        <w:t xml:space="preserve">apmērā. </w:t>
      </w:r>
    </w:p>
    <w:p w14:paraId="16E077E5" w14:textId="77777777" w:rsidR="00651B6D" w:rsidRPr="009D0DD8" w:rsidRDefault="00651B6D" w:rsidP="00651B6D">
      <w:r w:rsidRPr="00746F7D">
        <w:t>Ņemot vērā, ka nodokļa ieņēmumi 2021</w:t>
      </w:r>
      <w:r>
        <w:t>. gad</w:t>
      </w:r>
      <w:r w:rsidRPr="00746F7D">
        <w:t>a februārī</w:t>
      </w:r>
      <w:r w:rsidRPr="00746F7D">
        <w:noBreakHyphen/>
        <w:t>jūnijā lielākoties atbilst plānam</w:t>
      </w:r>
      <w:r>
        <w:t xml:space="preserve"> </w:t>
      </w:r>
      <w:r w:rsidRPr="00746F7D">
        <w:t>un tuvākajos gados nav sagaidāmas būtiskas nodokļa likmju izmaiņas, prognozējams, ka nodokļa ieņēmumi 2022. un 2023</w:t>
      </w:r>
      <w:r>
        <w:t>. gad</w:t>
      </w:r>
      <w:r w:rsidRPr="00746F7D">
        <w:t xml:space="preserve">ā būs iepriekš plānotajā apmērā, saglabājot mēreno gada pārmaiņas tempu 2,4% apmērā </w:t>
      </w:r>
      <w:r>
        <w:t xml:space="preserve">2023. un </w:t>
      </w:r>
      <w:r w:rsidRPr="00746F7D">
        <w:t>2024</w:t>
      </w:r>
      <w:r>
        <w:t>. gad</w:t>
      </w:r>
      <w:r w:rsidRPr="00746F7D">
        <w:t xml:space="preserve">ā. </w:t>
      </w:r>
      <w:r w:rsidRPr="009D0DD8">
        <w:t xml:space="preserve">Saskaņā ar likumprojektu „Par </w:t>
      </w:r>
      <w:r w:rsidRPr="009D0DD8">
        <w:rPr>
          <w:szCs w:val="24"/>
        </w:rPr>
        <w:t xml:space="preserve">vidēja termiņa budžeta ietvaru 2022., 2023. un </w:t>
      </w:r>
      <w:r w:rsidRPr="009D0DD8">
        <w:t>2024</w:t>
      </w:r>
      <w:r>
        <w:t>. gad</w:t>
      </w:r>
      <w:r w:rsidRPr="009D0DD8">
        <w:t xml:space="preserve">am” </w:t>
      </w:r>
      <w:r w:rsidRPr="00746F7D">
        <w:t>transportlīdzekļu ekspluatācijas nodokļa ieņēmumi 2022</w:t>
      </w:r>
      <w:r>
        <w:t>. gad</w:t>
      </w:r>
      <w:r w:rsidRPr="00746F7D">
        <w:t>ā tiek plānoti 106,1</w:t>
      </w:r>
      <w:r>
        <w:t> milj.</w:t>
      </w:r>
      <w:r w:rsidRPr="00746F7D">
        <w:rPr>
          <w:i/>
        </w:rPr>
        <w:t> </w:t>
      </w:r>
      <w:r w:rsidRPr="004F46D3">
        <w:rPr>
          <w:i/>
        </w:rPr>
        <w:t>euro</w:t>
      </w:r>
      <w:r w:rsidRPr="00746F7D">
        <w:t>, 2023</w:t>
      </w:r>
      <w:r>
        <w:t>. gad</w:t>
      </w:r>
      <w:r w:rsidRPr="00746F7D">
        <w:t>ā 108,7</w:t>
      </w:r>
      <w:r>
        <w:t> milj.</w:t>
      </w:r>
      <w:r w:rsidRPr="00746F7D">
        <w:rPr>
          <w:i/>
        </w:rPr>
        <w:t> </w:t>
      </w:r>
      <w:r w:rsidRPr="004F46D3">
        <w:rPr>
          <w:i/>
        </w:rPr>
        <w:t>euro</w:t>
      </w:r>
      <w:r w:rsidRPr="00746F7D">
        <w:t xml:space="preserve"> un 2024</w:t>
      </w:r>
      <w:r>
        <w:t>. gad</w:t>
      </w:r>
      <w:r w:rsidRPr="00746F7D">
        <w:t>ā 111,3</w:t>
      </w:r>
      <w:r>
        <w:t> milj.</w:t>
      </w:r>
      <w:r w:rsidRPr="00746F7D">
        <w:rPr>
          <w:i/>
        </w:rPr>
        <w:t> </w:t>
      </w:r>
      <w:r w:rsidRPr="004F46D3">
        <w:rPr>
          <w:i/>
        </w:rPr>
        <w:t>euro</w:t>
      </w:r>
      <w:r w:rsidRPr="00746F7D">
        <w:t xml:space="preserve"> apmērā</w:t>
      </w:r>
      <w:r w:rsidRPr="001104D6">
        <w:t xml:space="preserve"> </w:t>
      </w:r>
      <w:r>
        <w:t>(skat. 3.12. tabulu)</w:t>
      </w:r>
      <w:r w:rsidRPr="001104D6">
        <w:t>.</w:t>
      </w:r>
    </w:p>
    <w:p w14:paraId="3C643FF8" w14:textId="77777777" w:rsidR="00651B6D" w:rsidRPr="003C0AF5" w:rsidRDefault="00651B6D" w:rsidP="007B5592">
      <w:pPr>
        <w:keepNext/>
        <w:spacing w:before="120"/>
        <w:ind w:firstLine="0"/>
        <w:jc w:val="right"/>
        <w:rPr>
          <w:b/>
          <w:i/>
          <w:szCs w:val="24"/>
        </w:rPr>
      </w:pPr>
      <w:r w:rsidRPr="003C0AF5">
        <w:rPr>
          <w:b/>
          <w:i/>
          <w:szCs w:val="24"/>
        </w:rPr>
        <w:t>3.12</w:t>
      </w:r>
      <w:r>
        <w:rPr>
          <w:b/>
          <w:i/>
          <w:szCs w:val="24"/>
        </w:rPr>
        <w:t>. tab</w:t>
      </w:r>
      <w:r w:rsidRPr="003C0AF5">
        <w:rPr>
          <w:b/>
          <w:i/>
          <w:szCs w:val="24"/>
        </w:rPr>
        <w:t>ula. Transportlīdzekļa ekspluatācijas nodokļa ieņēmumi</w:t>
      </w:r>
    </w:p>
    <w:tbl>
      <w:tblPr>
        <w:tblW w:w="5000" w:type="pct"/>
        <w:jc w:val="center"/>
        <w:tblLook w:val="04A0" w:firstRow="1" w:lastRow="0" w:firstColumn="1" w:lastColumn="0" w:noHBand="0" w:noVBand="1"/>
      </w:tblPr>
      <w:tblGrid>
        <w:gridCol w:w="6517"/>
        <w:gridCol w:w="681"/>
        <w:gridCol w:w="621"/>
        <w:gridCol w:w="621"/>
        <w:gridCol w:w="621"/>
      </w:tblGrid>
      <w:tr w:rsidR="00651B6D" w:rsidRPr="003C0AF5" w14:paraId="4CCE80C4" w14:textId="77777777" w:rsidTr="0010115D">
        <w:trPr>
          <w:trHeight w:val="144"/>
          <w:tblHeader/>
          <w:jc w:val="center"/>
        </w:trPr>
        <w:tc>
          <w:tcPr>
            <w:tcW w:w="3674" w:type="pct"/>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6CF6D446" w14:textId="77777777" w:rsidR="00651B6D" w:rsidRPr="003C0AF5" w:rsidRDefault="00651B6D" w:rsidP="0010115D">
            <w:pPr>
              <w:keepNext/>
              <w:keepLines/>
              <w:spacing w:after="0"/>
              <w:ind w:firstLine="0"/>
              <w:jc w:val="center"/>
              <w:rPr>
                <w:b/>
                <w:color w:val="000000"/>
                <w:sz w:val="18"/>
                <w:szCs w:val="18"/>
              </w:rPr>
            </w:pPr>
          </w:p>
        </w:tc>
        <w:tc>
          <w:tcPr>
            <w:tcW w:w="292" w:type="pct"/>
            <w:tcBorders>
              <w:top w:val="single" w:sz="4" w:space="0" w:color="auto"/>
              <w:left w:val="nil"/>
              <w:bottom w:val="single" w:sz="4" w:space="0" w:color="auto"/>
              <w:right w:val="single" w:sz="4" w:space="0" w:color="000000"/>
            </w:tcBorders>
            <w:shd w:val="clear" w:color="auto" w:fill="9CC2E5" w:themeFill="accent1" w:themeFillTint="99"/>
            <w:vAlign w:val="center"/>
          </w:tcPr>
          <w:p w14:paraId="543A70B3" w14:textId="77777777" w:rsidR="00651B6D" w:rsidRPr="003C0AF5" w:rsidRDefault="00651B6D" w:rsidP="0010115D">
            <w:pPr>
              <w:keepNext/>
              <w:keepLines/>
              <w:spacing w:after="0"/>
              <w:ind w:firstLine="0"/>
              <w:jc w:val="center"/>
              <w:rPr>
                <w:b/>
                <w:color w:val="000000"/>
                <w:sz w:val="18"/>
                <w:szCs w:val="18"/>
              </w:rPr>
            </w:pPr>
            <w:r w:rsidRPr="003C0AF5">
              <w:rPr>
                <w:b/>
                <w:color w:val="000000"/>
                <w:sz w:val="18"/>
                <w:szCs w:val="18"/>
              </w:rPr>
              <w:t>2021</w:t>
            </w:r>
          </w:p>
        </w:tc>
        <w:tc>
          <w:tcPr>
            <w:tcW w:w="347" w:type="pct"/>
            <w:tcBorders>
              <w:top w:val="single" w:sz="4" w:space="0" w:color="auto"/>
              <w:left w:val="nil"/>
              <w:bottom w:val="single" w:sz="4" w:space="0" w:color="auto"/>
              <w:right w:val="single" w:sz="4" w:space="0" w:color="000000"/>
            </w:tcBorders>
            <w:shd w:val="clear" w:color="auto" w:fill="9CC2E5" w:themeFill="accent1" w:themeFillTint="99"/>
            <w:vAlign w:val="center"/>
          </w:tcPr>
          <w:p w14:paraId="610252D3" w14:textId="77777777" w:rsidR="00651B6D" w:rsidRPr="003C0AF5" w:rsidRDefault="00651B6D" w:rsidP="0010115D">
            <w:pPr>
              <w:keepNext/>
              <w:keepLines/>
              <w:spacing w:after="0"/>
              <w:ind w:firstLine="0"/>
              <w:jc w:val="center"/>
              <w:rPr>
                <w:b/>
                <w:color w:val="000000"/>
                <w:sz w:val="18"/>
                <w:szCs w:val="18"/>
              </w:rPr>
            </w:pPr>
            <w:r w:rsidRPr="003C0AF5">
              <w:rPr>
                <w:b/>
                <w:color w:val="000000"/>
                <w:sz w:val="18"/>
                <w:szCs w:val="18"/>
              </w:rPr>
              <w:t>2022</w:t>
            </w:r>
          </w:p>
        </w:tc>
        <w:tc>
          <w:tcPr>
            <w:tcW w:w="343" w:type="pct"/>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13053A7" w14:textId="77777777" w:rsidR="00651B6D" w:rsidRPr="003C0AF5" w:rsidRDefault="00651B6D" w:rsidP="0010115D">
            <w:pPr>
              <w:keepNext/>
              <w:keepLines/>
              <w:spacing w:after="0"/>
              <w:ind w:firstLine="0"/>
              <w:jc w:val="center"/>
              <w:rPr>
                <w:b/>
                <w:color w:val="000000"/>
                <w:sz w:val="18"/>
                <w:szCs w:val="18"/>
              </w:rPr>
            </w:pPr>
            <w:r w:rsidRPr="003C0AF5">
              <w:rPr>
                <w:b/>
                <w:color w:val="000000"/>
                <w:sz w:val="18"/>
                <w:szCs w:val="18"/>
              </w:rPr>
              <w:t>2023</w:t>
            </w:r>
          </w:p>
        </w:tc>
        <w:tc>
          <w:tcPr>
            <w:tcW w:w="343" w:type="pct"/>
            <w:tcBorders>
              <w:top w:val="single" w:sz="4" w:space="0" w:color="auto"/>
              <w:left w:val="nil"/>
              <w:bottom w:val="single" w:sz="4" w:space="0" w:color="auto"/>
              <w:right w:val="single" w:sz="4" w:space="0" w:color="auto"/>
            </w:tcBorders>
            <w:shd w:val="clear" w:color="auto" w:fill="9CC2E5" w:themeFill="accent1" w:themeFillTint="99"/>
          </w:tcPr>
          <w:p w14:paraId="2605EFD5" w14:textId="77777777" w:rsidR="00651B6D" w:rsidRPr="003C0AF5" w:rsidRDefault="00651B6D" w:rsidP="0010115D">
            <w:pPr>
              <w:keepNext/>
              <w:keepLines/>
              <w:spacing w:after="0"/>
              <w:ind w:firstLine="0"/>
              <w:jc w:val="center"/>
              <w:rPr>
                <w:b/>
                <w:color w:val="000000"/>
                <w:sz w:val="18"/>
                <w:szCs w:val="18"/>
              </w:rPr>
            </w:pPr>
            <w:r w:rsidRPr="003C0AF5">
              <w:rPr>
                <w:b/>
                <w:color w:val="000000"/>
                <w:sz w:val="18"/>
                <w:szCs w:val="18"/>
              </w:rPr>
              <w:t>2024</w:t>
            </w:r>
          </w:p>
        </w:tc>
      </w:tr>
      <w:tr w:rsidR="00651B6D" w:rsidRPr="003C0AF5" w14:paraId="428E5C8A" w14:textId="77777777" w:rsidTr="0010115D">
        <w:trPr>
          <w:trHeight w:val="136"/>
          <w:jc w:val="center"/>
        </w:trPr>
        <w:tc>
          <w:tcPr>
            <w:tcW w:w="3674" w:type="pct"/>
            <w:tcBorders>
              <w:top w:val="nil"/>
              <w:left w:val="single" w:sz="4" w:space="0" w:color="auto"/>
              <w:bottom w:val="single" w:sz="4" w:space="0" w:color="auto"/>
              <w:right w:val="single" w:sz="4" w:space="0" w:color="auto"/>
            </w:tcBorders>
            <w:shd w:val="clear" w:color="auto" w:fill="auto"/>
            <w:vAlign w:val="center"/>
            <w:hideMark/>
          </w:tcPr>
          <w:p w14:paraId="292EB67F" w14:textId="77777777" w:rsidR="00651B6D" w:rsidRPr="003C0AF5" w:rsidRDefault="00651B6D" w:rsidP="0010115D">
            <w:pPr>
              <w:keepNext/>
              <w:keepLines/>
              <w:spacing w:after="0"/>
              <w:ind w:firstLine="0"/>
              <w:jc w:val="left"/>
              <w:rPr>
                <w:color w:val="000000"/>
                <w:sz w:val="18"/>
                <w:szCs w:val="18"/>
              </w:rPr>
            </w:pPr>
            <w:r w:rsidRPr="003C0AF5">
              <w:rPr>
                <w:color w:val="000000"/>
                <w:sz w:val="18"/>
                <w:szCs w:val="18"/>
              </w:rPr>
              <w:t>Saskaņā ar likumprojektu „Par vidēja termiņa budžeta ietvaru 2022., 2023. un 2024</w:t>
            </w:r>
            <w:r>
              <w:rPr>
                <w:color w:val="000000"/>
                <w:sz w:val="18"/>
                <w:szCs w:val="18"/>
              </w:rPr>
              <w:t>. gad</w:t>
            </w:r>
            <w:r w:rsidRPr="003C0AF5">
              <w:rPr>
                <w:color w:val="000000"/>
                <w:sz w:val="18"/>
                <w:szCs w:val="18"/>
              </w:rPr>
              <w:t>am”</w:t>
            </w:r>
            <w:r>
              <w:rPr>
                <w:color w:val="000000"/>
                <w:sz w:val="18"/>
                <w:szCs w:val="18"/>
              </w:rPr>
              <w:t>, milj.</w:t>
            </w:r>
            <w:r w:rsidRPr="003C0AF5">
              <w:rPr>
                <w:i/>
                <w:color w:val="000000"/>
                <w:sz w:val="18"/>
                <w:szCs w:val="18"/>
              </w:rPr>
              <w:t> </w:t>
            </w:r>
            <w:r w:rsidRPr="004F46D3">
              <w:rPr>
                <w:i/>
                <w:color w:val="000000"/>
                <w:sz w:val="18"/>
                <w:szCs w:val="18"/>
              </w:rPr>
              <w:t>euro</w:t>
            </w:r>
          </w:p>
        </w:tc>
        <w:tc>
          <w:tcPr>
            <w:tcW w:w="292" w:type="pct"/>
            <w:tcBorders>
              <w:top w:val="nil"/>
              <w:left w:val="nil"/>
              <w:bottom w:val="single" w:sz="4" w:space="0" w:color="auto"/>
              <w:right w:val="single" w:sz="4" w:space="0" w:color="auto"/>
            </w:tcBorders>
            <w:shd w:val="clear" w:color="auto" w:fill="auto"/>
            <w:noWrap/>
          </w:tcPr>
          <w:p w14:paraId="001BF112" w14:textId="77777777" w:rsidR="00651B6D" w:rsidRPr="003C0AF5" w:rsidRDefault="00651B6D" w:rsidP="0010115D">
            <w:pPr>
              <w:keepNext/>
              <w:keepLines/>
              <w:spacing w:after="0"/>
              <w:ind w:firstLine="0"/>
              <w:jc w:val="right"/>
              <w:rPr>
                <w:sz w:val="18"/>
                <w:szCs w:val="18"/>
              </w:rPr>
            </w:pPr>
            <w:r w:rsidRPr="003C0AF5">
              <w:rPr>
                <w:sz w:val="18"/>
                <w:szCs w:val="18"/>
              </w:rPr>
              <w:t>102,2</w:t>
            </w:r>
            <w:r w:rsidRPr="005E09BD">
              <w:rPr>
                <w:bCs/>
                <w:sz w:val="18"/>
                <w:szCs w:val="18"/>
                <w:vertAlign w:val="superscript"/>
              </w:rPr>
              <w:t>1</w:t>
            </w:r>
          </w:p>
        </w:tc>
        <w:tc>
          <w:tcPr>
            <w:tcW w:w="347" w:type="pct"/>
            <w:tcBorders>
              <w:top w:val="nil"/>
              <w:left w:val="nil"/>
              <w:bottom w:val="single" w:sz="4" w:space="0" w:color="auto"/>
              <w:right w:val="single" w:sz="4" w:space="0" w:color="auto"/>
            </w:tcBorders>
            <w:shd w:val="clear" w:color="auto" w:fill="auto"/>
            <w:noWrap/>
          </w:tcPr>
          <w:p w14:paraId="4AFBE53A" w14:textId="77777777" w:rsidR="00651B6D" w:rsidRPr="003C0AF5" w:rsidRDefault="00651B6D" w:rsidP="0010115D">
            <w:pPr>
              <w:keepNext/>
              <w:keepLines/>
              <w:spacing w:after="0"/>
              <w:ind w:firstLine="0"/>
              <w:jc w:val="right"/>
              <w:rPr>
                <w:sz w:val="18"/>
                <w:szCs w:val="18"/>
              </w:rPr>
            </w:pPr>
            <w:r w:rsidRPr="003C0AF5">
              <w:rPr>
                <w:sz w:val="18"/>
                <w:szCs w:val="18"/>
              </w:rPr>
              <w:t>106,1</w:t>
            </w:r>
          </w:p>
        </w:tc>
        <w:tc>
          <w:tcPr>
            <w:tcW w:w="343" w:type="pct"/>
            <w:tcBorders>
              <w:top w:val="nil"/>
              <w:left w:val="nil"/>
              <w:bottom w:val="single" w:sz="4" w:space="0" w:color="auto"/>
              <w:right w:val="single" w:sz="4" w:space="0" w:color="auto"/>
            </w:tcBorders>
            <w:shd w:val="clear" w:color="auto" w:fill="auto"/>
            <w:noWrap/>
          </w:tcPr>
          <w:p w14:paraId="3C95C9EC" w14:textId="77777777" w:rsidR="00651B6D" w:rsidRPr="003C0AF5" w:rsidRDefault="00651B6D" w:rsidP="0010115D">
            <w:pPr>
              <w:keepNext/>
              <w:keepLines/>
              <w:spacing w:after="0"/>
              <w:ind w:firstLine="0"/>
              <w:jc w:val="right"/>
              <w:rPr>
                <w:color w:val="000000"/>
                <w:sz w:val="18"/>
                <w:szCs w:val="18"/>
              </w:rPr>
            </w:pPr>
            <w:r w:rsidRPr="003C0AF5">
              <w:rPr>
                <w:color w:val="000000"/>
                <w:sz w:val="18"/>
                <w:szCs w:val="18"/>
              </w:rPr>
              <w:t>108,7</w:t>
            </w:r>
          </w:p>
        </w:tc>
        <w:tc>
          <w:tcPr>
            <w:tcW w:w="343" w:type="pct"/>
            <w:tcBorders>
              <w:top w:val="nil"/>
              <w:left w:val="nil"/>
              <w:bottom w:val="single" w:sz="4" w:space="0" w:color="auto"/>
              <w:right w:val="single" w:sz="4" w:space="0" w:color="auto"/>
            </w:tcBorders>
            <w:shd w:val="clear" w:color="auto" w:fill="auto"/>
          </w:tcPr>
          <w:p w14:paraId="59704184" w14:textId="77777777" w:rsidR="00651B6D" w:rsidRPr="003C0AF5" w:rsidRDefault="00651B6D" w:rsidP="0010115D">
            <w:pPr>
              <w:keepNext/>
              <w:keepLines/>
              <w:spacing w:after="0"/>
              <w:ind w:firstLine="0"/>
              <w:jc w:val="right"/>
              <w:rPr>
                <w:color w:val="000000"/>
                <w:sz w:val="18"/>
                <w:szCs w:val="18"/>
              </w:rPr>
            </w:pPr>
            <w:r w:rsidRPr="003C0AF5">
              <w:rPr>
                <w:color w:val="000000"/>
                <w:sz w:val="18"/>
                <w:szCs w:val="18"/>
              </w:rPr>
              <w:t>111,3</w:t>
            </w:r>
          </w:p>
        </w:tc>
      </w:tr>
      <w:tr w:rsidR="00651B6D" w:rsidRPr="003C0AF5" w14:paraId="6FA78147" w14:textId="77777777" w:rsidTr="0010115D">
        <w:trPr>
          <w:trHeight w:val="338"/>
          <w:jc w:val="center"/>
        </w:trPr>
        <w:tc>
          <w:tcPr>
            <w:tcW w:w="3674" w:type="pct"/>
            <w:tcBorders>
              <w:top w:val="nil"/>
              <w:left w:val="single" w:sz="4" w:space="0" w:color="auto"/>
              <w:bottom w:val="single" w:sz="4" w:space="0" w:color="auto"/>
              <w:right w:val="single" w:sz="4" w:space="0" w:color="auto"/>
            </w:tcBorders>
            <w:shd w:val="clear" w:color="auto" w:fill="auto"/>
            <w:vAlign w:val="center"/>
          </w:tcPr>
          <w:p w14:paraId="6A80F013" w14:textId="77777777" w:rsidR="00651B6D" w:rsidRPr="003C0AF5" w:rsidRDefault="00651B6D" w:rsidP="0010115D">
            <w:pPr>
              <w:keepNext/>
              <w:keepLines/>
              <w:spacing w:after="0"/>
              <w:ind w:firstLine="0"/>
              <w:jc w:val="left"/>
              <w:rPr>
                <w:i/>
                <w:sz w:val="18"/>
                <w:szCs w:val="18"/>
              </w:rPr>
            </w:pPr>
            <w:r w:rsidRPr="003C0AF5">
              <w:rPr>
                <w:sz w:val="18"/>
                <w:szCs w:val="18"/>
              </w:rPr>
              <w:t>Saskaņā ar likumu „Par vidēja termiņa budžeta ietvaru 2021., 2022. un 2023</w:t>
            </w:r>
            <w:r>
              <w:rPr>
                <w:sz w:val="18"/>
                <w:szCs w:val="18"/>
              </w:rPr>
              <w:t>. gad</w:t>
            </w:r>
            <w:r w:rsidRPr="003C0AF5">
              <w:rPr>
                <w:sz w:val="18"/>
                <w:szCs w:val="18"/>
              </w:rPr>
              <w:t>am”</w:t>
            </w:r>
            <w:r>
              <w:rPr>
                <w:color w:val="000000"/>
                <w:sz w:val="18"/>
                <w:szCs w:val="18"/>
              </w:rPr>
              <w:t>, milj.</w:t>
            </w:r>
            <w:r w:rsidRPr="003C0AF5">
              <w:rPr>
                <w:i/>
                <w:color w:val="000000"/>
                <w:sz w:val="18"/>
                <w:szCs w:val="18"/>
              </w:rPr>
              <w:t> </w:t>
            </w:r>
            <w:r w:rsidRPr="004F46D3">
              <w:rPr>
                <w:i/>
                <w:color w:val="000000"/>
                <w:sz w:val="18"/>
                <w:szCs w:val="18"/>
              </w:rPr>
              <w:t>euro</w:t>
            </w:r>
          </w:p>
        </w:tc>
        <w:tc>
          <w:tcPr>
            <w:tcW w:w="292" w:type="pct"/>
            <w:tcBorders>
              <w:top w:val="nil"/>
              <w:left w:val="nil"/>
              <w:bottom w:val="single" w:sz="4" w:space="0" w:color="auto"/>
              <w:right w:val="single" w:sz="4" w:space="0" w:color="auto"/>
            </w:tcBorders>
            <w:shd w:val="clear" w:color="auto" w:fill="auto"/>
            <w:noWrap/>
          </w:tcPr>
          <w:p w14:paraId="6F86EFDA" w14:textId="77777777" w:rsidR="00651B6D" w:rsidRPr="003C0AF5" w:rsidRDefault="00651B6D" w:rsidP="0010115D">
            <w:pPr>
              <w:keepNext/>
              <w:keepLines/>
              <w:spacing w:after="0"/>
              <w:ind w:firstLine="0"/>
              <w:jc w:val="right"/>
              <w:rPr>
                <w:sz w:val="18"/>
                <w:szCs w:val="18"/>
              </w:rPr>
            </w:pPr>
            <w:r w:rsidRPr="003C0AF5">
              <w:rPr>
                <w:sz w:val="18"/>
                <w:szCs w:val="18"/>
              </w:rPr>
              <w:t>103,7</w:t>
            </w:r>
          </w:p>
        </w:tc>
        <w:tc>
          <w:tcPr>
            <w:tcW w:w="347" w:type="pct"/>
            <w:tcBorders>
              <w:top w:val="nil"/>
              <w:left w:val="nil"/>
              <w:bottom w:val="single" w:sz="4" w:space="0" w:color="auto"/>
              <w:right w:val="single" w:sz="4" w:space="0" w:color="auto"/>
            </w:tcBorders>
            <w:shd w:val="clear" w:color="auto" w:fill="auto"/>
            <w:noWrap/>
          </w:tcPr>
          <w:p w14:paraId="26AC6E11" w14:textId="77777777" w:rsidR="00651B6D" w:rsidRPr="003C0AF5" w:rsidRDefault="00651B6D" w:rsidP="0010115D">
            <w:pPr>
              <w:keepNext/>
              <w:keepLines/>
              <w:spacing w:after="0"/>
              <w:ind w:firstLine="0"/>
              <w:jc w:val="right"/>
              <w:rPr>
                <w:sz w:val="18"/>
                <w:szCs w:val="18"/>
              </w:rPr>
            </w:pPr>
            <w:r w:rsidRPr="003C0AF5">
              <w:rPr>
                <w:sz w:val="18"/>
                <w:szCs w:val="18"/>
              </w:rPr>
              <w:t>106,1</w:t>
            </w:r>
          </w:p>
        </w:tc>
        <w:tc>
          <w:tcPr>
            <w:tcW w:w="343" w:type="pct"/>
            <w:tcBorders>
              <w:top w:val="nil"/>
              <w:left w:val="nil"/>
              <w:bottom w:val="single" w:sz="4" w:space="0" w:color="auto"/>
              <w:right w:val="single" w:sz="4" w:space="0" w:color="auto"/>
            </w:tcBorders>
            <w:shd w:val="clear" w:color="auto" w:fill="auto"/>
            <w:noWrap/>
          </w:tcPr>
          <w:p w14:paraId="40073CFF" w14:textId="77777777" w:rsidR="00651B6D" w:rsidRPr="003C0AF5" w:rsidRDefault="00651B6D" w:rsidP="0010115D">
            <w:pPr>
              <w:keepNext/>
              <w:keepLines/>
              <w:spacing w:after="0"/>
              <w:ind w:firstLine="0"/>
              <w:jc w:val="right"/>
              <w:rPr>
                <w:sz w:val="18"/>
                <w:szCs w:val="18"/>
              </w:rPr>
            </w:pPr>
            <w:r w:rsidRPr="003C0AF5">
              <w:rPr>
                <w:sz w:val="18"/>
                <w:szCs w:val="18"/>
              </w:rPr>
              <w:t>108,7</w:t>
            </w:r>
          </w:p>
        </w:tc>
        <w:tc>
          <w:tcPr>
            <w:tcW w:w="343" w:type="pct"/>
            <w:tcBorders>
              <w:top w:val="nil"/>
              <w:left w:val="nil"/>
              <w:bottom w:val="single" w:sz="4" w:space="0" w:color="auto"/>
              <w:right w:val="single" w:sz="4" w:space="0" w:color="auto"/>
            </w:tcBorders>
          </w:tcPr>
          <w:p w14:paraId="70BBCCAA" w14:textId="77777777" w:rsidR="00651B6D" w:rsidRPr="003C0AF5" w:rsidRDefault="00651B6D" w:rsidP="0010115D">
            <w:pPr>
              <w:keepNext/>
              <w:keepLines/>
              <w:spacing w:after="0"/>
              <w:ind w:firstLine="0"/>
              <w:jc w:val="right"/>
              <w:rPr>
                <w:sz w:val="18"/>
                <w:szCs w:val="18"/>
              </w:rPr>
            </w:pPr>
            <w:r w:rsidRPr="003C0AF5">
              <w:rPr>
                <w:sz w:val="18"/>
                <w:szCs w:val="18"/>
              </w:rPr>
              <w:t>-</w:t>
            </w:r>
          </w:p>
        </w:tc>
      </w:tr>
      <w:tr w:rsidR="00651B6D" w:rsidRPr="003C0AF5" w14:paraId="4A815CC9" w14:textId="77777777" w:rsidTr="0010115D">
        <w:trPr>
          <w:trHeight w:val="338"/>
          <w:jc w:val="center"/>
        </w:trPr>
        <w:tc>
          <w:tcPr>
            <w:tcW w:w="3674" w:type="pct"/>
            <w:tcBorders>
              <w:top w:val="nil"/>
              <w:left w:val="single" w:sz="4" w:space="0" w:color="auto"/>
              <w:bottom w:val="single" w:sz="4" w:space="0" w:color="auto"/>
              <w:right w:val="single" w:sz="4" w:space="0" w:color="auto"/>
            </w:tcBorders>
            <w:shd w:val="clear" w:color="auto" w:fill="auto"/>
            <w:vAlign w:val="center"/>
            <w:hideMark/>
          </w:tcPr>
          <w:p w14:paraId="081773D0" w14:textId="77777777" w:rsidR="00651B6D" w:rsidRPr="003C0AF5" w:rsidRDefault="00651B6D" w:rsidP="0010115D">
            <w:pPr>
              <w:keepNext/>
              <w:keepLines/>
              <w:spacing w:after="0"/>
              <w:ind w:firstLine="0"/>
              <w:jc w:val="left"/>
              <w:rPr>
                <w:i/>
                <w:color w:val="000000"/>
                <w:sz w:val="18"/>
                <w:szCs w:val="18"/>
              </w:rPr>
            </w:pPr>
            <w:r w:rsidRPr="003C0AF5">
              <w:rPr>
                <w:i/>
                <w:color w:val="000000"/>
                <w:sz w:val="18"/>
                <w:szCs w:val="18"/>
              </w:rPr>
              <w:t>pieaugums, salīdzinot ar likumu „Par vidēja termiņa budžeta ietvaru 2021., 2022. un 2023</w:t>
            </w:r>
            <w:r>
              <w:rPr>
                <w:i/>
                <w:color w:val="000000"/>
                <w:sz w:val="18"/>
                <w:szCs w:val="18"/>
              </w:rPr>
              <w:t>. gad</w:t>
            </w:r>
            <w:r w:rsidRPr="003C0AF5">
              <w:rPr>
                <w:i/>
                <w:color w:val="000000"/>
                <w:sz w:val="18"/>
                <w:szCs w:val="18"/>
              </w:rPr>
              <w:t>am”</w:t>
            </w:r>
            <w:r>
              <w:rPr>
                <w:i/>
                <w:color w:val="000000"/>
                <w:sz w:val="18"/>
                <w:szCs w:val="18"/>
              </w:rPr>
              <w:t>, milj.</w:t>
            </w:r>
            <w:r w:rsidRPr="003C0AF5">
              <w:rPr>
                <w:i/>
                <w:color w:val="000000"/>
                <w:sz w:val="18"/>
                <w:szCs w:val="18"/>
              </w:rPr>
              <w:t> </w:t>
            </w:r>
            <w:r w:rsidRPr="004F46D3">
              <w:rPr>
                <w:i/>
                <w:color w:val="000000"/>
                <w:sz w:val="18"/>
                <w:szCs w:val="18"/>
              </w:rPr>
              <w:t>euro</w:t>
            </w:r>
          </w:p>
        </w:tc>
        <w:tc>
          <w:tcPr>
            <w:tcW w:w="292" w:type="pct"/>
            <w:tcBorders>
              <w:top w:val="nil"/>
              <w:left w:val="nil"/>
              <w:bottom w:val="single" w:sz="4" w:space="0" w:color="auto"/>
              <w:right w:val="single" w:sz="4" w:space="0" w:color="auto"/>
            </w:tcBorders>
            <w:shd w:val="clear" w:color="auto" w:fill="auto"/>
            <w:noWrap/>
            <w:hideMark/>
          </w:tcPr>
          <w:p w14:paraId="06C29F26" w14:textId="77777777" w:rsidR="00651B6D" w:rsidRPr="003C0AF5" w:rsidRDefault="00651B6D" w:rsidP="0010115D">
            <w:pPr>
              <w:keepNext/>
              <w:keepLines/>
              <w:spacing w:after="0"/>
              <w:ind w:firstLine="0"/>
              <w:jc w:val="right"/>
              <w:rPr>
                <w:i/>
                <w:sz w:val="18"/>
                <w:szCs w:val="18"/>
              </w:rPr>
            </w:pPr>
            <w:r w:rsidRPr="003C0AF5">
              <w:rPr>
                <w:i/>
                <w:sz w:val="18"/>
                <w:szCs w:val="18"/>
              </w:rPr>
              <w:t>-1,5</w:t>
            </w:r>
          </w:p>
        </w:tc>
        <w:tc>
          <w:tcPr>
            <w:tcW w:w="347" w:type="pct"/>
            <w:tcBorders>
              <w:top w:val="nil"/>
              <w:left w:val="nil"/>
              <w:bottom w:val="single" w:sz="4" w:space="0" w:color="auto"/>
              <w:right w:val="single" w:sz="4" w:space="0" w:color="auto"/>
            </w:tcBorders>
            <w:shd w:val="clear" w:color="auto" w:fill="auto"/>
            <w:noWrap/>
            <w:hideMark/>
          </w:tcPr>
          <w:p w14:paraId="73602B33" w14:textId="77777777" w:rsidR="00651B6D" w:rsidRPr="003C0AF5" w:rsidRDefault="00651B6D" w:rsidP="0010115D">
            <w:pPr>
              <w:keepNext/>
              <w:keepLines/>
              <w:spacing w:after="0"/>
              <w:ind w:firstLine="0"/>
              <w:jc w:val="right"/>
              <w:rPr>
                <w:i/>
                <w:sz w:val="18"/>
                <w:szCs w:val="18"/>
              </w:rPr>
            </w:pPr>
            <w:r w:rsidRPr="003C0AF5">
              <w:rPr>
                <w:i/>
                <w:sz w:val="18"/>
                <w:szCs w:val="18"/>
              </w:rPr>
              <w:t>0,0</w:t>
            </w:r>
          </w:p>
        </w:tc>
        <w:tc>
          <w:tcPr>
            <w:tcW w:w="343" w:type="pct"/>
            <w:tcBorders>
              <w:top w:val="nil"/>
              <w:left w:val="nil"/>
              <w:bottom w:val="single" w:sz="4" w:space="0" w:color="auto"/>
              <w:right w:val="single" w:sz="4" w:space="0" w:color="auto"/>
            </w:tcBorders>
            <w:shd w:val="clear" w:color="auto" w:fill="auto"/>
            <w:noWrap/>
            <w:hideMark/>
          </w:tcPr>
          <w:p w14:paraId="4B663EC9" w14:textId="77777777" w:rsidR="00651B6D" w:rsidRPr="003C0AF5" w:rsidRDefault="00651B6D" w:rsidP="0010115D">
            <w:pPr>
              <w:keepNext/>
              <w:keepLines/>
              <w:spacing w:after="0"/>
              <w:ind w:firstLine="0"/>
              <w:jc w:val="right"/>
              <w:rPr>
                <w:i/>
                <w:sz w:val="18"/>
                <w:szCs w:val="18"/>
              </w:rPr>
            </w:pPr>
            <w:r w:rsidRPr="003C0AF5">
              <w:rPr>
                <w:i/>
                <w:sz w:val="18"/>
                <w:szCs w:val="18"/>
              </w:rPr>
              <w:t>0,0</w:t>
            </w:r>
          </w:p>
        </w:tc>
        <w:tc>
          <w:tcPr>
            <w:tcW w:w="343" w:type="pct"/>
            <w:tcBorders>
              <w:top w:val="nil"/>
              <w:left w:val="nil"/>
              <w:bottom w:val="single" w:sz="4" w:space="0" w:color="auto"/>
              <w:right w:val="single" w:sz="4" w:space="0" w:color="auto"/>
            </w:tcBorders>
            <w:shd w:val="clear" w:color="auto" w:fill="auto"/>
          </w:tcPr>
          <w:p w14:paraId="2C837738" w14:textId="77777777" w:rsidR="00651B6D" w:rsidRPr="003C0AF5" w:rsidRDefault="00651B6D" w:rsidP="0010115D">
            <w:pPr>
              <w:keepNext/>
              <w:keepLines/>
              <w:spacing w:after="0"/>
              <w:ind w:firstLine="0"/>
              <w:jc w:val="right"/>
              <w:rPr>
                <w:i/>
                <w:sz w:val="18"/>
                <w:szCs w:val="18"/>
              </w:rPr>
            </w:pPr>
            <w:r w:rsidRPr="003C0AF5">
              <w:rPr>
                <w:i/>
                <w:sz w:val="18"/>
                <w:szCs w:val="18"/>
              </w:rPr>
              <w:t>-</w:t>
            </w:r>
          </w:p>
        </w:tc>
      </w:tr>
      <w:tr w:rsidR="00651B6D" w:rsidRPr="003C0AF5" w14:paraId="44E6FD30" w14:textId="77777777" w:rsidTr="0010115D">
        <w:trPr>
          <w:trHeight w:val="319"/>
          <w:jc w:val="center"/>
        </w:trPr>
        <w:tc>
          <w:tcPr>
            <w:tcW w:w="3674" w:type="pct"/>
            <w:tcBorders>
              <w:top w:val="nil"/>
              <w:left w:val="single" w:sz="4" w:space="0" w:color="auto"/>
              <w:bottom w:val="single" w:sz="4" w:space="0" w:color="auto"/>
              <w:right w:val="single" w:sz="4" w:space="0" w:color="auto"/>
            </w:tcBorders>
            <w:shd w:val="clear" w:color="auto" w:fill="auto"/>
            <w:vAlign w:val="center"/>
            <w:hideMark/>
          </w:tcPr>
          <w:p w14:paraId="5FD162C2" w14:textId="77777777" w:rsidR="00651B6D" w:rsidRPr="003C0AF5" w:rsidRDefault="00651B6D" w:rsidP="0010115D">
            <w:pPr>
              <w:keepNext/>
              <w:keepLines/>
              <w:spacing w:after="0"/>
              <w:ind w:firstLine="0"/>
              <w:jc w:val="left"/>
              <w:rPr>
                <w:i/>
                <w:color w:val="000000"/>
                <w:sz w:val="18"/>
                <w:szCs w:val="18"/>
              </w:rPr>
            </w:pPr>
            <w:r w:rsidRPr="003C0AF5">
              <w:rPr>
                <w:i/>
                <w:color w:val="000000"/>
                <w:sz w:val="18"/>
                <w:szCs w:val="18"/>
              </w:rPr>
              <w:t>pieaugums, salīdzinot ar likumu „Par vidēja termiņa budžeta ietvaru 2021., 2022. un 2023</w:t>
            </w:r>
            <w:r>
              <w:rPr>
                <w:i/>
                <w:color w:val="000000"/>
                <w:sz w:val="18"/>
                <w:szCs w:val="18"/>
              </w:rPr>
              <w:t>. gad</w:t>
            </w:r>
            <w:r w:rsidRPr="003C0AF5">
              <w:rPr>
                <w:i/>
                <w:color w:val="000000"/>
                <w:sz w:val="18"/>
                <w:szCs w:val="18"/>
              </w:rPr>
              <w:t>am”, %</w:t>
            </w:r>
          </w:p>
        </w:tc>
        <w:tc>
          <w:tcPr>
            <w:tcW w:w="292" w:type="pct"/>
            <w:tcBorders>
              <w:top w:val="nil"/>
              <w:left w:val="nil"/>
              <w:bottom w:val="single" w:sz="4" w:space="0" w:color="auto"/>
              <w:right w:val="single" w:sz="4" w:space="0" w:color="auto"/>
            </w:tcBorders>
            <w:shd w:val="clear" w:color="auto" w:fill="auto"/>
            <w:noWrap/>
            <w:hideMark/>
          </w:tcPr>
          <w:p w14:paraId="7EC6A136" w14:textId="77777777" w:rsidR="00651B6D" w:rsidRPr="003C0AF5" w:rsidRDefault="00651B6D" w:rsidP="0010115D">
            <w:pPr>
              <w:keepNext/>
              <w:keepLines/>
              <w:spacing w:after="0"/>
              <w:ind w:firstLine="0"/>
              <w:jc w:val="right"/>
              <w:rPr>
                <w:i/>
                <w:sz w:val="18"/>
                <w:szCs w:val="18"/>
              </w:rPr>
            </w:pPr>
            <w:r w:rsidRPr="003C0AF5">
              <w:rPr>
                <w:i/>
                <w:sz w:val="18"/>
                <w:szCs w:val="18"/>
              </w:rPr>
              <w:t>-1,4</w:t>
            </w:r>
          </w:p>
        </w:tc>
        <w:tc>
          <w:tcPr>
            <w:tcW w:w="347" w:type="pct"/>
            <w:tcBorders>
              <w:top w:val="nil"/>
              <w:left w:val="nil"/>
              <w:bottom w:val="single" w:sz="4" w:space="0" w:color="auto"/>
              <w:right w:val="single" w:sz="4" w:space="0" w:color="auto"/>
            </w:tcBorders>
            <w:shd w:val="clear" w:color="auto" w:fill="auto"/>
            <w:noWrap/>
            <w:hideMark/>
          </w:tcPr>
          <w:p w14:paraId="252394AC" w14:textId="77777777" w:rsidR="00651B6D" w:rsidRPr="003C0AF5" w:rsidRDefault="00651B6D" w:rsidP="0010115D">
            <w:pPr>
              <w:keepNext/>
              <w:keepLines/>
              <w:spacing w:after="0"/>
              <w:ind w:firstLine="0"/>
              <w:jc w:val="right"/>
              <w:rPr>
                <w:i/>
                <w:sz w:val="18"/>
                <w:szCs w:val="18"/>
              </w:rPr>
            </w:pPr>
            <w:r w:rsidRPr="003C0AF5">
              <w:rPr>
                <w:i/>
                <w:sz w:val="18"/>
                <w:szCs w:val="18"/>
              </w:rPr>
              <w:t>0,0</w:t>
            </w:r>
          </w:p>
        </w:tc>
        <w:tc>
          <w:tcPr>
            <w:tcW w:w="343" w:type="pct"/>
            <w:tcBorders>
              <w:top w:val="nil"/>
              <w:left w:val="nil"/>
              <w:bottom w:val="single" w:sz="4" w:space="0" w:color="auto"/>
              <w:right w:val="single" w:sz="4" w:space="0" w:color="auto"/>
            </w:tcBorders>
            <w:shd w:val="clear" w:color="auto" w:fill="auto"/>
            <w:noWrap/>
            <w:hideMark/>
          </w:tcPr>
          <w:p w14:paraId="610B4E4B" w14:textId="77777777" w:rsidR="00651B6D" w:rsidRPr="003C0AF5" w:rsidRDefault="00651B6D" w:rsidP="0010115D">
            <w:pPr>
              <w:keepNext/>
              <w:keepLines/>
              <w:spacing w:after="0"/>
              <w:ind w:firstLine="0"/>
              <w:jc w:val="right"/>
              <w:rPr>
                <w:i/>
                <w:sz w:val="18"/>
                <w:szCs w:val="18"/>
              </w:rPr>
            </w:pPr>
            <w:r w:rsidRPr="003C0AF5">
              <w:rPr>
                <w:i/>
                <w:sz w:val="18"/>
                <w:szCs w:val="18"/>
              </w:rPr>
              <w:t>0,0</w:t>
            </w:r>
          </w:p>
        </w:tc>
        <w:tc>
          <w:tcPr>
            <w:tcW w:w="343" w:type="pct"/>
            <w:tcBorders>
              <w:top w:val="nil"/>
              <w:left w:val="nil"/>
              <w:bottom w:val="single" w:sz="4" w:space="0" w:color="auto"/>
              <w:right w:val="single" w:sz="4" w:space="0" w:color="auto"/>
            </w:tcBorders>
            <w:shd w:val="clear" w:color="auto" w:fill="auto"/>
          </w:tcPr>
          <w:p w14:paraId="09C77BDA" w14:textId="77777777" w:rsidR="00651B6D" w:rsidRPr="003C0AF5" w:rsidRDefault="00651B6D" w:rsidP="0010115D">
            <w:pPr>
              <w:keepNext/>
              <w:keepLines/>
              <w:spacing w:after="0"/>
              <w:ind w:firstLine="0"/>
              <w:jc w:val="right"/>
              <w:rPr>
                <w:i/>
                <w:sz w:val="18"/>
                <w:szCs w:val="18"/>
              </w:rPr>
            </w:pPr>
            <w:r w:rsidRPr="003C0AF5">
              <w:rPr>
                <w:i/>
                <w:sz w:val="18"/>
                <w:szCs w:val="18"/>
              </w:rPr>
              <w:t>-</w:t>
            </w:r>
          </w:p>
        </w:tc>
      </w:tr>
      <w:tr w:rsidR="00651B6D" w:rsidRPr="003C0AF5" w14:paraId="09524C45" w14:textId="77777777" w:rsidTr="0010115D">
        <w:trPr>
          <w:trHeight w:val="169"/>
          <w:jc w:val="center"/>
        </w:trPr>
        <w:tc>
          <w:tcPr>
            <w:tcW w:w="3674" w:type="pct"/>
            <w:tcBorders>
              <w:top w:val="nil"/>
              <w:left w:val="single" w:sz="4" w:space="0" w:color="auto"/>
              <w:bottom w:val="single" w:sz="4" w:space="0" w:color="auto"/>
              <w:right w:val="single" w:sz="4" w:space="0" w:color="auto"/>
            </w:tcBorders>
            <w:shd w:val="clear" w:color="auto" w:fill="auto"/>
            <w:noWrap/>
            <w:vAlign w:val="center"/>
            <w:hideMark/>
          </w:tcPr>
          <w:p w14:paraId="6C8BED9B" w14:textId="36647DDE" w:rsidR="00651B6D" w:rsidRPr="003C0AF5" w:rsidRDefault="007B5592" w:rsidP="0010115D">
            <w:pPr>
              <w:keepNext/>
              <w:keepLines/>
              <w:spacing w:after="0"/>
              <w:ind w:firstLine="0"/>
              <w:contextualSpacing/>
              <w:jc w:val="left"/>
              <w:rPr>
                <w:i/>
                <w:iCs/>
                <w:color w:val="000000"/>
                <w:sz w:val="18"/>
                <w:szCs w:val="18"/>
              </w:rPr>
            </w:pPr>
            <w:r>
              <w:rPr>
                <w:i/>
                <w:iCs/>
                <w:color w:val="000000"/>
                <w:sz w:val="18"/>
                <w:szCs w:val="18"/>
              </w:rPr>
              <w:t>% no iekšzemes kopprodukta</w:t>
            </w:r>
          </w:p>
        </w:tc>
        <w:tc>
          <w:tcPr>
            <w:tcW w:w="292" w:type="pct"/>
            <w:tcBorders>
              <w:top w:val="nil"/>
              <w:left w:val="nil"/>
              <w:bottom w:val="single" w:sz="4" w:space="0" w:color="auto"/>
              <w:right w:val="single" w:sz="4" w:space="0" w:color="auto"/>
            </w:tcBorders>
            <w:shd w:val="clear" w:color="auto" w:fill="auto"/>
            <w:noWrap/>
          </w:tcPr>
          <w:p w14:paraId="4F2744F9" w14:textId="77777777" w:rsidR="00651B6D" w:rsidRPr="003C0AF5" w:rsidRDefault="00651B6D" w:rsidP="0010115D">
            <w:pPr>
              <w:keepNext/>
              <w:keepLines/>
              <w:spacing w:after="0"/>
              <w:ind w:firstLine="0"/>
              <w:contextualSpacing/>
              <w:jc w:val="right"/>
              <w:rPr>
                <w:i/>
                <w:sz w:val="18"/>
                <w:szCs w:val="18"/>
              </w:rPr>
            </w:pPr>
            <w:r w:rsidRPr="003C0AF5">
              <w:rPr>
                <w:i/>
                <w:sz w:val="18"/>
                <w:szCs w:val="18"/>
              </w:rPr>
              <w:t>0,3</w:t>
            </w:r>
          </w:p>
        </w:tc>
        <w:tc>
          <w:tcPr>
            <w:tcW w:w="347" w:type="pct"/>
            <w:tcBorders>
              <w:top w:val="nil"/>
              <w:left w:val="nil"/>
              <w:bottom w:val="single" w:sz="4" w:space="0" w:color="auto"/>
              <w:right w:val="single" w:sz="4" w:space="0" w:color="auto"/>
            </w:tcBorders>
            <w:shd w:val="clear" w:color="auto" w:fill="auto"/>
            <w:noWrap/>
          </w:tcPr>
          <w:p w14:paraId="308DF36D" w14:textId="77777777" w:rsidR="00651B6D" w:rsidRPr="003C0AF5" w:rsidRDefault="00651B6D" w:rsidP="0010115D">
            <w:pPr>
              <w:keepNext/>
              <w:keepLines/>
              <w:spacing w:after="0"/>
              <w:ind w:firstLine="0"/>
              <w:contextualSpacing/>
              <w:jc w:val="right"/>
              <w:rPr>
                <w:i/>
                <w:sz w:val="18"/>
                <w:szCs w:val="18"/>
              </w:rPr>
            </w:pPr>
            <w:r w:rsidRPr="003C0AF5">
              <w:rPr>
                <w:i/>
                <w:sz w:val="18"/>
                <w:szCs w:val="18"/>
              </w:rPr>
              <w:t>0,3</w:t>
            </w:r>
          </w:p>
        </w:tc>
        <w:tc>
          <w:tcPr>
            <w:tcW w:w="343" w:type="pct"/>
            <w:tcBorders>
              <w:top w:val="nil"/>
              <w:left w:val="nil"/>
              <w:bottom w:val="single" w:sz="4" w:space="0" w:color="auto"/>
              <w:right w:val="single" w:sz="4" w:space="0" w:color="auto"/>
            </w:tcBorders>
            <w:shd w:val="clear" w:color="auto" w:fill="auto"/>
            <w:noWrap/>
          </w:tcPr>
          <w:p w14:paraId="50C076D0" w14:textId="77777777" w:rsidR="00651B6D" w:rsidRPr="003C0AF5" w:rsidRDefault="00651B6D" w:rsidP="0010115D">
            <w:pPr>
              <w:keepNext/>
              <w:keepLines/>
              <w:spacing w:after="0"/>
              <w:ind w:firstLine="0"/>
              <w:contextualSpacing/>
              <w:jc w:val="right"/>
              <w:rPr>
                <w:i/>
                <w:sz w:val="18"/>
                <w:szCs w:val="18"/>
              </w:rPr>
            </w:pPr>
            <w:r w:rsidRPr="003C0AF5">
              <w:rPr>
                <w:i/>
                <w:sz w:val="18"/>
                <w:szCs w:val="18"/>
              </w:rPr>
              <w:t>0,3</w:t>
            </w:r>
          </w:p>
        </w:tc>
        <w:tc>
          <w:tcPr>
            <w:tcW w:w="343" w:type="pct"/>
            <w:tcBorders>
              <w:top w:val="nil"/>
              <w:left w:val="nil"/>
              <w:bottom w:val="single" w:sz="4" w:space="0" w:color="auto"/>
              <w:right w:val="single" w:sz="4" w:space="0" w:color="auto"/>
            </w:tcBorders>
          </w:tcPr>
          <w:p w14:paraId="029AD7B7" w14:textId="77777777" w:rsidR="00651B6D" w:rsidRPr="003C0AF5" w:rsidRDefault="00651B6D" w:rsidP="0010115D">
            <w:pPr>
              <w:keepNext/>
              <w:keepLines/>
              <w:spacing w:after="0"/>
              <w:ind w:firstLine="0"/>
              <w:contextualSpacing/>
              <w:jc w:val="right"/>
              <w:rPr>
                <w:i/>
                <w:sz w:val="18"/>
                <w:szCs w:val="18"/>
              </w:rPr>
            </w:pPr>
            <w:r w:rsidRPr="003C0AF5">
              <w:rPr>
                <w:i/>
                <w:sz w:val="18"/>
                <w:szCs w:val="18"/>
              </w:rPr>
              <w:t>0,3</w:t>
            </w:r>
          </w:p>
        </w:tc>
      </w:tr>
    </w:tbl>
    <w:p w14:paraId="35449CCE" w14:textId="77777777" w:rsidR="00651B6D" w:rsidRPr="00E81457" w:rsidRDefault="00651B6D" w:rsidP="00651B6D">
      <w:pPr>
        <w:spacing w:after="240"/>
        <w:ind w:left="425" w:firstLine="0"/>
        <w:jc w:val="left"/>
        <w:rPr>
          <w:sz w:val="18"/>
          <w:szCs w:val="18"/>
        </w:rPr>
      </w:pPr>
      <w:r w:rsidRPr="00E81457">
        <w:rPr>
          <w:sz w:val="18"/>
          <w:szCs w:val="18"/>
          <w:vertAlign w:val="superscript"/>
        </w:rPr>
        <w:t>1</w:t>
      </w:r>
      <w:r w:rsidRPr="00E81457">
        <w:rPr>
          <w:sz w:val="18"/>
          <w:szCs w:val="18"/>
        </w:rPr>
        <w:t> Prognoze 22.07.2021</w:t>
      </w:r>
      <w:r>
        <w:rPr>
          <w:sz w:val="18"/>
          <w:szCs w:val="18"/>
        </w:rPr>
        <w:t>.</w:t>
      </w:r>
    </w:p>
    <w:p w14:paraId="24405BFA" w14:textId="77777777" w:rsidR="00651B6D" w:rsidRDefault="00651B6D" w:rsidP="0010115D">
      <w:pPr>
        <w:ind w:firstLine="425"/>
        <w:rPr>
          <w:szCs w:val="24"/>
        </w:rPr>
      </w:pPr>
      <w:r w:rsidRPr="00311975">
        <w:rPr>
          <w:szCs w:val="24"/>
        </w:rPr>
        <w:t xml:space="preserve">Transportlīdzekļa ekspluatācijas </w:t>
      </w:r>
      <w:r w:rsidRPr="0043231D">
        <w:rPr>
          <w:szCs w:val="24"/>
        </w:rPr>
        <w:t xml:space="preserve">nodokļa ieņēmumu plānu vidējā termiņā ietekmēs </w:t>
      </w:r>
      <w:r>
        <w:rPr>
          <w:szCs w:val="24"/>
        </w:rPr>
        <w:t xml:space="preserve">prognozējamas </w:t>
      </w:r>
      <w:r w:rsidRPr="00311975">
        <w:rPr>
          <w:szCs w:val="24"/>
        </w:rPr>
        <w:t>ar nodokli apliekamo transportlīdzekļu struktūra</w:t>
      </w:r>
      <w:r>
        <w:rPr>
          <w:szCs w:val="24"/>
        </w:rPr>
        <w:t>s</w:t>
      </w:r>
      <w:r w:rsidRPr="00311975">
        <w:rPr>
          <w:szCs w:val="24"/>
        </w:rPr>
        <w:t xml:space="preserve"> un skaita pārmaiņas</w:t>
      </w:r>
      <w:r w:rsidRPr="0043231D">
        <w:rPr>
          <w:szCs w:val="24"/>
        </w:rPr>
        <w:t>, kā arī</w:t>
      </w:r>
      <w:r>
        <w:rPr>
          <w:szCs w:val="24"/>
        </w:rPr>
        <w:t xml:space="preserve"> </w:t>
      </w:r>
      <w:r w:rsidRPr="0043231D">
        <w:rPr>
          <w:szCs w:val="24"/>
        </w:rPr>
        <w:t>2021</w:t>
      </w:r>
      <w:r>
        <w:rPr>
          <w:szCs w:val="24"/>
        </w:rPr>
        <w:t>. gad</w:t>
      </w:r>
      <w:r w:rsidRPr="0043231D">
        <w:rPr>
          <w:szCs w:val="24"/>
        </w:rPr>
        <w:t>a pirmā pusgada izpilde</w:t>
      </w:r>
      <w:r>
        <w:rPr>
          <w:szCs w:val="24"/>
        </w:rPr>
        <w:t>.</w:t>
      </w:r>
    </w:p>
    <w:p w14:paraId="5415458C" w14:textId="77777777" w:rsidR="00651B6D" w:rsidRDefault="00651B6D" w:rsidP="00841E7D">
      <w:pPr>
        <w:pStyle w:val="H3"/>
        <w:spacing w:before="240" w:after="240"/>
      </w:pPr>
      <w:bookmarkStart w:id="82" w:name="_Toc84756428"/>
      <w:r w:rsidRPr="00921D7E">
        <w:lastRenderedPageBreak/>
        <w:t xml:space="preserve">Uzņēmumu </w:t>
      </w:r>
      <w:r>
        <w:t>vieglo transportlīdzekļu nodoklis</w:t>
      </w:r>
      <w:bookmarkEnd w:id="82"/>
    </w:p>
    <w:p w14:paraId="4F19E523" w14:textId="5CD0AA25" w:rsidR="00651B6D" w:rsidRDefault="00651B6D" w:rsidP="00651B6D">
      <w:r w:rsidRPr="00CA2EA4">
        <w:rPr>
          <w:bCs/>
        </w:rPr>
        <w:t>Uzņēmumu vieglo transportlīdzekļu nodokļa</w:t>
      </w:r>
      <w:r w:rsidRPr="00AE2281">
        <w:t xml:space="preserve"> ieņēmumi 2021</w:t>
      </w:r>
      <w:r>
        <w:t>. gad</w:t>
      </w:r>
      <w:r w:rsidRPr="00AE2281">
        <w:t>a sešos mēnešos</w:t>
      </w:r>
      <w:r>
        <w:t xml:space="preserve"> sastādīja 10,3 milj.</w:t>
      </w:r>
      <w:r>
        <w:rPr>
          <w:i/>
        </w:rPr>
        <w:t> </w:t>
      </w:r>
      <w:r w:rsidRPr="004F46D3">
        <w:rPr>
          <w:i/>
        </w:rPr>
        <w:t>euro</w:t>
      </w:r>
      <w:r>
        <w:t>, kas salīdzinājumā ar 2020. gada 1.</w:t>
      </w:r>
      <w:r w:rsidR="00841E7D">
        <w:t xml:space="preserve"> </w:t>
      </w:r>
      <w:r>
        <w:t>pusgadu ir par 0,2 milj.</w:t>
      </w:r>
      <w:r>
        <w:rPr>
          <w:i/>
        </w:rPr>
        <w:t> </w:t>
      </w:r>
      <w:r w:rsidRPr="004F46D3">
        <w:rPr>
          <w:i/>
        </w:rPr>
        <w:t>euro</w:t>
      </w:r>
      <w:r>
        <w:t xml:space="preserve"> jeb 1,7% vairāk. Salīdzinājumā ar plānu 2021. gada 1.</w:t>
      </w:r>
      <w:r w:rsidR="00841E7D">
        <w:t xml:space="preserve"> </w:t>
      </w:r>
      <w:r>
        <w:t>pusgadu ieņēmumi bija mazāki par 0,6 milj.</w:t>
      </w:r>
      <w:r>
        <w:rPr>
          <w:i/>
        </w:rPr>
        <w:t> </w:t>
      </w:r>
      <w:r w:rsidRPr="004F46D3">
        <w:rPr>
          <w:i/>
        </w:rPr>
        <w:t>euro</w:t>
      </w:r>
      <w:r>
        <w:t xml:space="preserve"> jeb 5,3 procentiem. Nodokļa plāna neizpilde līdzīgi kā </w:t>
      </w:r>
      <w:r>
        <w:rPr>
          <w:szCs w:val="24"/>
        </w:rPr>
        <w:t xml:space="preserve">transportlīdzekļu ekspluatācijas nodokļa gadījumā </w:t>
      </w:r>
      <w:r>
        <w:t xml:space="preserve">izveidojās galvenokārt pateicoties zemākiem nekā bija plānots nodokļa ieņēmumiem janvārī un saistāma ar nodokļa likmju pieaugumu kopš gada </w:t>
      </w:r>
      <w:r w:rsidRPr="00255E57">
        <w:t>sākuma. Līdz</w:t>
      </w:r>
      <w:r w:rsidRPr="00746F7D">
        <w:t xml:space="preserve"> ar to prognoze 2021</w:t>
      </w:r>
      <w:r>
        <w:t>. gad</w:t>
      </w:r>
      <w:r w:rsidRPr="00746F7D">
        <w:t xml:space="preserve">am ir samazināta par </w:t>
      </w:r>
      <w:r>
        <w:t>0,4 milj.</w:t>
      </w:r>
      <w:r w:rsidRPr="00746F7D">
        <w:rPr>
          <w:i/>
        </w:rPr>
        <w:t> </w:t>
      </w:r>
      <w:r w:rsidRPr="004F46D3">
        <w:rPr>
          <w:i/>
        </w:rPr>
        <w:t>euro</w:t>
      </w:r>
      <w:r w:rsidRPr="00746F7D">
        <w:t xml:space="preserve"> jeb 1,</w:t>
      </w:r>
      <w:r>
        <w:t>0</w:t>
      </w:r>
      <w:r w:rsidRPr="00746F7D">
        <w:t>% no plāna</w:t>
      </w:r>
      <w:r>
        <w:t xml:space="preserve"> un </w:t>
      </w:r>
      <w:r w:rsidRPr="001104D6">
        <w:t>nodok</w:t>
      </w:r>
      <w:r>
        <w:t>ļa ieņēmumi</w:t>
      </w:r>
      <w:r w:rsidRPr="001104D6">
        <w:t xml:space="preserve"> prognozēti</w:t>
      </w:r>
      <w:r>
        <w:t xml:space="preserve"> </w:t>
      </w:r>
      <w:r w:rsidRPr="001104D6">
        <w:t>22,9</w:t>
      </w:r>
      <w:r>
        <w:t> milj.</w:t>
      </w:r>
      <w:r w:rsidRPr="001104D6">
        <w:rPr>
          <w:i/>
        </w:rPr>
        <w:t> </w:t>
      </w:r>
      <w:r w:rsidRPr="004F46D3">
        <w:rPr>
          <w:i/>
        </w:rPr>
        <w:t>euro</w:t>
      </w:r>
      <w:r w:rsidRPr="001104D6">
        <w:t xml:space="preserve"> </w:t>
      </w:r>
      <w:r>
        <w:t xml:space="preserve">apmērā (skat. 3.13. tabulu). </w:t>
      </w:r>
    </w:p>
    <w:p w14:paraId="2F7846A2" w14:textId="77777777" w:rsidR="00651B6D" w:rsidRPr="00DF1059" w:rsidRDefault="00651B6D" w:rsidP="00651B6D">
      <w:pPr>
        <w:rPr>
          <w:highlight w:val="yellow"/>
        </w:rPr>
      </w:pPr>
      <w:r w:rsidRPr="00AE2281">
        <w:t xml:space="preserve">Saskaņā ar likumprojektu „Par </w:t>
      </w:r>
      <w:r w:rsidRPr="00AE2281">
        <w:rPr>
          <w:szCs w:val="24"/>
        </w:rPr>
        <w:t xml:space="preserve">vidēja termiņa budžeta ietvaru 2022., 2023. un </w:t>
      </w:r>
      <w:r w:rsidRPr="00AE2281">
        <w:t>2024</w:t>
      </w:r>
      <w:r>
        <w:t>. gad</w:t>
      </w:r>
      <w:r w:rsidRPr="00AE2281">
        <w:t xml:space="preserve">am” uzņēmumu vieglo transportlīdzekļu nodokļa ieņēmumi </w:t>
      </w:r>
      <w:r w:rsidRPr="00746F7D">
        <w:t>2022</w:t>
      </w:r>
      <w:r>
        <w:t>. gad</w:t>
      </w:r>
      <w:r w:rsidRPr="00746F7D">
        <w:t xml:space="preserve">ā tiek plānoti </w:t>
      </w:r>
      <w:r>
        <w:t>22,9 milj.</w:t>
      </w:r>
      <w:r w:rsidRPr="00746F7D">
        <w:rPr>
          <w:i/>
        </w:rPr>
        <w:t> </w:t>
      </w:r>
      <w:r w:rsidRPr="004F46D3">
        <w:rPr>
          <w:i/>
        </w:rPr>
        <w:t>euro</w:t>
      </w:r>
      <w:r w:rsidRPr="00746F7D">
        <w:t>, 2023</w:t>
      </w:r>
      <w:r>
        <w:t>. gad</w:t>
      </w:r>
      <w:r w:rsidRPr="00746F7D">
        <w:t xml:space="preserve">ā </w:t>
      </w:r>
      <w:r>
        <w:t>23,0 milj.</w:t>
      </w:r>
      <w:r w:rsidRPr="00746F7D">
        <w:rPr>
          <w:i/>
        </w:rPr>
        <w:t> </w:t>
      </w:r>
      <w:r w:rsidRPr="004F46D3">
        <w:rPr>
          <w:i/>
        </w:rPr>
        <w:t>euro</w:t>
      </w:r>
      <w:r w:rsidRPr="00746F7D">
        <w:t xml:space="preserve"> un 2024</w:t>
      </w:r>
      <w:r>
        <w:t>. gad</w:t>
      </w:r>
      <w:r w:rsidRPr="00746F7D">
        <w:t xml:space="preserve">ā </w:t>
      </w:r>
      <w:r>
        <w:t>23,2 milj.</w:t>
      </w:r>
      <w:r w:rsidRPr="00746F7D">
        <w:rPr>
          <w:i/>
        </w:rPr>
        <w:t> </w:t>
      </w:r>
      <w:r w:rsidRPr="004F46D3">
        <w:rPr>
          <w:i/>
        </w:rPr>
        <w:t>euro</w:t>
      </w:r>
      <w:r w:rsidRPr="00746F7D">
        <w:t xml:space="preserve"> </w:t>
      </w:r>
      <w:r w:rsidRPr="001104D6">
        <w:t>apmērā.</w:t>
      </w:r>
      <w:r w:rsidRPr="00BD4245">
        <w:t xml:space="preserve"> </w:t>
      </w:r>
      <w:r w:rsidRPr="00AE2281">
        <w:t>Uzņēmumu vieglo transportlīdzekļu</w:t>
      </w:r>
      <w:r w:rsidRPr="00311975">
        <w:rPr>
          <w:szCs w:val="24"/>
        </w:rPr>
        <w:t xml:space="preserve"> </w:t>
      </w:r>
      <w:r w:rsidRPr="0043231D">
        <w:rPr>
          <w:szCs w:val="24"/>
        </w:rPr>
        <w:t xml:space="preserve">nodokļa ieņēmumu plānu vidējā termiņā ietekmēs </w:t>
      </w:r>
      <w:r>
        <w:rPr>
          <w:szCs w:val="24"/>
        </w:rPr>
        <w:t xml:space="preserve">prognozētas </w:t>
      </w:r>
      <w:r w:rsidRPr="00311975">
        <w:rPr>
          <w:szCs w:val="24"/>
        </w:rPr>
        <w:t>ar nodokli apliekamo transportlīdzekļu struktūra</w:t>
      </w:r>
      <w:r>
        <w:rPr>
          <w:szCs w:val="24"/>
        </w:rPr>
        <w:t>s</w:t>
      </w:r>
      <w:r w:rsidRPr="00311975">
        <w:rPr>
          <w:szCs w:val="24"/>
        </w:rPr>
        <w:t xml:space="preserve"> un skaita pārmaiņas</w:t>
      </w:r>
      <w:r w:rsidRPr="0043231D">
        <w:rPr>
          <w:szCs w:val="24"/>
        </w:rPr>
        <w:t>, kā arī</w:t>
      </w:r>
      <w:r>
        <w:rPr>
          <w:szCs w:val="24"/>
        </w:rPr>
        <w:t xml:space="preserve"> </w:t>
      </w:r>
      <w:r w:rsidRPr="0043231D">
        <w:rPr>
          <w:szCs w:val="24"/>
        </w:rPr>
        <w:t>2021</w:t>
      </w:r>
      <w:r>
        <w:rPr>
          <w:szCs w:val="24"/>
        </w:rPr>
        <w:t>. gad</w:t>
      </w:r>
      <w:r w:rsidRPr="0043231D">
        <w:rPr>
          <w:szCs w:val="24"/>
        </w:rPr>
        <w:t>a pirmā pusgada izpilde</w:t>
      </w:r>
      <w:r>
        <w:rPr>
          <w:szCs w:val="24"/>
        </w:rPr>
        <w:t>.</w:t>
      </w:r>
    </w:p>
    <w:p w14:paraId="343A834D" w14:textId="77777777" w:rsidR="00651B6D" w:rsidRPr="0003130B" w:rsidRDefault="00651B6D" w:rsidP="0082519F">
      <w:pPr>
        <w:keepNext/>
        <w:spacing w:before="120"/>
        <w:ind w:firstLine="0"/>
        <w:jc w:val="right"/>
        <w:rPr>
          <w:b/>
          <w:i/>
          <w:szCs w:val="24"/>
        </w:rPr>
      </w:pPr>
      <w:r w:rsidRPr="0003130B">
        <w:rPr>
          <w:b/>
          <w:i/>
          <w:szCs w:val="24"/>
        </w:rPr>
        <w:t>3.13</w:t>
      </w:r>
      <w:r>
        <w:rPr>
          <w:b/>
          <w:i/>
          <w:szCs w:val="24"/>
        </w:rPr>
        <w:t>. tab</w:t>
      </w:r>
      <w:r w:rsidRPr="0003130B">
        <w:rPr>
          <w:b/>
          <w:i/>
          <w:szCs w:val="24"/>
        </w:rPr>
        <w:t>ula. Uzņēmumu vieglo transportlīdzekļu nodokļa ieņēmumi</w:t>
      </w:r>
    </w:p>
    <w:tbl>
      <w:tblPr>
        <w:tblW w:w="5000" w:type="pct"/>
        <w:jc w:val="center"/>
        <w:tblLook w:val="04A0" w:firstRow="1" w:lastRow="0" w:firstColumn="1" w:lastColumn="0" w:noHBand="0" w:noVBand="1"/>
      </w:tblPr>
      <w:tblGrid>
        <w:gridCol w:w="5666"/>
        <w:gridCol w:w="953"/>
        <w:gridCol w:w="814"/>
        <w:gridCol w:w="814"/>
        <w:gridCol w:w="814"/>
      </w:tblGrid>
      <w:tr w:rsidR="0010115D" w:rsidRPr="0003130B" w14:paraId="731DB00D" w14:textId="77777777" w:rsidTr="0010115D">
        <w:trPr>
          <w:trHeight w:val="144"/>
          <w:tblHeader/>
          <w:jc w:val="center"/>
        </w:trPr>
        <w:tc>
          <w:tcPr>
            <w:tcW w:w="3126" w:type="pct"/>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43CC01A1" w14:textId="77777777" w:rsidR="00651B6D" w:rsidRPr="0003130B" w:rsidRDefault="00651B6D" w:rsidP="00651B6D">
            <w:pPr>
              <w:keepNext/>
              <w:keepLines/>
              <w:ind w:firstLine="0"/>
              <w:contextualSpacing/>
              <w:jc w:val="center"/>
              <w:rPr>
                <w:color w:val="000000"/>
                <w:sz w:val="18"/>
                <w:szCs w:val="18"/>
              </w:rPr>
            </w:pPr>
          </w:p>
        </w:tc>
        <w:tc>
          <w:tcPr>
            <w:tcW w:w="526" w:type="pct"/>
            <w:tcBorders>
              <w:top w:val="single" w:sz="4" w:space="0" w:color="auto"/>
              <w:left w:val="nil"/>
              <w:bottom w:val="single" w:sz="4" w:space="0" w:color="auto"/>
              <w:right w:val="single" w:sz="4" w:space="0" w:color="000000"/>
            </w:tcBorders>
            <w:shd w:val="clear" w:color="auto" w:fill="9CC2E5" w:themeFill="accent1" w:themeFillTint="99"/>
            <w:vAlign w:val="center"/>
          </w:tcPr>
          <w:p w14:paraId="04676378" w14:textId="77777777" w:rsidR="00651B6D" w:rsidRPr="0003130B" w:rsidRDefault="00651B6D" w:rsidP="00651B6D">
            <w:pPr>
              <w:keepNext/>
              <w:keepLines/>
              <w:ind w:firstLine="0"/>
              <w:contextualSpacing/>
              <w:jc w:val="center"/>
              <w:rPr>
                <w:b/>
                <w:color w:val="000000"/>
                <w:sz w:val="18"/>
                <w:szCs w:val="18"/>
              </w:rPr>
            </w:pPr>
            <w:r w:rsidRPr="0003130B">
              <w:rPr>
                <w:b/>
                <w:color w:val="000000"/>
                <w:sz w:val="18"/>
                <w:szCs w:val="18"/>
              </w:rPr>
              <w:t>2021</w:t>
            </w:r>
          </w:p>
        </w:tc>
        <w:tc>
          <w:tcPr>
            <w:tcW w:w="449" w:type="pct"/>
            <w:tcBorders>
              <w:top w:val="single" w:sz="4" w:space="0" w:color="auto"/>
              <w:left w:val="nil"/>
              <w:bottom w:val="single" w:sz="4" w:space="0" w:color="auto"/>
              <w:right w:val="single" w:sz="4" w:space="0" w:color="000000"/>
            </w:tcBorders>
            <w:shd w:val="clear" w:color="auto" w:fill="9CC2E5" w:themeFill="accent1" w:themeFillTint="99"/>
            <w:vAlign w:val="center"/>
          </w:tcPr>
          <w:p w14:paraId="0D5FAE3D" w14:textId="77777777" w:rsidR="00651B6D" w:rsidRPr="0003130B" w:rsidRDefault="00651B6D" w:rsidP="00651B6D">
            <w:pPr>
              <w:keepNext/>
              <w:keepLines/>
              <w:ind w:firstLine="0"/>
              <w:contextualSpacing/>
              <w:jc w:val="center"/>
              <w:rPr>
                <w:b/>
                <w:color w:val="000000"/>
                <w:sz w:val="18"/>
                <w:szCs w:val="18"/>
              </w:rPr>
            </w:pPr>
            <w:r w:rsidRPr="0003130B">
              <w:rPr>
                <w:b/>
                <w:color w:val="000000"/>
                <w:sz w:val="18"/>
                <w:szCs w:val="18"/>
              </w:rPr>
              <w:t>2022</w:t>
            </w:r>
          </w:p>
        </w:tc>
        <w:tc>
          <w:tcPr>
            <w:tcW w:w="449" w:type="pct"/>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2AAC241E" w14:textId="77777777" w:rsidR="00651B6D" w:rsidRPr="0003130B" w:rsidRDefault="00651B6D" w:rsidP="00651B6D">
            <w:pPr>
              <w:keepNext/>
              <w:keepLines/>
              <w:ind w:firstLine="0"/>
              <w:contextualSpacing/>
              <w:jc w:val="center"/>
              <w:rPr>
                <w:b/>
                <w:color w:val="000000"/>
                <w:sz w:val="18"/>
                <w:szCs w:val="18"/>
              </w:rPr>
            </w:pPr>
            <w:r w:rsidRPr="0003130B">
              <w:rPr>
                <w:b/>
                <w:color w:val="000000"/>
                <w:sz w:val="18"/>
                <w:szCs w:val="18"/>
              </w:rPr>
              <w:t>2023</w:t>
            </w:r>
          </w:p>
        </w:tc>
        <w:tc>
          <w:tcPr>
            <w:tcW w:w="449" w:type="pct"/>
            <w:tcBorders>
              <w:top w:val="single" w:sz="4" w:space="0" w:color="auto"/>
              <w:left w:val="nil"/>
              <w:bottom w:val="single" w:sz="4" w:space="0" w:color="auto"/>
              <w:right w:val="single" w:sz="4" w:space="0" w:color="auto"/>
            </w:tcBorders>
            <w:shd w:val="clear" w:color="auto" w:fill="9CC2E5" w:themeFill="accent1" w:themeFillTint="99"/>
          </w:tcPr>
          <w:p w14:paraId="28F25117" w14:textId="77777777" w:rsidR="00651B6D" w:rsidRPr="0003130B" w:rsidRDefault="00651B6D" w:rsidP="00651B6D">
            <w:pPr>
              <w:keepNext/>
              <w:keepLines/>
              <w:ind w:firstLine="0"/>
              <w:contextualSpacing/>
              <w:jc w:val="center"/>
              <w:rPr>
                <w:b/>
                <w:color w:val="000000"/>
                <w:sz w:val="18"/>
                <w:szCs w:val="18"/>
              </w:rPr>
            </w:pPr>
            <w:r w:rsidRPr="0003130B">
              <w:rPr>
                <w:b/>
                <w:color w:val="000000"/>
                <w:sz w:val="18"/>
                <w:szCs w:val="18"/>
              </w:rPr>
              <w:t>2024</w:t>
            </w:r>
          </w:p>
        </w:tc>
      </w:tr>
      <w:tr w:rsidR="0010115D" w:rsidRPr="0003130B" w14:paraId="77492B48" w14:textId="77777777" w:rsidTr="0010115D">
        <w:trPr>
          <w:trHeight w:val="136"/>
          <w:jc w:val="center"/>
        </w:trPr>
        <w:tc>
          <w:tcPr>
            <w:tcW w:w="3126" w:type="pct"/>
            <w:tcBorders>
              <w:top w:val="nil"/>
              <w:left w:val="single" w:sz="4" w:space="0" w:color="auto"/>
              <w:bottom w:val="single" w:sz="4" w:space="0" w:color="auto"/>
              <w:right w:val="single" w:sz="4" w:space="0" w:color="auto"/>
            </w:tcBorders>
            <w:shd w:val="clear" w:color="auto" w:fill="auto"/>
            <w:vAlign w:val="center"/>
            <w:hideMark/>
          </w:tcPr>
          <w:p w14:paraId="54F7D49D" w14:textId="77777777" w:rsidR="00651B6D" w:rsidRPr="0003130B" w:rsidRDefault="00651B6D" w:rsidP="00651B6D">
            <w:pPr>
              <w:keepNext/>
              <w:keepLines/>
              <w:ind w:firstLine="0"/>
              <w:contextualSpacing/>
              <w:jc w:val="left"/>
              <w:rPr>
                <w:color w:val="000000"/>
                <w:sz w:val="18"/>
                <w:szCs w:val="18"/>
              </w:rPr>
            </w:pPr>
            <w:r w:rsidRPr="0003130B">
              <w:rPr>
                <w:color w:val="000000"/>
                <w:sz w:val="18"/>
                <w:szCs w:val="18"/>
              </w:rPr>
              <w:t>Saskaņā ar likumprojektu „Par vidēja termiņa budžeta ietvaru 2022., 2023. un 2024</w:t>
            </w:r>
            <w:r>
              <w:rPr>
                <w:color w:val="000000"/>
                <w:sz w:val="18"/>
                <w:szCs w:val="18"/>
              </w:rPr>
              <w:t>. gad</w:t>
            </w:r>
            <w:r w:rsidRPr="0003130B">
              <w:rPr>
                <w:color w:val="000000"/>
                <w:sz w:val="18"/>
                <w:szCs w:val="18"/>
              </w:rPr>
              <w:t>am”</w:t>
            </w:r>
            <w:r>
              <w:rPr>
                <w:color w:val="000000"/>
                <w:sz w:val="18"/>
                <w:szCs w:val="18"/>
              </w:rPr>
              <w:t>, milj.</w:t>
            </w:r>
            <w:r w:rsidRPr="0003130B">
              <w:rPr>
                <w:i/>
                <w:color w:val="000000"/>
                <w:sz w:val="18"/>
                <w:szCs w:val="18"/>
              </w:rPr>
              <w:t> </w:t>
            </w:r>
            <w:r w:rsidRPr="004F46D3">
              <w:rPr>
                <w:i/>
                <w:color w:val="000000"/>
                <w:sz w:val="18"/>
                <w:szCs w:val="18"/>
              </w:rPr>
              <w:t>euro</w:t>
            </w:r>
          </w:p>
        </w:tc>
        <w:tc>
          <w:tcPr>
            <w:tcW w:w="526" w:type="pct"/>
            <w:tcBorders>
              <w:top w:val="nil"/>
              <w:left w:val="nil"/>
              <w:bottom w:val="single" w:sz="4" w:space="0" w:color="auto"/>
              <w:right w:val="single" w:sz="4" w:space="0" w:color="auto"/>
            </w:tcBorders>
            <w:shd w:val="clear" w:color="auto" w:fill="auto"/>
            <w:noWrap/>
          </w:tcPr>
          <w:p w14:paraId="42A46879" w14:textId="77777777" w:rsidR="00651B6D" w:rsidRPr="008D71AA" w:rsidRDefault="00651B6D" w:rsidP="00651B6D">
            <w:pPr>
              <w:keepNext/>
              <w:keepLines/>
              <w:tabs>
                <w:tab w:val="decimal" w:pos="462"/>
              </w:tabs>
              <w:ind w:firstLine="0"/>
              <w:contextualSpacing/>
              <w:jc w:val="right"/>
              <w:rPr>
                <w:color w:val="000000"/>
                <w:sz w:val="18"/>
                <w:szCs w:val="18"/>
              </w:rPr>
            </w:pPr>
            <w:r w:rsidRPr="0003130B">
              <w:rPr>
                <w:color w:val="000000"/>
                <w:sz w:val="18"/>
                <w:szCs w:val="18"/>
              </w:rPr>
              <w:t>22,9</w:t>
            </w:r>
            <w:r w:rsidRPr="008D71AA">
              <w:rPr>
                <w:bCs/>
                <w:sz w:val="18"/>
                <w:szCs w:val="18"/>
                <w:vertAlign w:val="superscript"/>
              </w:rPr>
              <w:t>1</w:t>
            </w:r>
          </w:p>
        </w:tc>
        <w:tc>
          <w:tcPr>
            <w:tcW w:w="449" w:type="pct"/>
            <w:tcBorders>
              <w:top w:val="nil"/>
              <w:left w:val="nil"/>
              <w:bottom w:val="single" w:sz="4" w:space="0" w:color="auto"/>
              <w:right w:val="single" w:sz="4" w:space="0" w:color="auto"/>
            </w:tcBorders>
            <w:shd w:val="clear" w:color="auto" w:fill="auto"/>
            <w:noWrap/>
          </w:tcPr>
          <w:p w14:paraId="3848B0D7" w14:textId="77777777" w:rsidR="00651B6D" w:rsidRPr="0003130B" w:rsidRDefault="00651B6D" w:rsidP="00651B6D">
            <w:pPr>
              <w:keepNext/>
              <w:keepLines/>
              <w:tabs>
                <w:tab w:val="decimal" w:pos="462"/>
              </w:tabs>
              <w:ind w:firstLine="0"/>
              <w:contextualSpacing/>
              <w:jc w:val="right"/>
              <w:rPr>
                <w:color w:val="000000"/>
                <w:sz w:val="18"/>
                <w:szCs w:val="18"/>
              </w:rPr>
            </w:pPr>
            <w:r w:rsidRPr="0003130B">
              <w:rPr>
                <w:color w:val="000000"/>
                <w:sz w:val="18"/>
                <w:szCs w:val="18"/>
              </w:rPr>
              <w:t>22,9</w:t>
            </w:r>
          </w:p>
        </w:tc>
        <w:tc>
          <w:tcPr>
            <w:tcW w:w="449" w:type="pct"/>
            <w:tcBorders>
              <w:top w:val="nil"/>
              <w:left w:val="nil"/>
              <w:bottom w:val="single" w:sz="4" w:space="0" w:color="auto"/>
              <w:right w:val="single" w:sz="4" w:space="0" w:color="auto"/>
            </w:tcBorders>
            <w:shd w:val="clear" w:color="auto" w:fill="auto"/>
            <w:noWrap/>
          </w:tcPr>
          <w:p w14:paraId="57B4FB80" w14:textId="77777777" w:rsidR="00651B6D" w:rsidRPr="0003130B" w:rsidRDefault="00651B6D" w:rsidP="00651B6D">
            <w:pPr>
              <w:keepNext/>
              <w:keepLines/>
              <w:tabs>
                <w:tab w:val="decimal" w:pos="462"/>
              </w:tabs>
              <w:ind w:firstLine="0"/>
              <w:contextualSpacing/>
              <w:jc w:val="right"/>
              <w:rPr>
                <w:color w:val="000000"/>
                <w:sz w:val="18"/>
                <w:szCs w:val="18"/>
              </w:rPr>
            </w:pPr>
            <w:r w:rsidRPr="0003130B">
              <w:rPr>
                <w:color w:val="000000"/>
                <w:sz w:val="18"/>
                <w:szCs w:val="18"/>
              </w:rPr>
              <w:t>23,0</w:t>
            </w:r>
          </w:p>
        </w:tc>
        <w:tc>
          <w:tcPr>
            <w:tcW w:w="449" w:type="pct"/>
            <w:tcBorders>
              <w:top w:val="nil"/>
              <w:left w:val="nil"/>
              <w:bottom w:val="single" w:sz="4" w:space="0" w:color="auto"/>
              <w:right w:val="single" w:sz="4" w:space="0" w:color="auto"/>
            </w:tcBorders>
          </w:tcPr>
          <w:p w14:paraId="55213DB5" w14:textId="77777777" w:rsidR="00651B6D" w:rsidRPr="0003130B" w:rsidRDefault="00651B6D" w:rsidP="00651B6D">
            <w:pPr>
              <w:keepNext/>
              <w:keepLines/>
              <w:tabs>
                <w:tab w:val="decimal" w:pos="462"/>
              </w:tabs>
              <w:ind w:firstLine="0"/>
              <w:contextualSpacing/>
              <w:jc w:val="right"/>
              <w:rPr>
                <w:color w:val="000000"/>
                <w:sz w:val="18"/>
                <w:szCs w:val="18"/>
              </w:rPr>
            </w:pPr>
            <w:r w:rsidRPr="0003130B">
              <w:rPr>
                <w:color w:val="000000"/>
                <w:sz w:val="18"/>
                <w:szCs w:val="18"/>
              </w:rPr>
              <w:t>23,2</w:t>
            </w:r>
          </w:p>
        </w:tc>
      </w:tr>
      <w:tr w:rsidR="0010115D" w:rsidRPr="0003130B" w14:paraId="29B6899E" w14:textId="77777777" w:rsidTr="0010115D">
        <w:trPr>
          <w:trHeight w:val="338"/>
          <w:jc w:val="center"/>
        </w:trPr>
        <w:tc>
          <w:tcPr>
            <w:tcW w:w="3126" w:type="pct"/>
            <w:tcBorders>
              <w:top w:val="nil"/>
              <w:left w:val="single" w:sz="4" w:space="0" w:color="auto"/>
              <w:bottom w:val="single" w:sz="4" w:space="0" w:color="auto"/>
              <w:right w:val="single" w:sz="4" w:space="0" w:color="auto"/>
            </w:tcBorders>
            <w:shd w:val="clear" w:color="auto" w:fill="auto"/>
            <w:vAlign w:val="center"/>
          </w:tcPr>
          <w:p w14:paraId="4D0E63E3" w14:textId="77777777" w:rsidR="00651B6D" w:rsidRPr="0003130B" w:rsidRDefault="00651B6D" w:rsidP="00651B6D">
            <w:pPr>
              <w:keepNext/>
              <w:keepLines/>
              <w:ind w:firstLine="0"/>
              <w:contextualSpacing/>
              <w:jc w:val="left"/>
              <w:rPr>
                <w:i/>
                <w:sz w:val="18"/>
                <w:szCs w:val="18"/>
              </w:rPr>
            </w:pPr>
            <w:r w:rsidRPr="0003130B">
              <w:rPr>
                <w:sz w:val="18"/>
                <w:szCs w:val="18"/>
              </w:rPr>
              <w:t>Saskaņā ar likumu „Par vidēja termiņa budžeta ietvaru 2021., 2022. un 2023</w:t>
            </w:r>
            <w:r>
              <w:rPr>
                <w:sz w:val="18"/>
                <w:szCs w:val="18"/>
              </w:rPr>
              <w:t>. gad</w:t>
            </w:r>
            <w:r w:rsidRPr="0003130B">
              <w:rPr>
                <w:sz w:val="18"/>
                <w:szCs w:val="18"/>
              </w:rPr>
              <w:t>am”</w:t>
            </w:r>
            <w:r>
              <w:rPr>
                <w:color w:val="000000"/>
                <w:sz w:val="18"/>
                <w:szCs w:val="18"/>
              </w:rPr>
              <w:t>, milj.</w:t>
            </w:r>
            <w:r w:rsidRPr="0003130B">
              <w:rPr>
                <w:i/>
                <w:color w:val="000000"/>
                <w:sz w:val="18"/>
                <w:szCs w:val="18"/>
              </w:rPr>
              <w:t> </w:t>
            </w:r>
            <w:r w:rsidRPr="004F46D3">
              <w:rPr>
                <w:i/>
                <w:color w:val="000000"/>
                <w:sz w:val="18"/>
                <w:szCs w:val="18"/>
              </w:rPr>
              <w:t>euro</w:t>
            </w:r>
          </w:p>
        </w:tc>
        <w:tc>
          <w:tcPr>
            <w:tcW w:w="526" w:type="pct"/>
            <w:tcBorders>
              <w:top w:val="nil"/>
              <w:left w:val="nil"/>
              <w:bottom w:val="single" w:sz="4" w:space="0" w:color="auto"/>
              <w:right w:val="single" w:sz="4" w:space="0" w:color="auto"/>
            </w:tcBorders>
            <w:shd w:val="clear" w:color="auto" w:fill="auto"/>
            <w:noWrap/>
          </w:tcPr>
          <w:p w14:paraId="3C1AE9AF" w14:textId="77777777" w:rsidR="00651B6D" w:rsidRPr="0003130B" w:rsidRDefault="00651B6D" w:rsidP="00651B6D">
            <w:pPr>
              <w:keepNext/>
              <w:keepLines/>
              <w:tabs>
                <w:tab w:val="decimal" w:pos="462"/>
              </w:tabs>
              <w:ind w:firstLine="0"/>
              <w:contextualSpacing/>
              <w:jc w:val="right"/>
              <w:rPr>
                <w:color w:val="000000"/>
                <w:sz w:val="18"/>
                <w:szCs w:val="18"/>
              </w:rPr>
            </w:pPr>
            <w:r w:rsidRPr="0003130B">
              <w:rPr>
                <w:color w:val="000000"/>
                <w:sz w:val="18"/>
                <w:szCs w:val="18"/>
              </w:rPr>
              <w:t>23,2</w:t>
            </w:r>
          </w:p>
        </w:tc>
        <w:tc>
          <w:tcPr>
            <w:tcW w:w="449" w:type="pct"/>
            <w:tcBorders>
              <w:top w:val="nil"/>
              <w:left w:val="nil"/>
              <w:bottom w:val="single" w:sz="4" w:space="0" w:color="auto"/>
              <w:right w:val="single" w:sz="4" w:space="0" w:color="auto"/>
            </w:tcBorders>
            <w:shd w:val="clear" w:color="auto" w:fill="auto"/>
            <w:noWrap/>
          </w:tcPr>
          <w:p w14:paraId="6F83BFD4" w14:textId="77777777" w:rsidR="00651B6D" w:rsidRPr="0003130B" w:rsidRDefault="00651B6D" w:rsidP="00651B6D">
            <w:pPr>
              <w:keepNext/>
              <w:keepLines/>
              <w:tabs>
                <w:tab w:val="decimal" w:pos="462"/>
              </w:tabs>
              <w:ind w:firstLine="0"/>
              <w:contextualSpacing/>
              <w:jc w:val="right"/>
              <w:rPr>
                <w:color w:val="000000"/>
                <w:sz w:val="18"/>
                <w:szCs w:val="18"/>
              </w:rPr>
            </w:pPr>
            <w:r w:rsidRPr="0003130B">
              <w:rPr>
                <w:color w:val="000000"/>
                <w:sz w:val="18"/>
                <w:szCs w:val="18"/>
              </w:rPr>
              <w:t>23,2</w:t>
            </w:r>
          </w:p>
        </w:tc>
        <w:tc>
          <w:tcPr>
            <w:tcW w:w="449" w:type="pct"/>
            <w:tcBorders>
              <w:top w:val="nil"/>
              <w:left w:val="nil"/>
              <w:bottom w:val="single" w:sz="4" w:space="0" w:color="auto"/>
              <w:right w:val="single" w:sz="4" w:space="0" w:color="auto"/>
            </w:tcBorders>
            <w:shd w:val="clear" w:color="auto" w:fill="auto"/>
            <w:noWrap/>
          </w:tcPr>
          <w:p w14:paraId="2C631F61" w14:textId="77777777" w:rsidR="00651B6D" w:rsidRPr="0003130B" w:rsidRDefault="00651B6D" w:rsidP="00651B6D">
            <w:pPr>
              <w:keepNext/>
              <w:keepLines/>
              <w:tabs>
                <w:tab w:val="decimal" w:pos="462"/>
              </w:tabs>
              <w:ind w:firstLine="0"/>
              <w:contextualSpacing/>
              <w:jc w:val="right"/>
              <w:rPr>
                <w:color w:val="000000"/>
                <w:sz w:val="18"/>
                <w:szCs w:val="18"/>
              </w:rPr>
            </w:pPr>
            <w:r w:rsidRPr="0003130B">
              <w:rPr>
                <w:color w:val="000000"/>
                <w:sz w:val="18"/>
                <w:szCs w:val="18"/>
              </w:rPr>
              <w:t>23,2</w:t>
            </w:r>
          </w:p>
        </w:tc>
        <w:tc>
          <w:tcPr>
            <w:tcW w:w="449" w:type="pct"/>
            <w:tcBorders>
              <w:top w:val="nil"/>
              <w:left w:val="nil"/>
              <w:bottom w:val="single" w:sz="4" w:space="0" w:color="auto"/>
              <w:right w:val="single" w:sz="4" w:space="0" w:color="auto"/>
            </w:tcBorders>
          </w:tcPr>
          <w:p w14:paraId="71B78D59" w14:textId="77777777" w:rsidR="00651B6D" w:rsidRPr="0003130B" w:rsidRDefault="00651B6D" w:rsidP="00651B6D">
            <w:pPr>
              <w:keepNext/>
              <w:keepLines/>
              <w:ind w:firstLine="0"/>
              <w:contextualSpacing/>
              <w:jc w:val="right"/>
              <w:rPr>
                <w:bCs/>
                <w:color w:val="000000"/>
                <w:sz w:val="18"/>
                <w:szCs w:val="18"/>
              </w:rPr>
            </w:pPr>
            <w:r w:rsidRPr="0003130B">
              <w:rPr>
                <w:bCs/>
                <w:color w:val="000000"/>
                <w:sz w:val="18"/>
                <w:szCs w:val="18"/>
              </w:rPr>
              <w:t>-</w:t>
            </w:r>
          </w:p>
        </w:tc>
      </w:tr>
      <w:tr w:rsidR="0010115D" w:rsidRPr="0003130B" w14:paraId="560C106C" w14:textId="77777777" w:rsidTr="0010115D">
        <w:trPr>
          <w:trHeight w:val="338"/>
          <w:jc w:val="center"/>
        </w:trPr>
        <w:tc>
          <w:tcPr>
            <w:tcW w:w="3126" w:type="pct"/>
            <w:tcBorders>
              <w:top w:val="nil"/>
              <w:left w:val="single" w:sz="4" w:space="0" w:color="auto"/>
              <w:bottom w:val="single" w:sz="4" w:space="0" w:color="auto"/>
              <w:right w:val="single" w:sz="4" w:space="0" w:color="auto"/>
            </w:tcBorders>
            <w:shd w:val="clear" w:color="auto" w:fill="auto"/>
            <w:vAlign w:val="center"/>
            <w:hideMark/>
          </w:tcPr>
          <w:p w14:paraId="5ACA36A8" w14:textId="77777777" w:rsidR="00651B6D" w:rsidRPr="0003130B" w:rsidRDefault="00651B6D" w:rsidP="00651B6D">
            <w:pPr>
              <w:keepNext/>
              <w:keepLines/>
              <w:ind w:firstLine="0"/>
              <w:contextualSpacing/>
              <w:jc w:val="left"/>
              <w:rPr>
                <w:i/>
                <w:color w:val="000000"/>
                <w:sz w:val="18"/>
                <w:szCs w:val="18"/>
              </w:rPr>
            </w:pPr>
            <w:r w:rsidRPr="0003130B">
              <w:rPr>
                <w:i/>
                <w:color w:val="000000"/>
                <w:sz w:val="18"/>
                <w:szCs w:val="18"/>
              </w:rPr>
              <w:t>pieaugums, salīdzinot ar likumu „Par vidēja termiņa budžeta ietvaru 2021., 2022. un 2023</w:t>
            </w:r>
            <w:r>
              <w:rPr>
                <w:i/>
                <w:color w:val="000000"/>
                <w:sz w:val="18"/>
                <w:szCs w:val="18"/>
              </w:rPr>
              <w:t>. gad</w:t>
            </w:r>
            <w:r w:rsidRPr="0003130B">
              <w:rPr>
                <w:i/>
                <w:color w:val="000000"/>
                <w:sz w:val="18"/>
                <w:szCs w:val="18"/>
              </w:rPr>
              <w:t>am”</w:t>
            </w:r>
            <w:r>
              <w:rPr>
                <w:i/>
                <w:color w:val="000000"/>
                <w:sz w:val="18"/>
                <w:szCs w:val="18"/>
              </w:rPr>
              <w:t>, milj.</w:t>
            </w:r>
            <w:r w:rsidRPr="0003130B">
              <w:rPr>
                <w:i/>
                <w:color w:val="000000"/>
                <w:sz w:val="18"/>
                <w:szCs w:val="18"/>
              </w:rPr>
              <w:t> </w:t>
            </w:r>
            <w:r w:rsidRPr="004F46D3">
              <w:rPr>
                <w:i/>
                <w:color w:val="000000"/>
                <w:sz w:val="18"/>
                <w:szCs w:val="18"/>
              </w:rPr>
              <w:t>euro</w:t>
            </w:r>
          </w:p>
        </w:tc>
        <w:tc>
          <w:tcPr>
            <w:tcW w:w="526" w:type="pct"/>
            <w:tcBorders>
              <w:top w:val="nil"/>
              <w:left w:val="nil"/>
              <w:bottom w:val="single" w:sz="4" w:space="0" w:color="auto"/>
              <w:right w:val="single" w:sz="4" w:space="0" w:color="auto"/>
            </w:tcBorders>
            <w:shd w:val="clear" w:color="auto" w:fill="auto"/>
            <w:noWrap/>
          </w:tcPr>
          <w:p w14:paraId="1A9FB715" w14:textId="77777777" w:rsidR="00651B6D" w:rsidRPr="0003130B" w:rsidRDefault="00651B6D" w:rsidP="00651B6D">
            <w:pPr>
              <w:keepNext/>
              <w:keepLines/>
              <w:tabs>
                <w:tab w:val="decimal" w:pos="462"/>
              </w:tabs>
              <w:ind w:firstLine="0"/>
              <w:contextualSpacing/>
              <w:jc w:val="right"/>
              <w:rPr>
                <w:i/>
                <w:color w:val="000000"/>
                <w:sz w:val="18"/>
                <w:szCs w:val="18"/>
              </w:rPr>
            </w:pPr>
            <w:r w:rsidRPr="0003130B">
              <w:rPr>
                <w:i/>
                <w:color w:val="000000"/>
                <w:sz w:val="18"/>
                <w:szCs w:val="18"/>
              </w:rPr>
              <w:t>-0,4</w:t>
            </w:r>
          </w:p>
        </w:tc>
        <w:tc>
          <w:tcPr>
            <w:tcW w:w="449" w:type="pct"/>
            <w:tcBorders>
              <w:top w:val="nil"/>
              <w:left w:val="nil"/>
              <w:bottom w:val="single" w:sz="4" w:space="0" w:color="auto"/>
              <w:right w:val="single" w:sz="4" w:space="0" w:color="auto"/>
            </w:tcBorders>
            <w:shd w:val="clear" w:color="auto" w:fill="auto"/>
            <w:noWrap/>
          </w:tcPr>
          <w:p w14:paraId="7C3F5141" w14:textId="77777777" w:rsidR="00651B6D" w:rsidRPr="0003130B" w:rsidRDefault="00651B6D" w:rsidP="00651B6D">
            <w:pPr>
              <w:keepNext/>
              <w:keepLines/>
              <w:tabs>
                <w:tab w:val="decimal" w:pos="462"/>
              </w:tabs>
              <w:ind w:firstLine="0"/>
              <w:contextualSpacing/>
              <w:jc w:val="right"/>
              <w:rPr>
                <w:i/>
                <w:color w:val="000000"/>
                <w:sz w:val="18"/>
                <w:szCs w:val="18"/>
              </w:rPr>
            </w:pPr>
            <w:r w:rsidRPr="0003130B">
              <w:rPr>
                <w:i/>
                <w:color w:val="000000"/>
                <w:sz w:val="18"/>
                <w:szCs w:val="18"/>
              </w:rPr>
              <w:t>-0,3</w:t>
            </w:r>
          </w:p>
        </w:tc>
        <w:tc>
          <w:tcPr>
            <w:tcW w:w="449" w:type="pct"/>
            <w:tcBorders>
              <w:top w:val="nil"/>
              <w:left w:val="nil"/>
              <w:bottom w:val="single" w:sz="4" w:space="0" w:color="auto"/>
              <w:right w:val="single" w:sz="4" w:space="0" w:color="auto"/>
            </w:tcBorders>
            <w:shd w:val="clear" w:color="auto" w:fill="auto"/>
            <w:noWrap/>
            <w:hideMark/>
          </w:tcPr>
          <w:p w14:paraId="241D2666" w14:textId="77777777" w:rsidR="00651B6D" w:rsidRPr="0003130B" w:rsidRDefault="00651B6D" w:rsidP="00651B6D">
            <w:pPr>
              <w:keepNext/>
              <w:keepLines/>
              <w:tabs>
                <w:tab w:val="decimal" w:pos="462"/>
              </w:tabs>
              <w:ind w:firstLine="0"/>
              <w:contextualSpacing/>
              <w:jc w:val="right"/>
              <w:rPr>
                <w:i/>
                <w:color w:val="000000"/>
                <w:sz w:val="18"/>
                <w:szCs w:val="18"/>
              </w:rPr>
            </w:pPr>
            <w:r w:rsidRPr="0003130B">
              <w:rPr>
                <w:i/>
                <w:color w:val="000000"/>
                <w:sz w:val="18"/>
                <w:szCs w:val="18"/>
              </w:rPr>
              <w:t>-0,2</w:t>
            </w:r>
          </w:p>
        </w:tc>
        <w:tc>
          <w:tcPr>
            <w:tcW w:w="449" w:type="pct"/>
            <w:tcBorders>
              <w:top w:val="nil"/>
              <w:left w:val="nil"/>
              <w:bottom w:val="single" w:sz="4" w:space="0" w:color="auto"/>
              <w:right w:val="single" w:sz="4" w:space="0" w:color="auto"/>
            </w:tcBorders>
            <w:shd w:val="clear" w:color="auto" w:fill="auto"/>
          </w:tcPr>
          <w:p w14:paraId="0D56CD3B" w14:textId="77777777" w:rsidR="00651B6D" w:rsidRPr="0003130B" w:rsidRDefault="00651B6D" w:rsidP="00651B6D">
            <w:pPr>
              <w:keepNext/>
              <w:keepLines/>
              <w:ind w:firstLine="0"/>
              <w:contextualSpacing/>
              <w:jc w:val="right"/>
              <w:rPr>
                <w:i/>
                <w:color w:val="000000"/>
                <w:sz w:val="18"/>
                <w:szCs w:val="18"/>
              </w:rPr>
            </w:pPr>
            <w:r w:rsidRPr="0003130B">
              <w:rPr>
                <w:i/>
                <w:color w:val="000000"/>
                <w:sz w:val="18"/>
                <w:szCs w:val="18"/>
              </w:rPr>
              <w:t>-</w:t>
            </w:r>
          </w:p>
        </w:tc>
      </w:tr>
      <w:tr w:rsidR="0010115D" w:rsidRPr="0003130B" w14:paraId="54C313CB" w14:textId="77777777" w:rsidTr="0010115D">
        <w:trPr>
          <w:trHeight w:val="319"/>
          <w:jc w:val="center"/>
        </w:trPr>
        <w:tc>
          <w:tcPr>
            <w:tcW w:w="3126" w:type="pct"/>
            <w:tcBorders>
              <w:top w:val="nil"/>
              <w:left w:val="single" w:sz="4" w:space="0" w:color="auto"/>
              <w:bottom w:val="single" w:sz="4" w:space="0" w:color="auto"/>
              <w:right w:val="single" w:sz="4" w:space="0" w:color="auto"/>
            </w:tcBorders>
            <w:shd w:val="clear" w:color="auto" w:fill="auto"/>
            <w:vAlign w:val="center"/>
            <w:hideMark/>
          </w:tcPr>
          <w:p w14:paraId="27DEDDB9" w14:textId="77777777" w:rsidR="00651B6D" w:rsidRPr="0003130B" w:rsidRDefault="00651B6D" w:rsidP="00651B6D">
            <w:pPr>
              <w:keepNext/>
              <w:keepLines/>
              <w:ind w:firstLine="0"/>
              <w:contextualSpacing/>
              <w:jc w:val="left"/>
              <w:rPr>
                <w:i/>
                <w:color w:val="000000"/>
                <w:sz w:val="18"/>
                <w:szCs w:val="18"/>
              </w:rPr>
            </w:pPr>
            <w:r w:rsidRPr="0003130B">
              <w:rPr>
                <w:i/>
                <w:color w:val="000000"/>
                <w:sz w:val="18"/>
                <w:szCs w:val="18"/>
              </w:rPr>
              <w:t>pieaugums, salīdzinot ar likumu „Par vidēja termiņa budžeta ietvaru 2021., 2022. un 2023</w:t>
            </w:r>
            <w:r>
              <w:rPr>
                <w:i/>
                <w:color w:val="000000"/>
                <w:sz w:val="18"/>
                <w:szCs w:val="18"/>
              </w:rPr>
              <w:t>. gad</w:t>
            </w:r>
            <w:r w:rsidRPr="0003130B">
              <w:rPr>
                <w:i/>
                <w:color w:val="000000"/>
                <w:sz w:val="18"/>
                <w:szCs w:val="18"/>
              </w:rPr>
              <w:t>am”, %</w:t>
            </w:r>
          </w:p>
        </w:tc>
        <w:tc>
          <w:tcPr>
            <w:tcW w:w="526" w:type="pct"/>
            <w:tcBorders>
              <w:top w:val="nil"/>
              <w:left w:val="nil"/>
              <w:bottom w:val="single" w:sz="4" w:space="0" w:color="auto"/>
              <w:right w:val="single" w:sz="4" w:space="0" w:color="auto"/>
            </w:tcBorders>
            <w:shd w:val="clear" w:color="auto" w:fill="auto"/>
            <w:noWrap/>
          </w:tcPr>
          <w:p w14:paraId="2BECB78F" w14:textId="77777777" w:rsidR="00651B6D" w:rsidRPr="0003130B" w:rsidRDefault="00651B6D" w:rsidP="00651B6D">
            <w:pPr>
              <w:keepNext/>
              <w:keepLines/>
              <w:tabs>
                <w:tab w:val="decimal" w:pos="462"/>
              </w:tabs>
              <w:ind w:firstLine="0"/>
              <w:contextualSpacing/>
              <w:jc w:val="right"/>
              <w:rPr>
                <w:i/>
                <w:color w:val="000000"/>
                <w:sz w:val="18"/>
                <w:szCs w:val="18"/>
              </w:rPr>
            </w:pPr>
            <w:r w:rsidRPr="0003130B">
              <w:rPr>
                <w:i/>
                <w:color w:val="000000"/>
                <w:sz w:val="18"/>
                <w:szCs w:val="18"/>
              </w:rPr>
              <w:t>-1,5</w:t>
            </w:r>
          </w:p>
        </w:tc>
        <w:tc>
          <w:tcPr>
            <w:tcW w:w="449" w:type="pct"/>
            <w:tcBorders>
              <w:top w:val="nil"/>
              <w:left w:val="nil"/>
              <w:bottom w:val="single" w:sz="4" w:space="0" w:color="auto"/>
              <w:right w:val="single" w:sz="4" w:space="0" w:color="auto"/>
            </w:tcBorders>
            <w:shd w:val="clear" w:color="auto" w:fill="auto"/>
            <w:noWrap/>
          </w:tcPr>
          <w:p w14:paraId="334AA904" w14:textId="77777777" w:rsidR="00651B6D" w:rsidRPr="0003130B" w:rsidRDefault="00651B6D" w:rsidP="00651B6D">
            <w:pPr>
              <w:keepNext/>
              <w:keepLines/>
              <w:tabs>
                <w:tab w:val="decimal" w:pos="462"/>
              </w:tabs>
              <w:ind w:firstLine="0"/>
              <w:contextualSpacing/>
              <w:jc w:val="right"/>
              <w:rPr>
                <w:i/>
                <w:color w:val="000000"/>
                <w:sz w:val="18"/>
                <w:szCs w:val="18"/>
              </w:rPr>
            </w:pPr>
            <w:r w:rsidRPr="0003130B">
              <w:rPr>
                <w:i/>
                <w:color w:val="000000"/>
                <w:sz w:val="18"/>
                <w:szCs w:val="18"/>
              </w:rPr>
              <w:t>-1,2</w:t>
            </w:r>
          </w:p>
        </w:tc>
        <w:tc>
          <w:tcPr>
            <w:tcW w:w="449" w:type="pct"/>
            <w:tcBorders>
              <w:top w:val="nil"/>
              <w:left w:val="nil"/>
              <w:bottom w:val="single" w:sz="4" w:space="0" w:color="auto"/>
              <w:right w:val="single" w:sz="4" w:space="0" w:color="auto"/>
            </w:tcBorders>
            <w:shd w:val="clear" w:color="auto" w:fill="auto"/>
            <w:noWrap/>
            <w:hideMark/>
          </w:tcPr>
          <w:p w14:paraId="5242BD8B" w14:textId="77777777" w:rsidR="00651B6D" w:rsidRPr="0003130B" w:rsidRDefault="00651B6D" w:rsidP="00651B6D">
            <w:pPr>
              <w:keepNext/>
              <w:keepLines/>
              <w:tabs>
                <w:tab w:val="decimal" w:pos="462"/>
              </w:tabs>
              <w:ind w:firstLine="0"/>
              <w:contextualSpacing/>
              <w:jc w:val="right"/>
              <w:rPr>
                <w:i/>
                <w:color w:val="000000"/>
                <w:sz w:val="18"/>
                <w:szCs w:val="18"/>
              </w:rPr>
            </w:pPr>
            <w:r w:rsidRPr="0003130B">
              <w:rPr>
                <w:i/>
                <w:color w:val="000000"/>
                <w:sz w:val="18"/>
                <w:szCs w:val="18"/>
              </w:rPr>
              <w:t>-0,7</w:t>
            </w:r>
          </w:p>
        </w:tc>
        <w:tc>
          <w:tcPr>
            <w:tcW w:w="449" w:type="pct"/>
            <w:tcBorders>
              <w:top w:val="nil"/>
              <w:left w:val="nil"/>
              <w:bottom w:val="single" w:sz="4" w:space="0" w:color="auto"/>
              <w:right w:val="single" w:sz="4" w:space="0" w:color="auto"/>
            </w:tcBorders>
            <w:shd w:val="clear" w:color="auto" w:fill="auto"/>
          </w:tcPr>
          <w:p w14:paraId="656E5516" w14:textId="77777777" w:rsidR="00651B6D" w:rsidRPr="0003130B" w:rsidRDefault="00651B6D" w:rsidP="00651B6D">
            <w:pPr>
              <w:keepNext/>
              <w:keepLines/>
              <w:ind w:firstLine="0"/>
              <w:contextualSpacing/>
              <w:jc w:val="right"/>
              <w:rPr>
                <w:i/>
                <w:color w:val="000000"/>
                <w:sz w:val="18"/>
                <w:szCs w:val="18"/>
              </w:rPr>
            </w:pPr>
            <w:r w:rsidRPr="0003130B">
              <w:rPr>
                <w:i/>
                <w:color w:val="000000"/>
                <w:sz w:val="18"/>
                <w:szCs w:val="18"/>
              </w:rPr>
              <w:t>-</w:t>
            </w:r>
          </w:p>
        </w:tc>
      </w:tr>
      <w:tr w:rsidR="0010115D" w:rsidRPr="0003130B" w14:paraId="5E1A9DC5" w14:textId="77777777" w:rsidTr="0010115D">
        <w:trPr>
          <w:trHeight w:val="169"/>
          <w:jc w:val="center"/>
        </w:trPr>
        <w:tc>
          <w:tcPr>
            <w:tcW w:w="3126" w:type="pct"/>
            <w:tcBorders>
              <w:top w:val="nil"/>
              <w:left w:val="single" w:sz="4" w:space="0" w:color="auto"/>
              <w:bottom w:val="single" w:sz="4" w:space="0" w:color="auto"/>
              <w:right w:val="single" w:sz="4" w:space="0" w:color="auto"/>
            </w:tcBorders>
            <w:shd w:val="clear" w:color="auto" w:fill="auto"/>
            <w:noWrap/>
            <w:vAlign w:val="center"/>
            <w:hideMark/>
          </w:tcPr>
          <w:p w14:paraId="5ADB34AD" w14:textId="31608EAE" w:rsidR="00651B6D" w:rsidRPr="0003130B" w:rsidRDefault="0082519F" w:rsidP="00651B6D">
            <w:pPr>
              <w:keepNext/>
              <w:keepLines/>
              <w:ind w:firstLine="0"/>
              <w:contextualSpacing/>
              <w:jc w:val="left"/>
              <w:rPr>
                <w:i/>
                <w:iCs/>
                <w:color w:val="000000"/>
                <w:sz w:val="18"/>
                <w:szCs w:val="18"/>
              </w:rPr>
            </w:pPr>
            <w:r>
              <w:rPr>
                <w:i/>
                <w:iCs/>
                <w:color w:val="000000"/>
                <w:sz w:val="18"/>
                <w:szCs w:val="18"/>
              </w:rPr>
              <w:t>% no iekšzemes kopprodukts</w:t>
            </w:r>
          </w:p>
        </w:tc>
        <w:tc>
          <w:tcPr>
            <w:tcW w:w="526" w:type="pct"/>
            <w:tcBorders>
              <w:top w:val="nil"/>
              <w:left w:val="nil"/>
              <w:bottom w:val="single" w:sz="4" w:space="0" w:color="auto"/>
              <w:right w:val="single" w:sz="4" w:space="0" w:color="auto"/>
            </w:tcBorders>
            <w:shd w:val="clear" w:color="auto" w:fill="auto"/>
            <w:noWrap/>
          </w:tcPr>
          <w:p w14:paraId="2680BA33" w14:textId="77777777" w:rsidR="00651B6D" w:rsidRPr="0003130B" w:rsidRDefault="00651B6D" w:rsidP="00651B6D">
            <w:pPr>
              <w:keepNext/>
              <w:keepLines/>
              <w:tabs>
                <w:tab w:val="decimal" w:pos="462"/>
              </w:tabs>
              <w:ind w:firstLine="0"/>
              <w:contextualSpacing/>
              <w:jc w:val="right"/>
              <w:rPr>
                <w:i/>
                <w:color w:val="000000"/>
                <w:sz w:val="18"/>
                <w:szCs w:val="18"/>
              </w:rPr>
            </w:pPr>
            <w:r w:rsidRPr="0003130B">
              <w:rPr>
                <w:i/>
                <w:color w:val="000000"/>
                <w:sz w:val="18"/>
                <w:szCs w:val="18"/>
              </w:rPr>
              <w:t>0,1</w:t>
            </w:r>
          </w:p>
        </w:tc>
        <w:tc>
          <w:tcPr>
            <w:tcW w:w="449" w:type="pct"/>
            <w:tcBorders>
              <w:top w:val="nil"/>
              <w:left w:val="nil"/>
              <w:bottom w:val="single" w:sz="4" w:space="0" w:color="auto"/>
              <w:right w:val="single" w:sz="4" w:space="0" w:color="auto"/>
            </w:tcBorders>
            <w:shd w:val="clear" w:color="auto" w:fill="auto"/>
            <w:noWrap/>
          </w:tcPr>
          <w:p w14:paraId="3373F8D7" w14:textId="77777777" w:rsidR="00651B6D" w:rsidRPr="0003130B" w:rsidRDefault="00651B6D" w:rsidP="00651B6D">
            <w:pPr>
              <w:keepNext/>
              <w:keepLines/>
              <w:tabs>
                <w:tab w:val="decimal" w:pos="462"/>
              </w:tabs>
              <w:ind w:firstLine="0"/>
              <w:contextualSpacing/>
              <w:jc w:val="right"/>
              <w:rPr>
                <w:i/>
                <w:color w:val="000000"/>
                <w:sz w:val="18"/>
                <w:szCs w:val="18"/>
              </w:rPr>
            </w:pPr>
            <w:r w:rsidRPr="0003130B">
              <w:rPr>
                <w:i/>
                <w:color w:val="000000"/>
                <w:sz w:val="18"/>
                <w:szCs w:val="18"/>
              </w:rPr>
              <w:t>0,1</w:t>
            </w:r>
          </w:p>
        </w:tc>
        <w:tc>
          <w:tcPr>
            <w:tcW w:w="449" w:type="pct"/>
            <w:tcBorders>
              <w:top w:val="nil"/>
              <w:left w:val="nil"/>
              <w:bottom w:val="single" w:sz="4" w:space="0" w:color="auto"/>
              <w:right w:val="single" w:sz="4" w:space="0" w:color="auto"/>
            </w:tcBorders>
            <w:shd w:val="clear" w:color="auto" w:fill="auto"/>
            <w:noWrap/>
          </w:tcPr>
          <w:p w14:paraId="031E206F" w14:textId="77777777" w:rsidR="00651B6D" w:rsidRPr="0003130B" w:rsidRDefault="00651B6D" w:rsidP="00651B6D">
            <w:pPr>
              <w:keepNext/>
              <w:keepLines/>
              <w:tabs>
                <w:tab w:val="decimal" w:pos="462"/>
              </w:tabs>
              <w:ind w:firstLine="0"/>
              <w:contextualSpacing/>
              <w:jc w:val="right"/>
              <w:rPr>
                <w:i/>
                <w:color w:val="000000"/>
                <w:sz w:val="18"/>
                <w:szCs w:val="18"/>
              </w:rPr>
            </w:pPr>
            <w:r w:rsidRPr="0003130B">
              <w:rPr>
                <w:i/>
                <w:color w:val="000000"/>
                <w:sz w:val="18"/>
                <w:szCs w:val="18"/>
              </w:rPr>
              <w:t>0,1</w:t>
            </w:r>
          </w:p>
        </w:tc>
        <w:tc>
          <w:tcPr>
            <w:tcW w:w="449" w:type="pct"/>
            <w:tcBorders>
              <w:top w:val="nil"/>
              <w:left w:val="nil"/>
              <w:bottom w:val="single" w:sz="4" w:space="0" w:color="auto"/>
              <w:right w:val="single" w:sz="4" w:space="0" w:color="auto"/>
            </w:tcBorders>
          </w:tcPr>
          <w:p w14:paraId="35CEEB03" w14:textId="77777777" w:rsidR="00651B6D" w:rsidRPr="0003130B" w:rsidRDefault="00651B6D" w:rsidP="00651B6D">
            <w:pPr>
              <w:keepNext/>
              <w:keepLines/>
              <w:tabs>
                <w:tab w:val="decimal" w:pos="462"/>
              </w:tabs>
              <w:ind w:firstLine="0"/>
              <w:contextualSpacing/>
              <w:jc w:val="right"/>
              <w:rPr>
                <w:i/>
                <w:color w:val="000000"/>
                <w:sz w:val="18"/>
                <w:szCs w:val="18"/>
              </w:rPr>
            </w:pPr>
            <w:r w:rsidRPr="0003130B">
              <w:rPr>
                <w:i/>
                <w:color w:val="000000"/>
                <w:sz w:val="18"/>
                <w:szCs w:val="18"/>
              </w:rPr>
              <w:t>0,1</w:t>
            </w:r>
          </w:p>
        </w:tc>
      </w:tr>
    </w:tbl>
    <w:p w14:paraId="3E236A94" w14:textId="77777777" w:rsidR="00651B6D" w:rsidRPr="00E81457" w:rsidRDefault="00651B6D" w:rsidP="0082519F">
      <w:pPr>
        <w:spacing w:before="120"/>
        <w:ind w:left="425" w:firstLine="0"/>
        <w:jc w:val="left"/>
        <w:rPr>
          <w:sz w:val="18"/>
          <w:szCs w:val="18"/>
        </w:rPr>
      </w:pPr>
      <w:r w:rsidRPr="00E81457">
        <w:rPr>
          <w:sz w:val="18"/>
          <w:szCs w:val="18"/>
          <w:vertAlign w:val="superscript"/>
        </w:rPr>
        <w:t>1</w:t>
      </w:r>
      <w:r w:rsidRPr="00E81457">
        <w:rPr>
          <w:sz w:val="18"/>
          <w:szCs w:val="18"/>
        </w:rPr>
        <w:t> Prognoze 22.07.2021</w:t>
      </w:r>
      <w:r>
        <w:rPr>
          <w:sz w:val="18"/>
          <w:szCs w:val="18"/>
        </w:rPr>
        <w:t>.</w:t>
      </w:r>
    </w:p>
    <w:p w14:paraId="6FBC8BB3" w14:textId="77777777" w:rsidR="00651B6D" w:rsidRDefault="00651B6D" w:rsidP="0082519F">
      <w:pPr>
        <w:pStyle w:val="H3"/>
        <w:spacing w:before="240" w:after="240"/>
      </w:pPr>
      <w:bookmarkStart w:id="83" w:name="_Toc84756429"/>
      <w:r w:rsidRPr="00921D7E">
        <w:t>Dabas resursu nodoklis</w:t>
      </w:r>
      <w:bookmarkEnd w:id="83"/>
    </w:p>
    <w:p w14:paraId="2F484D5C" w14:textId="77777777" w:rsidR="00651B6D" w:rsidRDefault="00651B6D" w:rsidP="00651B6D">
      <w:r w:rsidRPr="00CA2EA4">
        <w:rPr>
          <w:bCs/>
        </w:rPr>
        <w:t>Dabas resursu nodokļa</w:t>
      </w:r>
      <w:r w:rsidRPr="002F3670">
        <w:t xml:space="preserve"> maksājumi ir saistīti ar nodokļu maksātāju ekonomiskajām aktivitātēm un to izraisīto vides noslodzi, kā arī veiktajiem vides aizsardzības pasākumiem. Dabas resursu nodokļa ieņēmumi 2021</w:t>
      </w:r>
      <w:r>
        <w:t>. gad</w:t>
      </w:r>
      <w:r w:rsidRPr="002F3670">
        <w:t xml:space="preserve">a sešos mēnešos </w:t>
      </w:r>
      <w:r w:rsidRPr="00217023">
        <w:t>bija 19,4</w:t>
      </w:r>
      <w:r>
        <w:t> milj. </w:t>
      </w:r>
      <w:r w:rsidRPr="004F46D3">
        <w:rPr>
          <w:i/>
        </w:rPr>
        <w:t>euro</w:t>
      </w:r>
      <w:r w:rsidRPr="00217023">
        <w:t>, kas ir par 2,4</w:t>
      </w:r>
      <w:r>
        <w:t> milj. </w:t>
      </w:r>
      <w:r w:rsidRPr="004F46D3">
        <w:rPr>
          <w:i/>
        </w:rPr>
        <w:t>euro</w:t>
      </w:r>
      <w:r w:rsidRPr="00217023">
        <w:t xml:space="preserve"> jeb 14,3% vairāk nekā 2020</w:t>
      </w:r>
      <w:r>
        <w:t>. gad</w:t>
      </w:r>
      <w:r w:rsidRPr="00217023">
        <w:t>a atbilstošajā periodā</w:t>
      </w:r>
      <w:r>
        <w:t xml:space="preserve">. </w:t>
      </w:r>
      <w:r w:rsidRPr="00B16BD5">
        <w:t xml:space="preserve">Kopējie dabas resursu nodokļa ieņēmumi palielinājušies galvenokārt par </w:t>
      </w:r>
      <w:r w:rsidRPr="00B16BD5">
        <w:rPr>
          <w:bCs/>
        </w:rPr>
        <w:t xml:space="preserve">vides piesārņošanu, atkritumu apglabāšanu un </w:t>
      </w:r>
      <w:r w:rsidRPr="00B16BD5">
        <w:t>oglekļa dioksīda emisiju</w:t>
      </w:r>
      <w:r w:rsidRPr="00B16BD5">
        <w:rPr>
          <w:bCs/>
        </w:rPr>
        <w:t>.</w:t>
      </w:r>
      <w:r>
        <w:rPr>
          <w:bCs/>
        </w:rPr>
        <w:t xml:space="preserve"> </w:t>
      </w:r>
      <w:r>
        <w:t>2021. gadā 1.pusgadā d</w:t>
      </w:r>
      <w:r w:rsidRPr="002F3670">
        <w:t>abas resursu nodokļa ieņēmumi</w:t>
      </w:r>
      <w:r w:rsidRPr="00217023">
        <w:t xml:space="preserve"> </w:t>
      </w:r>
      <w:r>
        <w:t>bija</w:t>
      </w:r>
      <w:r w:rsidRPr="00217023">
        <w:t xml:space="preserve"> par 0,2</w:t>
      </w:r>
      <w:r>
        <w:t> milj.</w:t>
      </w:r>
      <w:r w:rsidRPr="00217023">
        <w:rPr>
          <w:i/>
        </w:rPr>
        <w:t> </w:t>
      </w:r>
      <w:r w:rsidRPr="004F46D3">
        <w:rPr>
          <w:i/>
        </w:rPr>
        <w:t>euro</w:t>
      </w:r>
      <w:r w:rsidRPr="00217023">
        <w:t xml:space="preserve"> jeb 1,0% vairāk nekā plānots</w:t>
      </w:r>
      <w:r w:rsidRPr="00212491">
        <w:t xml:space="preserve">. </w:t>
      </w:r>
      <w:r w:rsidRPr="001104D6">
        <w:t>2021</w:t>
      </w:r>
      <w:r>
        <w:t>. gad</w:t>
      </w:r>
      <w:r w:rsidRPr="001104D6">
        <w:t xml:space="preserve">ā nodoklim prognozēti </w:t>
      </w:r>
      <w:r>
        <w:t>38</w:t>
      </w:r>
      <w:r w:rsidRPr="001104D6">
        <w:t>,9</w:t>
      </w:r>
      <w:r>
        <w:t> milj.</w:t>
      </w:r>
      <w:r w:rsidRPr="001104D6">
        <w:rPr>
          <w:i/>
        </w:rPr>
        <w:t> </w:t>
      </w:r>
      <w:r w:rsidRPr="004F46D3">
        <w:rPr>
          <w:i/>
        </w:rPr>
        <w:t>euro</w:t>
      </w:r>
      <w:r w:rsidRPr="001104D6">
        <w:t xml:space="preserve"> ieņēmumi</w:t>
      </w:r>
      <w:r>
        <w:t xml:space="preserve">. </w:t>
      </w:r>
    </w:p>
    <w:p w14:paraId="03CC9BAA" w14:textId="77777777" w:rsidR="00651B6D" w:rsidRPr="00555CDC" w:rsidRDefault="00651B6D" w:rsidP="00651B6D">
      <w:r w:rsidRPr="00555CDC">
        <w:rPr>
          <w:szCs w:val="24"/>
        </w:rPr>
        <w:t>Saskaņā ar likumprojektu „Par vidēja termiņa budžeta ietvaru 2022., 2023. un 2024</w:t>
      </w:r>
      <w:r>
        <w:rPr>
          <w:szCs w:val="24"/>
        </w:rPr>
        <w:t>. gad</w:t>
      </w:r>
      <w:r w:rsidRPr="00555CDC">
        <w:rPr>
          <w:szCs w:val="24"/>
        </w:rPr>
        <w:t xml:space="preserve">am” kopējie dabas resursu nodokļa ieņēmumi plānoti </w:t>
      </w:r>
      <w:r w:rsidRPr="00555CDC">
        <w:t>2022</w:t>
      </w:r>
      <w:r>
        <w:t>. gad</w:t>
      </w:r>
      <w:r w:rsidRPr="00555CDC">
        <w:t xml:space="preserve">ā </w:t>
      </w:r>
      <w:r>
        <w:t>50,6 milj.</w:t>
      </w:r>
      <w:r w:rsidRPr="00555CDC">
        <w:rPr>
          <w:i/>
        </w:rPr>
        <w:t> </w:t>
      </w:r>
      <w:r w:rsidRPr="004F46D3">
        <w:rPr>
          <w:i/>
        </w:rPr>
        <w:t>euro</w:t>
      </w:r>
      <w:r w:rsidRPr="00555CDC">
        <w:rPr>
          <w:i/>
        </w:rPr>
        <w:t xml:space="preserve"> </w:t>
      </w:r>
      <w:r w:rsidRPr="00555CDC">
        <w:t xml:space="preserve">(t.sk. valsts pamatbudžetā </w:t>
      </w:r>
      <w:r>
        <w:t>40,0 milj.</w:t>
      </w:r>
      <w:r w:rsidRPr="00555CDC">
        <w:rPr>
          <w:i/>
        </w:rPr>
        <w:t> </w:t>
      </w:r>
      <w:r w:rsidRPr="004F46D3">
        <w:rPr>
          <w:i/>
        </w:rPr>
        <w:t>euro</w:t>
      </w:r>
      <w:r w:rsidRPr="00555CDC">
        <w:t xml:space="preserve">, pašvaldību budžetā </w:t>
      </w:r>
      <w:r>
        <w:t>10,6 milj.</w:t>
      </w:r>
      <w:r w:rsidRPr="00555CDC">
        <w:rPr>
          <w:i/>
        </w:rPr>
        <w:t> </w:t>
      </w:r>
      <w:r w:rsidRPr="004F46D3">
        <w:rPr>
          <w:i/>
        </w:rPr>
        <w:t>euro</w:t>
      </w:r>
      <w:r w:rsidRPr="00555CDC">
        <w:t>), 2023</w:t>
      </w:r>
      <w:r>
        <w:t>. gad</w:t>
      </w:r>
      <w:r w:rsidRPr="00555CDC">
        <w:t xml:space="preserve">ā </w:t>
      </w:r>
      <w:r>
        <w:t>75,7 milj.</w:t>
      </w:r>
      <w:r w:rsidRPr="00555CDC">
        <w:rPr>
          <w:i/>
        </w:rPr>
        <w:t> </w:t>
      </w:r>
      <w:r w:rsidRPr="004F46D3">
        <w:rPr>
          <w:i/>
        </w:rPr>
        <w:t>euro</w:t>
      </w:r>
      <w:r w:rsidRPr="00555CDC">
        <w:rPr>
          <w:i/>
        </w:rPr>
        <w:t xml:space="preserve"> </w:t>
      </w:r>
      <w:r w:rsidRPr="00555CDC">
        <w:t xml:space="preserve">(t.sk. valsts pamatbudžetā </w:t>
      </w:r>
      <w:r>
        <w:t>63,4 milj.</w:t>
      </w:r>
      <w:r w:rsidRPr="00555CDC">
        <w:rPr>
          <w:i/>
        </w:rPr>
        <w:t> </w:t>
      </w:r>
      <w:r w:rsidRPr="004F46D3">
        <w:rPr>
          <w:i/>
        </w:rPr>
        <w:t>euro</w:t>
      </w:r>
      <w:r w:rsidRPr="00555CDC">
        <w:t xml:space="preserve">, pašvaldību budžetā </w:t>
      </w:r>
      <w:r>
        <w:t>12,4 milj.</w:t>
      </w:r>
      <w:r w:rsidRPr="00555CDC">
        <w:rPr>
          <w:i/>
        </w:rPr>
        <w:t> </w:t>
      </w:r>
      <w:r w:rsidRPr="004F46D3">
        <w:rPr>
          <w:i/>
        </w:rPr>
        <w:t>euro</w:t>
      </w:r>
      <w:r w:rsidRPr="00555CDC">
        <w:t>) un 202</w:t>
      </w:r>
      <w:r>
        <w:t>4. gad</w:t>
      </w:r>
      <w:r w:rsidRPr="00555CDC">
        <w:t xml:space="preserve">ā </w:t>
      </w:r>
      <w:r>
        <w:t>77,5 milj.</w:t>
      </w:r>
      <w:r w:rsidRPr="00555CDC">
        <w:rPr>
          <w:i/>
        </w:rPr>
        <w:t> </w:t>
      </w:r>
      <w:r w:rsidRPr="004F46D3">
        <w:rPr>
          <w:i/>
        </w:rPr>
        <w:t>euro</w:t>
      </w:r>
      <w:r w:rsidRPr="00555CDC">
        <w:rPr>
          <w:i/>
        </w:rPr>
        <w:t xml:space="preserve"> </w:t>
      </w:r>
      <w:r w:rsidRPr="00555CDC">
        <w:t xml:space="preserve">(t.sk. valsts pamatbudžetā </w:t>
      </w:r>
      <w:r>
        <w:t>64,5 milj.</w:t>
      </w:r>
      <w:r w:rsidRPr="00555CDC">
        <w:rPr>
          <w:i/>
        </w:rPr>
        <w:t> </w:t>
      </w:r>
      <w:r w:rsidRPr="004F46D3">
        <w:rPr>
          <w:i/>
        </w:rPr>
        <w:t>euro</w:t>
      </w:r>
      <w:r w:rsidRPr="00555CDC">
        <w:t xml:space="preserve">, pašvaldību budžetā </w:t>
      </w:r>
      <w:r>
        <w:t>12,9 milj.</w:t>
      </w:r>
      <w:r w:rsidRPr="00555CDC">
        <w:rPr>
          <w:i/>
        </w:rPr>
        <w:t> </w:t>
      </w:r>
      <w:r w:rsidRPr="004F46D3">
        <w:rPr>
          <w:i/>
        </w:rPr>
        <w:t>euro</w:t>
      </w:r>
      <w:r w:rsidRPr="00555CDC">
        <w:t>)</w:t>
      </w:r>
      <w:r w:rsidRPr="001104D6">
        <w:t xml:space="preserve"> </w:t>
      </w:r>
      <w:r>
        <w:t>(skat. 3.14. tabulu)</w:t>
      </w:r>
      <w:r w:rsidRPr="001104D6">
        <w:t>.</w:t>
      </w:r>
      <w:r w:rsidRPr="00C92AEF">
        <w:rPr>
          <w:szCs w:val="24"/>
        </w:rPr>
        <w:t xml:space="preserve"> </w:t>
      </w:r>
      <w:r w:rsidRPr="008C6B41">
        <w:rPr>
          <w:szCs w:val="24"/>
        </w:rPr>
        <w:t xml:space="preserve">Dabas resursu </w:t>
      </w:r>
      <w:r w:rsidRPr="0043231D">
        <w:rPr>
          <w:szCs w:val="24"/>
        </w:rPr>
        <w:t xml:space="preserve">nodokļa ieņēmumu plānu vidējā termiņā ietekmēs </w:t>
      </w:r>
      <w:r w:rsidRPr="008C6B41">
        <w:rPr>
          <w:szCs w:val="24"/>
        </w:rPr>
        <w:t>prognozētā tautsaimniecības attīstības dinamika</w:t>
      </w:r>
      <w:r w:rsidRPr="0043231D">
        <w:rPr>
          <w:szCs w:val="24"/>
        </w:rPr>
        <w:t>, 2021</w:t>
      </w:r>
      <w:r>
        <w:rPr>
          <w:szCs w:val="24"/>
        </w:rPr>
        <w:t>. gad</w:t>
      </w:r>
      <w:r w:rsidRPr="0043231D">
        <w:rPr>
          <w:szCs w:val="24"/>
        </w:rPr>
        <w:t>a pirmā pusgada izpilde, kā arī</w:t>
      </w:r>
      <w:r>
        <w:rPr>
          <w:szCs w:val="24"/>
        </w:rPr>
        <w:t xml:space="preserve"> 3.1. sada</w:t>
      </w:r>
      <w:r w:rsidRPr="0043231D">
        <w:rPr>
          <w:szCs w:val="24"/>
        </w:rPr>
        <w:t>ļā minētie pasākumi.</w:t>
      </w:r>
    </w:p>
    <w:p w14:paraId="5B7C890C" w14:textId="77777777" w:rsidR="00651B6D" w:rsidRPr="008D71AA" w:rsidRDefault="00651B6D" w:rsidP="0082519F">
      <w:pPr>
        <w:keepNext/>
        <w:spacing w:before="120"/>
        <w:ind w:firstLine="0"/>
        <w:jc w:val="right"/>
        <w:rPr>
          <w:b/>
          <w:i/>
          <w:szCs w:val="24"/>
        </w:rPr>
      </w:pPr>
      <w:r w:rsidRPr="008D71AA">
        <w:rPr>
          <w:b/>
          <w:i/>
          <w:szCs w:val="24"/>
        </w:rPr>
        <w:lastRenderedPageBreak/>
        <w:t>3.14</w:t>
      </w:r>
      <w:r>
        <w:rPr>
          <w:b/>
          <w:i/>
          <w:szCs w:val="24"/>
        </w:rPr>
        <w:t>. tab</w:t>
      </w:r>
      <w:r w:rsidRPr="008D71AA">
        <w:rPr>
          <w:b/>
          <w:i/>
          <w:szCs w:val="24"/>
        </w:rPr>
        <w:t>ula. Dabas resursu nodokļa ieņēmumi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5"/>
        <w:gridCol w:w="874"/>
        <w:gridCol w:w="814"/>
        <w:gridCol w:w="814"/>
        <w:gridCol w:w="814"/>
      </w:tblGrid>
      <w:tr w:rsidR="00651B6D" w:rsidRPr="008D71AA" w14:paraId="51F44484" w14:textId="77777777" w:rsidTr="0010115D">
        <w:trPr>
          <w:jc w:val="center"/>
        </w:trPr>
        <w:tc>
          <w:tcPr>
            <w:tcW w:w="3517" w:type="pct"/>
            <w:shd w:val="clear" w:color="auto" w:fill="9CC2E5" w:themeFill="accent1" w:themeFillTint="99"/>
          </w:tcPr>
          <w:p w14:paraId="53A2655A" w14:textId="77777777" w:rsidR="00651B6D" w:rsidRPr="008D71AA" w:rsidRDefault="00651B6D" w:rsidP="00651B6D">
            <w:pPr>
              <w:keepNext/>
              <w:ind w:firstLine="0"/>
              <w:rPr>
                <w:sz w:val="18"/>
                <w:szCs w:val="18"/>
              </w:rPr>
            </w:pPr>
          </w:p>
        </w:tc>
        <w:tc>
          <w:tcPr>
            <w:tcW w:w="135" w:type="pct"/>
            <w:shd w:val="clear" w:color="auto" w:fill="9CC2E5" w:themeFill="accent1" w:themeFillTint="99"/>
            <w:vAlign w:val="center"/>
          </w:tcPr>
          <w:p w14:paraId="18171F4A" w14:textId="77777777" w:rsidR="00651B6D" w:rsidRPr="008D71AA" w:rsidRDefault="00651B6D" w:rsidP="00651B6D">
            <w:pPr>
              <w:keepNext/>
              <w:ind w:firstLine="0"/>
              <w:jc w:val="center"/>
              <w:rPr>
                <w:b/>
                <w:sz w:val="18"/>
                <w:szCs w:val="18"/>
              </w:rPr>
            </w:pPr>
            <w:r w:rsidRPr="008D71AA">
              <w:rPr>
                <w:b/>
                <w:color w:val="000000"/>
                <w:sz w:val="18"/>
                <w:szCs w:val="18"/>
              </w:rPr>
              <w:t>2021</w:t>
            </w:r>
          </w:p>
        </w:tc>
        <w:tc>
          <w:tcPr>
            <w:tcW w:w="449" w:type="pct"/>
            <w:shd w:val="clear" w:color="auto" w:fill="9CC2E5" w:themeFill="accent1" w:themeFillTint="99"/>
            <w:vAlign w:val="center"/>
          </w:tcPr>
          <w:p w14:paraId="4A181B72" w14:textId="77777777" w:rsidR="00651B6D" w:rsidRPr="008D71AA" w:rsidRDefault="00651B6D" w:rsidP="00651B6D">
            <w:pPr>
              <w:keepNext/>
              <w:ind w:firstLine="0"/>
              <w:jc w:val="center"/>
              <w:rPr>
                <w:b/>
                <w:sz w:val="18"/>
                <w:szCs w:val="18"/>
              </w:rPr>
            </w:pPr>
            <w:r w:rsidRPr="008D71AA">
              <w:rPr>
                <w:b/>
                <w:sz w:val="18"/>
                <w:szCs w:val="18"/>
              </w:rPr>
              <w:t>2022</w:t>
            </w:r>
          </w:p>
        </w:tc>
        <w:tc>
          <w:tcPr>
            <w:tcW w:w="449" w:type="pct"/>
            <w:shd w:val="clear" w:color="auto" w:fill="9CC2E5" w:themeFill="accent1" w:themeFillTint="99"/>
            <w:vAlign w:val="center"/>
          </w:tcPr>
          <w:p w14:paraId="19E1BBC8" w14:textId="77777777" w:rsidR="00651B6D" w:rsidRPr="008D71AA" w:rsidRDefault="00651B6D" w:rsidP="00651B6D">
            <w:pPr>
              <w:keepNext/>
              <w:ind w:firstLine="0"/>
              <w:jc w:val="center"/>
              <w:rPr>
                <w:b/>
                <w:sz w:val="18"/>
                <w:szCs w:val="18"/>
              </w:rPr>
            </w:pPr>
            <w:r w:rsidRPr="008D71AA">
              <w:rPr>
                <w:b/>
                <w:sz w:val="18"/>
                <w:szCs w:val="18"/>
              </w:rPr>
              <w:t>2023</w:t>
            </w:r>
          </w:p>
        </w:tc>
        <w:tc>
          <w:tcPr>
            <w:tcW w:w="449" w:type="pct"/>
            <w:shd w:val="clear" w:color="auto" w:fill="9CC2E5" w:themeFill="accent1" w:themeFillTint="99"/>
            <w:vAlign w:val="center"/>
          </w:tcPr>
          <w:p w14:paraId="03EDB98F" w14:textId="77777777" w:rsidR="00651B6D" w:rsidRPr="008D71AA" w:rsidRDefault="00651B6D" w:rsidP="00651B6D">
            <w:pPr>
              <w:keepNext/>
              <w:ind w:firstLine="0"/>
              <w:jc w:val="center"/>
              <w:rPr>
                <w:b/>
                <w:sz w:val="18"/>
                <w:szCs w:val="18"/>
              </w:rPr>
            </w:pPr>
            <w:r w:rsidRPr="008D71AA">
              <w:rPr>
                <w:b/>
                <w:sz w:val="18"/>
                <w:szCs w:val="18"/>
              </w:rPr>
              <w:t>2024</w:t>
            </w:r>
          </w:p>
        </w:tc>
      </w:tr>
      <w:tr w:rsidR="00651B6D" w:rsidRPr="008D71AA" w14:paraId="0D29A3FA" w14:textId="77777777" w:rsidTr="0010115D">
        <w:trPr>
          <w:jc w:val="center"/>
        </w:trPr>
        <w:tc>
          <w:tcPr>
            <w:tcW w:w="3517" w:type="pct"/>
          </w:tcPr>
          <w:p w14:paraId="22F5642E" w14:textId="77777777" w:rsidR="00651B6D" w:rsidRPr="008D71AA" w:rsidRDefault="00651B6D" w:rsidP="0010115D">
            <w:pPr>
              <w:keepNext/>
              <w:spacing w:after="0"/>
              <w:ind w:firstLine="0"/>
              <w:rPr>
                <w:i/>
                <w:color w:val="000000"/>
                <w:sz w:val="18"/>
                <w:szCs w:val="18"/>
              </w:rPr>
            </w:pPr>
            <w:r w:rsidRPr="008D71AA">
              <w:rPr>
                <w:color w:val="000000"/>
                <w:sz w:val="18"/>
                <w:szCs w:val="18"/>
              </w:rPr>
              <w:t>Saskaņā ar likumprojektu „Par vidēja termiņa budžeta ietvaru 2022., 2023. un 2024</w:t>
            </w:r>
            <w:r>
              <w:rPr>
                <w:color w:val="000000"/>
                <w:sz w:val="18"/>
                <w:szCs w:val="18"/>
              </w:rPr>
              <w:t>. gad</w:t>
            </w:r>
            <w:r w:rsidRPr="008D71AA">
              <w:rPr>
                <w:color w:val="000000"/>
                <w:sz w:val="18"/>
                <w:szCs w:val="18"/>
              </w:rPr>
              <w:t>am”</w:t>
            </w:r>
            <w:r>
              <w:rPr>
                <w:color w:val="000000"/>
                <w:sz w:val="18"/>
                <w:szCs w:val="18"/>
              </w:rPr>
              <w:t>, milj.</w:t>
            </w:r>
            <w:r w:rsidRPr="008D71AA">
              <w:rPr>
                <w:i/>
                <w:color w:val="000000"/>
                <w:sz w:val="18"/>
                <w:szCs w:val="18"/>
              </w:rPr>
              <w:t> </w:t>
            </w:r>
            <w:r w:rsidRPr="004F46D3">
              <w:rPr>
                <w:i/>
                <w:color w:val="000000"/>
                <w:sz w:val="18"/>
                <w:szCs w:val="18"/>
              </w:rPr>
              <w:t>euro</w:t>
            </w:r>
          </w:p>
        </w:tc>
        <w:tc>
          <w:tcPr>
            <w:tcW w:w="135" w:type="pct"/>
          </w:tcPr>
          <w:p w14:paraId="3B110597" w14:textId="77777777" w:rsidR="00651B6D" w:rsidRPr="008D71AA" w:rsidRDefault="00651B6D" w:rsidP="0010115D">
            <w:pPr>
              <w:tabs>
                <w:tab w:val="decimal" w:pos="462"/>
              </w:tabs>
              <w:spacing w:after="0"/>
              <w:ind w:firstLine="0"/>
              <w:jc w:val="right"/>
              <w:rPr>
                <w:color w:val="000000"/>
                <w:sz w:val="18"/>
                <w:szCs w:val="18"/>
              </w:rPr>
            </w:pPr>
            <w:r w:rsidRPr="008D71AA">
              <w:rPr>
                <w:color w:val="000000"/>
                <w:sz w:val="18"/>
                <w:szCs w:val="18"/>
              </w:rPr>
              <w:t>38,9</w:t>
            </w:r>
            <w:r w:rsidRPr="008D71AA">
              <w:rPr>
                <w:color w:val="000000"/>
                <w:sz w:val="18"/>
                <w:szCs w:val="18"/>
                <w:vertAlign w:val="superscript"/>
              </w:rPr>
              <w:t>1</w:t>
            </w:r>
          </w:p>
        </w:tc>
        <w:tc>
          <w:tcPr>
            <w:tcW w:w="449" w:type="pct"/>
          </w:tcPr>
          <w:p w14:paraId="17103345" w14:textId="77777777" w:rsidR="00651B6D" w:rsidRPr="008D71AA" w:rsidRDefault="00651B6D" w:rsidP="0010115D">
            <w:pPr>
              <w:tabs>
                <w:tab w:val="decimal" w:pos="462"/>
              </w:tabs>
              <w:spacing w:after="0"/>
              <w:ind w:firstLine="0"/>
              <w:jc w:val="right"/>
              <w:rPr>
                <w:color w:val="000000"/>
                <w:sz w:val="18"/>
                <w:szCs w:val="18"/>
              </w:rPr>
            </w:pPr>
            <w:r w:rsidRPr="008D71AA">
              <w:rPr>
                <w:color w:val="000000"/>
                <w:sz w:val="18"/>
                <w:szCs w:val="18"/>
              </w:rPr>
              <w:t>44,5</w:t>
            </w:r>
          </w:p>
        </w:tc>
        <w:tc>
          <w:tcPr>
            <w:tcW w:w="449" w:type="pct"/>
          </w:tcPr>
          <w:p w14:paraId="638BA77F" w14:textId="77777777" w:rsidR="00651B6D" w:rsidRPr="008D71AA" w:rsidRDefault="00651B6D" w:rsidP="0010115D">
            <w:pPr>
              <w:tabs>
                <w:tab w:val="decimal" w:pos="462"/>
              </w:tabs>
              <w:spacing w:after="0"/>
              <w:ind w:firstLine="0"/>
              <w:jc w:val="right"/>
              <w:rPr>
                <w:color w:val="000000"/>
                <w:sz w:val="18"/>
                <w:szCs w:val="18"/>
              </w:rPr>
            </w:pPr>
            <w:r w:rsidRPr="008D71AA">
              <w:rPr>
                <w:color w:val="000000"/>
                <w:sz w:val="18"/>
                <w:szCs w:val="18"/>
              </w:rPr>
              <w:t>48,4</w:t>
            </w:r>
          </w:p>
        </w:tc>
        <w:tc>
          <w:tcPr>
            <w:tcW w:w="449" w:type="pct"/>
          </w:tcPr>
          <w:p w14:paraId="7FA58D46" w14:textId="77777777" w:rsidR="00651B6D" w:rsidRPr="008D71AA" w:rsidRDefault="00651B6D" w:rsidP="0010115D">
            <w:pPr>
              <w:tabs>
                <w:tab w:val="decimal" w:pos="462"/>
              </w:tabs>
              <w:spacing w:after="0"/>
              <w:ind w:firstLine="0"/>
              <w:jc w:val="right"/>
              <w:rPr>
                <w:color w:val="000000"/>
                <w:sz w:val="18"/>
                <w:szCs w:val="18"/>
              </w:rPr>
            </w:pPr>
            <w:r w:rsidRPr="008D71AA">
              <w:rPr>
                <w:color w:val="000000"/>
                <w:sz w:val="18"/>
                <w:szCs w:val="18"/>
              </w:rPr>
              <w:t>50,6</w:t>
            </w:r>
          </w:p>
        </w:tc>
      </w:tr>
      <w:tr w:rsidR="00651B6D" w:rsidRPr="008D71AA" w14:paraId="2D111D6C" w14:textId="77777777" w:rsidTr="0010115D">
        <w:trPr>
          <w:trHeight w:val="487"/>
          <w:jc w:val="center"/>
        </w:trPr>
        <w:tc>
          <w:tcPr>
            <w:tcW w:w="3517" w:type="pct"/>
          </w:tcPr>
          <w:p w14:paraId="118476E1" w14:textId="77777777" w:rsidR="00651B6D" w:rsidRPr="008D71AA" w:rsidRDefault="00651B6D" w:rsidP="0010115D">
            <w:pPr>
              <w:keepNext/>
              <w:spacing w:after="0"/>
              <w:ind w:firstLine="0"/>
              <w:rPr>
                <w:i/>
                <w:iCs/>
                <w:color w:val="000000"/>
                <w:sz w:val="18"/>
                <w:szCs w:val="18"/>
              </w:rPr>
            </w:pPr>
            <w:r w:rsidRPr="008D71AA">
              <w:rPr>
                <w:iCs/>
                <w:color w:val="000000"/>
                <w:sz w:val="18"/>
                <w:szCs w:val="18"/>
              </w:rPr>
              <w:t>Saskaņā ar likumu „Par vidēja termiņa budžeta ietvaru 2021., 2022. un 2023</w:t>
            </w:r>
            <w:r>
              <w:rPr>
                <w:iCs/>
                <w:color w:val="000000"/>
                <w:sz w:val="18"/>
                <w:szCs w:val="18"/>
              </w:rPr>
              <w:t>. gad</w:t>
            </w:r>
            <w:r w:rsidRPr="008D71AA">
              <w:rPr>
                <w:iCs/>
                <w:color w:val="000000"/>
                <w:sz w:val="18"/>
                <w:szCs w:val="18"/>
              </w:rPr>
              <w:t>am”</w:t>
            </w:r>
            <w:r>
              <w:rPr>
                <w:color w:val="000000"/>
                <w:sz w:val="18"/>
                <w:szCs w:val="18"/>
              </w:rPr>
              <w:t>, milj.</w:t>
            </w:r>
            <w:r w:rsidRPr="008D71AA">
              <w:rPr>
                <w:i/>
                <w:color w:val="000000"/>
                <w:sz w:val="18"/>
                <w:szCs w:val="18"/>
              </w:rPr>
              <w:t> </w:t>
            </w:r>
            <w:r w:rsidRPr="004F46D3">
              <w:rPr>
                <w:i/>
                <w:color w:val="000000"/>
                <w:sz w:val="18"/>
                <w:szCs w:val="18"/>
              </w:rPr>
              <w:t>euro</w:t>
            </w:r>
          </w:p>
        </w:tc>
        <w:tc>
          <w:tcPr>
            <w:tcW w:w="135" w:type="pct"/>
          </w:tcPr>
          <w:p w14:paraId="21D14D0A" w14:textId="77777777" w:rsidR="00651B6D" w:rsidRPr="008D71AA" w:rsidRDefault="00651B6D" w:rsidP="0010115D">
            <w:pPr>
              <w:tabs>
                <w:tab w:val="decimal" w:pos="462"/>
              </w:tabs>
              <w:spacing w:after="0"/>
              <w:ind w:firstLine="0"/>
              <w:jc w:val="right"/>
              <w:rPr>
                <w:color w:val="000000"/>
                <w:sz w:val="18"/>
                <w:szCs w:val="18"/>
              </w:rPr>
            </w:pPr>
            <w:r w:rsidRPr="008D71AA">
              <w:rPr>
                <w:color w:val="000000"/>
                <w:sz w:val="18"/>
                <w:szCs w:val="18"/>
              </w:rPr>
              <w:t>38,9</w:t>
            </w:r>
          </w:p>
        </w:tc>
        <w:tc>
          <w:tcPr>
            <w:tcW w:w="449" w:type="pct"/>
          </w:tcPr>
          <w:p w14:paraId="75852E0E" w14:textId="77777777" w:rsidR="00651B6D" w:rsidRPr="008D71AA" w:rsidRDefault="00651B6D" w:rsidP="0010115D">
            <w:pPr>
              <w:tabs>
                <w:tab w:val="decimal" w:pos="462"/>
              </w:tabs>
              <w:spacing w:after="0"/>
              <w:ind w:firstLine="0"/>
              <w:jc w:val="right"/>
              <w:rPr>
                <w:color w:val="000000"/>
                <w:sz w:val="18"/>
                <w:szCs w:val="18"/>
              </w:rPr>
            </w:pPr>
            <w:r w:rsidRPr="008D71AA">
              <w:rPr>
                <w:color w:val="000000"/>
                <w:sz w:val="18"/>
                <w:szCs w:val="18"/>
              </w:rPr>
              <w:t>44,5</w:t>
            </w:r>
          </w:p>
        </w:tc>
        <w:tc>
          <w:tcPr>
            <w:tcW w:w="449" w:type="pct"/>
          </w:tcPr>
          <w:p w14:paraId="1144BC7C" w14:textId="77777777" w:rsidR="00651B6D" w:rsidRPr="008D71AA" w:rsidRDefault="00651B6D" w:rsidP="0010115D">
            <w:pPr>
              <w:tabs>
                <w:tab w:val="decimal" w:pos="462"/>
              </w:tabs>
              <w:spacing w:after="0"/>
              <w:ind w:firstLine="0"/>
              <w:jc w:val="right"/>
              <w:rPr>
                <w:color w:val="000000"/>
                <w:sz w:val="18"/>
                <w:szCs w:val="18"/>
              </w:rPr>
            </w:pPr>
            <w:r w:rsidRPr="008D71AA">
              <w:rPr>
                <w:color w:val="000000"/>
                <w:sz w:val="18"/>
                <w:szCs w:val="18"/>
              </w:rPr>
              <w:t>48,4</w:t>
            </w:r>
          </w:p>
        </w:tc>
        <w:tc>
          <w:tcPr>
            <w:tcW w:w="449" w:type="pct"/>
          </w:tcPr>
          <w:p w14:paraId="14FF9C05" w14:textId="77777777" w:rsidR="00651B6D" w:rsidRPr="008D71AA" w:rsidRDefault="00651B6D" w:rsidP="0010115D">
            <w:pPr>
              <w:keepNext/>
              <w:spacing w:after="0"/>
              <w:ind w:firstLine="0"/>
              <w:jc w:val="right"/>
              <w:rPr>
                <w:sz w:val="18"/>
                <w:szCs w:val="18"/>
              </w:rPr>
            </w:pPr>
            <w:r w:rsidRPr="008D71AA">
              <w:rPr>
                <w:sz w:val="18"/>
                <w:szCs w:val="18"/>
              </w:rPr>
              <w:t>-</w:t>
            </w:r>
          </w:p>
        </w:tc>
      </w:tr>
      <w:tr w:rsidR="00651B6D" w:rsidRPr="008D71AA" w14:paraId="7CDC42B4" w14:textId="77777777" w:rsidTr="0010115D">
        <w:trPr>
          <w:jc w:val="center"/>
        </w:trPr>
        <w:tc>
          <w:tcPr>
            <w:tcW w:w="3517" w:type="pct"/>
          </w:tcPr>
          <w:p w14:paraId="04A27528" w14:textId="77777777" w:rsidR="00651B6D" w:rsidRPr="008D71AA" w:rsidRDefault="00651B6D" w:rsidP="0010115D">
            <w:pPr>
              <w:keepNext/>
              <w:spacing w:after="0"/>
              <w:ind w:firstLine="0"/>
              <w:rPr>
                <w:sz w:val="18"/>
                <w:szCs w:val="18"/>
              </w:rPr>
            </w:pPr>
            <w:r w:rsidRPr="008D71AA">
              <w:rPr>
                <w:i/>
                <w:iCs/>
                <w:color w:val="000000"/>
                <w:sz w:val="18"/>
                <w:szCs w:val="18"/>
              </w:rPr>
              <w:t>pieaugums, salīdzinot ar likumu „Par vidēja termiņa budžeta ietvaru 2021., 2022. un 2023</w:t>
            </w:r>
            <w:r>
              <w:rPr>
                <w:i/>
                <w:iCs/>
                <w:color w:val="000000"/>
                <w:sz w:val="18"/>
                <w:szCs w:val="18"/>
              </w:rPr>
              <w:t>. gad</w:t>
            </w:r>
            <w:r w:rsidRPr="008D71AA">
              <w:rPr>
                <w:i/>
                <w:iCs/>
                <w:color w:val="000000"/>
                <w:sz w:val="18"/>
                <w:szCs w:val="18"/>
              </w:rPr>
              <w:t>am”</w:t>
            </w:r>
            <w:r>
              <w:rPr>
                <w:i/>
                <w:iCs/>
                <w:color w:val="000000"/>
                <w:sz w:val="18"/>
                <w:szCs w:val="18"/>
              </w:rPr>
              <w:t>, milj.</w:t>
            </w:r>
            <w:r w:rsidRPr="008D71AA">
              <w:rPr>
                <w:i/>
                <w:iCs/>
                <w:color w:val="000000"/>
                <w:sz w:val="18"/>
                <w:szCs w:val="18"/>
              </w:rPr>
              <w:t> </w:t>
            </w:r>
            <w:r w:rsidRPr="004F46D3">
              <w:rPr>
                <w:i/>
                <w:iCs/>
                <w:color w:val="000000"/>
                <w:sz w:val="18"/>
                <w:szCs w:val="18"/>
              </w:rPr>
              <w:t>euro</w:t>
            </w:r>
          </w:p>
        </w:tc>
        <w:tc>
          <w:tcPr>
            <w:tcW w:w="135" w:type="pct"/>
          </w:tcPr>
          <w:p w14:paraId="6775267E" w14:textId="77777777" w:rsidR="00651B6D" w:rsidRPr="008D71AA" w:rsidRDefault="00651B6D" w:rsidP="0010115D">
            <w:pPr>
              <w:tabs>
                <w:tab w:val="decimal" w:pos="462"/>
              </w:tabs>
              <w:spacing w:after="0"/>
              <w:ind w:firstLine="0"/>
              <w:jc w:val="right"/>
              <w:rPr>
                <w:i/>
                <w:color w:val="000000"/>
                <w:sz w:val="18"/>
                <w:szCs w:val="18"/>
              </w:rPr>
            </w:pPr>
            <w:r w:rsidRPr="008D71AA">
              <w:rPr>
                <w:i/>
                <w:color w:val="000000"/>
                <w:sz w:val="18"/>
                <w:szCs w:val="18"/>
              </w:rPr>
              <w:t>0,0</w:t>
            </w:r>
          </w:p>
        </w:tc>
        <w:tc>
          <w:tcPr>
            <w:tcW w:w="449" w:type="pct"/>
          </w:tcPr>
          <w:p w14:paraId="14529B00" w14:textId="77777777" w:rsidR="00651B6D" w:rsidRPr="008D71AA" w:rsidRDefault="00651B6D" w:rsidP="0010115D">
            <w:pPr>
              <w:tabs>
                <w:tab w:val="decimal" w:pos="462"/>
              </w:tabs>
              <w:spacing w:after="0"/>
              <w:ind w:firstLine="0"/>
              <w:jc w:val="right"/>
              <w:rPr>
                <w:i/>
                <w:color w:val="000000"/>
                <w:sz w:val="18"/>
                <w:szCs w:val="18"/>
              </w:rPr>
            </w:pPr>
            <w:r w:rsidRPr="008D71AA">
              <w:rPr>
                <w:i/>
                <w:color w:val="000000"/>
                <w:sz w:val="18"/>
                <w:szCs w:val="18"/>
              </w:rPr>
              <w:t>0,0</w:t>
            </w:r>
          </w:p>
        </w:tc>
        <w:tc>
          <w:tcPr>
            <w:tcW w:w="449" w:type="pct"/>
          </w:tcPr>
          <w:p w14:paraId="4010FFB4" w14:textId="77777777" w:rsidR="00651B6D" w:rsidRPr="008D71AA" w:rsidRDefault="00651B6D" w:rsidP="0010115D">
            <w:pPr>
              <w:tabs>
                <w:tab w:val="decimal" w:pos="462"/>
              </w:tabs>
              <w:spacing w:after="0"/>
              <w:ind w:firstLine="0"/>
              <w:jc w:val="right"/>
              <w:rPr>
                <w:i/>
                <w:color w:val="000000"/>
                <w:sz w:val="18"/>
                <w:szCs w:val="18"/>
              </w:rPr>
            </w:pPr>
            <w:r w:rsidRPr="008D71AA">
              <w:rPr>
                <w:i/>
                <w:color w:val="000000"/>
                <w:sz w:val="18"/>
                <w:szCs w:val="18"/>
              </w:rPr>
              <w:t>0,0</w:t>
            </w:r>
          </w:p>
        </w:tc>
        <w:tc>
          <w:tcPr>
            <w:tcW w:w="449" w:type="pct"/>
          </w:tcPr>
          <w:p w14:paraId="672E78C6" w14:textId="77777777" w:rsidR="00651B6D" w:rsidRPr="008D71AA" w:rsidRDefault="00651B6D" w:rsidP="0010115D">
            <w:pPr>
              <w:keepNext/>
              <w:spacing w:after="0"/>
              <w:ind w:firstLine="0"/>
              <w:jc w:val="right"/>
              <w:rPr>
                <w:sz w:val="18"/>
                <w:szCs w:val="18"/>
              </w:rPr>
            </w:pPr>
            <w:r w:rsidRPr="008D71AA">
              <w:rPr>
                <w:i/>
                <w:sz w:val="18"/>
                <w:szCs w:val="18"/>
              </w:rPr>
              <w:t>-</w:t>
            </w:r>
          </w:p>
        </w:tc>
      </w:tr>
      <w:tr w:rsidR="00651B6D" w:rsidRPr="008D71AA" w14:paraId="3671E400" w14:textId="77777777" w:rsidTr="0010115D">
        <w:trPr>
          <w:jc w:val="center"/>
        </w:trPr>
        <w:tc>
          <w:tcPr>
            <w:tcW w:w="3517" w:type="pct"/>
          </w:tcPr>
          <w:p w14:paraId="28F8007B" w14:textId="77777777" w:rsidR="00651B6D" w:rsidRPr="008D71AA" w:rsidRDefault="00651B6D" w:rsidP="0010115D">
            <w:pPr>
              <w:keepNext/>
              <w:spacing w:after="0"/>
              <w:ind w:firstLine="0"/>
              <w:rPr>
                <w:sz w:val="18"/>
                <w:szCs w:val="18"/>
              </w:rPr>
            </w:pPr>
            <w:r w:rsidRPr="008D71AA">
              <w:rPr>
                <w:i/>
                <w:iCs/>
                <w:color w:val="000000"/>
                <w:sz w:val="18"/>
                <w:szCs w:val="18"/>
              </w:rPr>
              <w:t>pieaugums, salīdzinot ar likumu „Par vidēja termiņa budžeta ietvaru 2021., 2022. un 2023</w:t>
            </w:r>
            <w:r>
              <w:rPr>
                <w:i/>
                <w:iCs/>
                <w:color w:val="000000"/>
                <w:sz w:val="18"/>
                <w:szCs w:val="18"/>
              </w:rPr>
              <w:t>. gad</w:t>
            </w:r>
            <w:r w:rsidRPr="008D71AA">
              <w:rPr>
                <w:i/>
                <w:iCs/>
                <w:color w:val="000000"/>
                <w:sz w:val="18"/>
                <w:szCs w:val="18"/>
              </w:rPr>
              <w:t>am”, %</w:t>
            </w:r>
          </w:p>
        </w:tc>
        <w:tc>
          <w:tcPr>
            <w:tcW w:w="135" w:type="pct"/>
            <w:shd w:val="clear" w:color="auto" w:fill="auto"/>
          </w:tcPr>
          <w:p w14:paraId="4D3749B9" w14:textId="77777777" w:rsidR="00651B6D" w:rsidRPr="008D71AA" w:rsidRDefault="00651B6D" w:rsidP="0010115D">
            <w:pPr>
              <w:tabs>
                <w:tab w:val="decimal" w:pos="462"/>
              </w:tabs>
              <w:spacing w:after="0"/>
              <w:ind w:firstLine="0"/>
              <w:jc w:val="right"/>
              <w:rPr>
                <w:i/>
                <w:color w:val="000000"/>
                <w:sz w:val="18"/>
                <w:szCs w:val="18"/>
              </w:rPr>
            </w:pPr>
            <w:r w:rsidRPr="008D71AA">
              <w:rPr>
                <w:i/>
                <w:color w:val="000000"/>
                <w:sz w:val="18"/>
                <w:szCs w:val="18"/>
              </w:rPr>
              <w:t>0,0</w:t>
            </w:r>
          </w:p>
        </w:tc>
        <w:tc>
          <w:tcPr>
            <w:tcW w:w="449" w:type="pct"/>
            <w:shd w:val="clear" w:color="auto" w:fill="auto"/>
          </w:tcPr>
          <w:p w14:paraId="5D140C48" w14:textId="77777777" w:rsidR="00651B6D" w:rsidRPr="008D71AA" w:rsidRDefault="00651B6D" w:rsidP="0010115D">
            <w:pPr>
              <w:tabs>
                <w:tab w:val="decimal" w:pos="462"/>
              </w:tabs>
              <w:spacing w:after="0"/>
              <w:ind w:firstLine="0"/>
              <w:jc w:val="right"/>
              <w:rPr>
                <w:i/>
                <w:color w:val="000000"/>
                <w:sz w:val="18"/>
                <w:szCs w:val="18"/>
              </w:rPr>
            </w:pPr>
            <w:r w:rsidRPr="008D71AA">
              <w:rPr>
                <w:i/>
                <w:color w:val="000000"/>
                <w:sz w:val="18"/>
                <w:szCs w:val="18"/>
              </w:rPr>
              <w:t>0,0</w:t>
            </w:r>
          </w:p>
        </w:tc>
        <w:tc>
          <w:tcPr>
            <w:tcW w:w="449" w:type="pct"/>
            <w:shd w:val="clear" w:color="auto" w:fill="auto"/>
          </w:tcPr>
          <w:p w14:paraId="65280A55" w14:textId="77777777" w:rsidR="00651B6D" w:rsidRPr="008D71AA" w:rsidRDefault="00651B6D" w:rsidP="0010115D">
            <w:pPr>
              <w:tabs>
                <w:tab w:val="decimal" w:pos="462"/>
              </w:tabs>
              <w:spacing w:after="0"/>
              <w:ind w:firstLine="0"/>
              <w:jc w:val="right"/>
              <w:rPr>
                <w:i/>
                <w:color w:val="000000"/>
                <w:sz w:val="18"/>
                <w:szCs w:val="18"/>
              </w:rPr>
            </w:pPr>
            <w:r w:rsidRPr="008D71AA">
              <w:rPr>
                <w:i/>
                <w:color w:val="000000"/>
                <w:sz w:val="18"/>
                <w:szCs w:val="18"/>
              </w:rPr>
              <w:t>0,0</w:t>
            </w:r>
          </w:p>
        </w:tc>
        <w:tc>
          <w:tcPr>
            <w:tcW w:w="449" w:type="pct"/>
            <w:shd w:val="clear" w:color="auto" w:fill="auto"/>
          </w:tcPr>
          <w:p w14:paraId="4C215976" w14:textId="77777777" w:rsidR="00651B6D" w:rsidRPr="008D71AA" w:rsidRDefault="00651B6D" w:rsidP="0010115D">
            <w:pPr>
              <w:keepNext/>
              <w:spacing w:after="0"/>
              <w:ind w:firstLine="0"/>
              <w:jc w:val="right"/>
              <w:rPr>
                <w:sz w:val="18"/>
                <w:szCs w:val="18"/>
              </w:rPr>
            </w:pPr>
            <w:r w:rsidRPr="008D71AA">
              <w:rPr>
                <w:i/>
                <w:sz w:val="18"/>
                <w:szCs w:val="18"/>
              </w:rPr>
              <w:t>-</w:t>
            </w:r>
          </w:p>
        </w:tc>
      </w:tr>
      <w:tr w:rsidR="00651B6D" w:rsidRPr="008D71AA" w14:paraId="4EECCBE5" w14:textId="77777777" w:rsidTr="0010115D">
        <w:trPr>
          <w:jc w:val="center"/>
        </w:trPr>
        <w:tc>
          <w:tcPr>
            <w:tcW w:w="3517" w:type="pct"/>
          </w:tcPr>
          <w:p w14:paraId="4A44AF90" w14:textId="655A0A08" w:rsidR="00651B6D" w:rsidRPr="008D71AA" w:rsidRDefault="0082519F" w:rsidP="0010115D">
            <w:pPr>
              <w:keepNext/>
              <w:spacing w:after="0"/>
              <w:ind w:firstLine="0"/>
              <w:rPr>
                <w:i/>
                <w:iCs/>
                <w:color w:val="000000"/>
                <w:sz w:val="18"/>
                <w:szCs w:val="18"/>
              </w:rPr>
            </w:pPr>
            <w:r>
              <w:rPr>
                <w:i/>
                <w:iCs/>
                <w:color w:val="000000"/>
                <w:sz w:val="18"/>
                <w:szCs w:val="18"/>
              </w:rPr>
              <w:t>% no iekšzemes kopprodukts</w:t>
            </w:r>
          </w:p>
        </w:tc>
        <w:tc>
          <w:tcPr>
            <w:tcW w:w="135" w:type="pct"/>
          </w:tcPr>
          <w:p w14:paraId="480FFFCD" w14:textId="77777777" w:rsidR="00651B6D" w:rsidRPr="008D71AA" w:rsidRDefault="00651B6D" w:rsidP="0010115D">
            <w:pPr>
              <w:tabs>
                <w:tab w:val="decimal" w:pos="462"/>
              </w:tabs>
              <w:spacing w:after="0"/>
              <w:ind w:firstLine="0"/>
              <w:jc w:val="right"/>
              <w:rPr>
                <w:i/>
                <w:color w:val="000000"/>
                <w:sz w:val="18"/>
                <w:szCs w:val="18"/>
              </w:rPr>
            </w:pPr>
            <w:r w:rsidRPr="008D71AA">
              <w:rPr>
                <w:i/>
                <w:color w:val="000000"/>
                <w:sz w:val="18"/>
                <w:szCs w:val="18"/>
              </w:rPr>
              <w:t>0,1</w:t>
            </w:r>
          </w:p>
        </w:tc>
        <w:tc>
          <w:tcPr>
            <w:tcW w:w="449" w:type="pct"/>
          </w:tcPr>
          <w:p w14:paraId="28D5492B" w14:textId="77777777" w:rsidR="00651B6D" w:rsidRPr="008D71AA" w:rsidRDefault="00651B6D" w:rsidP="0010115D">
            <w:pPr>
              <w:tabs>
                <w:tab w:val="decimal" w:pos="462"/>
              </w:tabs>
              <w:spacing w:after="0"/>
              <w:ind w:firstLine="0"/>
              <w:jc w:val="right"/>
              <w:rPr>
                <w:i/>
                <w:color w:val="000000"/>
                <w:sz w:val="18"/>
                <w:szCs w:val="18"/>
              </w:rPr>
            </w:pPr>
            <w:r w:rsidRPr="008D71AA">
              <w:rPr>
                <w:i/>
                <w:color w:val="000000"/>
                <w:sz w:val="18"/>
                <w:szCs w:val="18"/>
              </w:rPr>
              <w:t>0,1</w:t>
            </w:r>
          </w:p>
        </w:tc>
        <w:tc>
          <w:tcPr>
            <w:tcW w:w="449" w:type="pct"/>
          </w:tcPr>
          <w:p w14:paraId="1964CD77" w14:textId="77777777" w:rsidR="00651B6D" w:rsidRPr="008D71AA" w:rsidRDefault="00651B6D" w:rsidP="0010115D">
            <w:pPr>
              <w:tabs>
                <w:tab w:val="decimal" w:pos="462"/>
              </w:tabs>
              <w:spacing w:after="0"/>
              <w:ind w:firstLine="0"/>
              <w:jc w:val="right"/>
              <w:rPr>
                <w:i/>
                <w:color w:val="000000"/>
                <w:sz w:val="18"/>
                <w:szCs w:val="18"/>
              </w:rPr>
            </w:pPr>
            <w:r w:rsidRPr="008D71AA">
              <w:rPr>
                <w:i/>
                <w:color w:val="000000"/>
                <w:sz w:val="18"/>
                <w:szCs w:val="18"/>
              </w:rPr>
              <w:t>0,1</w:t>
            </w:r>
          </w:p>
        </w:tc>
        <w:tc>
          <w:tcPr>
            <w:tcW w:w="449" w:type="pct"/>
          </w:tcPr>
          <w:p w14:paraId="4B2B15B6" w14:textId="77777777" w:rsidR="00651B6D" w:rsidRPr="008D71AA" w:rsidRDefault="00651B6D" w:rsidP="0010115D">
            <w:pPr>
              <w:tabs>
                <w:tab w:val="decimal" w:pos="462"/>
              </w:tabs>
              <w:spacing w:after="0"/>
              <w:ind w:firstLine="0"/>
              <w:jc w:val="right"/>
              <w:rPr>
                <w:i/>
                <w:color w:val="000000"/>
                <w:sz w:val="18"/>
                <w:szCs w:val="18"/>
              </w:rPr>
            </w:pPr>
            <w:r w:rsidRPr="008D71AA">
              <w:rPr>
                <w:i/>
                <w:color w:val="000000"/>
                <w:sz w:val="18"/>
                <w:szCs w:val="18"/>
              </w:rPr>
              <w:t>0,1</w:t>
            </w:r>
          </w:p>
        </w:tc>
      </w:tr>
    </w:tbl>
    <w:p w14:paraId="6BB0D503" w14:textId="27F13C5C" w:rsidR="003F3F04" w:rsidRPr="00E81457" w:rsidRDefault="00651B6D" w:rsidP="0010115D">
      <w:pPr>
        <w:spacing w:after="240"/>
        <w:ind w:left="425" w:firstLine="0"/>
        <w:jc w:val="left"/>
        <w:rPr>
          <w:sz w:val="18"/>
          <w:szCs w:val="18"/>
        </w:rPr>
      </w:pPr>
      <w:r w:rsidRPr="00E81457">
        <w:rPr>
          <w:sz w:val="18"/>
          <w:szCs w:val="18"/>
          <w:vertAlign w:val="superscript"/>
        </w:rPr>
        <w:t>1</w:t>
      </w:r>
      <w:r w:rsidRPr="00E81457">
        <w:rPr>
          <w:sz w:val="18"/>
          <w:szCs w:val="18"/>
        </w:rPr>
        <w:t> Prognoze 22.07.2021</w:t>
      </w:r>
    </w:p>
    <w:p w14:paraId="3C205246" w14:textId="77777777" w:rsidR="00651B6D" w:rsidRDefault="00651B6D" w:rsidP="00651B6D">
      <w:pPr>
        <w:pStyle w:val="H3"/>
      </w:pPr>
      <w:bookmarkStart w:id="84" w:name="_Toc84756430"/>
      <w:r w:rsidRPr="00624BB8">
        <w:t>Izložu un azartspēļu nodokli</w:t>
      </w:r>
      <w:r>
        <w:t>s</w:t>
      </w:r>
      <w:bookmarkEnd w:id="84"/>
    </w:p>
    <w:p w14:paraId="3F012611" w14:textId="77777777" w:rsidR="00651B6D" w:rsidRPr="00DB28EB" w:rsidRDefault="00651B6D" w:rsidP="00651B6D">
      <w:r w:rsidRPr="00CA2EA4">
        <w:rPr>
          <w:bCs/>
        </w:rPr>
        <w:t>Izložu un azartspēļu nodokli</w:t>
      </w:r>
      <w:r w:rsidRPr="00091DF8">
        <w:rPr>
          <w:b/>
        </w:rPr>
        <w:t xml:space="preserve"> </w:t>
      </w:r>
      <w:r w:rsidRPr="00091DF8">
        <w:t>maksā</w:t>
      </w:r>
      <w:r w:rsidRPr="00DB28EB">
        <w:t xml:space="preserve"> uzņēmumi, kas likumā „Par izložu un azartspēļu nodevu un nodokli” noteiktajā kārtībā saņēmuši speciālu atļauju izložu un azartspēļu organizēšanai un uzturēšanai. </w:t>
      </w:r>
    </w:p>
    <w:p w14:paraId="2A1E1D77" w14:textId="77777777" w:rsidR="00651B6D" w:rsidRPr="00DB28EB" w:rsidRDefault="00651B6D" w:rsidP="00651B6D">
      <w:r w:rsidRPr="00DB28EB">
        <w:t>2021</w:t>
      </w:r>
      <w:r>
        <w:t>. gad</w:t>
      </w:r>
      <w:r w:rsidRPr="00DB28EB">
        <w:t>a sešos mēnešos izložu un azartspēļu nodokļa ieņēmumi bija 7,0</w:t>
      </w:r>
      <w:r>
        <w:t> milj.</w:t>
      </w:r>
      <w:r w:rsidRPr="00DB28EB">
        <w:rPr>
          <w:i/>
        </w:rPr>
        <w:t> </w:t>
      </w:r>
      <w:r w:rsidRPr="004F46D3">
        <w:rPr>
          <w:i/>
        </w:rPr>
        <w:t>euro</w:t>
      </w:r>
      <w:r w:rsidRPr="00DB28EB">
        <w:t>, kas, salīdzinot ar 2020</w:t>
      </w:r>
      <w:r>
        <w:t>. gad</w:t>
      </w:r>
      <w:r w:rsidRPr="00DB28EB">
        <w:t>a sešiem mēnešiem, ir samazinājušies par 9,4</w:t>
      </w:r>
      <w:r>
        <w:t> milj.</w:t>
      </w:r>
      <w:r w:rsidRPr="00DB28EB">
        <w:rPr>
          <w:i/>
        </w:rPr>
        <w:t> </w:t>
      </w:r>
      <w:r w:rsidRPr="004F46D3">
        <w:rPr>
          <w:i/>
        </w:rPr>
        <w:t>euro</w:t>
      </w:r>
      <w:r w:rsidRPr="00DB28EB">
        <w:t xml:space="preserve"> jeb 57,3</w:t>
      </w:r>
      <w:r>
        <w:t> procent</w:t>
      </w:r>
      <w:r w:rsidRPr="00DB28EB">
        <w:t>iem. Salīdzinājumā ar plānu 2021</w:t>
      </w:r>
      <w:r>
        <w:t>. gad</w:t>
      </w:r>
      <w:r w:rsidRPr="00DB28EB">
        <w:t>a sešos mēnešos nodokļa ieņēmumi ir iekasēti par 15,9</w:t>
      </w:r>
      <w:r>
        <w:t> milj.</w:t>
      </w:r>
      <w:r w:rsidRPr="00DB28EB">
        <w:rPr>
          <w:i/>
        </w:rPr>
        <w:t> </w:t>
      </w:r>
      <w:r w:rsidRPr="004F46D3">
        <w:rPr>
          <w:i/>
        </w:rPr>
        <w:t>euro</w:t>
      </w:r>
      <w:r w:rsidRPr="00DB28EB">
        <w:t xml:space="preserve"> jeb 69,3% mazāk, kam </w:t>
      </w:r>
      <w:r w:rsidRPr="00DB28EB">
        <w:rPr>
          <w:bCs/>
        </w:rPr>
        <w:t xml:space="preserve">par iemeslu ir </w:t>
      </w:r>
      <w:r w:rsidRPr="00DB28EB">
        <w:t>Covid</w:t>
      </w:r>
      <w:r w:rsidRPr="00DB28EB">
        <w:noBreakHyphen/>
        <w:t xml:space="preserve">19 ierobežojumu rezultātā joprojām izsludinātais </w:t>
      </w:r>
      <w:r w:rsidRPr="00DB28EB">
        <w:rPr>
          <w:bCs/>
        </w:rPr>
        <w:t>azartspēļu organizēšanas aizliegums vis</w:t>
      </w:r>
      <w:r>
        <w:rPr>
          <w:bCs/>
        </w:rPr>
        <w:t>ā</w:t>
      </w:r>
      <w:r w:rsidRPr="00DB28EB">
        <w:rPr>
          <w:bCs/>
        </w:rPr>
        <w:t>s spēļu zāl</w:t>
      </w:r>
      <w:r>
        <w:rPr>
          <w:bCs/>
        </w:rPr>
        <w:t>ē</w:t>
      </w:r>
      <w:r w:rsidRPr="00DB28EB">
        <w:rPr>
          <w:bCs/>
        </w:rPr>
        <w:t>s, bingo zāl</w:t>
      </w:r>
      <w:r>
        <w:rPr>
          <w:bCs/>
        </w:rPr>
        <w:t>ē</w:t>
      </w:r>
      <w:r w:rsidRPr="00DB28EB">
        <w:rPr>
          <w:bCs/>
        </w:rPr>
        <w:t>s, kazino un totalizatora likmju pieņemšanas vietās Latvijas teritorijā</w:t>
      </w:r>
      <w:r w:rsidRPr="00DB28EB">
        <w:t>. Ņemot vērā minēto, kā arī Izložu un azartspēļu uzraudzības inspekcijas sniegtās prognozes un viedokli, prognoze 2021</w:t>
      </w:r>
      <w:r>
        <w:t>. gad</w:t>
      </w:r>
      <w:r w:rsidRPr="00DB28EB">
        <w:t>am ir samazināta par 28,3</w:t>
      </w:r>
      <w:r>
        <w:t> milj.</w:t>
      </w:r>
      <w:r w:rsidRPr="00DB28EB">
        <w:rPr>
          <w:i/>
        </w:rPr>
        <w:t> </w:t>
      </w:r>
      <w:r w:rsidRPr="004F46D3">
        <w:rPr>
          <w:i/>
        </w:rPr>
        <w:t>euro</w:t>
      </w:r>
      <w:r w:rsidRPr="00DB28EB">
        <w:t xml:space="preserve"> jeb par 52,9% no plāna.</w:t>
      </w:r>
    </w:p>
    <w:p w14:paraId="6E23D6EC" w14:textId="42592E83" w:rsidR="00651B6D" w:rsidRPr="0010115D" w:rsidRDefault="00651B6D" w:rsidP="0010115D">
      <w:r w:rsidRPr="00AE68E3">
        <w:rPr>
          <w:szCs w:val="24"/>
        </w:rPr>
        <w:t>Saskaņā ar likumprojektu „Par vidēja termiņa budžeta ietvaru 2022., 2023. un 2024</w:t>
      </w:r>
      <w:r>
        <w:rPr>
          <w:szCs w:val="24"/>
        </w:rPr>
        <w:t>. gad</w:t>
      </w:r>
      <w:r w:rsidRPr="00AE68E3">
        <w:rPr>
          <w:szCs w:val="24"/>
        </w:rPr>
        <w:t xml:space="preserve">am” </w:t>
      </w:r>
      <w:r w:rsidRPr="00AE68E3">
        <w:t>2022</w:t>
      </w:r>
      <w:r>
        <w:t>. gad</w:t>
      </w:r>
      <w:r w:rsidRPr="00AE68E3">
        <w:t>ā kopējie izložu un azartspēļu nodokļa ieņēmumi tiek plānoti 47,9</w:t>
      </w:r>
      <w:r>
        <w:t> milj.</w:t>
      </w:r>
      <w:r w:rsidRPr="00AE68E3">
        <w:rPr>
          <w:i/>
        </w:rPr>
        <w:t> </w:t>
      </w:r>
      <w:r w:rsidRPr="004F46D3">
        <w:rPr>
          <w:i/>
        </w:rPr>
        <w:t>euro</w:t>
      </w:r>
      <w:r w:rsidRPr="00AE68E3">
        <w:t xml:space="preserve"> apmērā, 2023</w:t>
      </w:r>
      <w:r>
        <w:t>. gad</w:t>
      </w:r>
      <w:r w:rsidRPr="00AE68E3">
        <w:t>ā 49,3</w:t>
      </w:r>
      <w:r>
        <w:t> milj.</w:t>
      </w:r>
      <w:r w:rsidRPr="00AE68E3">
        <w:rPr>
          <w:i/>
        </w:rPr>
        <w:t> </w:t>
      </w:r>
      <w:r w:rsidRPr="004F46D3">
        <w:rPr>
          <w:i/>
        </w:rPr>
        <w:t>euro</w:t>
      </w:r>
      <w:r w:rsidRPr="00AE68E3">
        <w:t xml:space="preserve"> apmērā un 2024</w:t>
      </w:r>
      <w:r>
        <w:t>. gad</w:t>
      </w:r>
      <w:r w:rsidRPr="00AE68E3">
        <w:t>ā 50,3</w:t>
      </w:r>
      <w:r>
        <w:t> milj.</w:t>
      </w:r>
      <w:r w:rsidRPr="00AE68E3">
        <w:rPr>
          <w:i/>
        </w:rPr>
        <w:t> </w:t>
      </w:r>
      <w:r w:rsidRPr="004F46D3">
        <w:rPr>
          <w:i/>
        </w:rPr>
        <w:t>euro</w:t>
      </w:r>
      <w:r w:rsidR="0010115D">
        <w:t xml:space="preserve"> apmērā. </w:t>
      </w:r>
      <w:r w:rsidRPr="00AE68E3">
        <w:t xml:space="preserve">Sagatavojot izložu un azartspēļu nodokļa ieņēmumu plānu vidējam termiņam, tika </w:t>
      </w:r>
      <w:r w:rsidRPr="00AE68E3">
        <w:rPr>
          <w:szCs w:val="24"/>
        </w:rPr>
        <w:t>ņemtas vērā</w:t>
      </w:r>
      <w:r w:rsidRPr="00AE68E3">
        <w:t xml:space="preserve"> nozares attīstības </w:t>
      </w:r>
      <w:r w:rsidRPr="00AE68E3">
        <w:rPr>
          <w:szCs w:val="24"/>
        </w:rPr>
        <w:t>tendences</w:t>
      </w:r>
      <w:bookmarkStart w:id="85" w:name="_Hlk84236922"/>
      <w:r w:rsidRPr="00AE68E3">
        <w:rPr>
          <w:szCs w:val="24"/>
        </w:rPr>
        <w:t xml:space="preserve">, kā arī </w:t>
      </w:r>
      <w:bookmarkEnd w:id="85"/>
      <w:r w:rsidRPr="00AE68E3">
        <w:t>Covid</w:t>
      </w:r>
      <w:r w:rsidRPr="00AE68E3">
        <w:noBreakHyphen/>
        <w:t>19 ierobežojumu pakāpeniska atcelšana</w:t>
      </w:r>
      <w:r>
        <w:t>.</w:t>
      </w:r>
    </w:p>
    <w:p w14:paraId="6FF912A5" w14:textId="77777777" w:rsidR="00651B6D" w:rsidRPr="005E09BD" w:rsidRDefault="00651B6D" w:rsidP="0082519F">
      <w:pPr>
        <w:keepNext/>
        <w:spacing w:before="120"/>
        <w:ind w:firstLine="0"/>
        <w:jc w:val="right"/>
        <w:rPr>
          <w:b/>
          <w:i/>
          <w:szCs w:val="24"/>
        </w:rPr>
      </w:pPr>
      <w:r w:rsidRPr="005E09BD">
        <w:rPr>
          <w:b/>
          <w:i/>
          <w:szCs w:val="24"/>
        </w:rPr>
        <w:t>3.15</w:t>
      </w:r>
      <w:r>
        <w:rPr>
          <w:b/>
          <w:i/>
          <w:szCs w:val="24"/>
        </w:rPr>
        <w:t>. tab</w:t>
      </w:r>
      <w:r w:rsidRPr="005E09BD">
        <w:rPr>
          <w:b/>
          <w:i/>
          <w:szCs w:val="24"/>
        </w:rPr>
        <w:t>ula. Izložu un azartspēļu nodokļa ieņēmumi</w:t>
      </w:r>
    </w:p>
    <w:tbl>
      <w:tblPr>
        <w:tblW w:w="5000" w:type="pct"/>
        <w:jc w:val="center"/>
        <w:tblLook w:val="04A0" w:firstRow="1" w:lastRow="0" w:firstColumn="1" w:lastColumn="0" w:noHBand="0" w:noVBand="1"/>
      </w:tblPr>
      <w:tblGrid>
        <w:gridCol w:w="5745"/>
        <w:gridCol w:w="874"/>
        <w:gridCol w:w="814"/>
        <w:gridCol w:w="814"/>
        <w:gridCol w:w="814"/>
      </w:tblGrid>
      <w:tr w:rsidR="00651B6D" w:rsidRPr="005E09BD" w14:paraId="7683C9CE" w14:textId="77777777" w:rsidTr="0010115D">
        <w:trPr>
          <w:cantSplit/>
          <w:trHeight w:val="20"/>
          <w:jc w:val="center"/>
        </w:trPr>
        <w:tc>
          <w:tcPr>
            <w:tcW w:w="3283" w:type="pct"/>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414D27F9" w14:textId="77777777" w:rsidR="00651B6D" w:rsidRPr="005E09BD" w:rsidRDefault="00651B6D" w:rsidP="0010115D">
            <w:pPr>
              <w:keepNext/>
              <w:keepLines/>
              <w:spacing w:after="0"/>
              <w:ind w:firstLine="0"/>
              <w:jc w:val="center"/>
              <w:rPr>
                <w:color w:val="000000"/>
                <w:sz w:val="18"/>
                <w:szCs w:val="18"/>
              </w:rPr>
            </w:pPr>
          </w:p>
        </w:tc>
        <w:tc>
          <w:tcPr>
            <w:tcW w:w="368" w:type="pct"/>
            <w:tcBorders>
              <w:top w:val="single" w:sz="4" w:space="0" w:color="auto"/>
              <w:left w:val="nil"/>
              <w:bottom w:val="single" w:sz="4" w:space="0" w:color="auto"/>
              <w:right w:val="single" w:sz="4" w:space="0" w:color="000000"/>
            </w:tcBorders>
            <w:shd w:val="clear" w:color="auto" w:fill="9CC2E5" w:themeFill="accent1" w:themeFillTint="99"/>
            <w:vAlign w:val="center"/>
          </w:tcPr>
          <w:p w14:paraId="480341D1" w14:textId="77777777" w:rsidR="00651B6D" w:rsidRPr="005E09BD" w:rsidRDefault="00651B6D" w:rsidP="0010115D">
            <w:pPr>
              <w:keepNext/>
              <w:keepLines/>
              <w:spacing w:after="0"/>
              <w:ind w:firstLine="0"/>
              <w:jc w:val="center"/>
              <w:rPr>
                <w:b/>
                <w:color w:val="000000"/>
                <w:sz w:val="18"/>
                <w:szCs w:val="18"/>
              </w:rPr>
            </w:pPr>
            <w:r w:rsidRPr="005E09BD">
              <w:rPr>
                <w:b/>
                <w:color w:val="000000"/>
                <w:sz w:val="18"/>
                <w:szCs w:val="18"/>
              </w:rPr>
              <w:t>2021</w:t>
            </w:r>
          </w:p>
        </w:tc>
        <w:tc>
          <w:tcPr>
            <w:tcW w:w="451" w:type="pct"/>
            <w:tcBorders>
              <w:top w:val="single" w:sz="4" w:space="0" w:color="auto"/>
              <w:left w:val="nil"/>
              <w:bottom w:val="single" w:sz="4" w:space="0" w:color="auto"/>
              <w:right w:val="single" w:sz="4" w:space="0" w:color="000000"/>
            </w:tcBorders>
            <w:shd w:val="clear" w:color="auto" w:fill="9CC2E5" w:themeFill="accent1" w:themeFillTint="99"/>
            <w:vAlign w:val="center"/>
          </w:tcPr>
          <w:p w14:paraId="4000B7E8" w14:textId="77777777" w:rsidR="00651B6D" w:rsidRPr="005E09BD" w:rsidRDefault="00651B6D" w:rsidP="0010115D">
            <w:pPr>
              <w:keepNext/>
              <w:keepLines/>
              <w:spacing w:after="0"/>
              <w:ind w:firstLine="0"/>
              <w:jc w:val="center"/>
              <w:rPr>
                <w:b/>
                <w:color w:val="000000"/>
                <w:sz w:val="18"/>
                <w:szCs w:val="18"/>
              </w:rPr>
            </w:pPr>
            <w:r w:rsidRPr="005E09BD">
              <w:rPr>
                <w:b/>
                <w:color w:val="000000"/>
                <w:sz w:val="18"/>
                <w:szCs w:val="18"/>
              </w:rPr>
              <w:t>2022</w:t>
            </w:r>
          </w:p>
        </w:tc>
        <w:tc>
          <w:tcPr>
            <w:tcW w:w="449" w:type="pct"/>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769C15F8" w14:textId="77777777" w:rsidR="00651B6D" w:rsidRPr="005E09BD" w:rsidRDefault="00651B6D" w:rsidP="0010115D">
            <w:pPr>
              <w:keepNext/>
              <w:keepLines/>
              <w:spacing w:after="0"/>
              <w:ind w:firstLine="0"/>
              <w:jc w:val="center"/>
              <w:rPr>
                <w:b/>
                <w:color w:val="000000"/>
                <w:sz w:val="18"/>
                <w:szCs w:val="18"/>
              </w:rPr>
            </w:pPr>
            <w:r w:rsidRPr="005E09BD">
              <w:rPr>
                <w:b/>
                <w:color w:val="000000"/>
                <w:sz w:val="18"/>
                <w:szCs w:val="18"/>
              </w:rPr>
              <w:t>2023</w:t>
            </w:r>
          </w:p>
        </w:tc>
        <w:tc>
          <w:tcPr>
            <w:tcW w:w="449" w:type="pct"/>
            <w:tcBorders>
              <w:top w:val="single" w:sz="4" w:space="0" w:color="auto"/>
              <w:left w:val="nil"/>
              <w:bottom w:val="single" w:sz="4" w:space="0" w:color="auto"/>
              <w:right w:val="single" w:sz="4" w:space="0" w:color="auto"/>
            </w:tcBorders>
            <w:shd w:val="clear" w:color="auto" w:fill="9CC2E5" w:themeFill="accent1" w:themeFillTint="99"/>
            <w:vAlign w:val="center"/>
          </w:tcPr>
          <w:p w14:paraId="5D03D15D" w14:textId="77777777" w:rsidR="00651B6D" w:rsidRPr="005E09BD" w:rsidRDefault="00651B6D" w:rsidP="0010115D">
            <w:pPr>
              <w:keepNext/>
              <w:keepLines/>
              <w:spacing w:after="0"/>
              <w:ind w:firstLine="0"/>
              <w:jc w:val="center"/>
              <w:rPr>
                <w:b/>
                <w:color w:val="000000"/>
                <w:sz w:val="18"/>
                <w:szCs w:val="18"/>
              </w:rPr>
            </w:pPr>
            <w:r w:rsidRPr="005E09BD">
              <w:rPr>
                <w:b/>
                <w:color w:val="000000"/>
                <w:sz w:val="18"/>
                <w:szCs w:val="18"/>
              </w:rPr>
              <w:t>2024</w:t>
            </w:r>
          </w:p>
        </w:tc>
      </w:tr>
      <w:tr w:rsidR="00651B6D" w:rsidRPr="005E09BD" w14:paraId="4633B427" w14:textId="77777777" w:rsidTr="0010115D">
        <w:trPr>
          <w:cantSplit/>
          <w:trHeight w:val="20"/>
          <w:jc w:val="center"/>
        </w:trPr>
        <w:tc>
          <w:tcPr>
            <w:tcW w:w="3283" w:type="pct"/>
            <w:tcBorders>
              <w:top w:val="nil"/>
              <w:left w:val="single" w:sz="4" w:space="0" w:color="auto"/>
              <w:bottom w:val="single" w:sz="4" w:space="0" w:color="auto"/>
              <w:right w:val="single" w:sz="4" w:space="0" w:color="auto"/>
            </w:tcBorders>
            <w:shd w:val="clear" w:color="auto" w:fill="auto"/>
            <w:vAlign w:val="center"/>
            <w:hideMark/>
          </w:tcPr>
          <w:p w14:paraId="38E1C8B1" w14:textId="77777777" w:rsidR="00651B6D" w:rsidRPr="005E09BD" w:rsidRDefault="00651B6D" w:rsidP="0010115D">
            <w:pPr>
              <w:keepNext/>
              <w:keepLines/>
              <w:spacing w:after="0"/>
              <w:ind w:firstLine="0"/>
              <w:jc w:val="left"/>
              <w:rPr>
                <w:color w:val="000000"/>
                <w:sz w:val="18"/>
                <w:szCs w:val="18"/>
              </w:rPr>
            </w:pPr>
            <w:r w:rsidRPr="005E09BD">
              <w:rPr>
                <w:color w:val="000000"/>
                <w:sz w:val="18"/>
                <w:szCs w:val="18"/>
              </w:rPr>
              <w:t>Saskaņā ar likumprojektu „Par vidēja termiņa budžeta ietvaru 2022., 2023. un 2024</w:t>
            </w:r>
            <w:r>
              <w:rPr>
                <w:color w:val="000000"/>
                <w:sz w:val="18"/>
                <w:szCs w:val="18"/>
              </w:rPr>
              <w:t>. gad</w:t>
            </w:r>
            <w:r w:rsidRPr="005E09BD">
              <w:rPr>
                <w:color w:val="000000"/>
                <w:sz w:val="18"/>
                <w:szCs w:val="18"/>
              </w:rPr>
              <w:t>am”</w:t>
            </w:r>
            <w:r>
              <w:rPr>
                <w:color w:val="000000"/>
                <w:sz w:val="18"/>
                <w:szCs w:val="18"/>
              </w:rPr>
              <w:t>, milj.</w:t>
            </w:r>
            <w:r w:rsidRPr="005E09BD">
              <w:rPr>
                <w:i/>
                <w:color w:val="000000"/>
                <w:sz w:val="18"/>
                <w:szCs w:val="18"/>
              </w:rPr>
              <w:t> </w:t>
            </w:r>
            <w:r w:rsidRPr="004F46D3">
              <w:rPr>
                <w:i/>
                <w:color w:val="000000"/>
                <w:sz w:val="18"/>
                <w:szCs w:val="18"/>
              </w:rPr>
              <w:t>euro</w:t>
            </w:r>
          </w:p>
        </w:tc>
        <w:tc>
          <w:tcPr>
            <w:tcW w:w="368" w:type="pct"/>
            <w:tcBorders>
              <w:top w:val="nil"/>
              <w:left w:val="nil"/>
              <w:bottom w:val="single" w:sz="4" w:space="0" w:color="auto"/>
              <w:right w:val="single" w:sz="4" w:space="0" w:color="auto"/>
            </w:tcBorders>
            <w:shd w:val="clear" w:color="auto" w:fill="auto"/>
            <w:noWrap/>
          </w:tcPr>
          <w:p w14:paraId="48DCF4A9" w14:textId="77777777" w:rsidR="00651B6D" w:rsidRPr="005E09BD" w:rsidRDefault="00651B6D" w:rsidP="0010115D">
            <w:pPr>
              <w:keepNext/>
              <w:keepLines/>
              <w:tabs>
                <w:tab w:val="decimal" w:pos="462"/>
              </w:tabs>
              <w:spacing w:after="0"/>
              <w:ind w:firstLine="0"/>
              <w:jc w:val="right"/>
              <w:rPr>
                <w:bCs/>
                <w:color w:val="000000"/>
                <w:sz w:val="18"/>
                <w:szCs w:val="18"/>
              </w:rPr>
            </w:pPr>
            <w:r w:rsidRPr="005E09BD">
              <w:rPr>
                <w:bCs/>
                <w:sz w:val="18"/>
                <w:szCs w:val="18"/>
              </w:rPr>
              <w:t>25,2</w:t>
            </w:r>
            <w:r w:rsidRPr="005E09BD">
              <w:rPr>
                <w:bCs/>
                <w:sz w:val="18"/>
                <w:szCs w:val="18"/>
                <w:vertAlign w:val="superscript"/>
              </w:rPr>
              <w:t>1</w:t>
            </w:r>
          </w:p>
        </w:tc>
        <w:tc>
          <w:tcPr>
            <w:tcW w:w="451" w:type="pct"/>
            <w:tcBorders>
              <w:top w:val="nil"/>
              <w:left w:val="nil"/>
              <w:bottom w:val="single" w:sz="4" w:space="0" w:color="auto"/>
              <w:right w:val="single" w:sz="4" w:space="0" w:color="auto"/>
            </w:tcBorders>
            <w:shd w:val="clear" w:color="auto" w:fill="auto"/>
            <w:noWrap/>
          </w:tcPr>
          <w:p w14:paraId="5FA2C060" w14:textId="77777777" w:rsidR="00651B6D" w:rsidRPr="005E09BD" w:rsidRDefault="00651B6D" w:rsidP="0010115D">
            <w:pPr>
              <w:keepNext/>
              <w:keepLines/>
              <w:tabs>
                <w:tab w:val="decimal" w:pos="462"/>
              </w:tabs>
              <w:spacing w:after="0"/>
              <w:ind w:firstLine="0"/>
              <w:jc w:val="right"/>
              <w:rPr>
                <w:bCs/>
                <w:color w:val="000000"/>
                <w:sz w:val="18"/>
                <w:szCs w:val="18"/>
              </w:rPr>
            </w:pPr>
            <w:r w:rsidRPr="005E09BD">
              <w:rPr>
                <w:bCs/>
                <w:sz w:val="18"/>
                <w:szCs w:val="18"/>
              </w:rPr>
              <w:t>47,9</w:t>
            </w:r>
          </w:p>
        </w:tc>
        <w:tc>
          <w:tcPr>
            <w:tcW w:w="449" w:type="pct"/>
            <w:tcBorders>
              <w:top w:val="nil"/>
              <w:left w:val="nil"/>
              <w:bottom w:val="single" w:sz="4" w:space="0" w:color="auto"/>
              <w:right w:val="single" w:sz="4" w:space="0" w:color="auto"/>
            </w:tcBorders>
            <w:shd w:val="clear" w:color="auto" w:fill="auto"/>
            <w:noWrap/>
          </w:tcPr>
          <w:p w14:paraId="01BAF992" w14:textId="77777777" w:rsidR="00651B6D" w:rsidRPr="005E09BD" w:rsidRDefault="00651B6D" w:rsidP="0010115D">
            <w:pPr>
              <w:keepNext/>
              <w:keepLines/>
              <w:tabs>
                <w:tab w:val="decimal" w:pos="462"/>
              </w:tabs>
              <w:spacing w:after="0"/>
              <w:ind w:firstLine="0"/>
              <w:jc w:val="right"/>
              <w:rPr>
                <w:bCs/>
                <w:color w:val="000000"/>
                <w:sz w:val="18"/>
                <w:szCs w:val="18"/>
              </w:rPr>
            </w:pPr>
            <w:r w:rsidRPr="005E09BD">
              <w:rPr>
                <w:bCs/>
                <w:sz w:val="18"/>
                <w:szCs w:val="18"/>
              </w:rPr>
              <w:t>49,3</w:t>
            </w:r>
          </w:p>
        </w:tc>
        <w:tc>
          <w:tcPr>
            <w:tcW w:w="449" w:type="pct"/>
            <w:tcBorders>
              <w:top w:val="nil"/>
              <w:left w:val="nil"/>
              <w:bottom w:val="single" w:sz="4" w:space="0" w:color="auto"/>
              <w:right w:val="single" w:sz="4" w:space="0" w:color="auto"/>
            </w:tcBorders>
          </w:tcPr>
          <w:p w14:paraId="7D050F95" w14:textId="77777777" w:rsidR="00651B6D" w:rsidRPr="005E09BD" w:rsidRDefault="00651B6D" w:rsidP="0010115D">
            <w:pPr>
              <w:keepNext/>
              <w:keepLines/>
              <w:tabs>
                <w:tab w:val="decimal" w:pos="462"/>
              </w:tabs>
              <w:spacing w:after="0"/>
              <w:ind w:firstLine="0"/>
              <w:jc w:val="right"/>
              <w:rPr>
                <w:bCs/>
                <w:color w:val="000000"/>
                <w:sz w:val="18"/>
                <w:szCs w:val="18"/>
              </w:rPr>
            </w:pPr>
            <w:r w:rsidRPr="005E09BD">
              <w:rPr>
                <w:bCs/>
                <w:sz w:val="18"/>
                <w:szCs w:val="18"/>
              </w:rPr>
              <w:t>50,3</w:t>
            </w:r>
          </w:p>
        </w:tc>
      </w:tr>
      <w:tr w:rsidR="00651B6D" w:rsidRPr="005E09BD" w14:paraId="21E1A449" w14:textId="77777777" w:rsidTr="0010115D">
        <w:trPr>
          <w:cantSplit/>
          <w:trHeight w:val="20"/>
          <w:jc w:val="center"/>
        </w:trPr>
        <w:tc>
          <w:tcPr>
            <w:tcW w:w="3283" w:type="pct"/>
            <w:tcBorders>
              <w:top w:val="nil"/>
              <w:left w:val="single" w:sz="4" w:space="0" w:color="auto"/>
              <w:bottom w:val="single" w:sz="4" w:space="0" w:color="auto"/>
              <w:right w:val="single" w:sz="4" w:space="0" w:color="auto"/>
            </w:tcBorders>
            <w:shd w:val="clear" w:color="auto" w:fill="auto"/>
            <w:vAlign w:val="center"/>
          </w:tcPr>
          <w:p w14:paraId="489311A9" w14:textId="77777777" w:rsidR="00651B6D" w:rsidRPr="005E09BD" w:rsidRDefault="00651B6D" w:rsidP="0010115D">
            <w:pPr>
              <w:keepNext/>
              <w:keepLines/>
              <w:spacing w:after="0"/>
              <w:ind w:firstLine="0"/>
              <w:jc w:val="left"/>
              <w:rPr>
                <w:i/>
                <w:sz w:val="18"/>
                <w:szCs w:val="18"/>
              </w:rPr>
            </w:pPr>
            <w:r w:rsidRPr="005E09BD">
              <w:rPr>
                <w:color w:val="000000"/>
                <w:sz w:val="18"/>
                <w:szCs w:val="18"/>
              </w:rPr>
              <w:t>S</w:t>
            </w:r>
            <w:r w:rsidRPr="005E09BD">
              <w:rPr>
                <w:iCs/>
                <w:color w:val="000000"/>
                <w:sz w:val="18"/>
                <w:szCs w:val="18"/>
              </w:rPr>
              <w:t>askaņā ar likumprojektu „Par vidēja termiņa budžeta ietvaru 2021., 2022. un 2023</w:t>
            </w:r>
            <w:r>
              <w:rPr>
                <w:iCs/>
                <w:color w:val="000000"/>
                <w:sz w:val="18"/>
                <w:szCs w:val="18"/>
              </w:rPr>
              <w:t>. gad</w:t>
            </w:r>
            <w:r w:rsidRPr="005E09BD">
              <w:rPr>
                <w:iCs/>
                <w:color w:val="000000"/>
                <w:sz w:val="18"/>
                <w:szCs w:val="18"/>
              </w:rPr>
              <w:t>am”</w:t>
            </w:r>
            <w:r>
              <w:rPr>
                <w:color w:val="000000"/>
                <w:sz w:val="18"/>
                <w:szCs w:val="18"/>
              </w:rPr>
              <w:t>, milj.</w:t>
            </w:r>
            <w:r w:rsidRPr="005E09BD">
              <w:rPr>
                <w:i/>
                <w:color w:val="000000"/>
                <w:sz w:val="18"/>
                <w:szCs w:val="18"/>
              </w:rPr>
              <w:t> </w:t>
            </w:r>
            <w:r w:rsidRPr="004F46D3">
              <w:rPr>
                <w:i/>
                <w:color w:val="000000"/>
                <w:sz w:val="18"/>
                <w:szCs w:val="18"/>
              </w:rPr>
              <w:t>euro</w:t>
            </w:r>
          </w:p>
        </w:tc>
        <w:tc>
          <w:tcPr>
            <w:tcW w:w="368" w:type="pct"/>
            <w:tcBorders>
              <w:top w:val="nil"/>
              <w:left w:val="nil"/>
              <w:bottom w:val="single" w:sz="4" w:space="0" w:color="auto"/>
              <w:right w:val="single" w:sz="4" w:space="0" w:color="auto"/>
            </w:tcBorders>
            <w:shd w:val="clear" w:color="auto" w:fill="auto"/>
            <w:noWrap/>
          </w:tcPr>
          <w:p w14:paraId="4D1963E6" w14:textId="77777777" w:rsidR="00651B6D" w:rsidRPr="005E09BD" w:rsidRDefault="00651B6D" w:rsidP="0010115D">
            <w:pPr>
              <w:keepNext/>
              <w:keepLines/>
              <w:tabs>
                <w:tab w:val="decimal" w:pos="462"/>
              </w:tabs>
              <w:spacing w:after="0"/>
              <w:ind w:firstLine="0"/>
              <w:jc w:val="right"/>
              <w:rPr>
                <w:bCs/>
                <w:color w:val="000000"/>
                <w:sz w:val="18"/>
                <w:szCs w:val="18"/>
              </w:rPr>
            </w:pPr>
            <w:r w:rsidRPr="005E09BD">
              <w:rPr>
                <w:bCs/>
                <w:sz w:val="18"/>
                <w:szCs w:val="18"/>
              </w:rPr>
              <w:t>53,4</w:t>
            </w:r>
          </w:p>
        </w:tc>
        <w:tc>
          <w:tcPr>
            <w:tcW w:w="451" w:type="pct"/>
            <w:tcBorders>
              <w:top w:val="nil"/>
              <w:left w:val="nil"/>
              <w:bottom w:val="single" w:sz="4" w:space="0" w:color="auto"/>
              <w:right w:val="single" w:sz="4" w:space="0" w:color="auto"/>
            </w:tcBorders>
            <w:shd w:val="clear" w:color="auto" w:fill="auto"/>
            <w:noWrap/>
          </w:tcPr>
          <w:p w14:paraId="621A50C9" w14:textId="77777777" w:rsidR="00651B6D" w:rsidRPr="005E09BD" w:rsidRDefault="00651B6D" w:rsidP="0010115D">
            <w:pPr>
              <w:keepNext/>
              <w:keepLines/>
              <w:tabs>
                <w:tab w:val="decimal" w:pos="462"/>
              </w:tabs>
              <w:spacing w:after="0"/>
              <w:ind w:firstLine="0"/>
              <w:jc w:val="right"/>
              <w:rPr>
                <w:bCs/>
                <w:color w:val="000000"/>
                <w:sz w:val="18"/>
                <w:szCs w:val="18"/>
              </w:rPr>
            </w:pPr>
            <w:r w:rsidRPr="005E09BD">
              <w:rPr>
                <w:bCs/>
                <w:sz w:val="18"/>
                <w:szCs w:val="18"/>
              </w:rPr>
              <w:t>49,1</w:t>
            </w:r>
          </w:p>
        </w:tc>
        <w:tc>
          <w:tcPr>
            <w:tcW w:w="449" w:type="pct"/>
            <w:tcBorders>
              <w:top w:val="nil"/>
              <w:left w:val="nil"/>
              <w:bottom w:val="single" w:sz="4" w:space="0" w:color="auto"/>
              <w:right w:val="single" w:sz="4" w:space="0" w:color="auto"/>
            </w:tcBorders>
            <w:shd w:val="clear" w:color="auto" w:fill="auto"/>
            <w:noWrap/>
          </w:tcPr>
          <w:p w14:paraId="269A0DE1" w14:textId="77777777" w:rsidR="00651B6D" w:rsidRPr="005E09BD" w:rsidRDefault="00651B6D" w:rsidP="0010115D">
            <w:pPr>
              <w:keepNext/>
              <w:keepLines/>
              <w:tabs>
                <w:tab w:val="decimal" w:pos="462"/>
              </w:tabs>
              <w:spacing w:after="0"/>
              <w:ind w:firstLine="0"/>
              <w:jc w:val="right"/>
              <w:rPr>
                <w:bCs/>
                <w:color w:val="000000"/>
                <w:sz w:val="18"/>
                <w:szCs w:val="18"/>
              </w:rPr>
            </w:pPr>
            <w:r w:rsidRPr="005E09BD">
              <w:rPr>
                <w:bCs/>
                <w:sz w:val="18"/>
                <w:szCs w:val="18"/>
              </w:rPr>
              <w:t>49,2</w:t>
            </w:r>
          </w:p>
        </w:tc>
        <w:tc>
          <w:tcPr>
            <w:tcW w:w="449" w:type="pct"/>
            <w:tcBorders>
              <w:top w:val="nil"/>
              <w:left w:val="nil"/>
              <w:bottom w:val="single" w:sz="4" w:space="0" w:color="auto"/>
              <w:right w:val="single" w:sz="4" w:space="0" w:color="auto"/>
            </w:tcBorders>
          </w:tcPr>
          <w:p w14:paraId="7F1348ED" w14:textId="77777777" w:rsidR="00651B6D" w:rsidRPr="005E09BD" w:rsidRDefault="00651B6D" w:rsidP="0010115D">
            <w:pPr>
              <w:keepNext/>
              <w:keepLines/>
              <w:spacing w:after="0"/>
              <w:ind w:firstLine="0"/>
              <w:jc w:val="right"/>
              <w:rPr>
                <w:bCs/>
                <w:sz w:val="18"/>
                <w:szCs w:val="18"/>
              </w:rPr>
            </w:pPr>
            <w:r w:rsidRPr="005E09BD">
              <w:rPr>
                <w:bCs/>
                <w:sz w:val="18"/>
                <w:szCs w:val="18"/>
              </w:rPr>
              <w:t>-</w:t>
            </w:r>
          </w:p>
        </w:tc>
      </w:tr>
      <w:tr w:rsidR="00651B6D" w:rsidRPr="005E09BD" w14:paraId="48A23786" w14:textId="77777777" w:rsidTr="0010115D">
        <w:trPr>
          <w:cantSplit/>
          <w:trHeight w:val="20"/>
          <w:jc w:val="center"/>
        </w:trPr>
        <w:tc>
          <w:tcPr>
            <w:tcW w:w="3283" w:type="pct"/>
            <w:tcBorders>
              <w:top w:val="nil"/>
              <w:left w:val="single" w:sz="4" w:space="0" w:color="auto"/>
              <w:bottom w:val="single" w:sz="4" w:space="0" w:color="auto"/>
              <w:right w:val="single" w:sz="4" w:space="0" w:color="auto"/>
            </w:tcBorders>
            <w:shd w:val="clear" w:color="auto" w:fill="auto"/>
            <w:vAlign w:val="center"/>
            <w:hideMark/>
          </w:tcPr>
          <w:p w14:paraId="6868457B" w14:textId="77777777" w:rsidR="00651B6D" w:rsidRPr="005E09BD" w:rsidRDefault="00651B6D" w:rsidP="0010115D">
            <w:pPr>
              <w:keepNext/>
              <w:keepLines/>
              <w:spacing w:after="0"/>
              <w:ind w:firstLine="0"/>
              <w:jc w:val="left"/>
              <w:rPr>
                <w:i/>
                <w:color w:val="000000"/>
                <w:sz w:val="18"/>
                <w:szCs w:val="18"/>
              </w:rPr>
            </w:pPr>
            <w:r w:rsidRPr="005E09BD">
              <w:rPr>
                <w:i/>
                <w:iCs/>
                <w:color w:val="000000"/>
                <w:sz w:val="18"/>
                <w:szCs w:val="18"/>
              </w:rPr>
              <w:t>pieaugums, salīdzinot ar likumprojektu „Par vidēja termiņa budžeta ietvaru 2021., 2022. un 2023</w:t>
            </w:r>
            <w:r>
              <w:rPr>
                <w:i/>
                <w:iCs/>
                <w:color w:val="000000"/>
                <w:sz w:val="18"/>
                <w:szCs w:val="18"/>
              </w:rPr>
              <w:t>. gad</w:t>
            </w:r>
            <w:r w:rsidRPr="005E09BD">
              <w:rPr>
                <w:i/>
                <w:iCs/>
                <w:color w:val="000000"/>
                <w:sz w:val="18"/>
                <w:szCs w:val="18"/>
              </w:rPr>
              <w:t>am”</w:t>
            </w:r>
            <w:r>
              <w:rPr>
                <w:i/>
                <w:iCs/>
                <w:color w:val="000000"/>
                <w:sz w:val="18"/>
                <w:szCs w:val="18"/>
              </w:rPr>
              <w:t>, milj.</w:t>
            </w:r>
            <w:r w:rsidRPr="005E09BD">
              <w:rPr>
                <w:i/>
                <w:iCs/>
                <w:color w:val="000000"/>
                <w:sz w:val="18"/>
                <w:szCs w:val="18"/>
              </w:rPr>
              <w:t> </w:t>
            </w:r>
            <w:r w:rsidRPr="004F46D3">
              <w:rPr>
                <w:i/>
                <w:iCs/>
                <w:color w:val="000000"/>
                <w:sz w:val="18"/>
                <w:szCs w:val="18"/>
              </w:rPr>
              <w:t>euro</w:t>
            </w:r>
          </w:p>
        </w:tc>
        <w:tc>
          <w:tcPr>
            <w:tcW w:w="368" w:type="pct"/>
            <w:tcBorders>
              <w:top w:val="nil"/>
              <w:left w:val="nil"/>
              <w:bottom w:val="single" w:sz="4" w:space="0" w:color="auto"/>
              <w:right w:val="single" w:sz="4" w:space="0" w:color="auto"/>
            </w:tcBorders>
            <w:shd w:val="clear" w:color="auto" w:fill="auto"/>
            <w:noWrap/>
          </w:tcPr>
          <w:p w14:paraId="033E6C09" w14:textId="77777777" w:rsidR="00651B6D" w:rsidRPr="005E09BD" w:rsidRDefault="00651B6D" w:rsidP="0010115D">
            <w:pPr>
              <w:keepNext/>
              <w:keepLines/>
              <w:tabs>
                <w:tab w:val="decimal" w:pos="462"/>
              </w:tabs>
              <w:spacing w:after="0"/>
              <w:ind w:firstLine="0"/>
              <w:jc w:val="right"/>
              <w:rPr>
                <w:i/>
                <w:iCs/>
                <w:color w:val="000000"/>
                <w:sz w:val="18"/>
                <w:szCs w:val="18"/>
              </w:rPr>
            </w:pPr>
            <w:r w:rsidRPr="005E09BD">
              <w:rPr>
                <w:i/>
                <w:iCs/>
                <w:sz w:val="18"/>
                <w:szCs w:val="18"/>
              </w:rPr>
              <w:t>-28,3</w:t>
            </w:r>
          </w:p>
        </w:tc>
        <w:tc>
          <w:tcPr>
            <w:tcW w:w="451" w:type="pct"/>
            <w:tcBorders>
              <w:top w:val="nil"/>
              <w:left w:val="nil"/>
              <w:bottom w:val="single" w:sz="4" w:space="0" w:color="auto"/>
              <w:right w:val="single" w:sz="4" w:space="0" w:color="auto"/>
            </w:tcBorders>
            <w:shd w:val="clear" w:color="auto" w:fill="auto"/>
            <w:noWrap/>
          </w:tcPr>
          <w:p w14:paraId="0CC33B69" w14:textId="77777777" w:rsidR="00651B6D" w:rsidRPr="005E09BD" w:rsidRDefault="00651B6D" w:rsidP="0010115D">
            <w:pPr>
              <w:keepNext/>
              <w:keepLines/>
              <w:tabs>
                <w:tab w:val="decimal" w:pos="462"/>
              </w:tabs>
              <w:spacing w:after="0"/>
              <w:ind w:firstLine="0"/>
              <w:jc w:val="right"/>
              <w:rPr>
                <w:i/>
                <w:iCs/>
                <w:color w:val="000000"/>
                <w:sz w:val="18"/>
                <w:szCs w:val="18"/>
              </w:rPr>
            </w:pPr>
            <w:r w:rsidRPr="005E09BD">
              <w:rPr>
                <w:i/>
                <w:iCs/>
                <w:sz w:val="18"/>
                <w:szCs w:val="18"/>
              </w:rPr>
              <w:t>-1,2</w:t>
            </w:r>
          </w:p>
        </w:tc>
        <w:tc>
          <w:tcPr>
            <w:tcW w:w="449" w:type="pct"/>
            <w:tcBorders>
              <w:top w:val="nil"/>
              <w:left w:val="nil"/>
              <w:bottom w:val="single" w:sz="4" w:space="0" w:color="auto"/>
              <w:right w:val="single" w:sz="4" w:space="0" w:color="auto"/>
            </w:tcBorders>
            <w:shd w:val="clear" w:color="auto" w:fill="auto"/>
            <w:noWrap/>
            <w:hideMark/>
          </w:tcPr>
          <w:p w14:paraId="38CAF015" w14:textId="77777777" w:rsidR="00651B6D" w:rsidRPr="005E09BD" w:rsidRDefault="00651B6D" w:rsidP="0010115D">
            <w:pPr>
              <w:keepNext/>
              <w:keepLines/>
              <w:tabs>
                <w:tab w:val="decimal" w:pos="462"/>
              </w:tabs>
              <w:spacing w:after="0"/>
              <w:ind w:firstLine="0"/>
              <w:jc w:val="right"/>
              <w:rPr>
                <w:i/>
                <w:iCs/>
                <w:color w:val="000000"/>
                <w:sz w:val="18"/>
                <w:szCs w:val="18"/>
              </w:rPr>
            </w:pPr>
            <w:r w:rsidRPr="005E09BD">
              <w:rPr>
                <w:i/>
                <w:iCs/>
                <w:sz w:val="18"/>
                <w:szCs w:val="18"/>
              </w:rPr>
              <w:t>0,1</w:t>
            </w:r>
          </w:p>
        </w:tc>
        <w:tc>
          <w:tcPr>
            <w:tcW w:w="449" w:type="pct"/>
            <w:tcBorders>
              <w:top w:val="nil"/>
              <w:left w:val="nil"/>
              <w:bottom w:val="single" w:sz="4" w:space="0" w:color="auto"/>
              <w:right w:val="single" w:sz="4" w:space="0" w:color="auto"/>
            </w:tcBorders>
            <w:shd w:val="clear" w:color="auto" w:fill="auto"/>
          </w:tcPr>
          <w:p w14:paraId="5C69244B" w14:textId="77777777" w:rsidR="00651B6D" w:rsidRPr="005E09BD" w:rsidRDefault="00651B6D" w:rsidP="0010115D">
            <w:pPr>
              <w:keepNext/>
              <w:keepLines/>
              <w:spacing w:after="0"/>
              <w:ind w:firstLine="0"/>
              <w:jc w:val="right"/>
              <w:rPr>
                <w:i/>
                <w:iCs/>
                <w:sz w:val="18"/>
                <w:szCs w:val="18"/>
              </w:rPr>
            </w:pPr>
            <w:r w:rsidRPr="005E09BD">
              <w:rPr>
                <w:i/>
                <w:iCs/>
                <w:sz w:val="18"/>
                <w:szCs w:val="18"/>
              </w:rPr>
              <w:t>-</w:t>
            </w:r>
          </w:p>
        </w:tc>
      </w:tr>
      <w:tr w:rsidR="00651B6D" w:rsidRPr="005E09BD" w14:paraId="408DB709" w14:textId="77777777" w:rsidTr="0010115D">
        <w:trPr>
          <w:cantSplit/>
          <w:trHeight w:val="20"/>
          <w:jc w:val="center"/>
        </w:trPr>
        <w:tc>
          <w:tcPr>
            <w:tcW w:w="3283" w:type="pct"/>
            <w:tcBorders>
              <w:top w:val="nil"/>
              <w:left w:val="single" w:sz="4" w:space="0" w:color="auto"/>
              <w:bottom w:val="single" w:sz="4" w:space="0" w:color="auto"/>
              <w:right w:val="single" w:sz="4" w:space="0" w:color="auto"/>
            </w:tcBorders>
            <w:shd w:val="clear" w:color="auto" w:fill="auto"/>
            <w:vAlign w:val="center"/>
            <w:hideMark/>
          </w:tcPr>
          <w:p w14:paraId="1238E733" w14:textId="77777777" w:rsidR="00651B6D" w:rsidRPr="005E09BD" w:rsidRDefault="00651B6D" w:rsidP="0010115D">
            <w:pPr>
              <w:keepNext/>
              <w:keepLines/>
              <w:spacing w:after="0"/>
              <w:ind w:firstLine="0"/>
              <w:jc w:val="left"/>
              <w:rPr>
                <w:i/>
                <w:color w:val="000000"/>
                <w:sz w:val="18"/>
                <w:szCs w:val="18"/>
              </w:rPr>
            </w:pPr>
            <w:r w:rsidRPr="005E09BD">
              <w:rPr>
                <w:i/>
                <w:iCs/>
                <w:color w:val="000000"/>
                <w:sz w:val="18"/>
                <w:szCs w:val="18"/>
              </w:rPr>
              <w:t>pieaugums, salīdzinot ar likumprojektu „Par vidēja termiņa budžeta ietvaru 2021., 2022. un 2023</w:t>
            </w:r>
            <w:r>
              <w:rPr>
                <w:i/>
                <w:iCs/>
                <w:color w:val="000000"/>
                <w:sz w:val="18"/>
                <w:szCs w:val="18"/>
              </w:rPr>
              <w:t>. gad</w:t>
            </w:r>
            <w:r w:rsidRPr="005E09BD">
              <w:rPr>
                <w:i/>
                <w:iCs/>
                <w:color w:val="000000"/>
                <w:sz w:val="18"/>
                <w:szCs w:val="18"/>
              </w:rPr>
              <w:t>am”, %</w:t>
            </w:r>
          </w:p>
        </w:tc>
        <w:tc>
          <w:tcPr>
            <w:tcW w:w="368" w:type="pct"/>
            <w:tcBorders>
              <w:top w:val="nil"/>
              <w:left w:val="nil"/>
              <w:bottom w:val="single" w:sz="4" w:space="0" w:color="auto"/>
              <w:right w:val="single" w:sz="4" w:space="0" w:color="auto"/>
            </w:tcBorders>
            <w:shd w:val="clear" w:color="auto" w:fill="auto"/>
            <w:noWrap/>
          </w:tcPr>
          <w:p w14:paraId="2C0A4900" w14:textId="77777777" w:rsidR="00651B6D" w:rsidRPr="005E09BD" w:rsidRDefault="00651B6D" w:rsidP="0010115D">
            <w:pPr>
              <w:keepNext/>
              <w:keepLines/>
              <w:tabs>
                <w:tab w:val="decimal" w:pos="462"/>
              </w:tabs>
              <w:spacing w:after="0"/>
              <w:ind w:firstLine="0"/>
              <w:jc w:val="right"/>
              <w:rPr>
                <w:i/>
                <w:iCs/>
                <w:color w:val="000000"/>
                <w:sz w:val="18"/>
                <w:szCs w:val="18"/>
              </w:rPr>
            </w:pPr>
            <w:r w:rsidRPr="005E09BD">
              <w:rPr>
                <w:i/>
                <w:iCs/>
                <w:sz w:val="18"/>
                <w:szCs w:val="18"/>
              </w:rPr>
              <w:t>-52,9</w:t>
            </w:r>
          </w:p>
        </w:tc>
        <w:tc>
          <w:tcPr>
            <w:tcW w:w="451" w:type="pct"/>
            <w:tcBorders>
              <w:top w:val="nil"/>
              <w:left w:val="nil"/>
              <w:bottom w:val="single" w:sz="4" w:space="0" w:color="auto"/>
              <w:right w:val="single" w:sz="4" w:space="0" w:color="auto"/>
            </w:tcBorders>
            <w:shd w:val="clear" w:color="auto" w:fill="auto"/>
            <w:noWrap/>
          </w:tcPr>
          <w:p w14:paraId="219F44B1" w14:textId="77777777" w:rsidR="00651B6D" w:rsidRPr="005E09BD" w:rsidRDefault="00651B6D" w:rsidP="0010115D">
            <w:pPr>
              <w:keepNext/>
              <w:keepLines/>
              <w:tabs>
                <w:tab w:val="decimal" w:pos="462"/>
              </w:tabs>
              <w:spacing w:after="0"/>
              <w:ind w:firstLine="0"/>
              <w:jc w:val="right"/>
              <w:rPr>
                <w:i/>
                <w:iCs/>
                <w:color w:val="000000"/>
                <w:sz w:val="18"/>
                <w:szCs w:val="18"/>
              </w:rPr>
            </w:pPr>
            <w:r w:rsidRPr="005E09BD">
              <w:rPr>
                <w:i/>
                <w:iCs/>
                <w:sz w:val="18"/>
                <w:szCs w:val="18"/>
              </w:rPr>
              <w:t>-2,5</w:t>
            </w:r>
          </w:p>
        </w:tc>
        <w:tc>
          <w:tcPr>
            <w:tcW w:w="449" w:type="pct"/>
            <w:tcBorders>
              <w:top w:val="nil"/>
              <w:left w:val="nil"/>
              <w:bottom w:val="single" w:sz="4" w:space="0" w:color="auto"/>
              <w:right w:val="single" w:sz="4" w:space="0" w:color="auto"/>
            </w:tcBorders>
            <w:shd w:val="clear" w:color="auto" w:fill="auto"/>
            <w:noWrap/>
            <w:hideMark/>
          </w:tcPr>
          <w:p w14:paraId="761AFCE9" w14:textId="77777777" w:rsidR="00651B6D" w:rsidRPr="005E09BD" w:rsidRDefault="00651B6D" w:rsidP="0010115D">
            <w:pPr>
              <w:keepNext/>
              <w:keepLines/>
              <w:tabs>
                <w:tab w:val="decimal" w:pos="462"/>
              </w:tabs>
              <w:spacing w:after="0"/>
              <w:ind w:firstLine="0"/>
              <w:jc w:val="right"/>
              <w:rPr>
                <w:i/>
                <w:iCs/>
                <w:color w:val="000000"/>
                <w:sz w:val="18"/>
                <w:szCs w:val="18"/>
              </w:rPr>
            </w:pPr>
            <w:r w:rsidRPr="005E09BD">
              <w:rPr>
                <w:i/>
                <w:iCs/>
                <w:sz w:val="18"/>
                <w:szCs w:val="18"/>
              </w:rPr>
              <w:t>0,3</w:t>
            </w:r>
          </w:p>
        </w:tc>
        <w:tc>
          <w:tcPr>
            <w:tcW w:w="449" w:type="pct"/>
            <w:tcBorders>
              <w:top w:val="nil"/>
              <w:left w:val="nil"/>
              <w:bottom w:val="single" w:sz="4" w:space="0" w:color="auto"/>
              <w:right w:val="single" w:sz="4" w:space="0" w:color="auto"/>
            </w:tcBorders>
            <w:shd w:val="clear" w:color="auto" w:fill="auto"/>
          </w:tcPr>
          <w:p w14:paraId="046562D8" w14:textId="77777777" w:rsidR="00651B6D" w:rsidRPr="005E09BD" w:rsidRDefault="00651B6D" w:rsidP="0010115D">
            <w:pPr>
              <w:keepNext/>
              <w:keepLines/>
              <w:spacing w:after="0"/>
              <w:ind w:firstLine="0"/>
              <w:jc w:val="right"/>
              <w:rPr>
                <w:i/>
                <w:iCs/>
                <w:sz w:val="18"/>
                <w:szCs w:val="18"/>
              </w:rPr>
            </w:pPr>
            <w:r w:rsidRPr="005E09BD">
              <w:rPr>
                <w:i/>
                <w:iCs/>
                <w:sz w:val="18"/>
                <w:szCs w:val="18"/>
              </w:rPr>
              <w:t>-</w:t>
            </w:r>
          </w:p>
        </w:tc>
      </w:tr>
      <w:tr w:rsidR="00651B6D" w:rsidRPr="005E09BD" w14:paraId="6A1689BC" w14:textId="77777777" w:rsidTr="0010115D">
        <w:trPr>
          <w:cantSplit/>
          <w:trHeight w:val="20"/>
          <w:jc w:val="center"/>
        </w:trPr>
        <w:tc>
          <w:tcPr>
            <w:tcW w:w="3283" w:type="pct"/>
            <w:tcBorders>
              <w:top w:val="nil"/>
              <w:left w:val="single" w:sz="4" w:space="0" w:color="auto"/>
              <w:bottom w:val="single" w:sz="4" w:space="0" w:color="auto"/>
              <w:right w:val="single" w:sz="4" w:space="0" w:color="auto"/>
            </w:tcBorders>
            <w:shd w:val="clear" w:color="auto" w:fill="auto"/>
            <w:noWrap/>
            <w:vAlign w:val="center"/>
            <w:hideMark/>
          </w:tcPr>
          <w:p w14:paraId="17B3A173" w14:textId="72E7C65C" w:rsidR="00651B6D" w:rsidRPr="005E09BD" w:rsidRDefault="0010115D" w:rsidP="0010115D">
            <w:pPr>
              <w:keepNext/>
              <w:keepLines/>
              <w:spacing w:after="0"/>
              <w:ind w:firstLine="0"/>
              <w:jc w:val="left"/>
              <w:rPr>
                <w:color w:val="000000"/>
                <w:sz w:val="18"/>
                <w:szCs w:val="18"/>
              </w:rPr>
            </w:pPr>
            <w:r>
              <w:rPr>
                <w:i/>
                <w:color w:val="000000"/>
                <w:sz w:val="18"/>
                <w:szCs w:val="18"/>
              </w:rPr>
              <w:t>% no iekšzemes kopprodukta</w:t>
            </w:r>
          </w:p>
        </w:tc>
        <w:tc>
          <w:tcPr>
            <w:tcW w:w="368" w:type="pct"/>
            <w:tcBorders>
              <w:top w:val="nil"/>
              <w:left w:val="nil"/>
              <w:bottom w:val="single" w:sz="4" w:space="0" w:color="auto"/>
              <w:right w:val="single" w:sz="4" w:space="0" w:color="auto"/>
            </w:tcBorders>
            <w:shd w:val="clear" w:color="auto" w:fill="auto"/>
            <w:noWrap/>
          </w:tcPr>
          <w:p w14:paraId="61456FB3" w14:textId="77777777" w:rsidR="00651B6D" w:rsidRPr="005E09BD" w:rsidRDefault="00651B6D" w:rsidP="0010115D">
            <w:pPr>
              <w:keepNext/>
              <w:keepLines/>
              <w:tabs>
                <w:tab w:val="decimal" w:pos="462"/>
              </w:tabs>
              <w:spacing w:after="0"/>
              <w:ind w:firstLine="0"/>
              <w:jc w:val="right"/>
              <w:rPr>
                <w:i/>
                <w:iCs/>
                <w:color w:val="000000"/>
                <w:sz w:val="18"/>
                <w:szCs w:val="18"/>
              </w:rPr>
            </w:pPr>
            <w:r w:rsidRPr="005E09BD">
              <w:rPr>
                <w:i/>
                <w:iCs/>
                <w:sz w:val="18"/>
                <w:szCs w:val="18"/>
              </w:rPr>
              <w:t>0,1</w:t>
            </w:r>
          </w:p>
        </w:tc>
        <w:tc>
          <w:tcPr>
            <w:tcW w:w="451" w:type="pct"/>
            <w:tcBorders>
              <w:top w:val="nil"/>
              <w:left w:val="nil"/>
              <w:bottom w:val="single" w:sz="4" w:space="0" w:color="auto"/>
              <w:right w:val="single" w:sz="4" w:space="0" w:color="auto"/>
            </w:tcBorders>
            <w:shd w:val="clear" w:color="auto" w:fill="auto"/>
            <w:noWrap/>
          </w:tcPr>
          <w:p w14:paraId="3FDB0556" w14:textId="77777777" w:rsidR="00651B6D" w:rsidRPr="005E09BD" w:rsidRDefault="00651B6D" w:rsidP="0010115D">
            <w:pPr>
              <w:keepNext/>
              <w:keepLines/>
              <w:tabs>
                <w:tab w:val="decimal" w:pos="462"/>
              </w:tabs>
              <w:spacing w:after="0"/>
              <w:ind w:firstLine="0"/>
              <w:jc w:val="right"/>
              <w:rPr>
                <w:i/>
                <w:iCs/>
                <w:color w:val="000000"/>
                <w:sz w:val="18"/>
                <w:szCs w:val="18"/>
              </w:rPr>
            </w:pPr>
            <w:r w:rsidRPr="005E09BD">
              <w:rPr>
                <w:i/>
                <w:iCs/>
                <w:sz w:val="18"/>
                <w:szCs w:val="18"/>
              </w:rPr>
              <w:t>0,1</w:t>
            </w:r>
          </w:p>
        </w:tc>
        <w:tc>
          <w:tcPr>
            <w:tcW w:w="449" w:type="pct"/>
            <w:tcBorders>
              <w:top w:val="nil"/>
              <w:left w:val="nil"/>
              <w:bottom w:val="single" w:sz="4" w:space="0" w:color="auto"/>
              <w:right w:val="single" w:sz="4" w:space="0" w:color="auto"/>
            </w:tcBorders>
            <w:shd w:val="clear" w:color="auto" w:fill="auto"/>
            <w:noWrap/>
          </w:tcPr>
          <w:p w14:paraId="50688FE1" w14:textId="77777777" w:rsidR="00651B6D" w:rsidRPr="005E09BD" w:rsidRDefault="00651B6D" w:rsidP="0010115D">
            <w:pPr>
              <w:keepNext/>
              <w:keepLines/>
              <w:tabs>
                <w:tab w:val="decimal" w:pos="462"/>
              </w:tabs>
              <w:spacing w:after="0"/>
              <w:ind w:firstLine="0"/>
              <w:jc w:val="right"/>
              <w:rPr>
                <w:i/>
                <w:iCs/>
                <w:color w:val="000000"/>
                <w:sz w:val="18"/>
                <w:szCs w:val="18"/>
              </w:rPr>
            </w:pPr>
            <w:r w:rsidRPr="005E09BD">
              <w:rPr>
                <w:i/>
                <w:iCs/>
                <w:sz w:val="18"/>
                <w:szCs w:val="18"/>
              </w:rPr>
              <w:t>0,1</w:t>
            </w:r>
          </w:p>
        </w:tc>
        <w:tc>
          <w:tcPr>
            <w:tcW w:w="449" w:type="pct"/>
            <w:tcBorders>
              <w:top w:val="nil"/>
              <w:left w:val="nil"/>
              <w:bottom w:val="single" w:sz="4" w:space="0" w:color="auto"/>
              <w:right w:val="single" w:sz="4" w:space="0" w:color="auto"/>
            </w:tcBorders>
          </w:tcPr>
          <w:p w14:paraId="56648A32" w14:textId="77777777" w:rsidR="00651B6D" w:rsidRPr="005E09BD" w:rsidRDefault="00651B6D" w:rsidP="0010115D">
            <w:pPr>
              <w:keepNext/>
              <w:keepLines/>
              <w:tabs>
                <w:tab w:val="decimal" w:pos="462"/>
              </w:tabs>
              <w:spacing w:after="0"/>
              <w:ind w:firstLine="0"/>
              <w:jc w:val="right"/>
              <w:rPr>
                <w:i/>
                <w:iCs/>
                <w:color w:val="000000"/>
                <w:sz w:val="18"/>
                <w:szCs w:val="18"/>
              </w:rPr>
            </w:pPr>
            <w:r w:rsidRPr="005E09BD">
              <w:rPr>
                <w:i/>
                <w:iCs/>
                <w:sz w:val="18"/>
                <w:szCs w:val="18"/>
              </w:rPr>
              <w:t>0,1</w:t>
            </w:r>
          </w:p>
        </w:tc>
      </w:tr>
    </w:tbl>
    <w:p w14:paraId="10B9478F" w14:textId="301651F8" w:rsidR="003F3FCD" w:rsidRPr="0082519F" w:rsidRDefault="00651B6D" w:rsidP="0082519F">
      <w:pPr>
        <w:spacing w:after="240"/>
        <w:ind w:left="425" w:firstLine="0"/>
        <w:jc w:val="left"/>
        <w:rPr>
          <w:sz w:val="18"/>
          <w:szCs w:val="18"/>
        </w:rPr>
      </w:pPr>
      <w:bookmarkStart w:id="86" w:name="_Hlk82440779"/>
      <w:r w:rsidRPr="00E81457">
        <w:rPr>
          <w:sz w:val="18"/>
          <w:szCs w:val="18"/>
          <w:vertAlign w:val="superscript"/>
        </w:rPr>
        <w:t>1</w:t>
      </w:r>
      <w:r w:rsidRPr="00E81457">
        <w:rPr>
          <w:sz w:val="18"/>
          <w:szCs w:val="18"/>
        </w:rPr>
        <w:t> Prognoze 22.07.2021</w:t>
      </w:r>
      <w:r>
        <w:rPr>
          <w:sz w:val="18"/>
          <w:szCs w:val="18"/>
        </w:rPr>
        <w:t>.</w:t>
      </w:r>
      <w:bookmarkEnd w:id="86"/>
    </w:p>
    <w:p w14:paraId="1E238091" w14:textId="5C2325CB" w:rsidR="003F3FCD" w:rsidRPr="001C5161" w:rsidRDefault="000548A5" w:rsidP="0010115D">
      <w:pPr>
        <w:pStyle w:val="Heading2"/>
        <w:spacing w:before="0" w:after="240"/>
        <w:jc w:val="center"/>
        <w:rPr>
          <w:rFonts w:eastAsia="Times New Roman" w:cs="Times New Roman"/>
          <w:szCs w:val="32"/>
        </w:rPr>
      </w:pPr>
      <w:bookmarkStart w:id="87" w:name="_Toc84756431"/>
      <w:r w:rsidRPr="001C5161">
        <w:rPr>
          <w:rFonts w:eastAsia="Times New Roman" w:cs="Times New Roman"/>
          <w:szCs w:val="32"/>
        </w:rPr>
        <w:t>3.3. Valsts pamatbudžeta nenodokļu ieņēmumi</w:t>
      </w:r>
      <w:bookmarkEnd w:id="87"/>
    </w:p>
    <w:p w14:paraId="64094991" w14:textId="396493BD" w:rsidR="0082519F" w:rsidRPr="0010115D" w:rsidRDefault="0082519F" w:rsidP="0010115D">
      <w:r w:rsidRPr="00D74C66">
        <w:rPr>
          <w:bCs/>
          <w:szCs w:val="24"/>
        </w:rPr>
        <w:t>Pamatbudžeta nenodokļu ieņēmumi 2021</w:t>
      </w:r>
      <w:r>
        <w:rPr>
          <w:bCs/>
          <w:szCs w:val="24"/>
        </w:rPr>
        <w:t>. gad</w:t>
      </w:r>
      <w:r w:rsidRPr="00D74C66">
        <w:rPr>
          <w:bCs/>
          <w:szCs w:val="24"/>
        </w:rPr>
        <w:t>a pirmajā pusgadā bija 411,2</w:t>
      </w:r>
      <w:r>
        <w:t> milj.</w:t>
      </w:r>
      <w:r w:rsidRPr="00D74C66">
        <w:rPr>
          <w:bCs/>
          <w:i/>
          <w:szCs w:val="24"/>
        </w:rPr>
        <w:t> </w:t>
      </w:r>
      <w:r w:rsidRPr="004F46D3">
        <w:rPr>
          <w:bCs/>
          <w:i/>
          <w:szCs w:val="24"/>
        </w:rPr>
        <w:t>euro</w:t>
      </w:r>
      <w:r w:rsidRPr="00D74C66">
        <w:rPr>
          <w:bCs/>
          <w:szCs w:val="24"/>
        </w:rPr>
        <w:t>, kas ir par 97,0</w:t>
      </w:r>
      <w:r>
        <w:rPr>
          <w:bCs/>
          <w:szCs w:val="24"/>
        </w:rPr>
        <w:t> milj.</w:t>
      </w:r>
      <w:r w:rsidRPr="00D74C66">
        <w:rPr>
          <w:bCs/>
          <w:i/>
          <w:szCs w:val="24"/>
        </w:rPr>
        <w:t> </w:t>
      </w:r>
      <w:r w:rsidRPr="004F46D3">
        <w:rPr>
          <w:bCs/>
          <w:i/>
          <w:szCs w:val="24"/>
        </w:rPr>
        <w:t>euro</w:t>
      </w:r>
      <w:r w:rsidRPr="00D74C66">
        <w:rPr>
          <w:bCs/>
          <w:szCs w:val="24"/>
        </w:rPr>
        <w:t xml:space="preserve"> jeb 30,9% vairāk kā plānots. Salīdzinot ar 2020</w:t>
      </w:r>
      <w:r>
        <w:rPr>
          <w:bCs/>
          <w:szCs w:val="24"/>
        </w:rPr>
        <w:t>. gad</w:t>
      </w:r>
      <w:r w:rsidRPr="00D74C66">
        <w:rPr>
          <w:bCs/>
          <w:szCs w:val="24"/>
        </w:rPr>
        <w:t>a sešiem mēnešiem, nenodokļu ieņēmumi ir iekasēti par 14,6</w:t>
      </w:r>
      <w:r>
        <w:rPr>
          <w:bCs/>
          <w:szCs w:val="24"/>
        </w:rPr>
        <w:t> milj.</w:t>
      </w:r>
      <w:r w:rsidRPr="00D74C66">
        <w:rPr>
          <w:bCs/>
          <w:i/>
          <w:szCs w:val="24"/>
        </w:rPr>
        <w:t> </w:t>
      </w:r>
      <w:r w:rsidRPr="004F46D3">
        <w:rPr>
          <w:bCs/>
          <w:i/>
          <w:szCs w:val="24"/>
        </w:rPr>
        <w:t>euro</w:t>
      </w:r>
      <w:r w:rsidRPr="00D74C66">
        <w:rPr>
          <w:bCs/>
          <w:szCs w:val="24"/>
        </w:rPr>
        <w:t xml:space="preserve"> jeb 3,7% vairāk.</w:t>
      </w:r>
      <w:r w:rsidR="0010115D">
        <w:t xml:space="preserve"> </w:t>
      </w:r>
      <w:r w:rsidRPr="00D74C66">
        <w:rPr>
          <w:szCs w:val="24"/>
        </w:rPr>
        <w:t xml:space="preserve">Nenodokļu ieņēmumu sešu mēnešu plāna pārpildi pamatā nodrošināja ieņēmumi no dividendēm. Plānoto </w:t>
      </w:r>
      <w:r w:rsidRPr="00D74C66">
        <w:rPr>
          <w:szCs w:val="24"/>
        </w:rPr>
        <w:lastRenderedPageBreak/>
        <w:t>186,7</w:t>
      </w:r>
      <w:r>
        <w:rPr>
          <w:szCs w:val="24"/>
        </w:rPr>
        <w:t> milj.</w:t>
      </w:r>
      <w:r w:rsidRPr="00D74C66">
        <w:rPr>
          <w:i/>
          <w:szCs w:val="24"/>
        </w:rPr>
        <w:t> </w:t>
      </w:r>
      <w:r w:rsidRPr="004F46D3">
        <w:rPr>
          <w:i/>
          <w:szCs w:val="24"/>
        </w:rPr>
        <w:t>euro</w:t>
      </w:r>
      <w:r w:rsidRPr="00D74C66">
        <w:rPr>
          <w:szCs w:val="24"/>
        </w:rPr>
        <w:t xml:space="preserve"> vietā pirmajā pusgadā ieskaitīti 227,7</w:t>
      </w:r>
      <w:r>
        <w:rPr>
          <w:szCs w:val="24"/>
        </w:rPr>
        <w:t> milj.</w:t>
      </w:r>
      <w:r w:rsidRPr="00D74C66">
        <w:rPr>
          <w:i/>
          <w:szCs w:val="24"/>
        </w:rPr>
        <w:t> </w:t>
      </w:r>
      <w:r w:rsidRPr="004F46D3">
        <w:rPr>
          <w:i/>
          <w:szCs w:val="24"/>
        </w:rPr>
        <w:t>euro</w:t>
      </w:r>
      <w:r w:rsidRPr="00D74C66">
        <w:rPr>
          <w:szCs w:val="24"/>
        </w:rPr>
        <w:t>.</w:t>
      </w:r>
      <w:r w:rsidR="0010115D" w:rsidRPr="0010115D">
        <w:rPr>
          <w:szCs w:val="24"/>
        </w:rPr>
        <w:t xml:space="preserve"> </w:t>
      </w:r>
      <w:r w:rsidRPr="00D74C66">
        <w:rPr>
          <w:szCs w:val="24"/>
        </w:rPr>
        <w:t xml:space="preserve">Tāpat nozīmīga pārpilde ir arī šādās nenodokļu pozīcijās: </w:t>
      </w:r>
    </w:p>
    <w:p w14:paraId="53583E01" w14:textId="26FD8923" w:rsidR="0082519F" w:rsidRPr="00D74C66" w:rsidRDefault="0082519F" w:rsidP="0082519F">
      <w:pPr>
        <w:numPr>
          <w:ilvl w:val="0"/>
          <w:numId w:val="16"/>
        </w:numPr>
        <w:spacing w:after="0"/>
        <w:ind w:left="1418" w:hanging="284"/>
        <w:contextualSpacing/>
      </w:pPr>
      <w:r w:rsidRPr="0082519F">
        <w:rPr>
          <w:b/>
        </w:rPr>
        <w:t>Pārējie nenodokļu ieņēmumi.</w:t>
      </w:r>
      <w:r w:rsidRPr="00D74C66">
        <w:t xml:space="preserve"> Pirmajā pusgadā plāna pārpilde ir 26,6</w:t>
      </w:r>
      <w:r>
        <w:t> milj.</w:t>
      </w:r>
      <w:r w:rsidRPr="00D74C66">
        <w:t> </w:t>
      </w:r>
      <w:r w:rsidRPr="004F46D3">
        <w:rPr>
          <w:i/>
        </w:rPr>
        <w:t>euro</w:t>
      </w:r>
      <w:r w:rsidRPr="00D74C66">
        <w:t xml:space="preserve"> jeb 2,7 reizes. Šīs pozīcijas pārpildi nodrošināja ieņēmumi no konfiscēto noziedzīgi iegūto līdzekļu realizācijas, ko budžetā ieskaitā zvērināti tiesu izpildītāji</w:t>
      </w:r>
      <w:r>
        <w:t>;</w:t>
      </w:r>
    </w:p>
    <w:p w14:paraId="7B4F8FA4" w14:textId="3BE56EE1" w:rsidR="0082519F" w:rsidRPr="00D74C66" w:rsidRDefault="0082519F" w:rsidP="0082519F">
      <w:pPr>
        <w:numPr>
          <w:ilvl w:val="0"/>
          <w:numId w:val="16"/>
        </w:numPr>
        <w:spacing w:after="0"/>
        <w:ind w:left="1418" w:hanging="284"/>
        <w:contextualSpacing/>
      </w:pPr>
      <w:r w:rsidRPr="0082519F">
        <w:rPr>
          <w:b/>
        </w:rPr>
        <w:t>Pārējie iepriekš neklasificētie finanšu ieņēmumi.</w:t>
      </w:r>
      <w:r w:rsidRPr="00D74C66">
        <w:t xml:space="preserve"> Pirmajā pusgadā izpilde bija 21,3</w:t>
      </w:r>
      <w:r>
        <w:t> milj.</w:t>
      </w:r>
      <w:r w:rsidRPr="00D74C66">
        <w:t xml:space="preserve"> </w:t>
      </w:r>
      <w:r w:rsidRPr="004F46D3">
        <w:rPr>
          <w:i/>
          <w:iCs/>
        </w:rPr>
        <w:t>euro</w:t>
      </w:r>
      <w:r w:rsidRPr="00D74C66">
        <w:t xml:space="preserve">. </w:t>
      </w:r>
      <w:r w:rsidRPr="00D74C66">
        <w:rPr>
          <w:rFonts w:eastAsia="Calibri"/>
          <w:szCs w:val="24"/>
        </w:rPr>
        <w:t xml:space="preserve">Šajā pozīcijā ienākuma netika plānoti, bet ieņēmumus ietekmēja </w:t>
      </w:r>
      <w:r w:rsidRPr="00D74C66">
        <w:rPr>
          <w:szCs w:val="24"/>
        </w:rPr>
        <w:t>ISIN papildem</w:t>
      </w:r>
      <w:r>
        <w:rPr>
          <w:szCs w:val="24"/>
        </w:rPr>
        <w:t>isijas Domestic TAP izsolē un Eiropas Komisijas</w:t>
      </w:r>
      <w:r w:rsidRPr="00D74C66">
        <w:rPr>
          <w:szCs w:val="24"/>
        </w:rPr>
        <w:t xml:space="preserve"> ai</w:t>
      </w:r>
      <w:r>
        <w:rPr>
          <w:szCs w:val="24"/>
        </w:rPr>
        <w:t>zņēmuma SURE ietvaros emitēto vērtspapīru</w:t>
      </w:r>
      <w:r w:rsidRPr="00D74C66">
        <w:rPr>
          <w:szCs w:val="24"/>
        </w:rPr>
        <w:t xml:space="preserve"> prēmija</w:t>
      </w:r>
      <w:r>
        <w:rPr>
          <w:szCs w:val="24"/>
        </w:rPr>
        <w:t>;</w:t>
      </w:r>
    </w:p>
    <w:p w14:paraId="36467A45" w14:textId="77777777" w:rsidR="0082519F" w:rsidRPr="00D74C66" w:rsidRDefault="0082519F" w:rsidP="0082519F">
      <w:pPr>
        <w:numPr>
          <w:ilvl w:val="0"/>
          <w:numId w:val="16"/>
        </w:numPr>
        <w:ind w:left="1418" w:hanging="284"/>
      </w:pPr>
      <w:r w:rsidRPr="0082519F">
        <w:rPr>
          <w:b/>
        </w:rPr>
        <w:t>Ieņēmumi no Latvijai piešķirto emisijas kvotu izsolīšanas</w:t>
      </w:r>
      <w:r w:rsidRPr="00D74C66">
        <w:t>. Pirmajā pusgadā plāna pārpilde ir 11,8</w:t>
      </w:r>
      <w:r>
        <w:t> milj.</w:t>
      </w:r>
      <w:r w:rsidRPr="00D74C66">
        <w:t> </w:t>
      </w:r>
      <w:r w:rsidRPr="004F46D3">
        <w:rPr>
          <w:i/>
        </w:rPr>
        <w:t>euro</w:t>
      </w:r>
      <w:r w:rsidRPr="00D74C66">
        <w:t xml:space="preserve"> jeb 82,0%.</w:t>
      </w:r>
    </w:p>
    <w:p w14:paraId="48CD6DED" w14:textId="77777777" w:rsidR="0082519F" w:rsidRPr="00D74C66" w:rsidRDefault="0082519F" w:rsidP="0082519F">
      <w:pPr>
        <w:keepNext/>
        <w:rPr>
          <w:szCs w:val="24"/>
        </w:rPr>
      </w:pPr>
      <w:r w:rsidRPr="00D74C66">
        <w:rPr>
          <w:szCs w:val="24"/>
        </w:rPr>
        <w:t>Tāpat ir pozīcijas, kurās šī gada pirmajā pusgadā ir būtiska neizpilde:</w:t>
      </w:r>
    </w:p>
    <w:p w14:paraId="0BFEF42B" w14:textId="77777777" w:rsidR="0082519F" w:rsidRPr="00D74C66" w:rsidRDefault="0082519F" w:rsidP="0082519F">
      <w:pPr>
        <w:numPr>
          <w:ilvl w:val="0"/>
          <w:numId w:val="16"/>
        </w:numPr>
        <w:spacing w:after="0"/>
        <w:ind w:left="1418" w:hanging="284"/>
        <w:contextualSpacing/>
      </w:pPr>
      <w:r w:rsidRPr="0082519F">
        <w:rPr>
          <w:b/>
        </w:rPr>
        <w:t>Valsts nodeva par naftas produktu drošības rezervju uzturēšanu</w:t>
      </w:r>
      <w:r w:rsidRPr="00D74C66">
        <w:rPr>
          <w:i/>
        </w:rPr>
        <w:t xml:space="preserve"> </w:t>
      </w:r>
      <w:r w:rsidRPr="00D74C66">
        <w:t>– sešu mēnešu neizpilde ir 3,0</w:t>
      </w:r>
      <w:r>
        <w:t> milj.</w:t>
      </w:r>
      <w:r w:rsidRPr="00D74C66">
        <w:t> </w:t>
      </w:r>
      <w:r w:rsidRPr="004F46D3">
        <w:rPr>
          <w:i/>
        </w:rPr>
        <w:t>euro</w:t>
      </w:r>
      <w:r w:rsidRPr="00D74C66">
        <w:t xml:space="preserve"> jeb 28,7</w:t>
      </w:r>
      <w:r>
        <w:rPr>
          <w:bCs/>
          <w:i/>
          <w:szCs w:val="24"/>
        </w:rPr>
        <w:t> procent</w:t>
      </w:r>
      <w:r w:rsidRPr="00D74C66">
        <w:t>i</w:t>
      </w:r>
      <w:r>
        <w:t>.</w:t>
      </w:r>
    </w:p>
    <w:p w14:paraId="4EE9CBA5" w14:textId="66A27877" w:rsidR="0082519F" w:rsidRPr="00D74C66" w:rsidRDefault="0082519F" w:rsidP="0082519F">
      <w:pPr>
        <w:numPr>
          <w:ilvl w:val="0"/>
          <w:numId w:val="16"/>
        </w:numPr>
        <w:ind w:left="1418" w:hanging="284"/>
      </w:pPr>
      <w:r w:rsidRPr="0082519F">
        <w:rPr>
          <w:b/>
        </w:rPr>
        <w:t xml:space="preserve">Ieņēmumi no valsts nodevas par speciālu atļauju (licenču) izsniegšanu un profesionālās kvalifikācijas atbilstības dokumentu reģistrāciju </w:t>
      </w:r>
      <w:r w:rsidRPr="00D74C66">
        <w:t>– sešu mēnešu neizpilde ir 2,6</w:t>
      </w:r>
      <w:r>
        <w:t> milj.</w:t>
      </w:r>
      <w:r w:rsidRPr="00D74C66">
        <w:t> </w:t>
      </w:r>
      <w:r w:rsidRPr="004F46D3">
        <w:rPr>
          <w:i/>
        </w:rPr>
        <w:t>euro</w:t>
      </w:r>
      <w:r w:rsidRPr="00D74C66">
        <w:t xml:space="preserve"> jeb 51,87</w:t>
      </w:r>
      <w:r>
        <w:rPr>
          <w:bCs/>
          <w:i/>
          <w:szCs w:val="24"/>
        </w:rPr>
        <w:t> procenti</w:t>
      </w:r>
      <w:r w:rsidRPr="00D74C66">
        <w:t>.</w:t>
      </w:r>
    </w:p>
    <w:p w14:paraId="7A36515B" w14:textId="77777777" w:rsidR="0082519F" w:rsidRPr="00FA2B82" w:rsidRDefault="0082519F" w:rsidP="0082519F">
      <w:pPr>
        <w:rPr>
          <w:szCs w:val="24"/>
        </w:rPr>
      </w:pPr>
      <w:r w:rsidRPr="00FA2B82">
        <w:rPr>
          <w:szCs w:val="24"/>
        </w:rPr>
        <w:t>Saskaņā ar likumprojektu „Par vidēja termiņa budžeta ietvaru 2022., 2023. un 2024</w:t>
      </w:r>
      <w:r>
        <w:rPr>
          <w:szCs w:val="24"/>
        </w:rPr>
        <w:t>. gad</w:t>
      </w:r>
      <w:r w:rsidRPr="00FA2B82">
        <w:rPr>
          <w:szCs w:val="24"/>
        </w:rPr>
        <w:t>am” 2022</w:t>
      </w:r>
      <w:r>
        <w:rPr>
          <w:szCs w:val="24"/>
        </w:rPr>
        <w:t>. gad</w:t>
      </w:r>
      <w:r w:rsidRPr="00FA2B82">
        <w:rPr>
          <w:szCs w:val="24"/>
        </w:rPr>
        <w:t>ā valsts pamatbudžeta nenodokļu ieņēmumi tiek plānoti 470,1</w:t>
      </w:r>
      <w:r>
        <w:rPr>
          <w:szCs w:val="24"/>
        </w:rPr>
        <w:t> milj. </w:t>
      </w:r>
      <w:r w:rsidRPr="004F46D3">
        <w:rPr>
          <w:i/>
          <w:iCs/>
          <w:szCs w:val="24"/>
        </w:rPr>
        <w:t>euro</w:t>
      </w:r>
      <w:r w:rsidRPr="00FA2B82">
        <w:rPr>
          <w:szCs w:val="24"/>
        </w:rPr>
        <w:t>, 2023</w:t>
      </w:r>
      <w:r>
        <w:rPr>
          <w:szCs w:val="24"/>
        </w:rPr>
        <w:t>. gad</w:t>
      </w:r>
      <w:r w:rsidRPr="00FA2B82">
        <w:rPr>
          <w:szCs w:val="24"/>
        </w:rPr>
        <w:t>ā 432,0</w:t>
      </w:r>
      <w:r>
        <w:rPr>
          <w:szCs w:val="24"/>
        </w:rPr>
        <w:t> milj. </w:t>
      </w:r>
      <w:r w:rsidRPr="004F46D3">
        <w:rPr>
          <w:i/>
          <w:iCs/>
          <w:szCs w:val="24"/>
        </w:rPr>
        <w:t>euro</w:t>
      </w:r>
      <w:r w:rsidRPr="00FA2B82">
        <w:rPr>
          <w:szCs w:val="24"/>
        </w:rPr>
        <w:t xml:space="preserve"> un 2024</w:t>
      </w:r>
      <w:r>
        <w:rPr>
          <w:szCs w:val="24"/>
        </w:rPr>
        <w:t>. gad</w:t>
      </w:r>
      <w:r w:rsidRPr="00FA2B82">
        <w:rPr>
          <w:szCs w:val="24"/>
        </w:rPr>
        <w:t>ā 391,3</w:t>
      </w:r>
      <w:r>
        <w:rPr>
          <w:szCs w:val="24"/>
        </w:rPr>
        <w:t> milj. </w:t>
      </w:r>
      <w:r w:rsidRPr="004F46D3">
        <w:rPr>
          <w:i/>
          <w:iCs/>
          <w:szCs w:val="24"/>
        </w:rPr>
        <w:t>euro</w:t>
      </w:r>
      <w:r w:rsidRPr="00FA2B82">
        <w:rPr>
          <w:szCs w:val="24"/>
        </w:rPr>
        <w:t xml:space="preserve"> apmērā.</w:t>
      </w:r>
    </w:p>
    <w:p w14:paraId="6197580E" w14:textId="3DED5585" w:rsidR="0082519F" w:rsidRDefault="0082519F" w:rsidP="0010115D">
      <w:pPr>
        <w:rPr>
          <w:szCs w:val="24"/>
        </w:rPr>
      </w:pPr>
      <w:r w:rsidRPr="0082519F">
        <w:rPr>
          <w:b/>
        </w:rPr>
        <w:t>Ieņēmumi no dividendēm</w:t>
      </w:r>
      <w:r w:rsidRPr="00AE4B7C">
        <w:t xml:space="preserve"> 2022</w:t>
      </w:r>
      <w:r>
        <w:t>. gad</w:t>
      </w:r>
      <w:r w:rsidRPr="00AE4B7C">
        <w:t>ā tiek plānoti 180,5</w:t>
      </w:r>
      <w:r>
        <w:t> milj.</w:t>
      </w:r>
      <w:r w:rsidRPr="00AE4B7C">
        <w:rPr>
          <w:i/>
        </w:rPr>
        <w:t> </w:t>
      </w:r>
      <w:r w:rsidRPr="004F46D3">
        <w:rPr>
          <w:i/>
        </w:rPr>
        <w:t>euro</w:t>
      </w:r>
      <w:r w:rsidRPr="00AE4B7C">
        <w:t>,</w:t>
      </w:r>
      <w:r>
        <w:t xml:space="preserve"> 2023. gadā 142,9 milj. </w:t>
      </w:r>
      <w:r w:rsidRPr="004F46D3">
        <w:rPr>
          <w:i/>
          <w:iCs/>
        </w:rPr>
        <w:t>euro</w:t>
      </w:r>
      <w:r>
        <w:t>, 2024. gadā 85,0 milj. </w:t>
      </w:r>
      <w:r w:rsidRPr="004F46D3">
        <w:rPr>
          <w:i/>
          <w:iCs/>
        </w:rPr>
        <w:t>euro</w:t>
      </w:r>
      <w:r>
        <w:t>.</w:t>
      </w:r>
      <w:r w:rsidRPr="00AE4B7C">
        <w:t xml:space="preserve"> Plāns veidots, </w:t>
      </w:r>
      <w:r w:rsidRPr="00AE4B7C">
        <w:rPr>
          <w:szCs w:val="24"/>
        </w:rPr>
        <w:t>pamatojoties uz lielāko valsts kapitālsabiedrību sniegtajām 2021</w:t>
      </w:r>
      <w:r>
        <w:rPr>
          <w:szCs w:val="24"/>
        </w:rPr>
        <w:t>. gad</w:t>
      </w:r>
      <w:r w:rsidRPr="00AE4B7C">
        <w:rPr>
          <w:szCs w:val="24"/>
        </w:rPr>
        <w:t>a peļņas prognozēm, kā arī saskaņā ar Ministru kabineta noteikumiem Nr.</w:t>
      </w:r>
      <w:r>
        <w:rPr>
          <w:szCs w:val="24"/>
        </w:rPr>
        <w:t xml:space="preserve"> </w:t>
      </w:r>
      <w:r w:rsidRPr="00AE4B7C">
        <w:rPr>
          <w:szCs w:val="24"/>
        </w:rPr>
        <w:t>806 “</w:t>
      </w:r>
      <w:r w:rsidRPr="00AE4B7C">
        <w:rPr>
          <w:bCs/>
          <w:szCs w:val="24"/>
        </w:rPr>
        <w:t>Kārtība, kādā valsts kapitālsabiedrības un publiski privātās kapitālsabiedrības, kurās valsts ir dalībnieks (akcionārs), prognozē un nosaka dividendēs izmaksājamo peļņas daļu un veic maksājumus valsts budžetā par valsts kapitāla izmantošanu</w:t>
      </w:r>
      <w:r w:rsidRPr="00AE4B7C">
        <w:rPr>
          <w:szCs w:val="24"/>
        </w:rPr>
        <w:t xml:space="preserve">”, kurā noteikts, ka minimālo dividendēs izmaksājamo peļņas daļu nosaka 80% apmērā no attiecīgās kapitālsabiedrības peļņas. </w:t>
      </w:r>
      <w:r w:rsidRPr="005E09BD">
        <w:rPr>
          <w:szCs w:val="24"/>
        </w:rPr>
        <w:t>Papildus tam dividenžu un nenodokļu ieņēmumus ietekmē arī Ministru kabineta atbalstīti pasākumi (skat. 3.1</w:t>
      </w:r>
      <w:r>
        <w:rPr>
          <w:szCs w:val="24"/>
        </w:rPr>
        <w:t>. sadaļu</w:t>
      </w:r>
      <w:r w:rsidRPr="005E09BD">
        <w:rPr>
          <w:szCs w:val="24"/>
        </w:rPr>
        <w:t>).</w:t>
      </w:r>
    </w:p>
    <w:p w14:paraId="061A0587" w14:textId="77777777" w:rsidR="0082519F" w:rsidRPr="005E09BD" w:rsidRDefault="0082519F" w:rsidP="0010115D">
      <w:pPr>
        <w:keepNext/>
        <w:spacing w:before="120"/>
        <w:ind w:firstLine="0"/>
        <w:jc w:val="right"/>
        <w:rPr>
          <w:b/>
          <w:i/>
          <w:szCs w:val="24"/>
        </w:rPr>
      </w:pPr>
      <w:r w:rsidRPr="005E09BD">
        <w:rPr>
          <w:b/>
          <w:i/>
          <w:szCs w:val="24"/>
        </w:rPr>
        <w:t>3.1</w:t>
      </w:r>
      <w:r>
        <w:rPr>
          <w:b/>
          <w:i/>
          <w:szCs w:val="24"/>
        </w:rPr>
        <w:t>6. tab</w:t>
      </w:r>
      <w:r w:rsidRPr="005E09BD">
        <w:rPr>
          <w:b/>
          <w:i/>
          <w:szCs w:val="24"/>
        </w:rPr>
        <w:t>ula. Valsts pamatbudžeta nenodokļu ieņēmumi</w:t>
      </w:r>
    </w:p>
    <w:tbl>
      <w:tblPr>
        <w:tblW w:w="5000" w:type="pct"/>
        <w:jc w:val="center"/>
        <w:tblLook w:val="04A0" w:firstRow="1" w:lastRow="0" w:firstColumn="1" w:lastColumn="0" w:noHBand="0" w:noVBand="1"/>
      </w:tblPr>
      <w:tblGrid>
        <w:gridCol w:w="5301"/>
        <w:gridCol w:w="874"/>
        <w:gridCol w:w="848"/>
        <w:gridCol w:w="1224"/>
        <w:gridCol w:w="814"/>
      </w:tblGrid>
      <w:tr w:rsidR="0082519F" w:rsidRPr="005E09BD" w14:paraId="6A230038" w14:textId="77777777" w:rsidTr="0010115D">
        <w:trPr>
          <w:trHeight w:val="144"/>
          <w:tblHeader/>
          <w:jc w:val="center"/>
        </w:trPr>
        <w:tc>
          <w:tcPr>
            <w:tcW w:w="2960" w:type="pct"/>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2F52C9DC" w14:textId="77777777" w:rsidR="0082519F" w:rsidRPr="005E09BD" w:rsidRDefault="0082519F" w:rsidP="0010115D">
            <w:pPr>
              <w:keepNext/>
              <w:spacing w:after="0"/>
              <w:ind w:firstLine="0"/>
              <w:jc w:val="center"/>
              <w:rPr>
                <w:color w:val="000000"/>
                <w:sz w:val="18"/>
                <w:szCs w:val="18"/>
              </w:rPr>
            </w:pPr>
          </w:p>
        </w:tc>
        <w:tc>
          <w:tcPr>
            <w:tcW w:w="510" w:type="pct"/>
            <w:tcBorders>
              <w:top w:val="single" w:sz="4" w:space="0" w:color="auto"/>
              <w:left w:val="nil"/>
              <w:bottom w:val="single" w:sz="4" w:space="0" w:color="auto"/>
              <w:right w:val="single" w:sz="4" w:space="0" w:color="000000"/>
            </w:tcBorders>
            <w:shd w:val="clear" w:color="auto" w:fill="9CC2E5" w:themeFill="accent1" w:themeFillTint="99"/>
            <w:vAlign w:val="center"/>
          </w:tcPr>
          <w:p w14:paraId="1616D125" w14:textId="77777777" w:rsidR="0082519F" w:rsidRPr="005E09BD" w:rsidRDefault="0082519F" w:rsidP="0010115D">
            <w:pPr>
              <w:keepNext/>
              <w:spacing w:after="0"/>
              <w:ind w:firstLine="0"/>
              <w:jc w:val="center"/>
              <w:rPr>
                <w:b/>
                <w:color w:val="000000"/>
                <w:sz w:val="18"/>
                <w:szCs w:val="18"/>
              </w:rPr>
            </w:pPr>
            <w:r w:rsidRPr="005E09BD">
              <w:rPr>
                <w:b/>
                <w:color w:val="000000"/>
                <w:sz w:val="18"/>
                <w:szCs w:val="18"/>
              </w:rPr>
              <w:t>2021</w:t>
            </w:r>
          </w:p>
        </w:tc>
        <w:tc>
          <w:tcPr>
            <w:tcW w:w="510" w:type="pct"/>
            <w:tcBorders>
              <w:top w:val="single" w:sz="4" w:space="0" w:color="auto"/>
              <w:left w:val="nil"/>
              <w:bottom w:val="single" w:sz="4" w:space="0" w:color="auto"/>
              <w:right w:val="single" w:sz="4" w:space="0" w:color="000000"/>
            </w:tcBorders>
            <w:shd w:val="clear" w:color="auto" w:fill="9CC2E5" w:themeFill="accent1" w:themeFillTint="99"/>
            <w:vAlign w:val="center"/>
          </w:tcPr>
          <w:p w14:paraId="04623237" w14:textId="77777777" w:rsidR="0082519F" w:rsidRPr="005E09BD" w:rsidRDefault="0082519F" w:rsidP="0010115D">
            <w:pPr>
              <w:keepNext/>
              <w:spacing w:after="0"/>
              <w:ind w:firstLine="0"/>
              <w:jc w:val="center"/>
              <w:rPr>
                <w:b/>
                <w:color w:val="000000"/>
                <w:sz w:val="18"/>
                <w:szCs w:val="18"/>
              </w:rPr>
            </w:pPr>
            <w:r w:rsidRPr="005E09BD">
              <w:rPr>
                <w:b/>
                <w:color w:val="000000"/>
                <w:sz w:val="18"/>
                <w:szCs w:val="18"/>
              </w:rPr>
              <w:t>2022</w:t>
            </w:r>
          </w:p>
        </w:tc>
        <w:tc>
          <w:tcPr>
            <w:tcW w:w="710" w:type="pct"/>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62D1D2E" w14:textId="77777777" w:rsidR="0082519F" w:rsidRPr="005E09BD" w:rsidRDefault="0082519F" w:rsidP="0010115D">
            <w:pPr>
              <w:keepNext/>
              <w:spacing w:after="0"/>
              <w:ind w:firstLine="0"/>
              <w:jc w:val="center"/>
              <w:rPr>
                <w:b/>
                <w:color w:val="000000"/>
                <w:sz w:val="18"/>
                <w:szCs w:val="18"/>
              </w:rPr>
            </w:pPr>
            <w:r w:rsidRPr="005E09BD">
              <w:rPr>
                <w:b/>
                <w:color w:val="000000"/>
                <w:sz w:val="18"/>
                <w:szCs w:val="18"/>
              </w:rPr>
              <w:t>2023</w:t>
            </w:r>
          </w:p>
        </w:tc>
        <w:tc>
          <w:tcPr>
            <w:tcW w:w="310" w:type="pct"/>
            <w:tcBorders>
              <w:top w:val="single" w:sz="4" w:space="0" w:color="auto"/>
              <w:left w:val="nil"/>
              <w:bottom w:val="single" w:sz="4" w:space="0" w:color="auto"/>
              <w:right w:val="single" w:sz="4" w:space="0" w:color="auto"/>
            </w:tcBorders>
            <w:shd w:val="clear" w:color="auto" w:fill="9CC2E5" w:themeFill="accent1" w:themeFillTint="99"/>
          </w:tcPr>
          <w:p w14:paraId="4BC54633" w14:textId="77777777" w:rsidR="0082519F" w:rsidRPr="005E09BD" w:rsidRDefault="0082519F" w:rsidP="0010115D">
            <w:pPr>
              <w:keepNext/>
              <w:spacing w:after="0"/>
              <w:ind w:firstLine="0"/>
              <w:jc w:val="center"/>
              <w:rPr>
                <w:b/>
                <w:color w:val="000000"/>
                <w:sz w:val="18"/>
                <w:szCs w:val="18"/>
              </w:rPr>
            </w:pPr>
            <w:r w:rsidRPr="005E09BD">
              <w:rPr>
                <w:b/>
                <w:color w:val="000000"/>
                <w:sz w:val="18"/>
                <w:szCs w:val="18"/>
              </w:rPr>
              <w:t>2024</w:t>
            </w:r>
          </w:p>
        </w:tc>
      </w:tr>
      <w:tr w:rsidR="0082519F" w:rsidRPr="005E09BD" w14:paraId="0699665C" w14:textId="77777777" w:rsidTr="0010115D">
        <w:trPr>
          <w:trHeight w:val="136"/>
          <w:jc w:val="center"/>
        </w:trPr>
        <w:tc>
          <w:tcPr>
            <w:tcW w:w="2960" w:type="pct"/>
            <w:tcBorders>
              <w:top w:val="nil"/>
              <w:left w:val="single" w:sz="4" w:space="0" w:color="auto"/>
              <w:bottom w:val="single" w:sz="4" w:space="0" w:color="auto"/>
              <w:right w:val="single" w:sz="4" w:space="0" w:color="auto"/>
            </w:tcBorders>
            <w:shd w:val="clear" w:color="auto" w:fill="auto"/>
            <w:vAlign w:val="center"/>
            <w:hideMark/>
          </w:tcPr>
          <w:p w14:paraId="5BCC618C" w14:textId="77777777" w:rsidR="0082519F" w:rsidRPr="002B0551" w:rsidRDefault="0082519F" w:rsidP="0010115D">
            <w:pPr>
              <w:keepNext/>
              <w:spacing w:after="0"/>
              <w:ind w:firstLine="0"/>
              <w:jc w:val="left"/>
              <w:rPr>
                <w:color w:val="000000"/>
                <w:sz w:val="18"/>
                <w:szCs w:val="18"/>
              </w:rPr>
            </w:pPr>
            <w:r w:rsidRPr="002B0551">
              <w:rPr>
                <w:color w:val="000000"/>
                <w:sz w:val="18"/>
                <w:szCs w:val="18"/>
              </w:rPr>
              <w:t>Saskaņā ar likumprojektu „Par vidēja termiņa budžeta ietvaru 2022., 2023. un 2024</w:t>
            </w:r>
            <w:r>
              <w:rPr>
                <w:color w:val="000000"/>
                <w:sz w:val="18"/>
                <w:szCs w:val="18"/>
              </w:rPr>
              <w:t>. gad</w:t>
            </w:r>
            <w:r w:rsidRPr="002B0551">
              <w:rPr>
                <w:color w:val="000000"/>
                <w:sz w:val="18"/>
                <w:szCs w:val="18"/>
              </w:rPr>
              <w:t>am”</w:t>
            </w:r>
            <w:r>
              <w:rPr>
                <w:color w:val="000000"/>
                <w:sz w:val="18"/>
                <w:szCs w:val="18"/>
              </w:rPr>
              <w:t>, milj.</w:t>
            </w:r>
            <w:r w:rsidRPr="002B0551">
              <w:rPr>
                <w:i/>
                <w:color w:val="000000"/>
                <w:sz w:val="18"/>
                <w:szCs w:val="18"/>
              </w:rPr>
              <w:t> </w:t>
            </w:r>
            <w:r w:rsidRPr="004F46D3">
              <w:rPr>
                <w:i/>
                <w:color w:val="000000"/>
                <w:sz w:val="18"/>
                <w:szCs w:val="18"/>
              </w:rPr>
              <w:t>euro</w:t>
            </w:r>
          </w:p>
        </w:tc>
        <w:tc>
          <w:tcPr>
            <w:tcW w:w="510" w:type="pct"/>
            <w:tcBorders>
              <w:top w:val="nil"/>
              <w:left w:val="nil"/>
              <w:bottom w:val="single" w:sz="4" w:space="0" w:color="auto"/>
              <w:right w:val="single" w:sz="4" w:space="0" w:color="auto"/>
            </w:tcBorders>
            <w:shd w:val="clear" w:color="auto" w:fill="auto"/>
            <w:noWrap/>
          </w:tcPr>
          <w:p w14:paraId="4AC725B4" w14:textId="77777777" w:rsidR="0082519F" w:rsidRPr="002B0551" w:rsidRDefault="0082519F" w:rsidP="0010115D">
            <w:pPr>
              <w:keepNext/>
              <w:tabs>
                <w:tab w:val="decimal" w:pos="462"/>
              </w:tabs>
              <w:spacing w:after="0"/>
              <w:ind w:firstLine="0"/>
              <w:jc w:val="right"/>
              <w:rPr>
                <w:color w:val="000000"/>
                <w:sz w:val="18"/>
                <w:szCs w:val="18"/>
              </w:rPr>
            </w:pPr>
            <w:r w:rsidRPr="002B0551">
              <w:rPr>
                <w:color w:val="000000"/>
                <w:sz w:val="18"/>
                <w:szCs w:val="18"/>
              </w:rPr>
              <w:t>536,0</w:t>
            </w:r>
            <w:r w:rsidRPr="002B0551">
              <w:rPr>
                <w:color w:val="000000"/>
                <w:sz w:val="18"/>
                <w:szCs w:val="18"/>
                <w:vertAlign w:val="superscript"/>
              </w:rPr>
              <w:t>1</w:t>
            </w:r>
          </w:p>
        </w:tc>
        <w:tc>
          <w:tcPr>
            <w:tcW w:w="510" w:type="pct"/>
            <w:tcBorders>
              <w:top w:val="nil"/>
              <w:left w:val="nil"/>
              <w:bottom w:val="single" w:sz="4" w:space="0" w:color="auto"/>
              <w:right w:val="single" w:sz="4" w:space="0" w:color="auto"/>
            </w:tcBorders>
            <w:shd w:val="clear" w:color="auto" w:fill="auto"/>
            <w:noWrap/>
          </w:tcPr>
          <w:p w14:paraId="54FE4F2B" w14:textId="77777777" w:rsidR="0082519F" w:rsidRPr="002B0551" w:rsidRDefault="0082519F" w:rsidP="0010115D">
            <w:pPr>
              <w:keepNext/>
              <w:tabs>
                <w:tab w:val="decimal" w:pos="462"/>
              </w:tabs>
              <w:spacing w:after="0"/>
              <w:ind w:firstLine="0"/>
              <w:jc w:val="right"/>
              <w:rPr>
                <w:color w:val="000000"/>
                <w:sz w:val="18"/>
                <w:szCs w:val="18"/>
              </w:rPr>
            </w:pPr>
            <w:r w:rsidRPr="002B0551">
              <w:rPr>
                <w:color w:val="000000"/>
                <w:sz w:val="18"/>
                <w:szCs w:val="18"/>
              </w:rPr>
              <w:t>470,1</w:t>
            </w:r>
          </w:p>
        </w:tc>
        <w:tc>
          <w:tcPr>
            <w:tcW w:w="710" w:type="pct"/>
            <w:tcBorders>
              <w:top w:val="nil"/>
              <w:left w:val="nil"/>
              <w:bottom w:val="single" w:sz="4" w:space="0" w:color="auto"/>
              <w:right w:val="single" w:sz="4" w:space="0" w:color="auto"/>
            </w:tcBorders>
            <w:shd w:val="clear" w:color="auto" w:fill="auto"/>
            <w:noWrap/>
          </w:tcPr>
          <w:p w14:paraId="3B300A39" w14:textId="77777777" w:rsidR="0082519F" w:rsidRPr="002B0551" w:rsidRDefault="0082519F" w:rsidP="0010115D">
            <w:pPr>
              <w:keepNext/>
              <w:tabs>
                <w:tab w:val="decimal" w:pos="462"/>
              </w:tabs>
              <w:spacing w:after="0"/>
              <w:ind w:firstLine="0"/>
              <w:jc w:val="right"/>
              <w:rPr>
                <w:color w:val="000000"/>
                <w:sz w:val="18"/>
                <w:szCs w:val="18"/>
              </w:rPr>
            </w:pPr>
            <w:r w:rsidRPr="002B0551">
              <w:rPr>
                <w:color w:val="000000"/>
                <w:sz w:val="18"/>
                <w:szCs w:val="18"/>
              </w:rPr>
              <w:t>432,0</w:t>
            </w:r>
          </w:p>
        </w:tc>
        <w:tc>
          <w:tcPr>
            <w:tcW w:w="310" w:type="pct"/>
            <w:tcBorders>
              <w:top w:val="nil"/>
              <w:left w:val="nil"/>
              <w:bottom w:val="single" w:sz="4" w:space="0" w:color="auto"/>
              <w:right w:val="single" w:sz="4" w:space="0" w:color="auto"/>
            </w:tcBorders>
          </w:tcPr>
          <w:p w14:paraId="3D05123C" w14:textId="77777777" w:rsidR="0082519F" w:rsidRPr="002B0551" w:rsidRDefault="0082519F" w:rsidP="0010115D">
            <w:pPr>
              <w:keepNext/>
              <w:tabs>
                <w:tab w:val="decimal" w:pos="462"/>
              </w:tabs>
              <w:spacing w:after="0"/>
              <w:ind w:firstLine="0"/>
              <w:jc w:val="right"/>
              <w:rPr>
                <w:color w:val="000000"/>
                <w:sz w:val="18"/>
                <w:szCs w:val="18"/>
                <w:highlight w:val="yellow"/>
              </w:rPr>
            </w:pPr>
            <w:r w:rsidRPr="002B0551">
              <w:rPr>
                <w:color w:val="000000"/>
                <w:sz w:val="18"/>
                <w:szCs w:val="18"/>
              </w:rPr>
              <w:t>391,3</w:t>
            </w:r>
          </w:p>
        </w:tc>
      </w:tr>
      <w:tr w:rsidR="0082519F" w:rsidRPr="005E09BD" w14:paraId="4632B4C9" w14:textId="77777777" w:rsidTr="0010115D">
        <w:trPr>
          <w:trHeight w:val="338"/>
          <w:jc w:val="center"/>
        </w:trPr>
        <w:tc>
          <w:tcPr>
            <w:tcW w:w="2960" w:type="pct"/>
            <w:tcBorders>
              <w:top w:val="nil"/>
              <w:left w:val="single" w:sz="4" w:space="0" w:color="auto"/>
              <w:bottom w:val="single" w:sz="4" w:space="0" w:color="auto"/>
              <w:right w:val="single" w:sz="4" w:space="0" w:color="auto"/>
            </w:tcBorders>
            <w:shd w:val="clear" w:color="auto" w:fill="auto"/>
            <w:vAlign w:val="center"/>
          </w:tcPr>
          <w:p w14:paraId="45F893BD" w14:textId="77777777" w:rsidR="0082519F" w:rsidRPr="002B0551" w:rsidRDefault="0082519F" w:rsidP="0010115D">
            <w:pPr>
              <w:keepNext/>
              <w:spacing w:after="0"/>
              <w:ind w:firstLine="0"/>
              <w:jc w:val="left"/>
              <w:rPr>
                <w:i/>
                <w:sz w:val="18"/>
                <w:szCs w:val="18"/>
              </w:rPr>
            </w:pPr>
            <w:r w:rsidRPr="002B0551">
              <w:rPr>
                <w:color w:val="000000"/>
                <w:sz w:val="18"/>
                <w:szCs w:val="18"/>
              </w:rPr>
              <w:t>S</w:t>
            </w:r>
            <w:r w:rsidRPr="002B0551">
              <w:rPr>
                <w:sz w:val="18"/>
                <w:szCs w:val="18"/>
              </w:rPr>
              <w:t>askaņā ar likumu „Par vidēja termiņa budžeta ietvaru 2021., 2022. un 2023</w:t>
            </w:r>
            <w:r>
              <w:rPr>
                <w:sz w:val="18"/>
                <w:szCs w:val="18"/>
              </w:rPr>
              <w:t>. gad</w:t>
            </w:r>
            <w:r w:rsidRPr="002B0551">
              <w:rPr>
                <w:sz w:val="18"/>
                <w:szCs w:val="18"/>
              </w:rPr>
              <w:t>am”</w:t>
            </w:r>
            <w:r>
              <w:rPr>
                <w:color w:val="000000"/>
                <w:sz w:val="18"/>
                <w:szCs w:val="18"/>
              </w:rPr>
              <w:t>, milj.</w:t>
            </w:r>
            <w:r w:rsidRPr="002B0551">
              <w:rPr>
                <w:i/>
                <w:color w:val="000000"/>
                <w:sz w:val="18"/>
                <w:szCs w:val="18"/>
              </w:rPr>
              <w:t> </w:t>
            </w:r>
            <w:r w:rsidRPr="004F46D3">
              <w:rPr>
                <w:i/>
                <w:color w:val="000000"/>
                <w:sz w:val="18"/>
                <w:szCs w:val="18"/>
              </w:rPr>
              <w:t>euro</w:t>
            </w:r>
          </w:p>
        </w:tc>
        <w:tc>
          <w:tcPr>
            <w:tcW w:w="510" w:type="pct"/>
            <w:tcBorders>
              <w:top w:val="nil"/>
              <w:left w:val="nil"/>
              <w:bottom w:val="single" w:sz="4" w:space="0" w:color="auto"/>
              <w:right w:val="single" w:sz="4" w:space="0" w:color="auto"/>
            </w:tcBorders>
            <w:shd w:val="clear" w:color="auto" w:fill="auto"/>
            <w:noWrap/>
          </w:tcPr>
          <w:p w14:paraId="6C489BF7" w14:textId="77777777" w:rsidR="0082519F" w:rsidRPr="002B0551" w:rsidRDefault="0082519F" w:rsidP="0010115D">
            <w:pPr>
              <w:keepNext/>
              <w:tabs>
                <w:tab w:val="decimal" w:pos="462"/>
              </w:tabs>
              <w:spacing w:after="0"/>
              <w:ind w:firstLine="0"/>
              <w:jc w:val="right"/>
              <w:rPr>
                <w:color w:val="000000"/>
                <w:sz w:val="18"/>
                <w:szCs w:val="18"/>
              </w:rPr>
            </w:pPr>
            <w:r w:rsidRPr="002B0551">
              <w:rPr>
                <w:color w:val="000000"/>
                <w:sz w:val="18"/>
                <w:szCs w:val="18"/>
              </w:rPr>
              <w:t>452,7</w:t>
            </w:r>
          </w:p>
        </w:tc>
        <w:tc>
          <w:tcPr>
            <w:tcW w:w="510" w:type="pct"/>
            <w:tcBorders>
              <w:top w:val="nil"/>
              <w:left w:val="nil"/>
              <w:bottom w:val="single" w:sz="4" w:space="0" w:color="auto"/>
              <w:right w:val="single" w:sz="4" w:space="0" w:color="auto"/>
            </w:tcBorders>
            <w:shd w:val="clear" w:color="auto" w:fill="auto"/>
            <w:noWrap/>
          </w:tcPr>
          <w:p w14:paraId="3894388F" w14:textId="77777777" w:rsidR="0082519F" w:rsidRPr="002B0551" w:rsidRDefault="0082519F" w:rsidP="0010115D">
            <w:pPr>
              <w:keepNext/>
              <w:tabs>
                <w:tab w:val="decimal" w:pos="462"/>
              </w:tabs>
              <w:spacing w:after="0"/>
              <w:ind w:firstLine="0"/>
              <w:jc w:val="right"/>
              <w:rPr>
                <w:color w:val="000000"/>
                <w:sz w:val="18"/>
                <w:szCs w:val="18"/>
              </w:rPr>
            </w:pPr>
            <w:r w:rsidRPr="002B0551">
              <w:rPr>
                <w:color w:val="000000"/>
                <w:sz w:val="18"/>
                <w:szCs w:val="18"/>
              </w:rPr>
              <w:t>416,7</w:t>
            </w:r>
          </w:p>
        </w:tc>
        <w:tc>
          <w:tcPr>
            <w:tcW w:w="710" w:type="pct"/>
            <w:tcBorders>
              <w:top w:val="nil"/>
              <w:left w:val="nil"/>
              <w:bottom w:val="single" w:sz="4" w:space="0" w:color="auto"/>
              <w:right w:val="single" w:sz="4" w:space="0" w:color="auto"/>
            </w:tcBorders>
            <w:shd w:val="clear" w:color="auto" w:fill="auto"/>
            <w:noWrap/>
          </w:tcPr>
          <w:p w14:paraId="294A9A18" w14:textId="77777777" w:rsidR="0082519F" w:rsidRPr="002B0551" w:rsidRDefault="0082519F" w:rsidP="0010115D">
            <w:pPr>
              <w:keepNext/>
              <w:tabs>
                <w:tab w:val="decimal" w:pos="462"/>
              </w:tabs>
              <w:spacing w:after="0"/>
              <w:ind w:firstLine="0"/>
              <w:jc w:val="right"/>
              <w:rPr>
                <w:color w:val="000000"/>
                <w:sz w:val="18"/>
                <w:szCs w:val="18"/>
              </w:rPr>
            </w:pPr>
            <w:r w:rsidRPr="002B0551">
              <w:rPr>
                <w:color w:val="000000"/>
                <w:sz w:val="18"/>
                <w:szCs w:val="18"/>
              </w:rPr>
              <w:t>406,5</w:t>
            </w:r>
          </w:p>
        </w:tc>
        <w:tc>
          <w:tcPr>
            <w:tcW w:w="310" w:type="pct"/>
            <w:tcBorders>
              <w:top w:val="nil"/>
              <w:left w:val="nil"/>
              <w:bottom w:val="single" w:sz="4" w:space="0" w:color="auto"/>
              <w:right w:val="single" w:sz="4" w:space="0" w:color="auto"/>
            </w:tcBorders>
          </w:tcPr>
          <w:p w14:paraId="2E0663E3" w14:textId="77777777" w:rsidR="0082519F" w:rsidRPr="002B0551" w:rsidRDefault="0082519F" w:rsidP="0010115D">
            <w:pPr>
              <w:keepNext/>
              <w:spacing w:after="0"/>
              <w:ind w:firstLine="0"/>
              <w:jc w:val="right"/>
              <w:rPr>
                <w:sz w:val="18"/>
                <w:szCs w:val="18"/>
              </w:rPr>
            </w:pPr>
            <w:r w:rsidRPr="002B0551">
              <w:rPr>
                <w:sz w:val="18"/>
                <w:szCs w:val="18"/>
              </w:rPr>
              <w:t>-</w:t>
            </w:r>
          </w:p>
        </w:tc>
      </w:tr>
      <w:tr w:rsidR="0082519F" w:rsidRPr="005E09BD" w14:paraId="247179D5" w14:textId="77777777" w:rsidTr="0010115D">
        <w:trPr>
          <w:trHeight w:val="338"/>
          <w:jc w:val="center"/>
        </w:trPr>
        <w:tc>
          <w:tcPr>
            <w:tcW w:w="2960" w:type="pct"/>
            <w:tcBorders>
              <w:top w:val="nil"/>
              <w:left w:val="single" w:sz="4" w:space="0" w:color="auto"/>
              <w:bottom w:val="single" w:sz="4" w:space="0" w:color="auto"/>
              <w:right w:val="single" w:sz="4" w:space="0" w:color="auto"/>
            </w:tcBorders>
            <w:shd w:val="clear" w:color="auto" w:fill="auto"/>
            <w:vAlign w:val="center"/>
            <w:hideMark/>
          </w:tcPr>
          <w:p w14:paraId="224E5B23" w14:textId="77777777" w:rsidR="0082519F" w:rsidRPr="005E09BD" w:rsidRDefault="0082519F" w:rsidP="0010115D">
            <w:pPr>
              <w:keepNext/>
              <w:spacing w:after="0"/>
              <w:ind w:firstLine="0"/>
              <w:jc w:val="left"/>
              <w:rPr>
                <w:i/>
                <w:color w:val="000000"/>
                <w:sz w:val="18"/>
                <w:szCs w:val="18"/>
              </w:rPr>
            </w:pPr>
            <w:r w:rsidRPr="005E09BD">
              <w:rPr>
                <w:i/>
                <w:color w:val="000000"/>
                <w:sz w:val="18"/>
                <w:szCs w:val="18"/>
              </w:rPr>
              <w:t>pieaugums, salīdzinot ar likumu „Par vidēja termiņa budžeta ietvaru 2021., 2022 un 2023</w:t>
            </w:r>
            <w:r>
              <w:rPr>
                <w:i/>
                <w:color w:val="000000"/>
                <w:sz w:val="18"/>
                <w:szCs w:val="18"/>
              </w:rPr>
              <w:t>. gad</w:t>
            </w:r>
            <w:r w:rsidRPr="005E09BD">
              <w:rPr>
                <w:i/>
                <w:color w:val="000000"/>
                <w:sz w:val="18"/>
                <w:szCs w:val="18"/>
              </w:rPr>
              <w:t>am”</w:t>
            </w:r>
            <w:r>
              <w:rPr>
                <w:i/>
                <w:color w:val="000000"/>
                <w:sz w:val="18"/>
                <w:szCs w:val="18"/>
              </w:rPr>
              <w:t>, milj.</w:t>
            </w:r>
            <w:r w:rsidRPr="005E09BD">
              <w:rPr>
                <w:i/>
                <w:color w:val="000000"/>
                <w:sz w:val="18"/>
                <w:szCs w:val="18"/>
              </w:rPr>
              <w:t> </w:t>
            </w:r>
            <w:r w:rsidRPr="004F46D3">
              <w:rPr>
                <w:i/>
                <w:color w:val="000000"/>
                <w:sz w:val="18"/>
                <w:szCs w:val="18"/>
              </w:rPr>
              <w:t>euro</w:t>
            </w:r>
          </w:p>
        </w:tc>
        <w:tc>
          <w:tcPr>
            <w:tcW w:w="510" w:type="pct"/>
            <w:tcBorders>
              <w:top w:val="nil"/>
              <w:left w:val="nil"/>
              <w:bottom w:val="single" w:sz="4" w:space="0" w:color="auto"/>
              <w:right w:val="single" w:sz="4" w:space="0" w:color="auto"/>
            </w:tcBorders>
            <w:shd w:val="clear" w:color="auto" w:fill="auto"/>
            <w:noWrap/>
          </w:tcPr>
          <w:p w14:paraId="330B1892" w14:textId="77777777" w:rsidR="0082519F" w:rsidRPr="005E09BD" w:rsidRDefault="0082519F" w:rsidP="0010115D">
            <w:pPr>
              <w:keepNext/>
              <w:tabs>
                <w:tab w:val="decimal" w:pos="462"/>
              </w:tabs>
              <w:spacing w:after="0"/>
              <w:ind w:firstLine="0"/>
              <w:jc w:val="right"/>
              <w:rPr>
                <w:i/>
                <w:color w:val="000000"/>
                <w:sz w:val="18"/>
                <w:szCs w:val="18"/>
              </w:rPr>
            </w:pPr>
            <w:r w:rsidRPr="005E09BD">
              <w:rPr>
                <w:i/>
                <w:color w:val="000000"/>
                <w:sz w:val="18"/>
                <w:szCs w:val="18"/>
              </w:rPr>
              <w:t>83,3</w:t>
            </w:r>
          </w:p>
        </w:tc>
        <w:tc>
          <w:tcPr>
            <w:tcW w:w="510" w:type="pct"/>
            <w:tcBorders>
              <w:top w:val="nil"/>
              <w:left w:val="nil"/>
              <w:bottom w:val="single" w:sz="4" w:space="0" w:color="auto"/>
              <w:right w:val="single" w:sz="4" w:space="0" w:color="auto"/>
            </w:tcBorders>
            <w:shd w:val="clear" w:color="auto" w:fill="auto"/>
            <w:noWrap/>
          </w:tcPr>
          <w:p w14:paraId="4BBA5E1F" w14:textId="77777777" w:rsidR="0082519F" w:rsidRPr="005E09BD" w:rsidRDefault="0082519F" w:rsidP="0010115D">
            <w:pPr>
              <w:keepNext/>
              <w:tabs>
                <w:tab w:val="decimal" w:pos="462"/>
              </w:tabs>
              <w:spacing w:after="0"/>
              <w:ind w:firstLine="0"/>
              <w:jc w:val="right"/>
              <w:rPr>
                <w:i/>
                <w:color w:val="000000"/>
                <w:sz w:val="18"/>
                <w:szCs w:val="18"/>
              </w:rPr>
            </w:pPr>
            <w:r w:rsidRPr="005E09BD">
              <w:rPr>
                <w:i/>
                <w:color w:val="000000"/>
                <w:sz w:val="18"/>
                <w:szCs w:val="18"/>
              </w:rPr>
              <w:t>53,4</w:t>
            </w:r>
          </w:p>
        </w:tc>
        <w:tc>
          <w:tcPr>
            <w:tcW w:w="710" w:type="pct"/>
            <w:tcBorders>
              <w:top w:val="nil"/>
              <w:left w:val="nil"/>
              <w:bottom w:val="single" w:sz="4" w:space="0" w:color="auto"/>
              <w:right w:val="single" w:sz="4" w:space="0" w:color="auto"/>
            </w:tcBorders>
            <w:shd w:val="clear" w:color="auto" w:fill="auto"/>
            <w:noWrap/>
          </w:tcPr>
          <w:p w14:paraId="47B9B73C" w14:textId="77777777" w:rsidR="0082519F" w:rsidRPr="005E09BD" w:rsidRDefault="0082519F" w:rsidP="0010115D">
            <w:pPr>
              <w:keepNext/>
              <w:tabs>
                <w:tab w:val="decimal" w:pos="462"/>
              </w:tabs>
              <w:spacing w:after="0"/>
              <w:ind w:firstLine="0"/>
              <w:jc w:val="right"/>
              <w:rPr>
                <w:i/>
                <w:color w:val="000000"/>
                <w:sz w:val="18"/>
                <w:szCs w:val="18"/>
              </w:rPr>
            </w:pPr>
            <w:r w:rsidRPr="005E09BD">
              <w:rPr>
                <w:i/>
                <w:color w:val="000000"/>
                <w:sz w:val="18"/>
                <w:szCs w:val="18"/>
              </w:rPr>
              <w:t>25,5</w:t>
            </w:r>
          </w:p>
        </w:tc>
        <w:tc>
          <w:tcPr>
            <w:tcW w:w="310" w:type="pct"/>
            <w:tcBorders>
              <w:top w:val="nil"/>
              <w:left w:val="nil"/>
              <w:bottom w:val="single" w:sz="4" w:space="0" w:color="auto"/>
              <w:right w:val="single" w:sz="4" w:space="0" w:color="auto"/>
            </w:tcBorders>
            <w:shd w:val="clear" w:color="auto" w:fill="auto"/>
          </w:tcPr>
          <w:p w14:paraId="3AB748D2" w14:textId="77777777" w:rsidR="0082519F" w:rsidRPr="005E09BD" w:rsidRDefault="0082519F" w:rsidP="0010115D">
            <w:pPr>
              <w:keepNext/>
              <w:spacing w:after="0"/>
              <w:ind w:firstLine="0"/>
              <w:jc w:val="right"/>
              <w:rPr>
                <w:i/>
                <w:sz w:val="18"/>
                <w:szCs w:val="18"/>
              </w:rPr>
            </w:pPr>
            <w:r w:rsidRPr="005E09BD">
              <w:rPr>
                <w:i/>
                <w:sz w:val="18"/>
                <w:szCs w:val="18"/>
              </w:rPr>
              <w:t>-</w:t>
            </w:r>
          </w:p>
        </w:tc>
      </w:tr>
      <w:tr w:rsidR="0082519F" w:rsidRPr="005E09BD" w14:paraId="40F4C4DA" w14:textId="77777777" w:rsidTr="0010115D">
        <w:trPr>
          <w:trHeight w:val="319"/>
          <w:jc w:val="center"/>
        </w:trPr>
        <w:tc>
          <w:tcPr>
            <w:tcW w:w="2960" w:type="pct"/>
            <w:tcBorders>
              <w:top w:val="nil"/>
              <w:left w:val="single" w:sz="4" w:space="0" w:color="auto"/>
              <w:bottom w:val="single" w:sz="4" w:space="0" w:color="auto"/>
              <w:right w:val="single" w:sz="4" w:space="0" w:color="auto"/>
            </w:tcBorders>
            <w:shd w:val="clear" w:color="auto" w:fill="auto"/>
            <w:vAlign w:val="center"/>
            <w:hideMark/>
          </w:tcPr>
          <w:p w14:paraId="305B962E" w14:textId="77777777" w:rsidR="0082519F" w:rsidRPr="005E09BD" w:rsidRDefault="0082519F" w:rsidP="0010115D">
            <w:pPr>
              <w:keepNext/>
              <w:spacing w:after="0"/>
              <w:ind w:firstLine="0"/>
              <w:jc w:val="left"/>
              <w:rPr>
                <w:i/>
                <w:color w:val="000000"/>
                <w:sz w:val="18"/>
                <w:szCs w:val="18"/>
              </w:rPr>
            </w:pPr>
            <w:r w:rsidRPr="005E09BD">
              <w:rPr>
                <w:i/>
                <w:color w:val="000000"/>
                <w:sz w:val="18"/>
                <w:szCs w:val="18"/>
              </w:rPr>
              <w:t>pieaugums, salīdzinot ar likumu „Par vidēja termiņa budžeta ietvaru 2021., 2022. un 2023</w:t>
            </w:r>
            <w:r>
              <w:rPr>
                <w:i/>
                <w:color w:val="000000"/>
                <w:sz w:val="18"/>
                <w:szCs w:val="18"/>
              </w:rPr>
              <w:t>. gad</w:t>
            </w:r>
            <w:r w:rsidRPr="005E09BD">
              <w:rPr>
                <w:i/>
                <w:color w:val="000000"/>
                <w:sz w:val="18"/>
                <w:szCs w:val="18"/>
              </w:rPr>
              <w:t>am”, %</w:t>
            </w:r>
          </w:p>
        </w:tc>
        <w:tc>
          <w:tcPr>
            <w:tcW w:w="510" w:type="pct"/>
            <w:tcBorders>
              <w:top w:val="nil"/>
              <w:left w:val="nil"/>
              <w:bottom w:val="single" w:sz="4" w:space="0" w:color="auto"/>
              <w:right w:val="single" w:sz="4" w:space="0" w:color="auto"/>
            </w:tcBorders>
            <w:shd w:val="clear" w:color="auto" w:fill="auto"/>
            <w:noWrap/>
          </w:tcPr>
          <w:p w14:paraId="449D2639" w14:textId="77777777" w:rsidR="0082519F" w:rsidRPr="005E09BD" w:rsidRDefault="0082519F" w:rsidP="0010115D">
            <w:pPr>
              <w:keepNext/>
              <w:tabs>
                <w:tab w:val="decimal" w:pos="462"/>
              </w:tabs>
              <w:spacing w:after="0"/>
              <w:ind w:firstLine="0"/>
              <w:jc w:val="right"/>
              <w:rPr>
                <w:i/>
                <w:color w:val="000000"/>
                <w:sz w:val="18"/>
                <w:szCs w:val="18"/>
              </w:rPr>
            </w:pPr>
            <w:r w:rsidRPr="005E09BD">
              <w:rPr>
                <w:i/>
                <w:color w:val="000000"/>
                <w:sz w:val="18"/>
                <w:szCs w:val="18"/>
              </w:rPr>
              <w:t>18,4</w:t>
            </w:r>
          </w:p>
        </w:tc>
        <w:tc>
          <w:tcPr>
            <w:tcW w:w="510" w:type="pct"/>
            <w:tcBorders>
              <w:top w:val="nil"/>
              <w:left w:val="nil"/>
              <w:bottom w:val="single" w:sz="4" w:space="0" w:color="auto"/>
              <w:right w:val="single" w:sz="4" w:space="0" w:color="auto"/>
            </w:tcBorders>
            <w:shd w:val="clear" w:color="auto" w:fill="auto"/>
            <w:noWrap/>
          </w:tcPr>
          <w:p w14:paraId="5BD0256F" w14:textId="77777777" w:rsidR="0082519F" w:rsidRPr="005E09BD" w:rsidRDefault="0082519F" w:rsidP="0010115D">
            <w:pPr>
              <w:keepNext/>
              <w:tabs>
                <w:tab w:val="decimal" w:pos="462"/>
              </w:tabs>
              <w:spacing w:after="0"/>
              <w:ind w:firstLine="0"/>
              <w:jc w:val="right"/>
              <w:rPr>
                <w:i/>
                <w:color w:val="000000"/>
                <w:sz w:val="18"/>
                <w:szCs w:val="18"/>
              </w:rPr>
            </w:pPr>
            <w:r w:rsidRPr="005E09BD">
              <w:rPr>
                <w:i/>
                <w:color w:val="000000"/>
                <w:sz w:val="18"/>
                <w:szCs w:val="18"/>
              </w:rPr>
              <w:t>12,8</w:t>
            </w:r>
          </w:p>
        </w:tc>
        <w:tc>
          <w:tcPr>
            <w:tcW w:w="710" w:type="pct"/>
            <w:tcBorders>
              <w:top w:val="nil"/>
              <w:left w:val="nil"/>
              <w:bottom w:val="single" w:sz="4" w:space="0" w:color="auto"/>
              <w:right w:val="single" w:sz="4" w:space="0" w:color="auto"/>
            </w:tcBorders>
            <w:shd w:val="clear" w:color="auto" w:fill="auto"/>
            <w:noWrap/>
          </w:tcPr>
          <w:p w14:paraId="5B38ED29" w14:textId="77777777" w:rsidR="0082519F" w:rsidRPr="005E09BD" w:rsidRDefault="0082519F" w:rsidP="0010115D">
            <w:pPr>
              <w:keepNext/>
              <w:tabs>
                <w:tab w:val="decimal" w:pos="462"/>
              </w:tabs>
              <w:spacing w:after="0"/>
              <w:ind w:firstLine="0"/>
              <w:jc w:val="right"/>
              <w:rPr>
                <w:i/>
                <w:color w:val="000000"/>
                <w:sz w:val="18"/>
                <w:szCs w:val="18"/>
              </w:rPr>
            </w:pPr>
            <w:r w:rsidRPr="005E09BD">
              <w:rPr>
                <w:i/>
                <w:color w:val="000000"/>
                <w:sz w:val="18"/>
                <w:szCs w:val="18"/>
              </w:rPr>
              <w:t>6,3</w:t>
            </w:r>
          </w:p>
        </w:tc>
        <w:tc>
          <w:tcPr>
            <w:tcW w:w="310" w:type="pct"/>
            <w:tcBorders>
              <w:top w:val="nil"/>
              <w:left w:val="nil"/>
              <w:bottom w:val="single" w:sz="4" w:space="0" w:color="auto"/>
              <w:right w:val="single" w:sz="4" w:space="0" w:color="auto"/>
            </w:tcBorders>
            <w:shd w:val="clear" w:color="auto" w:fill="auto"/>
          </w:tcPr>
          <w:p w14:paraId="31EF35EE" w14:textId="77777777" w:rsidR="0082519F" w:rsidRPr="005E09BD" w:rsidRDefault="0082519F" w:rsidP="0010115D">
            <w:pPr>
              <w:keepNext/>
              <w:spacing w:after="0"/>
              <w:ind w:firstLine="0"/>
              <w:jc w:val="right"/>
              <w:rPr>
                <w:i/>
                <w:sz w:val="18"/>
                <w:szCs w:val="18"/>
              </w:rPr>
            </w:pPr>
            <w:r w:rsidRPr="005E09BD">
              <w:rPr>
                <w:i/>
                <w:sz w:val="18"/>
                <w:szCs w:val="18"/>
              </w:rPr>
              <w:t>-</w:t>
            </w:r>
          </w:p>
        </w:tc>
      </w:tr>
      <w:tr w:rsidR="0082519F" w:rsidRPr="005E09BD" w14:paraId="5E903BB5" w14:textId="77777777" w:rsidTr="0010115D">
        <w:trPr>
          <w:trHeight w:val="169"/>
          <w:jc w:val="center"/>
        </w:trPr>
        <w:tc>
          <w:tcPr>
            <w:tcW w:w="2960" w:type="pct"/>
            <w:tcBorders>
              <w:top w:val="nil"/>
              <w:left w:val="single" w:sz="4" w:space="0" w:color="auto"/>
              <w:bottom w:val="single" w:sz="4" w:space="0" w:color="auto"/>
              <w:right w:val="single" w:sz="4" w:space="0" w:color="auto"/>
            </w:tcBorders>
            <w:shd w:val="clear" w:color="auto" w:fill="auto"/>
            <w:noWrap/>
            <w:vAlign w:val="center"/>
            <w:hideMark/>
          </w:tcPr>
          <w:p w14:paraId="0930AD6D" w14:textId="0C1D2B8A" w:rsidR="0082519F" w:rsidRPr="005E09BD" w:rsidRDefault="0082519F" w:rsidP="0010115D">
            <w:pPr>
              <w:keepNext/>
              <w:spacing w:after="0"/>
              <w:ind w:firstLine="0"/>
              <w:jc w:val="left"/>
              <w:rPr>
                <w:color w:val="000000"/>
                <w:sz w:val="18"/>
                <w:szCs w:val="18"/>
              </w:rPr>
            </w:pPr>
            <w:r>
              <w:rPr>
                <w:color w:val="000000"/>
                <w:sz w:val="18"/>
                <w:szCs w:val="18"/>
              </w:rPr>
              <w:t>% no iekšzemes kopprodukta</w:t>
            </w:r>
          </w:p>
        </w:tc>
        <w:tc>
          <w:tcPr>
            <w:tcW w:w="510" w:type="pct"/>
            <w:tcBorders>
              <w:top w:val="nil"/>
              <w:left w:val="nil"/>
              <w:bottom w:val="single" w:sz="4" w:space="0" w:color="auto"/>
              <w:right w:val="single" w:sz="4" w:space="0" w:color="auto"/>
            </w:tcBorders>
            <w:shd w:val="clear" w:color="auto" w:fill="auto"/>
            <w:noWrap/>
          </w:tcPr>
          <w:p w14:paraId="2B79D3FD" w14:textId="77777777" w:rsidR="0082519F" w:rsidRPr="005E09BD" w:rsidRDefault="0082519F" w:rsidP="0010115D">
            <w:pPr>
              <w:keepNext/>
              <w:tabs>
                <w:tab w:val="decimal" w:pos="462"/>
              </w:tabs>
              <w:spacing w:after="0"/>
              <w:ind w:firstLine="0"/>
              <w:jc w:val="right"/>
              <w:rPr>
                <w:i/>
                <w:color w:val="000000"/>
                <w:sz w:val="18"/>
                <w:szCs w:val="18"/>
              </w:rPr>
            </w:pPr>
            <w:r w:rsidRPr="005E09BD">
              <w:rPr>
                <w:i/>
                <w:color w:val="000000"/>
                <w:sz w:val="18"/>
                <w:szCs w:val="18"/>
              </w:rPr>
              <w:t>1,7</w:t>
            </w:r>
          </w:p>
        </w:tc>
        <w:tc>
          <w:tcPr>
            <w:tcW w:w="510" w:type="pct"/>
            <w:tcBorders>
              <w:top w:val="nil"/>
              <w:left w:val="nil"/>
              <w:bottom w:val="single" w:sz="4" w:space="0" w:color="auto"/>
              <w:right w:val="single" w:sz="4" w:space="0" w:color="auto"/>
            </w:tcBorders>
            <w:shd w:val="clear" w:color="auto" w:fill="auto"/>
            <w:noWrap/>
          </w:tcPr>
          <w:p w14:paraId="7BC65CE2" w14:textId="77777777" w:rsidR="0082519F" w:rsidRPr="005E09BD" w:rsidRDefault="0082519F" w:rsidP="0010115D">
            <w:pPr>
              <w:keepNext/>
              <w:tabs>
                <w:tab w:val="decimal" w:pos="462"/>
              </w:tabs>
              <w:spacing w:after="0"/>
              <w:ind w:firstLine="0"/>
              <w:jc w:val="right"/>
              <w:rPr>
                <w:i/>
                <w:color w:val="000000"/>
                <w:sz w:val="18"/>
                <w:szCs w:val="18"/>
              </w:rPr>
            </w:pPr>
            <w:r w:rsidRPr="005E09BD">
              <w:rPr>
                <w:i/>
                <w:color w:val="000000"/>
                <w:sz w:val="18"/>
                <w:szCs w:val="18"/>
              </w:rPr>
              <w:t>1,4</w:t>
            </w:r>
          </w:p>
        </w:tc>
        <w:tc>
          <w:tcPr>
            <w:tcW w:w="710" w:type="pct"/>
            <w:tcBorders>
              <w:top w:val="nil"/>
              <w:left w:val="nil"/>
              <w:bottom w:val="single" w:sz="4" w:space="0" w:color="auto"/>
              <w:right w:val="single" w:sz="4" w:space="0" w:color="auto"/>
            </w:tcBorders>
            <w:shd w:val="clear" w:color="auto" w:fill="auto"/>
            <w:noWrap/>
          </w:tcPr>
          <w:p w14:paraId="03E6515A" w14:textId="77777777" w:rsidR="0082519F" w:rsidRPr="005E09BD" w:rsidRDefault="0082519F" w:rsidP="0010115D">
            <w:pPr>
              <w:keepNext/>
              <w:tabs>
                <w:tab w:val="decimal" w:pos="462"/>
              </w:tabs>
              <w:spacing w:after="0"/>
              <w:ind w:firstLine="0"/>
              <w:jc w:val="right"/>
              <w:rPr>
                <w:i/>
                <w:color w:val="000000"/>
                <w:sz w:val="18"/>
                <w:szCs w:val="18"/>
              </w:rPr>
            </w:pPr>
            <w:r w:rsidRPr="005E09BD">
              <w:rPr>
                <w:i/>
                <w:color w:val="000000"/>
                <w:sz w:val="18"/>
                <w:szCs w:val="18"/>
              </w:rPr>
              <w:t>1,2</w:t>
            </w:r>
          </w:p>
        </w:tc>
        <w:tc>
          <w:tcPr>
            <w:tcW w:w="310" w:type="pct"/>
            <w:tcBorders>
              <w:top w:val="nil"/>
              <w:left w:val="nil"/>
              <w:bottom w:val="single" w:sz="4" w:space="0" w:color="auto"/>
              <w:right w:val="single" w:sz="4" w:space="0" w:color="auto"/>
            </w:tcBorders>
          </w:tcPr>
          <w:p w14:paraId="35CB97ED" w14:textId="77777777" w:rsidR="0082519F" w:rsidRPr="005E09BD" w:rsidRDefault="0082519F" w:rsidP="0010115D">
            <w:pPr>
              <w:keepNext/>
              <w:tabs>
                <w:tab w:val="decimal" w:pos="462"/>
              </w:tabs>
              <w:spacing w:after="0"/>
              <w:ind w:firstLine="0"/>
              <w:jc w:val="right"/>
              <w:rPr>
                <w:i/>
                <w:color w:val="000000"/>
                <w:sz w:val="18"/>
                <w:szCs w:val="18"/>
              </w:rPr>
            </w:pPr>
            <w:r w:rsidRPr="005E09BD">
              <w:rPr>
                <w:i/>
                <w:color w:val="000000"/>
                <w:sz w:val="18"/>
                <w:szCs w:val="18"/>
              </w:rPr>
              <w:t>1,0</w:t>
            </w:r>
          </w:p>
        </w:tc>
      </w:tr>
    </w:tbl>
    <w:p w14:paraId="5307F724" w14:textId="3544DEDD" w:rsidR="003F3FCD" w:rsidRDefault="0082519F" w:rsidP="0010115D">
      <w:pPr>
        <w:spacing w:after="0"/>
        <w:ind w:left="425" w:firstLine="0"/>
        <w:jc w:val="left"/>
        <w:rPr>
          <w:sz w:val="18"/>
          <w:szCs w:val="18"/>
        </w:rPr>
      </w:pPr>
      <w:r w:rsidRPr="00E81457">
        <w:rPr>
          <w:sz w:val="18"/>
          <w:szCs w:val="18"/>
          <w:vertAlign w:val="superscript"/>
        </w:rPr>
        <w:t>1</w:t>
      </w:r>
      <w:r w:rsidRPr="00E81457">
        <w:rPr>
          <w:sz w:val="18"/>
          <w:szCs w:val="18"/>
        </w:rPr>
        <w:t> Prognoze 22.07.2021</w:t>
      </w:r>
      <w:r>
        <w:rPr>
          <w:sz w:val="18"/>
          <w:szCs w:val="18"/>
        </w:rPr>
        <w:t>.</w:t>
      </w:r>
    </w:p>
    <w:p w14:paraId="2E268CF8" w14:textId="77777777" w:rsidR="003F3F04" w:rsidRPr="003F3F04" w:rsidRDefault="003F3F04" w:rsidP="003F3F04">
      <w:pPr>
        <w:spacing w:before="120"/>
        <w:ind w:left="425" w:firstLine="0"/>
        <w:jc w:val="left"/>
        <w:rPr>
          <w:sz w:val="18"/>
          <w:szCs w:val="18"/>
        </w:rPr>
      </w:pPr>
    </w:p>
    <w:p w14:paraId="486C242E" w14:textId="6D89C782" w:rsidR="003F3FCD" w:rsidRDefault="000548A5" w:rsidP="00401A5B">
      <w:pPr>
        <w:pStyle w:val="Heading1"/>
        <w:spacing w:before="0"/>
        <w:ind w:left="432"/>
        <w:jc w:val="center"/>
        <w:rPr>
          <w:rFonts w:eastAsia="Times New Roman" w:cs="Times New Roman"/>
        </w:rPr>
      </w:pPr>
      <w:bookmarkStart w:id="88" w:name="_Toc84756432"/>
      <w:r w:rsidRPr="001C5161">
        <w:rPr>
          <w:rFonts w:eastAsia="Times New Roman" w:cs="Times New Roman"/>
        </w:rPr>
        <w:lastRenderedPageBreak/>
        <w:t>4. Valdības parāda vidējā termiņa attīstības tendences</w:t>
      </w:r>
      <w:bookmarkEnd w:id="88"/>
    </w:p>
    <w:p w14:paraId="06365169" w14:textId="77777777" w:rsidR="005B0C3F" w:rsidRPr="005B0C3F" w:rsidRDefault="005B0C3F" w:rsidP="005B0C3F">
      <w:pPr>
        <w:spacing w:after="0"/>
        <w:rPr>
          <w:rFonts w:eastAsia="Times New Roman" w:cs="Times New Roman"/>
          <w:szCs w:val="24"/>
        </w:rPr>
      </w:pPr>
      <w:r w:rsidRPr="005B0C3F">
        <w:rPr>
          <w:rFonts w:eastAsia="Times New Roman" w:cs="Times New Roman"/>
          <w:szCs w:val="24"/>
        </w:rPr>
        <w:t>Valsts parāda vadības pamatprincipus un uzdevumus vidējam termiņam nosaka Valsts parāda un naudas līdzekļu vadības stratēģija, kuru apstiprina finanšu ministrs. Saskaņā ar  stratēģiju valsts parāda un naudas līdzekļu vadības mērķis ir savlaicīgi nodrošināt finanšu resursu pieejamību finansēšanas nepieciešamības segšanai ar zemām valsts parāda apkalpošanas izmaksām, ierobežojot finanšu riskus un vienlaikus sekmējot iekšējā finanšu tirgus attīstību. Valsts parāda un budžeta saistību izpildē tiek izmantota stratēģiska pieeja valsts aizņemšanās un parāda vadības procesa nodrošināšanā, saglabājot pēc iespējas lielāku elastību finanšu tirgos veicamo aizņēmumu nosacījumu (aizņemšanās laiks, instruments, apjoms, termiņš) izvēlē. Tas ļauj ierobežot finanšu riskus vidējā termiņā, kā arī nodrošināt kopējās finansēšanas nepieciešamības segšanai nepieciešamos resursus ar pēc iespējas labvēlīgākiem un izdevīgākiem nosacījumiem.</w:t>
      </w:r>
    </w:p>
    <w:p w14:paraId="6CDDD054" w14:textId="0911AD23" w:rsidR="005B0C3F" w:rsidRPr="005B0C3F" w:rsidRDefault="005B0C3F" w:rsidP="005B0C3F">
      <w:pPr>
        <w:spacing w:after="0"/>
        <w:rPr>
          <w:rFonts w:eastAsia="Times New Roman" w:cs="Times New Roman"/>
          <w:szCs w:val="24"/>
        </w:rPr>
      </w:pPr>
      <w:r w:rsidRPr="005B0C3F">
        <w:rPr>
          <w:rFonts w:eastAsia="Times New Roman" w:cs="Times New Roman"/>
          <w:szCs w:val="24"/>
        </w:rPr>
        <w:t>Covid-19 uzliesmojums izraisīja nepieciešamību 2020.</w:t>
      </w:r>
      <w:r>
        <w:rPr>
          <w:rFonts w:eastAsia="Times New Roman" w:cs="Times New Roman"/>
          <w:szCs w:val="24"/>
        </w:rPr>
        <w:t xml:space="preserve"> </w:t>
      </w:r>
      <w:r w:rsidRPr="005B0C3F">
        <w:rPr>
          <w:rFonts w:eastAsia="Times New Roman" w:cs="Times New Roman"/>
          <w:szCs w:val="24"/>
        </w:rPr>
        <w:t xml:space="preserve">gadā ievērojamā apjomā nodrošināt finansējumu tā ietekmes mazināšanai un ekonomikas atbalstam ārkārtas situācijā, veicot aizņemšanos gan finanšu tirgos, gan no Ziemeļu investīciju bankas un Eiropas Komisijas </w:t>
      </w:r>
      <w:r w:rsidRPr="005B0C3F">
        <w:rPr>
          <w:rFonts w:eastAsia="Times New Roman" w:cs="Times New Roman"/>
          <w:i/>
          <w:szCs w:val="24"/>
        </w:rPr>
        <w:t>(SURE</w:t>
      </w:r>
      <w:r w:rsidRPr="005B0C3F">
        <w:rPr>
          <w:rStyle w:val="FootnoteReference"/>
          <w:rFonts w:eastAsia="Times New Roman" w:cs="Times New Roman"/>
          <w:i/>
          <w:szCs w:val="24"/>
        </w:rPr>
        <w:footnoteReference w:id="20"/>
      </w:r>
      <w:r w:rsidRPr="005B0C3F">
        <w:rPr>
          <w:rFonts w:eastAsia="Times New Roman" w:cs="Times New Roman"/>
          <w:i/>
          <w:szCs w:val="24"/>
        </w:rPr>
        <w:t>)</w:t>
      </w:r>
      <w:r w:rsidRPr="005B0C3F">
        <w:rPr>
          <w:rFonts w:eastAsia="Times New Roman" w:cs="Times New Roman"/>
          <w:szCs w:val="24"/>
        </w:rPr>
        <w:t>, kā rezultātā ievērojami pieauga vispārējās valdības parāds. Saskaņā ar valsts budžeta deficīta un parāda 2021.</w:t>
      </w:r>
      <w:r>
        <w:rPr>
          <w:rFonts w:eastAsia="Times New Roman" w:cs="Times New Roman"/>
          <w:szCs w:val="24"/>
        </w:rPr>
        <w:t xml:space="preserve"> </w:t>
      </w:r>
      <w:r w:rsidRPr="005B0C3F">
        <w:rPr>
          <w:rFonts w:eastAsia="Times New Roman" w:cs="Times New Roman"/>
          <w:szCs w:val="24"/>
        </w:rPr>
        <w:t>gada aprīļa notifikācijas datiem 2020.</w:t>
      </w:r>
      <w:r>
        <w:rPr>
          <w:rFonts w:eastAsia="Times New Roman" w:cs="Times New Roman"/>
          <w:szCs w:val="24"/>
        </w:rPr>
        <w:t xml:space="preserve"> </w:t>
      </w:r>
      <w:r w:rsidRPr="005B0C3F">
        <w:rPr>
          <w:rFonts w:eastAsia="Times New Roman" w:cs="Times New Roman"/>
          <w:szCs w:val="24"/>
        </w:rPr>
        <w:t xml:space="preserve">gada beigās vispārējās valdības parāds pēc EKS metodoloģijas sasniedza 12,7 mljrd. </w:t>
      </w:r>
      <w:r w:rsidRPr="005B0C3F">
        <w:rPr>
          <w:rFonts w:eastAsia="Times New Roman" w:cs="Times New Roman"/>
          <w:i/>
          <w:szCs w:val="24"/>
        </w:rPr>
        <w:t>euro</w:t>
      </w:r>
      <w:r>
        <w:rPr>
          <w:rFonts w:eastAsia="Times New Roman" w:cs="Times New Roman"/>
          <w:szCs w:val="24"/>
        </w:rPr>
        <w:t xml:space="preserve"> jeb 43,5% no iekšzemes kopprodukta</w:t>
      </w:r>
      <w:r w:rsidRPr="005B0C3F">
        <w:rPr>
          <w:rFonts w:eastAsia="Times New Roman" w:cs="Times New Roman"/>
          <w:szCs w:val="24"/>
        </w:rPr>
        <w:t>. Vispārējās valdības parāda līmeni galvenokārt ietekmē valsts parāds, kas 2020.</w:t>
      </w:r>
      <w:r>
        <w:rPr>
          <w:rFonts w:eastAsia="Times New Roman" w:cs="Times New Roman"/>
          <w:szCs w:val="24"/>
        </w:rPr>
        <w:t> </w:t>
      </w:r>
      <w:r w:rsidRPr="005B0C3F">
        <w:rPr>
          <w:rFonts w:eastAsia="Times New Roman" w:cs="Times New Roman"/>
          <w:szCs w:val="24"/>
        </w:rPr>
        <w:t xml:space="preserve">gada beigās bija 12,4 mljrd. </w:t>
      </w:r>
      <w:r w:rsidRPr="005B0C3F">
        <w:rPr>
          <w:rFonts w:eastAsia="Times New Roman" w:cs="Times New Roman"/>
          <w:i/>
          <w:szCs w:val="24"/>
        </w:rPr>
        <w:t>euro</w:t>
      </w:r>
      <w:r w:rsidRPr="005B0C3F">
        <w:rPr>
          <w:rFonts w:eastAsia="Times New Roman" w:cs="Times New Roman"/>
          <w:szCs w:val="24"/>
          <w:vertAlign w:val="superscript"/>
        </w:rPr>
        <w:footnoteReference w:id="21"/>
      </w:r>
      <w:r w:rsidRPr="005B0C3F">
        <w:rPr>
          <w:rFonts w:eastAsia="Times New Roman" w:cs="Times New Roman"/>
          <w:szCs w:val="24"/>
        </w:rPr>
        <w:t xml:space="preserve">. </w:t>
      </w:r>
    </w:p>
    <w:p w14:paraId="148E26A5" w14:textId="6790EDB8" w:rsidR="005B0C3F" w:rsidRPr="005B0C3F" w:rsidRDefault="005B0C3F" w:rsidP="005B0C3F">
      <w:pPr>
        <w:spacing w:after="0"/>
        <w:rPr>
          <w:rFonts w:eastAsia="Times New Roman" w:cs="Times New Roman"/>
          <w:szCs w:val="24"/>
        </w:rPr>
      </w:pPr>
      <w:r w:rsidRPr="005B0C3F">
        <w:rPr>
          <w:rFonts w:eastAsia="Times New Roman" w:cs="Times New Roman"/>
          <w:szCs w:val="24"/>
        </w:rPr>
        <w:t>Arī 2021.</w:t>
      </w:r>
      <w:r>
        <w:rPr>
          <w:rFonts w:eastAsia="Times New Roman" w:cs="Times New Roman"/>
          <w:szCs w:val="24"/>
        </w:rPr>
        <w:t xml:space="preserve"> </w:t>
      </w:r>
      <w:r w:rsidRPr="005B0C3F">
        <w:rPr>
          <w:rFonts w:eastAsia="Times New Roman" w:cs="Times New Roman"/>
          <w:szCs w:val="24"/>
        </w:rPr>
        <w:t>gadā operatīvi nodrošināts finansiāls segums kopējās finansēšanas nepieciešamības segšanai, t.sk. Covid-19 uzliesmojuma ietekmes mazināšanai un ekonomikas atbalstam ārkārtējā situācijā, 2021.</w:t>
      </w:r>
      <w:r>
        <w:rPr>
          <w:rFonts w:eastAsia="Times New Roman" w:cs="Times New Roman"/>
          <w:szCs w:val="24"/>
        </w:rPr>
        <w:t xml:space="preserve"> </w:t>
      </w:r>
      <w:r w:rsidRPr="005B0C3F">
        <w:rPr>
          <w:rFonts w:eastAsia="Times New Roman" w:cs="Times New Roman"/>
          <w:szCs w:val="24"/>
        </w:rPr>
        <w:t xml:space="preserve">gada deviņos mēnešos aizņemoties resursus iekšējā un starptautiskajos finanšu tirgos 2,1 mljrd. </w:t>
      </w:r>
      <w:r w:rsidRPr="005B0C3F">
        <w:rPr>
          <w:rFonts w:eastAsia="Times New Roman" w:cs="Times New Roman"/>
          <w:i/>
          <w:szCs w:val="24"/>
        </w:rPr>
        <w:t>euro</w:t>
      </w:r>
      <w:r w:rsidRPr="005B0C3F">
        <w:rPr>
          <w:rFonts w:eastAsia="Times New Roman" w:cs="Times New Roman"/>
          <w:szCs w:val="24"/>
        </w:rPr>
        <w:t xml:space="preserve"> apmērā.</w:t>
      </w:r>
      <w:r w:rsidRPr="005B0C3F">
        <w:rPr>
          <w:rFonts w:eastAsia="Times New Roman" w:cs="Times New Roman"/>
          <w:szCs w:val="24"/>
          <w:highlight w:val="yellow"/>
        </w:rPr>
        <w:t xml:space="preserve"> </w:t>
      </w:r>
    </w:p>
    <w:p w14:paraId="2C6D52CC" w14:textId="6E83062E" w:rsidR="005B0C3F" w:rsidRPr="005B0C3F" w:rsidRDefault="005B0C3F" w:rsidP="005B0C3F">
      <w:pPr>
        <w:spacing w:after="0"/>
        <w:rPr>
          <w:rFonts w:eastAsia="Times New Roman" w:cs="Times New Roman"/>
          <w:szCs w:val="24"/>
        </w:rPr>
      </w:pPr>
      <w:r w:rsidRPr="005B0C3F">
        <w:rPr>
          <w:rFonts w:eastAsia="Times New Roman" w:cs="Times New Roman"/>
          <w:szCs w:val="24"/>
        </w:rPr>
        <w:t>Starptautiskajos finanšu tirgos 2021.</w:t>
      </w:r>
      <w:r>
        <w:rPr>
          <w:rFonts w:eastAsia="Times New Roman" w:cs="Times New Roman"/>
          <w:szCs w:val="24"/>
        </w:rPr>
        <w:t xml:space="preserve"> </w:t>
      </w:r>
      <w:r w:rsidRPr="005B0C3F">
        <w:rPr>
          <w:rFonts w:eastAsia="Times New Roman" w:cs="Times New Roman"/>
          <w:szCs w:val="24"/>
        </w:rPr>
        <w:t xml:space="preserve">gada deviņos mēnešos piesaistīti resursi 1,750 mljrd. </w:t>
      </w:r>
      <w:r w:rsidRPr="005B0C3F">
        <w:rPr>
          <w:rFonts w:eastAsia="Times New Roman" w:cs="Times New Roman"/>
          <w:i/>
          <w:szCs w:val="24"/>
        </w:rPr>
        <w:t>euro</w:t>
      </w:r>
      <w:r w:rsidRPr="005B0C3F">
        <w:rPr>
          <w:rFonts w:eastAsia="Times New Roman" w:cs="Times New Roman"/>
          <w:szCs w:val="24"/>
        </w:rPr>
        <w:t xml:space="preserve"> apmērā, veicot jaunu 10 gadu eiroobligāciju emisiju 1,250 mljrd. </w:t>
      </w:r>
      <w:r w:rsidRPr="005B0C3F">
        <w:rPr>
          <w:rFonts w:eastAsia="Times New Roman" w:cs="Times New Roman"/>
          <w:i/>
          <w:szCs w:val="24"/>
        </w:rPr>
        <w:t>euro</w:t>
      </w:r>
      <w:r w:rsidRPr="005B0C3F">
        <w:rPr>
          <w:rFonts w:eastAsia="Times New Roman" w:cs="Times New Roman"/>
          <w:szCs w:val="24"/>
        </w:rPr>
        <w:t xml:space="preserve"> apmērā un jaunu 7 gadu eiroobligāciju 0,5 mljrd. </w:t>
      </w:r>
      <w:r w:rsidRPr="005B0C3F">
        <w:rPr>
          <w:rFonts w:eastAsia="Times New Roman" w:cs="Times New Roman"/>
          <w:i/>
          <w:szCs w:val="24"/>
        </w:rPr>
        <w:t>euro</w:t>
      </w:r>
      <w:r w:rsidRPr="005B0C3F">
        <w:rPr>
          <w:rFonts w:eastAsia="Times New Roman" w:cs="Times New Roman"/>
          <w:szCs w:val="24"/>
        </w:rPr>
        <w:t xml:space="preserve"> apmērā. Abās emisijās tika fiksēta procentu (kupona) likme 0,000% gadā, kas ir vēsturiski zemākais Latvijas parāda vērtspapīru emisijās starptautiskajos tirgos jebkad sasniegtais tik gara termiņa kupona līmenis.</w:t>
      </w:r>
    </w:p>
    <w:p w14:paraId="790E2131" w14:textId="0935B2D4" w:rsidR="005B0C3F" w:rsidRPr="005B0C3F" w:rsidRDefault="005B0C3F" w:rsidP="005B0C3F">
      <w:pPr>
        <w:spacing w:after="0"/>
        <w:rPr>
          <w:rFonts w:eastAsia="Times New Roman" w:cs="Times New Roman"/>
          <w:szCs w:val="24"/>
        </w:rPr>
      </w:pPr>
      <w:r w:rsidRPr="005B0C3F">
        <w:rPr>
          <w:rFonts w:eastAsia="Times New Roman" w:cs="Times New Roman"/>
          <w:szCs w:val="24"/>
        </w:rPr>
        <w:t>Iekšējā finanšu tirgū 2021.</w:t>
      </w:r>
      <w:r>
        <w:rPr>
          <w:rFonts w:eastAsia="Times New Roman" w:cs="Times New Roman"/>
          <w:szCs w:val="24"/>
        </w:rPr>
        <w:t xml:space="preserve"> </w:t>
      </w:r>
      <w:r w:rsidRPr="005B0C3F">
        <w:rPr>
          <w:rFonts w:eastAsia="Times New Roman" w:cs="Times New Roman"/>
          <w:szCs w:val="24"/>
        </w:rPr>
        <w:t>gada deviņos mēnešos veiktas apgrozībā esošo eiroobligāciju papildu emisijas ar dzēšanu 2025., 2026., 2028., 2029. un 2031.</w:t>
      </w:r>
      <w:r>
        <w:rPr>
          <w:rFonts w:eastAsia="Times New Roman" w:cs="Times New Roman"/>
          <w:szCs w:val="24"/>
        </w:rPr>
        <w:t xml:space="preserve"> </w:t>
      </w:r>
      <w:r w:rsidRPr="005B0C3F">
        <w:rPr>
          <w:rFonts w:eastAsia="Times New Roman" w:cs="Times New Roman"/>
          <w:szCs w:val="24"/>
        </w:rPr>
        <w:t xml:space="preserve">gadā 377,25 milj. </w:t>
      </w:r>
      <w:r w:rsidRPr="005B0C3F">
        <w:rPr>
          <w:rFonts w:eastAsia="Times New Roman" w:cs="Times New Roman"/>
          <w:i/>
          <w:szCs w:val="24"/>
        </w:rPr>
        <w:t>euro</w:t>
      </w:r>
      <w:r w:rsidRPr="005B0C3F">
        <w:rPr>
          <w:rFonts w:eastAsia="Times New Roman" w:cs="Times New Roman"/>
          <w:szCs w:val="24"/>
        </w:rPr>
        <w:t xml:space="preserve"> apmērā, fiksējot zemus, t.sk. negatīvus, ienesīguma līmeņus robežās no -0,422% līdz 0,115% (atkarībā no termiņa). </w:t>
      </w:r>
    </w:p>
    <w:p w14:paraId="2E1C40C6" w14:textId="48DC288B" w:rsidR="005B0C3F" w:rsidRPr="005B0C3F" w:rsidRDefault="005B0C3F" w:rsidP="005B0C3F">
      <w:pPr>
        <w:spacing w:after="0"/>
        <w:rPr>
          <w:rFonts w:eastAsia="Times New Roman" w:cs="Times New Roman"/>
          <w:szCs w:val="24"/>
          <w:highlight w:val="lightGray"/>
        </w:rPr>
      </w:pPr>
      <w:r w:rsidRPr="005B0C3F">
        <w:rPr>
          <w:rFonts w:eastAsia="Times New Roman" w:cs="Times New Roman"/>
          <w:szCs w:val="24"/>
        </w:rPr>
        <w:t>Papildus finanšu tirgos veiktajiem aizņēmumiem 2021.</w:t>
      </w:r>
      <w:r>
        <w:rPr>
          <w:rFonts w:eastAsia="Times New Roman" w:cs="Times New Roman"/>
          <w:szCs w:val="24"/>
        </w:rPr>
        <w:t xml:space="preserve"> </w:t>
      </w:r>
      <w:r w:rsidRPr="005B0C3F">
        <w:rPr>
          <w:rFonts w:eastAsia="Times New Roman" w:cs="Times New Roman"/>
          <w:szCs w:val="24"/>
        </w:rPr>
        <w:t xml:space="preserve">gadā ar finansiāli izdevīgiem nosacījumiem veikta aizņemšanās no starptautiskajām finanšu institūcijām spēkā esošo līgumu ietvaros: no Ziemeļu Investīciju bankas 250 milj. </w:t>
      </w:r>
      <w:r w:rsidRPr="005B0C3F">
        <w:rPr>
          <w:rFonts w:eastAsia="Times New Roman" w:cs="Times New Roman"/>
          <w:i/>
          <w:szCs w:val="24"/>
        </w:rPr>
        <w:t>euro</w:t>
      </w:r>
      <w:r w:rsidRPr="005B0C3F">
        <w:rPr>
          <w:rFonts w:eastAsia="Times New Roman" w:cs="Times New Roman"/>
          <w:szCs w:val="24"/>
        </w:rPr>
        <w:t xml:space="preserve"> apmērā un Eiropas Komisijas finansēšanas instrumenta </w:t>
      </w:r>
      <w:r w:rsidRPr="005B0C3F">
        <w:rPr>
          <w:rFonts w:eastAsia="Times New Roman" w:cs="Times New Roman"/>
          <w:i/>
          <w:szCs w:val="24"/>
        </w:rPr>
        <w:t>SURE</w:t>
      </w:r>
      <w:r w:rsidRPr="005B0C3F">
        <w:rPr>
          <w:rFonts w:eastAsia="Times New Roman" w:cs="Times New Roman"/>
          <w:szCs w:val="24"/>
        </w:rPr>
        <w:t xml:space="preserve"> 185 milj. </w:t>
      </w:r>
      <w:r w:rsidRPr="005B0C3F">
        <w:rPr>
          <w:rFonts w:eastAsia="Times New Roman" w:cs="Times New Roman"/>
          <w:i/>
          <w:szCs w:val="24"/>
        </w:rPr>
        <w:t>euro</w:t>
      </w:r>
      <w:r w:rsidRPr="005B0C3F">
        <w:rPr>
          <w:rFonts w:eastAsia="Times New Roman" w:cs="Times New Roman"/>
          <w:szCs w:val="24"/>
        </w:rPr>
        <w:t xml:space="preserve"> apmērā.</w:t>
      </w:r>
    </w:p>
    <w:p w14:paraId="0CEDBC08" w14:textId="77777777" w:rsidR="005B0C3F" w:rsidRPr="005B0C3F" w:rsidRDefault="005B0C3F" w:rsidP="005B0C3F">
      <w:pPr>
        <w:rPr>
          <w:rFonts w:eastAsia="Times New Roman" w:cs="Times New Roman"/>
          <w:szCs w:val="24"/>
        </w:rPr>
      </w:pPr>
      <w:r w:rsidRPr="005B0C3F">
        <w:rPr>
          <w:rFonts w:eastAsia="Times New Roman" w:cs="Times New Roman"/>
          <w:szCs w:val="24"/>
        </w:rPr>
        <w:t xml:space="preserve">Arī turpmāk resursi kopējās finansēšanas nepieciešamības segšanai, t.sk. ekonomikas atbalstam un Covid-19 uzliesmojuma seku mazināšanai, tiks nodrošināti nepieciešamajā </w:t>
      </w:r>
      <w:r w:rsidRPr="005B0C3F">
        <w:rPr>
          <w:rFonts w:eastAsia="Times New Roman" w:cs="Times New Roman"/>
          <w:szCs w:val="24"/>
        </w:rPr>
        <w:lastRenderedPageBreak/>
        <w:t xml:space="preserve">apjomā, galvenokārt izmantojot aizņemšanās iespējas iekšējā un starptautiskajos finanšu tirgos. Iekšējā finanšu tirgū resursu piesaiste tiks nodrošināta ar apgrozībā esošo eiroobligāciju papildu laidieniem, izmantojot iekšējā finanšu tirgus potenciālu un iespēju aizņemties ar zemām, t.sk. negatīvām, procentu likmēm. Aizņemšanos starptautiskajos finanšu tirgos plānots nodrošināt ar publiskām ilgtermiņa etalona eiroobligāciju emisijām, uzturot pēc iespējas plašākas un elastīgākas finansiāli izdevīgākā aizņemšanās instrumenta izvēles iespējas. </w:t>
      </w:r>
    </w:p>
    <w:p w14:paraId="1753390E" w14:textId="27F58F5B" w:rsidR="005B0C3F" w:rsidRPr="005B0C3F" w:rsidRDefault="005B0C3F" w:rsidP="005B0C3F">
      <w:pPr>
        <w:rPr>
          <w:rFonts w:eastAsia="Times New Roman" w:cs="Times New Roman"/>
          <w:szCs w:val="24"/>
        </w:rPr>
      </w:pPr>
      <w:r w:rsidRPr="005B0C3F">
        <w:rPr>
          <w:rFonts w:eastAsia="Times New Roman" w:cs="Times New Roman"/>
          <w:szCs w:val="24"/>
        </w:rPr>
        <w:t>Ņemot vērā līdz 2021.</w:t>
      </w:r>
      <w:r>
        <w:rPr>
          <w:rFonts w:eastAsia="Times New Roman" w:cs="Times New Roman"/>
          <w:szCs w:val="24"/>
        </w:rPr>
        <w:t xml:space="preserve"> </w:t>
      </w:r>
      <w:r w:rsidRPr="005B0C3F">
        <w:rPr>
          <w:rFonts w:eastAsia="Times New Roman" w:cs="Times New Roman"/>
          <w:szCs w:val="24"/>
        </w:rPr>
        <w:t>gada 31.</w:t>
      </w:r>
      <w:r>
        <w:rPr>
          <w:rFonts w:eastAsia="Times New Roman" w:cs="Times New Roman"/>
          <w:szCs w:val="24"/>
        </w:rPr>
        <w:t xml:space="preserve"> </w:t>
      </w:r>
      <w:r w:rsidRPr="005B0C3F">
        <w:rPr>
          <w:rFonts w:eastAsia="Times New Roman" w:cs="Times New Roman"/>
          <w:szCs w:val="24"/>
        </w:rPr>
        <w:t>augustam uzņemtās valsts parāda saistības, saskaņā ar valsts parāda atmaksas grafiku 2021</w:t>
      </w:r>
      <w:r>
        <w:rPr>
          <w:rFonts w:eastAsia="Times New Roman" w:cs="Times New Roman"/>
          <w:szCs w:val="24"/>
        </w:rPr>
        <w:t xml:space="preserve"> </w:t>
      </w:r>
      <w:r w:rsidRPr="005B0C3F">
        <w:rPr>
          <w:rFonts w:eastAsia="Times New Roman" w:cs="Times New Roman"/>
          <w:szCs w:val="24"/>
        </w:rPr>
        <w:t>.gada septembrī – 2024.</w:t>
      </w:r>
      <w:r>
        <w:rPr>
          <w:rFonts w:eastAsia="Times New Roman" w:cs="Times New Roman"/>
          <w:szCs w:val="24"/>
        </w:rPr>
        <w:t xml:space="preserve"> </w:t>
      </w:r>
      <w:r w:rsidRPr="005B0C3F">
        <w:rPr>
          <w:rFonts w:eastAsia="Times New Roman" w:cs="Times New Roman"/>
          <w:szCs w:val="24"/>
        </w:rPr>
        <w:t xml:space="preserve">gada decembrī jāpārfinansē valsts parāda saistības ~3,5 mljrd. </w:t>
      </w:r>
      <w:r w:rsidRPr="005B0C3F">
        <w:rPr>
          <w:rFonts w:eastAsia="Times New Roman" w:cs="Times New Roman"/>
          <w:i/>
          <w:szCs w:val="24"/>
        </w:rPr>
        <w:t>euro</w:t>
      </w:r>
      <w:r w:rsidRPr="005B0C3F">
        <w:rPr>
          <w:rFonts w:eastAsia="Times New Roman" w:cs="Times New Roman"/>
          <w:szCs w:val="24"/>
        </w:rPr>
        <w:t xml:space="preserve"> apmērā (sk. </w:t>
      </w:r>
      <w:r>
        <w:rPr>
          <w:rFonts w:eastAsia="Times New Roman" w:cs="Times New Roman"/>
          <w:szCs w:val="24"/>
        </w:rPr>
        <w:t>4.</w:t>
      </w:r>
      <w:r w:rsidRPr="005B0C3F">
        <w:rPr>
          <w:rFonts w:eastAsia="Times New Roman" w:cs="Times New Roman"/>
          <w:szCs w:val="24"/>
        </w:rPr>
        <w:t>1.</w:t>
      </w:r>
      <w:r>
        <w:rPr>
          <w:rFonts w:eastAsia="Times New Roman" w:cs="Times New Roman"/>
          <w:szCs w:val="24"/>
        </w:rPr>
        <w:t xml:space="preserve"> </w:t>
      </w:r>
      <w:r w:rsidRPr="005B0C3F">
        <w:rPr>
          <w:rFonts w:eastAsia="Times New Roman" w:cs="Times New Roman"/>
          <w:szCs w:val="24"/>
        </w:rPr>
        <w:t xml:space="preserve">attēlu). Lielāko daļu no minētajā periodā pārfinansējamā parāda apjoma veido starptautiskajos finanšu tirgos iepriekšējos gados emitētās eiroobligācijas, kurām pienāks dzēšanas termiņš (skat. </w:t>
      </w:r>
      <w:r>
        <w:rPr>
          <w:rFonts w:eastAsia="Times New Roman" w:cs="Times New Roman"/>
          <w:szCs w:val="24"/>
        </w:rPr>
        <w:t xml:space="preserve">4. </w:t>
      </w:r>
      <w:r w:rsidRPr="005B0C3F">
        <w:rPr>
          <w:rFonts w:eastAsia="Times New Roman" w:cs="Times New Roman"/>
          <w:szCs w:val="24"/>
        </w:rPr>
        <w:t>1.</w:t>
      </w:r>
      <w:r>
        <w:rPr>
          <w:rFonts w:eastAsia="Times New Roman" w:cs="Times New Roman"/>
          <w:szCs w:val="24"/>
        </w:rPr>
        <w:t xml:space="preserve"> </w:t>
      </w:r>
      <w:r w:rsidRPr="005B0C3F">
        <w:rPr>
          <w:rFonts w:eastAsia="Times New Roman" w:cs="Times New Roman"/>
          <w:szCs w:val="24"/>
        </w:rPr>
        <w:t>att</w:t>
      </w:r>
      <w:r>
        <w:rPr>
          <w:rFonts w:eastAsia="Times New Roman" w:cs="Times New Roman"/>
          <w:szCs w:val="24"/>
        </w:rPr>
        <w:t>ēlu</w:t>
      </w:r>
      <w:r w:rsidRPr="005B0C3F">
        <w:rPr>
          <w:rFonts w:eastAsia="Times New Roman" w:cs="Times New Roman"/>
          <w:szCs w:val="24"/>
        </w:rPr>
        <w:t>).</w:t>
      </w:r>
    </w:p>
    <w:p w14:paraId="6EC07FC3" w14:textId="77777777" w:rsidR="005B0C3F" w:rsidRPr="005B0C3F" w:rsidRDefault="005B0C3F" w:rsidP="005B0C3F">
      <w:pPr>
        <w:spacing w:after="0"/>
        <w:rPr>
          <w:rFonts w:eastAsia="Times New Roman" w:cs="Times New Roman"/>
          <w:b/>
          <w:szCs w:val="24"/>
        </w:rPr>
      </w:pPr>
    </w:p>
    <w:p w14:paraId="69F24616" w14:textId="77777777" w:rsidR="005B0C3F" w:rsidRPr="005B0C3F" w:rsidRDefault="005B0C3F" w:rsidP="005B0C3F">
      <w:pPr>
        <w:spacing w:after="0"/>
        <w:ind w:hanging="284"/>
        <w:jc w:val="center"/>
        <w:rPr>
          <w:rFonts w:eastAsia="Times New Roman" w:cs="Times New Roman"/>
          <w:b/>
          <w:szCs w:val="24"/>
        </w:rPr>
      </w:pPr>
      <w:r w:rsidRPr="005B0C3F">
        <w:rPr>
          <w:rFonts w:eastAsia="Times New Roman" w:cs="Times New Roman"/>
          <w:b/>
          <w:noProof/>
          <w:szCs w:val="24"/>
        </w:rPr>
        <w:drawing>
          <wp:inline distT="0" distB="0" distL="0" distR="0" wp14:anchorId="05FB47EE" wp14:editId="14031FCC">
            <wp:extent cx="6028690" cy="1897059"/>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080054" cy="1913222"/>
                    </a:xfrm>
                    <a:prstGeom prst="rect">
                      <a:avLst/>
                    </a:prstGeom>
                    <a:noFill/>
                  </pic:spPr>
                </pic:pic>
              </a:graphicData>
            </a:graphic>
          </wp:inline>
        </w:drawing>
      </w:r>
    </w:p>
    <w:p w14:paraId="0E77A9B7" w14:textId="77777777" w:rsidR="005B0C3F" w:rsidRPr="005B0C3F" w:rsidRDefault="005B0C3F" w:rsidP="005B0C3F">
      <w:pPr>
        <w:spacing w:after="0"/>
        <w:rPr>
          <w:rFonts w:eastAsia="Times New Roman" w:cs="Times New Roman"/>
          <w:i/>
          <w:szCs w:val="24"/>
        </w:rPr>
      </w:pPr>
    </w:p>
    <w:p w14:paraId="1FB67E4A" w14:textId="79DA743D" w:rsidR="005B0C3F" w:rsidRPr="005B0C3F" w:rsidRDefault="005B0C3F" w:rsidP="005B0C3F">
      <w:pPr>
        <w:spacing w:after="0"/>
        <w:ind w:firstLine="0"/>
        <w:rPr>
          <w:rFonts w:eastAsia="Times New Roman" w:cs="Times New Roman"/>
          <w:i/>
          <w:sz w:val="18"/>
          <w:szCs w:val="24"/>
        </w:rPr>
      </w:pPr>
      <w:r w:rsidRPr="005B0C3F">
        <w:rPr>
          <w:rFonts w:eastAsia="Times New Roman" w:cs="Times New Roman"/>
          <w:i/>
          <w:sz w:val="18"/>
          <w:szCs w:val="24"/>
        </w:rPr>
        <w:t>* nav iekļauti sektori S130130, S130140, S130330, S130340, kā arī pieprasījuma un īstermiņa nogu</w:t>
      </w:r>
      <w:r>
        <w:rPr>
          <w:rFonts w:eastAsia="Times New Roman" w:cs="Times New Roman"/>
          <w:i/>
          <w:sz w:val="18"/>
          <w:szCs w:val="24"/>
        </w:rPr>
        <w:t>ldījumi; aprēķinos izmantoti Eiropas Centrālās bankas</w:t>
      </w:r>
      <w:r w:rsidRPr="005B0C3F">
        <w:rPr>
          <w:rFonts w:eastAsia="Times New Roman" w:cs="Times New Roman"/>
          <w:i/>
          <w:sz w:val="18"/>
          <w:szCs w:val="24"/>
        </w:rPr>
        <w:t xml:space="preserve"> 28.08.2019. noteiktie valūtu kursi</w:t>
      </w:r>
    </w:p>
    <w:p w14:paraId="219C01F8" w14:textId="5F18B637" w:rsidR="005B0C3F" w:rsidRPr="005B0C3F" w:rsidRDefault="005B0C3F" w:rsidP="005B0C3F">
      <w:pPr>
        <w:spacing w:after="0"/>
        <w:ind w:firstLine="0"/>
        <w:rPr>
          <w:rFonts w:eastAsia="Times New Roman" w:cs="Times New Roman"/>
          <w:i/>
          <w:sz w:val="18"/>
          <w:szCs w:val="24"/>
        </w:rPr>
      </w:pPr>
      <w:r w:rsidRPr="005B0C3F">
        <w:rPr>
          <w:rFonts w:eastAsia="Times New Roman" w:cs="Times New Roman"/>
          <w:i/>
          <w:sz w:val="18"/>
          <w:szCs w:val="24"/>
        </w:rPr>
        <w:t>** 2009.-2011.</w:t>
      </w:r>
      <w:r>
        <w:rPr>
          <w:rFonts w:eastAsia="Times New Roman" w:cs="Times New Roman"/>
          <w:i/>
          <w:sz w:val="18"/>
          <w:szCs w:val="24"/>
        </w:rPr>
        <w:t xml:space="preserve"> </w:t>
      </w:r>
      <w:r w:rsidRPr="005B0C3F">
        <w:rPr>
          <w:rFonts w:eastAsia="Times New Roman" w:cs="Times New Roman"/>
          <w:i/>
          <w:sz w:val="18"/>
          <w:szCs w:val="24"/>
        </w:rPr>
        <w:t>gada starptautiskā aizņēmuma programmas ietvaros</w:t>
      </w:r>
    </w:p>
    <w:p w14:paraId="79045A56" w14:textId="44D09113" w:rsidR="005B0C3F" w:rsidRPr="005B0C3F" w:rsidRDefault="0010115D" w:rsidP="005B0C3F">
      <w:pPr>
        <w:spacing w:before="120" w:after="0"/>
        <w:jc w:val="center"/>
        <w:rPr>
          <w:rFonts w:eastAsia="Times New Roman" w:cs="Times New Roman"/>
          <w:b/>
          <w:szCs w:val="24"/>
        </w:rPr>
      </w:pPr>
      <w:r>
        <w:rPr>
          <w:rFonts w:eastAsia="Times New Roman" w:cs="Times New Roman"/>
          <w:b/>
          <w:szCs w:val="24"/>
        </w:rPr>
        <w:t>4.</w:t>
      </w:r>
      <w:r w:rsidR="005B0C3F" w:rsidRPr="005B0C3F">
        <w:rPr>
          <w:rFonts w:eastAsia="Times New Roman" w:cs="Times New Roman"/>
          <w:b/>
          <w:szCs w:val="24"/>
        </w:rPr>
        <w:t>1.</w:t>
      </w:r>
      <w:r>
        <w:rPr>
          <w:rFonts w:eastAsia="Times New Roman" w:cs="Times New Roman"/>
          <w:b/>
          <w:szCs w:val="24"/>
        </w:rPr>
        <w:t xml:space="preserve"> </w:t>
      </w:r>
      <w:r w:rsidR="005B0C3F" w:rsidRPr="005B0C3F">
        <w:rPr>
          <w:rFonts w:eastAsia="Times New Roman" w:cs="Times New Roman"/>
          <w:b/>
          <w:szCs w:val="24"/>
        </w:rPr>
        <w:t>attēls. Centrālās valdības aizņēmumu atmaksas grafiks</w:t>
      </w:r>
    </w:p>
    <w:p w14:paraId="370A8DE1" w14:textId="62B01CE1" w:rsidR="005B0C3F" w:rsidRPr="005B0C3F" w:rsidRDefault="005B0C3F" w:rsidP="005B0C3F">
      <w:pPr>
        <w:spacing w:after="0"/>
        <w:jc w:val="center"/>
        <w:rPr>
          <w:rFonts w:eastAsia="Times New Roman" w:cs="Times New Roman"/>
          <w:szCs w:val="24"/>
        </w:rPr>
      </w:pPr>
      <w:r w:rsidRPr="005B0C3F">
        <w:rPr>
          <w:rFonts w:eastAsia="Times New Roman" w:cs="Times New Roman"/>
          <w:szCs w:val="24"/>
        </w:rPr>
        <w:t>(līdz 2021.</w:t>
      </w:r>
      <w:r>
        <w:rPr>
          <w:rFonts w:eastAsia="Times New Roman" w:cs="Times New Roman"/>
          <w:szCs w:val="24"/>
        </w:rPr>
        <w:t xml:space="preserve"> </w:t>
      </w:r>
      <w:r w:rsidRPr="005B0C3F">
        <w:rPr>
          <w:rFonts w:eastAsia="Times New Roman" w:cs="Times New Roman"/>
          <w:szCs w:val="24"/>
        </w:rPr>
        <w:t>gada 31.</w:t>
      </w:r>
      <w:r>
        <w:rPr>
          <w:rFonts w:eastAsia="Times New Roman" w:cs="Times New Roman"/>
          <w:szCs w:val="24"/>
        </w:rPr>
        <w:t xml:space="preserve"> </w:t>
      </w:r>
      <w:r w:rsidRPr="005B0C3F">
        <w:rPr>
          <w:rFonts w:eastAsia="Times New Roman" w:cs="Times New Roman"/>
          <w:szCs w:val="24"/>
        </w:rPr>
        <w:t>augustam uzņemtās saistības, nominālvērtībā)</w:t>
      </w:r>
    </w:p>
    <w:p w14:paraId="2AF1B54D" w14:textId="77777777" w:rsidR="005B0C3F" w:rsidRPr="005B0C3F" w:rsidRDefault="005B0C3F" w:rsidP="005B0C3F">
      <w:pPr>
        <w:rPr>
          <w:rFonts w:eastAsia="Times New Roman" w:cs="Times New Roman"/>
          <w:szCs w:val="24"/>
        </w:rPr>
      </w:pPr>
    </w:p>
    <w:p w14:paraId="15C5062B" w14:textId="2F3A3F4C" w:rsidR="005B0C3F" w:rsidRPr="005B0C3F" w:rsidRDefault="005B0C3F" w:rsidP="005B0C3F">
      <w:pPr>
        <w:rPr>
          <w:rFonts w:eastAsia="Times New Roman" w:cs="Times New Roman"/>
          <w:szCs w:val="24"/>
        </w:rPr>
      </w:pPr>
      <w:r w:rsidRPr="005B0C3F">
        <w:rPr>
          <w:rFonts w:eastAsia="Times New Roman" w:cs="Times New Roman"/>
          <w:szCs w:val="24"/>
        </w:rPr>
        <w:t>Atbilstoši aktuālajam novērtējumam, kas sagatavots joprojām lielas nenoteiktības apstākļos, sagaidāms, ka nepieciešamība nodrošināt finanšu resursus valsts apdraudējuma un tā seku novēršanas un pārvarēšanas pasākumiem sakarā ar Covid-19 izplatību izraisīs vispārējās valdības parāda pieaugumu 2021.</w:t>
      </w:r>
      <w:r w:rsidR="00EC73ED">
        <w:rPr>
          <w:rFonts w:eastAsia="Times New Roman" w:cs="Times New Roman"/>
          <w:szCs w:val="24"/>
        </w:rPr>
        <w:t xml:space="preserve"> gadā līdz ~49% no iekšzemes kopprodukta</w:t>
      </w:r>
      <w:r w:rsidRPr="005B0C3F">
        <w:rPr>
          <w:rFonts w:eastAsia="Times New Roman" w:cs="Times New Roman"/>
          <w:szCs w:val="24"/>
        </w:rPr>
        <w:t xml:space="preserve"> un 2022.</w:t>
      </w:r>
      <w:r w:rsidR="00EC73ED">
        <w:rPr>
          <w:rFonts w:eastAsia="Times New Roman" w:cs="Times New Roman"/>
          <w:szCs w:val="24"/>
        </w:rPr>
        <w:t xml:space="preserve"> </w:t>
      </w:r>
      <w:r w:rsidRPr="005B0C3F">
        <w:rPr>
          <w:rFonts w:eastAsia="Times New Roman" w:cs="Times New Roman"/>
          <w:szCs w:val="24"/>
        </w:rPr>
        <w:t xml:space="preserve">gadā līdz ~52% no </w:t>
      </w:r>
      <w:r w:rsidR="00EC73ED">
        <w:rPr>
          <w:rFonts w:eastAsia="Times New Roman" w:cs="Times New Roman"/>
          <w:szCs w:val="24"/>
        </w:rPr>
        <w:t>iekšzemes kopprodukta (skatīt 4.</w:t>
      </w:r>
      <w:r w:rsidRPr="005B0C3F">
        <w:rPr>
          <w:rFonts w:eastAsia="Times New Roman" w:cs="Times New Roman"/>
          <w:szCs w:val="24"/>
        </w:rPr>
        <w:t>2.</w:t>
      </w:r>
      <w:r w:rsidR="00EC73ED">
        <w:rPr>
          <w:rFonts w:eastAsia="Times New Roman" w:cs="Times New Roman"/>
          <w:szCs w:val="24"/>
        </w:rPr>
        <w:t xml:space="preserve"> </w:t>
      </w:r>
      <w:r w:rsidRPr="005B0C3F">
        <w:rPr>
          <w:rFonts w:eastAsia="Times New Roman" w:cs="Times New Roman"/>
          <w:szCs w:val="24"/>
        </w:rPr>
        <w:t>attēlu). Pēc 2022.-2023.</w:t>
      </w:r>
      <w:r w:rsidR="00EC73ED">
        <w:rPr>
          <w:rFonts w:eastAsia="Times New Roman" w:cs="Times New Roman"/>
          <w:szCs w:val="24"/>
        </w:rPr>
        <w:t xml:space="preserve"> </w:t>
      </w:r>
      <w:r w:rsidRPr="005B0C3F">
        <w:rPr>
          <w:rFonts w:eastAsia="Times New Roman" w:cs="Times New Roman"/>
          <w:szCs w:val="24"/>
        </w:rPr>
        <w:t>gadā plānotās valsts parāda atmaksas, kā arī mazinoties Covid-19 uzliesmojuma ietekmei uz valsts budžeta fiskālajiem radītajiem, sagaidāms, ka vispārējās valdības parāda apjoms, sākot ar 2023.</w:t>
      </w:r>
      <w:r w:rsidR="00EC73ED">
        <w:rPr>
          <w:rFonts w:eastAsia="Times New Roman" w:cs="Times New Roman"/>
          <w:szCs w:val="24"/>
        </w:rPr>
        <w:t xml:space="preserve"> </w:t>
      </w:r>
      <w:r w:rsidRPr="005B0C3F">
        <w:rPr>
          <w:rFonts w:eastAsia="Times New Roman" w:cs="Times New Roman"/>
          <w:szCs w:val="24"/>
        </w:rPr>
        <w:t xml:space="preserve">gadu nedaudz samazināsies un </w:t>
      </w:r>
      <w:r w:rsidR="00EC73ED">
        <w:rPr>
          <w:rFonts w:eastAsia="Times New Roman" w:cs="Times New Roman"/>
          <w:szCs w:val="24"/>
        </w:rPr>
        <w:t>stabilizēsies attiecībā pret iekšzemes kopproduktu vidējā termiņā (skatīt</w:t>
      </w:r>
      <w:r w:rsidRPr="005B0C3F">
        <w:rPr>
          <w:rFonts w:eastAsia="Times New Roman" w:cs="Times New Roman"/>
          <w:szCs w:val="24"/>
        </w:rPr>
        <w:t xml:space="preserve"> 2.</w:t>
      </w:r>
      <w:r w:rsidR="00EC73ED">
        <w:rPr>
          <w:rFonts w:eastAsia="Times New Roman" w:cs="Times New Roman"/>
          <w:szCs w:val="24"/>
        </w:rPr>
        <w:t xml:space="preserve"> </w:t>
      </w:r>
      <w:r w:rsidRPr="005B0C3F">
        <w:rPr>
          <w:rFonts w:eastAsia="Times New Roman" w:cs="Times New Roman"/>
          <w:szCs w:val="24"/>
        </w:rPr>
        <w:t>att</w:t>
      </w:r>
      <w:r w:rsidR="00EC73ED">
        <w:rPr>
          <w:rFonts w:eastAsia="Times New Roman" w:cs="Times New Roman"/>
          <w:szCs w:val="24"/>
        </w:rPr>
        <w:t>ēlu</w:t>
      </w:r>
      <w:r w:rsidRPr="005B0C3F">
        <w:rPr>
          <w:rFonts w:eastAsia="Times New Roman" w:cs="Times New Roman"/>
          <w:szCs w:val="24"/>
        </w:rPr>
        <w:t>). Saskaņā ar Eiropas kontu sistēmas metodoloģiju vispārējās valdības institucionālajā sektorā iekļauto uzņēmumu parāda tendenču ietekme uz vispārējās valdības parāda izmaiņām vēsturiski nav bijusi būtiska. Sagaidāms, ka vispārējās valdības institucionālajā sektorā iekļauto uzņēmumu parāda saistību īpatsvars vispārējās valdības parāda kopējā apjomā vidējā termiņā joprojām svārstīsies ap 5%.</w:t>
      </w:r>
    </w:p>
    <w:p w14:paraId="428A6621" w14:textId="77777777" w:rsidR="005B0C3F" w:rsidRPr="005B0C3F" w:rsidRDefault="005B0C3F" w:rsidP="005B0C3F">
      <w:pPr>
        <w:rPr>
          <w:rFonts w:eastAsia="Times New Roman" w:cs="Times New Roman"/>
          <w:szCs w:val="24"/>
        </w:rPr>
      </w:pPr>
    </w:p>
    <w:p w14:paraId="527CD6E8" w14:textId="77777777" w:rsidR="005B0C3F" w:rsidRPr="005B0C3F" w:rsidRDefault="005B0C3F" w:rsidP="005B0C3F">
      <w:pPr>
        <w:spacing w:after="0"/>
        <w:jc w:val="center"/>
        <w:rPr>
          <w:rFonts w:eastAsia="Times New Roman" w:cs="Times New Roman"/>
          <w:szCs w:val="24"/>
          <w:highlight w:val="yellow"/>
        </w:rPr>
      </w:pPr>
      <w:r w:rsidRPr="005B0C3F">
        <w:rPr>
          <w:noProof/>
          <w:szCs w:val="24"/>
        </w:rPr>
        <w:lastRenderedPageBreak/>
        <w:drawing>
          <wp:inline distT="0" distB="0" distL="0" distR="0" wp14:anchorId="56E7A0A3" wp14:editId="0F0A6AA7">
            <wp:extent cx="3448127" cy="177252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463688" cy="1780528"/>
                    </a:xfrm>
                    <a:prstGeom prst="rect">
                      <a:avLst/>
                    </a:prstGeom>
                  </pic:spPr>
                </pic:pic>
              </a:graphicData>
            </a:graphic>
          </wp:inline>
        </w:drawing>
      </w:r>
    </w:p>
    <w:p w14:paraId="1A4D50BC" w14:textId="77777777" w:rsidR="005B0C3F" w:rsidRPr="005B0C3F" w:rsidRDefault="005B0C3F" w:rsidP="005B0C3F">
      <w:pPr>
        <w:spacing w:after="0"/>
        <w:jc w:val="center"/>
        <w:rPr>
          <w:rFonts w:eastAsia="Times New Roman" w:cs="Times New Roman"/>
          <w:b/>
          <w:i/>
          <w:szCs w:val="24"/>
        </w:rPr>
      </w:pPr>
    </w:p>
    <w:p w14:paraId="231EF698" w14:textId="0153E683" w:rsidR="005B0C3F" w:rsidRPr="00EC73ED" w:rsidRDefault="00EC73ED" w:rsidP="005B0C3F">
      <w:pPr>
        <w:spacing w:after="0"/>
        <w:jc w:val="center"/>
        <w:rPr>
          <w:rFonts w:eastAsia="Times New Roman" w:cs="Times New Roman"/>
          <w:b/>
          <w:szCs w:val="24"/>
        </w:rPr>
      </w:pPr>
      <w:r w:rsidRPr="00EC73ED">
        <w:rPr>
          <w:rFonts w:eastAsia="Times New Roman" w:cs="Times New Roman"/>
          <w:b/>
          <w:szCs w:val="24"/>
        </w:rPr>
        <w:t>4.2. attēls</w:t>
      </w:r>
      <w:r w:rsidR="005B0C3F" w:rsidRPr="00EC73ED">
        <w:rPr>
          <w:rFonts w:eastAsia="Times New Roman" w:cs="Times New Roman"/>
          <w:b/>
          <w:szCs w:val="24"/>
        </w:rPr>
        <w:t>. Vispārējās valdības parāda attīstības tendences</w:t>
      </w:r>
    </w:p>
    <w:p w14:paraId="75E6E4D4" w14:textId="3C956E74" w:rsidR="005B0C3F" w:rsidRPr="005B0C3F" w:rsidRDefault="005B0C3F" w:rsidP="005B0C3F">
      <w:pPr>
        <w:spacing w:after="0"/>
        <w:jc w:val="center"/>
        <w:rPr>
          <w:rFonts w:eastAsia="Times New Roman" w:cs="Times New Roman"/>
          <w:szCs w:val="24"/>
        </w:rPr>
      </w:pPr>
      <w:r w:rsidRPr="005B0C3F">
        <w:rPr>
          <w:rFonts w:eastAsia="Times New Roman" w:cs="Times New Roman"/>
          <w:szCs w:val="24"/>
        </w:rPr>
        <w:t>(pēc Eiropas kontu sistē</w:t>
      </w:r>
      <w:r w:rsidR="00EC73ED">
        <w:rPr>
          <w:rFonts w:eastAsia="Times New Roman" w:cs="Times New Roman"/>
          <w:szCs w:val="24"/>
        </w:rPr>
        <w:t>mas 2010 metodoloģijas, % no iekšzemes kopprodukta</w:t>
      </w:r>
      <w:r w:rsidRPr="005B0C3F">
        <w:rPr>
          <w:rFonts w:eastAsia="Times New Roman" w:cs="Times New Roman"/>
          <w:szCs w:val="24"/>
        </w:rPr>
        <w:t>)</w:t>
      </w:r>
    </w:p>
    <w:p w14:paraId="35E5A163" w14:textId="77777777" w:rsidR="005B0C3F" w:rsidRPr="005B0C3F" w:rsidRDefault="005B0C3F" w:rsidP="005B0C3F">
      <w:pPr>
        <w:rPr>
          <w:rFonts w:eastAsia="Times New Roman" w:cs="Times New Roman"/>
          <w:szCs w:val="24"/>
        </w:rPr>
      </w:pPr>
    </w:p>
    <w:p w14:paraId="456D1CEB" w14:textId="4D5FD80C" w:rsidR="005B0C3F" w:rsidRPr="005B0C3F" w:rsidRDefault="005B0C3F" w:rsidP="005B0C3F">
      <w:pPr>
        <w:rPr>
          <w:rFonts w:eastAsia="Times New Roman" w:cs="Times New Roman"/>
          <w:szCs w:val="24"/>
        </w:rPr>
      </w:pPr>
      <w:r w:rsidRPr="005B0C3F">
        <w:rPr>
          <w:rFonts w:eastAsia="Times New Roman" w:cs="Times New Roman"/>
          <w:szCs w:val="24"/>
        </w:rPr>
        <w:t>Neskatoties uz vispārējās valdības parāda līmeņa pieaugumu, ko ir ietekmējusi ar Covid-19 saistīto pasākumu finansēšanas nepieciešamība, tas nerada risku vispārējās valdības parāda ilgtspējai vidējā termiņā un ilgtermiņā un sagaidāms, ka gan 2021.</w:t>
      </w:r>
      <w:r w:rsidR="00EC73ED">
        <w:rPr>
          <w:rFonts w:eastAsia="Times New Roman" w:cs="Times New Roman"/>
          <w:szCs w:val="24"/>
        </w:rPr>
        <w:t xml:space="preserve"> </w:t>
      </w:r>
      <w:r w:rsidRPr="005B0C3F">
        <w:rPr>
          <w:rFonts w:eastAsia="Times New Roman" w:cs="Times New Roman"/>
          <w:szCs w:val="24"/>
        </w:rPr>
        <w:t xml:space="preserve">gadā, gan vidējā termiņā </w:t>
      </w:r>
      <w:r w:rsidR="00EC73ED">
        <w:rPr>
          <w:rFonts w:eastAsia="Times New Roman" w:cs="Times New Roman"/>
          <w:szCs w:val="24"/>
        </w:rPr>
        <w:t>likumā “Fiskālās disciplīnas likums”</w:t>
      </w:r>
      <w:r w:rsidRPr="005B0C3F">
        <w:rPr>
          <w:rFonts w:eastAsia="Times New Roman" w:cs="Times New Roman"/>
          <w:szCs w:val="24"/>
        </w:rPr>
        <w:t xml:space="preserve"> noteiktais parāda nosacījums tiks ievērots. </w:t>
      </w:r>
    </w:p>
    <w:p w14:paraId="59B7C887" w14:textId="77777777" w:rsidR="005B0C3F" w:rsidRPr="005B0C3F" w:rsidRDefault="005B0C3F" w:rsidP="005B0C3F"/>
    <w:p w14:paraId="77B4D59E" w14:textId="77777777" w:rsidR="003F3FCD" w:rsidRDefault="003F3FCD" w:rsidP="00401A5B">
      <w:pPr>
        <w:widowControl w:val="0"/>
        <w:rPr>
          <w:rFonts w:eastAsia="Times New Roman" w:cs="Times New Roman"/>
        </w:rPr>
      </w:pPr>
    </w:p>
    <w:p w14:paraId="04D38F6D" w14:textId="77777777" w:rsidR="001C5161" w:rsidRDefault="001C5161" w:rsidP="00401A5B">
      <w:pPr>
        <w:widowControl w:val="0"/>
        <w:rPr>
          <w:rFonts w:eastAsia="Times New Roman" w:cs="Times New Roman"/>
        </w:rPr>
      </w:pPr>
    </w:p>
    <w:p w14:paraId="4331EF8F" w14:textId="77777777" w:rsidR="001C5161" w:rsidRDefault="001C5161" w:rsidP="00401A5B">
      <w:pPr>
        <w:widowControl w:val="0"/>
        <w:rPr>
          <w:rFonts w:eastAsia="Times New Roman" w:cs="Times New Roman"/>
        </w:rPr>
      </w:pPr>
    </w:p>
    <w:p w14:paraId="6DC02C2B" w14:textId="77777777" w:rsidR="001C5161" w:rsidRDefault="001C5161" w:rsidP="00401A5B">
      <w:pPr>
        <w:widowControl w:val="0"/>
        <w:rPr>
          <w:rFonts w:eastAsia="Times New Roman" w:cs="Times New Roman"/>
        </w:rPr>
      </w:pPr>
    </w:p>
    <w:p w14:paraId="006B6B0E" w14:textId="77777777" w:rsidR="001C5161" w:rsidRDefault="001C5161" w:rsidP="00401A5B">
      <w:pPr>
        <w:widowControl w:val="0"/>
        <w:rPr>
          <w:rFonts w:eastAsia="Times New Roman" w:cs="Times New Roman"/>
        </w:rPr>
      </w:pPr>
    </w:p>
    <w:p w14:paraId="33F6AE43" w14:textId="77777777" w:rsidR="001C5161" w:rsidRDefault="001C5161" w:rsidP="00401A5B">
      <w:pPr>
        <w:widowControl w:val="0"/>
        <w:rPr>
          <w:rFonts w:eastAsia="Times New Roman" w:cs="Times New Roman"/>
        </w:rPr>
      </w:pPr>
    </w:p>
    <w:p w14:paraId="19880055" w14:textId="77777777" w:rsidR="001C5161" w:rsidRDefault="001C5161" w:rsidP="00401A5B">
      <w:pPr>
        <w:widowControl w:val="0"/>
        <w:rPr>
          <w:rFonts w:eastAsia="Times New Roman" w:cs="Times New Roman"/>
        </w:rPr>
      </w:pPr>
    </w:p>
    <w:p w14:paraId="11818081" w14:textId="77777777" w:rsidR="001C5161" w:rsidRDefault="001C5161" w:rsidP="00401A5B">
      <w:pPr>
        <w:widowControl w:val="0"/>
        <w:rPr>
          <w:rFonts w:eastAsia="Times New Roman" w:cs="Times New Roman"/>
        </w:rPr>
      </w:pPr>
    </w:p>
    <w:p w14:paraId="302B98DD" w14:textId="77777777" w:rsidR="001C5161" w:rsidRDefault="001C5161" w:rsidP="00401A5B">
      <w:pPr>
        <w:widowControl w:val="0"/>
        <w:rPr>
          <w:rFonts w:eastAsia="Times New Roman" w:cs="Times New Roman"/>
        </w:rPr>
      </w:pPr>
    </w:p>
    <w:p w14:paraId="139416C4" w14:textId="77777777" w:rsidR="001C5161" w:rsidRDefault="001C5161" w:rsidP="00401A5B">
      <w:pPr>
        <w:widowControl w:val="0"/>
        <w:rPr>
          <w:rFonts w:eastAsia="Times New Roman" w:cs="Times New Roman"/>
        </w:rPr>
      </w:pPr>
    </w:p>
    <w:p w14:paraId="333A0913" w14:textId="77777777" w:rsidR="001C5161" w:rsidRDefault="001C5161" w:rsidP="00401A5B">
      <w:pPr>
        <w:widowControl w:val="0"/>
        <w:rPr>
          <w:rFonts w:eastAsia="Times New Roman" w:cs="Times New Roman"/>
        </w:rPr>
      </w:pPr>
    </w:p>
    <w:p w14:paraId="547AF202" w14:textId="77777777" w:rsidR="001C5161" w:rsidRDefault="001C5161" w:rsidP="00401A5B">
      <w:pPr>
        <w:widowControl w:val="0"/>
        <w:rPr>
          <w:rFonts w:eastAsia="Times New Roman" w:cs="Times New Roman"/>
        </w:rPr>
      </w:pPr>
    </w:p>
    <w:p w14:paraId="0BA31F98" w14:textId="77777777" w:rsidR="001C5161" w:rsidRDefault="001C5161" w:rsidP="00401A5B">
      <w:pPr>
        <w:widowControl w:val="0"/>
        <w:rPr>
          <w:rFonts w:eastAsia="Times New Roman" w:cs="Times New Roman"/>
        </w:rPr>
      </w:pPr>
    </w:p>
    <w:p w14:paraId="0BFFB262" w14:textId="77777777" w:rsidR="001C5161" w:rsidRDefault="001C5161" w:rsidP="00401A5B">
      <w:pPr>
        <w:widowControl w:val="0"/>
        <w:rPr>
          <w:rFonts w:eastAsia="Times New Roman" w:cs="Times New Roman"/>
        </w:rPr>
      </w:pPr>
    </w:p>
    <w:p w14:paraId="6B6B1ADD" w14:textId="77777777" w:rsidR="001C5161" w:rsidRDefault="001C5161" w:rsidP="00401A5B">
      <w:pPr>
        <w:widowControl w:val="0"/>
        <w:rPr>
          <w:rFonts w:ascii="Calibri" w:eastAsia="Calibri" w:hAnsi="Calibri" w:cs="Calibri"/>
        </w:rPr>
      </w:pPr>
    </w:p>
    <w:p w14:paraId="06F27225" w14:textId="77777777" w:rsidR="001C5161" w:rsidRDefault="001C5161" w:rsidP="00401A5B">
      <w:pPr>
        <w:pStyle w:val="Heading1"/>
        <w:spacing w:before="0"/>
        <w:jc w:val="center"/>
        <w:rPr>
          <w:rFonts w:eastAsia="Times New Roman" w:cs="Times New Roman"/>
        </w:rPr>
        <w:sectPr w:rsidR="001C5161" w:rsidSect="0060325A">
          <w:headerReference w:type="default" r:id="rId68"/>
          <w:footerReference w:type="default" r:id="rId69"/>
          <w:pgSz w:w="11906" w:h="16838" w:code="9"/>
          <w:pgMar w:top="1418" w:right="1134" w:bottom="1134" w:left="1701" w:header="709" w:footer="709" w:gutter="0"/>
          <w:cols w:space="708"/>
          <w:titlePg/>
          <w:docGrid w:linePitch="360"/>
        </w:sectPr>
      </w:pPr>
    </w:p>
    <w:p w14:paraId="63C7E6F3" w14:textId="77777777" w:rsidR="003C0B3A" w:rsidRDefault="003C0B3A" w:rsidP="00401A5B">
      <w:pPr>
        <w:pStyle w:val="Heading1"/>
        <w:spacing w:before="0"/>
        <w:jc w:val="center"/>
        <w:rPr>
          <w:rFonts w:eastAsia="Times New Roman" w:cs="Times New Roman"/>
        </w:rPr>
      </w:pPr>
    </w:p>
    <w:p w14:paraId="656BD920" w14:textId="77777777" w:rsidR="003C0B3A" w:rsidRDefault="003C0B3A" w:rsidP="00401A5B">
      <w:pPr>
        <w:pStyle w:val="Heading1"/>
        <w:spacing w:before="0"/>
        <w:jc w:val="center"/>
        <w:rPr>
          <w:rFonts w:eastAsia="Times New Roman" w:cs="Times New Roman"/>
        </w:rPr>
      </w:pPr>
    </w:p>
    <w:p w14:paraId="340B7D82" w14:textId="3C0D84E3" w:rsidR="003C0B3A" w:rsidRDefault="003C0B3A" w:rsidP="00401A5B">
      <w:pPr>
        <w:pStyle w:val="Heading1"/>
        <w:spacing w:before="0"/>
        <w:jc w:val="center"/>
        <w:rPr>
          <w:rFonts w:eastAsia="Times New Roman" w:cs="Times New Roman"/>
        </w:rPr>
      </w:pPr>
    </w:p>
    <w:p w14:paraId="6DAFBD2C" w14:textId="25BFA752" w:rsidR="003C0B3A" w:rsidRDefault="003C0B3A" w:rsidP="00401A5B"/>
    <w:p w14:paraId="4482B3E2" w14:textId="1D749EF1" w:rsidR="003C0B3A" w:rsidRDefault="003C0B3A" w:rsidP="00401A5B"/>
    <w:p w14:paraId="2159557F" w14:textId="77D732F1" w:rsidR="000F6C00" w:rsidRDefault="000F6C00" w:rsidP="00B00E62">
      <w:pPr>
        <w:pStyle w:val="Heading1"/>
        <w:spacing w:before="0"/>
        <w:rPr>
          <w:rFonts w:eastAsia="Times New Roman" w:cs="Times New Roman"/>
        </w:rPr>
      </w:pPr>
    </w:p>
    <w:p w14:paraId="1E11B19C" w14:textId="094E7133" w:rsidR="003F3FCD" w:rsidRPr="00B00E62" w:rsidRDefault="000548A5" w:rsidP="00B00E62">
      <w:pPr>
        <w:pStyle w:val="Heading1"/>
        <w:jc w:val="center"/>
      </w:pPr>
      <w:bookmarkStart w:id="89" w:name="_Toc84756433"/>
      <w:r w:rsidRPr="00B00E62">
        <w:t>Pielikumi</w:t>
      </w:r>
      <w:bookmarkEnd w:id="89"/>
    </w:p>
    <w:p w14:paraId="4D3DB797" w14:textId="07D0CDE6" w:rsidR="003C0B3A" w:rsidRDefault="003C0B3A" w:rsidP="00401A5B"/>
    <w:p w14:paraId="70779D36" w14:textId="6D522451" w:rsidR="003C0B3A" w:rsidRDefault="003C0B3A" w:rsidP="00401A5B"/>
    <w:p w14:paraId="2CED8FE9" w14:textId="7C49FFC1" w:rsidR="00FB2B77" w:rsidRPr="00FD5F28" w:rsidRDefault="00FB2B77" w:rsidP="00095088">
      <w:pPr>
        <w:widowControl w:val="0"/>
        <w:ind w:firstLine="0"/>
        <w:rPr>
          <w:rFonts w:eastAsia="Times New Roman" w:cs="Times New Roman"/>
          <w:b/>
          <w:color w:val="000000"/>
          <w:sz w:val="28"/>
          <w:szCs w:val="28"/>
        </w:rPr>
      </w:pPr>
    </w:p>
    <w:p w14:paraId="700BF138" w14:textId="07350AC1" w:rsidR="00C404D5" w:rsidRDefault="00C404D5" w:rsidP="00FB2B77">
      <w:pPr>
        <w:widowControl w:val="0"/>
        <w:rPr>
          <w:rFonts w:eastAsia="Times New Roman" w:cs="Times New Roman"/>
          <w:i/>
          <w:color w:val="000000"/>
          <w:sz w:val="20"/>
        </w:rPr>
      </w:pPr>
    </w:p>
    <w:p w14:paraId="18EA42F1" w14:textId="039D2468" w:rsidR="00B00E62" w:rsidRDefault="00B00E62" w:rsidP="00FB2B77">
      <w:pPr>
        <w:widowControl w:val="0"/>
        <w:rPr>
          <w:rFonts w:eastAsia="Times New Roman" w:cs="Times New Roman"/>
          <w:i/>
          <w:color w:val="000000"/>
          <w:sz w:val="20"/>
        </w:rPr>
      </w:pPr>
    </w:p>
    <w:p w14:paraId="3E8A6CFE" w14:textId="4A460EF6" w:rsidR="00B00E62" w:rsidRDefault="00B00E62" w:rsidP="00FB2B77">
      <w:pPr>
        <w:widowControl w:val="0"/>
        <w:rPr>
          <w:rFonts w:eastAsia="Times New Roman" w:cs="Times New Roman"/>
          <w:i/>
          <w:color w:val="000000"/>
          <w:sz w:val="20"/>
        </w:rPr>
      </w:pPr>
    </w:p>
    <w:p w14:paraId="7CB8D6A5" w14:textId="6CC2B7A4" w:rsidR="00B00E62" w:rsidRDefault="00B00E62" w:rsidP="00FB2B77">
      <w:pPr>
        <w:widowControl w:val="0"/>
        <w:rPr>
          <w:rFonts w:eastAsia="Times New Roman" w:cs="Times New Roman"/>
          <w:i/>
          <w:color w:val="000000"/>
          <w:sz w:val="20"/>
        </w:rPr>
      </w:pPr>
    </w:p>
    <w:p w14:paraId="050BF250" w14:textId="70F40B0B" w:rsidR="00B00E62" w:rsidRDefault="00B00E62" w:rsidP="00FB2B77">
      <w:pPr>
        <w:widowControl w:val="0"/>
        <w:rPr>
          <w:rFonts w:eastAsia="Times New Roman" w:cs="Times New Roman"/>
          <w:i/>
          <w:color w:val="000000"/>
          <w:sz w:val="20"/>
        </w:rPr>
      </w:pPr>
    </w:p>
    <w:p w14:paraId="5D58984F" w14:textId="1F16E26D" w:rsidR="00B00E62" w:rsidRDefault="00B00E62" w:rsidP="00FB2B77">
      <w:pPr>
        <w:widowControl w:val="0"/>
        <w:rPr>
          <w:rFonts w:eastAsia="Times New Roman" w:cs="Times New Roman"/>
          <w:i/>
          <w:color w:val="000000"/>
          <w:sz w:val="20"/>
        </w:rPr>
      </w:pPr>
    </w:p>
    <w:p w14:paraId="4BF937AE" w14:textId="467C4DE2" w:rsidR="00B00E62" w:rsidRDefault="00B00E62" w:rsidP="00FB2B77">
      <w:pPr>
        <w:widowControl w:val="0"/>
        <w:rPr>
          <w:rFonts w:eastAsia="Times New Roman" w:cs="Times New Roman"/>
          <w:i/>
          <w:color w:val="000000"/>
          <w:sz w:val="20"/>
        </w:rPr>
      </w:pPr>
    </w:p>
    <w:p w14:paraId="29C4BE94" w14:textId="58B4E8FA" w:rsidR="00B00E62" w:rsidRDefault="00B00E62" w:rsidP="00FB2B77">
      <w:pPr>
        <w:widowControl w:val="0"/>
        <w:rPr>
          <w:rFonts w:eastAsia="Times New Roman" w:cs="Times New Roman"/>
          <w:i/>
          <w:color w:val="000000"/>
          <w:sz w:val="20"/>
        </w:rPr>
      </w:pPr>
    </w:p>
    <w:p w14:paraId="2F5A9DAE" w14:textId="77777777" w:rsidR="00B00E62" w:rsidRPr="00FB2B77" w:rsidRDefault="00B00E62" w:rsidP="00FB2B77">
      <w:pPr>
        <w:widowControl w:val="0"/>
        <w:rPr>
          <w:rFonts w:eastAsia="Times New Roman" w:cs="Times New Roman"/>
          <w:i/>
          <w:color w:val="000000"/>
          <w:sz w:val="20"/>
        </w:rPr>
      </w:pPr>
    </w:p>
    <w:p w14:paraId="077C2162" w14:textId="26F48935" w:rsidR="003C0B3A" w:rsidRPr="001D773D" w:rsidRDefault="00095088" w:rsidP="00401A5B">
      <w:pPr>
        <w:widowControl w:val="0"/>
        <w:jc w:val="right"/>
        <w:rPr>
          <w:rFonts w:eastAsia="Times New Roman" w:cs="Times New Roman"/>
          <w:color w:val="000000"/>
        </w:rPr>
      </w:pPr>
      <w:r w:rsidRPr="001D773D">
        <w:rPr>
          <w:rFonts w:eastAsia="Times New Roman" w:cs="Times New Roman"/>
          <w:color w:val="000000"/>
        </w:rPr>
        <w:lastRenderedPageBreak/>
        <w:t>1</w:t>
      </w:r>
      <w:r w:rsidR="004F391E" w:rsidRPr="001D773D">
        <w:rPr>
          <w:rFonts w:eastAsia="Times New Roman" w:cs="Times New Roman"/>
          <w:color w:val="000000"/>
        </w:rPr>
        <w:t>.</w:t>
      </w:r>
      <w:r w:rsidRPr="001D773D">
        <w:rPr>
          <w:rFonts w:eastAsia="Times New Roman" w:cs="Times New Roman"/>
          <w:color w:val="000000"/>
        </w:rPr>
        <w:t xml:space="preserve"> </w:t>
      </w:r>
      <w:r w:rsidR="004F391E" w:rsidRPr="001D773D">
        <w:rPr>
          <w:rFonts w:eastAsia="Times New Roman" w:cs="Times New Roman"/>
          <w:color w:val="000000"/>
        </w:rPr>
        <w:t>pielikums</w:t>
      </w:r>
    </w:p>
    <w:p w14:paraId="425035D8" w14:textId="43470816" w:rsidR="004F391E" w:rsidRPr="003A0BFD" w:rsidRDefault="004F391E" w:rsidP="003A0BFD">
      <w:pPr>
        <w:widowControl w:val="0"/>
        <w:jc w:val="right"/>
        <w:rPr>
          <w:rFonts w:eastAsia="Times New Roman" w:cs="Times New Roman"/>
          <w:b/>
          <w:color w:val="000000"/>
          <w:sz w:val="28"/>
        </w:rPr>
      </w:pPr>
      <w:r w:rsidRPr="001D773D">
        <w:rPr>
          <w:rFonts w:eastAsia="Times New Roman" w:cs="Times New Roman"/>
          <w:b/>
          <w:color w:val="000000"/>
        </w:rPr>
        <w:t>Vispārējā valdības sektorā iekļauto kapitālsabiedrību faktiskā ietekme uz vispārējās valdības B.9 neto aizdevumiem(+)/ neto aizņēmumiem(-) un parādu</w:t>
      </w:r>
    </w:p>
    <w:tbl>
      <w:tblPr>
        <w:tblW w:w="14064" w:type="dxa"/>
        <w:tblInd w:w="-30" w:type="dxa"/>
        <w:tblLayout w:type="fixed"/>
        <w:tblLook w:val="0000" w:firstRow="0" w:lastRow="0" w:firstColumn="0" w:lastColumn="0" w:noHBand="0" w:noVBand="0"/>
      </w:tblPr>
      <w:tblGrid>
        <w:gridCol w:w="1865"/>
        <w:gridCol w:w="2418"/>
        <w:gridCol w:w="2410"/>
        <w:gridCol w:w="2409"/>
        <w:gridCol w:w="2552"/>
        <w:gridCol w:w="2410"/>
      </w:tblGrid>
      <w:tr w:rsidR="005D494D" w:rsidRPr="003A0BFD" w14:paraId="054EEB2D" w14:textId="77777777" w:rsidTr="003A0BFD">
        <w:trPr>
          <w:trHeight w:val="262"/>
        </w:trPr>
        <w:tc>
          <w:tcPr>
            <w:tcW w:w="1865" w:type="dxa"/>
            <w:tcBorders>
              <w:top w:val="nil"/>
              <w:left w:val="nil"/>
              <w:bottom w:val="single" w:sz="4" w:space="0" w:color="auto"/>
              <w:right w:val="nil"/>
            </w:tcBorders>
          </w:tcPr>
          <w:p w14:paraId="71012042"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18" w:type="dxa"/>
            <w:tcBorders>
              <w:top w:val="nil"/>
              <w:left w:val="nil"/>
              <w:bottom w:val="single" w:sz="4" w:space="0" w:color="auto"/>
              <w:right w:val="nil"/>
            </w:tcBorders>
          </w:tcPr>
          <w:p w14:paraId="533F66E2"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10" w:type="dxa"/>
            <w:tcBorders>
              <w:top w:val="nil"/>
              <w:left w:val="nil"/>
              <w:bottom w:val="single" w:sz="4" w:space="0" w:color="auto"/>
              <w:right w:val="nil"/>
            </w:tcBorders>
          </w:tcPr>
          <w:p w14:paraId="425ABCF3"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09" w:type="dxa"/>
            <w:tcBorders>
              <w:top w:val="nil"/>
              <w:left w:val="nil"/>
              <w:bottom w:val="single" w:sz="4" w:space="0" w:color="auto"/>
              <w:right w:val="nil"/>
            </w:tcBorders>
          </w:tcPr>
          <w:p w14:paraId="2E0F8FBE"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552" w:type="dxa"/>
            <w:tcBorders>
              <w:top w:val="nil"/>
              <w:left w:val="nil"/>
              <w:bottom w:val="single" w:sz="4" w:space="0" w:color="auto"/>
              <w:right w:val="nil"/>
            </w:tcBorders>
          </w:tcPr>
          <w:p w14:paraId="260A4138"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10" w:type="dxa"/>
            <w:tcBorders>
              <w:top w:val="nil"/>
              <w:left w:val="nil"/>
              <w:bottom w:val="single" w:sz="4" w:space="0" w:color="auto"/>
              <w:right w:val="nil"/>
            </w:tcBorders>
          </w:tcPr>
          <w:p w14:paraId="7274C8F9" w14:textId="77777777" w:rsidR="007957DF" w:rsidRPr="003A0BFD" w:rsidRDefault="007957DF" w:rsidP="007957DF">
            <w:pPr>
              <w:autoSpaceDE w:val="0"/>
              <w:autoSpaceDN w:val="0"/>
              <w:adjustRightInd w:val="0"/>
              <w:spacing w:after="0"/>
              <w:ind w:firstLine="0"/>
              <w:jc w:val="right"/>
              <w:rPr>
                <w:rFonts w:cs="Times New Roman"/>
                <w:i/>
                <w:iCs/>
                <w:color w:val="000000"/>
                <w:sz w:val="18"/>
                <w:szCs w:val="18"/>
              </w:rPr>
            </w:pPr>
            <w:r w:rsidRPr="003A0BFD">
              <w:rPr>
                <w:rFonts w:cs="Times New Roman"/>
                <w:color w:val="000000"/>
                <w:sz w:val="18"/>
                <w:szCs w:val="18"/>
              </w:rPr>
              <w:t xml:space="preserve">milj. </w:t>
            </w:r>
            <w:r w:rsidRPr="003A0BFD">
              <w:rPr>
                <w:rFonts w:cs="Times New Roman"/>
                <w:i/>
                <w:iCs/>
                <w:color w:val="000000"/>
                <w:sz w:val="18"/>
                <w:szCs w:val="18"/>
              </w:rPr>
              <w:t>euro</w:t>
            </w:r>
          </w:p>
        </w:tc>
      </w:tr>
      <w:tr w:rsidR="005D494D" w:rsidRPr="003A0BFD" w14:paraId="41B5E444" w14:textId="77777777" w:rsidTr="003A0BFD">
        <w:trPr>
          <w:trHeight w:val="1165"/>
        </w:trPr>
        <w:tc>
          <w:tcPr>
            <w:tcW w:w="186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3FA0D46C"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18"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1801FA1F" w14:textId="77777777" w:rsidR="007957DF" w:rsidRPr="003A0BFD" w:rsidRDefault="007957DF" w:rsidP="007957DF">
            <w:pPr>
              <w:autoSpaceDE w:val="0"/>
              <w:autoSpaceDN w:val="0"/>
              <w:adjustRightInd w:val="0"/>
              <w:spacing w:after="0"/>
              <w:ind w:firstLine="0"/>
              <w:jc w:val="center"/>
              <w:rPr>
                <w:rFonts w:cs="Times New Roman"/>
                <w:color w:val="000000"/>
                <w:sz w:val="18"/>
                <w:szCs w:val="18"/>
              </w:rPr>
            </w:pPr>
            <w:r w:rsidRPr="003A0BFD">
              <w:rPr>
                <w:rFonts w:cs="Times New Roman"/>
                <w:color w:val="000000"/>
                <w:sz w:val="18"/>
                <w:szCs w:val="18"/>
              </w:rPr>
              <w:t>Ieņēmumi</w:t>
            </w:r>
          </w:p>
        </w:tc>
        <w:tc>
          <w:tcPr>
            <w:tcW w:w="241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1EE5244C" w14:textId="77777777" w:rsidR="007957DF" w:rsidRPr="003A0BFD" w:rsidRDefault="007957DF" w:rsidP="007957DF">
            <w:pPr>
              <w:autoSpaceDE w:val="0"/>
              <w:autoSpaceDN w:val="0"/>
              <w:adjustRightInd w:val="0"/>
              <w:spacing w:after="0"/>
              <w:ind w:firstLine="0"/>
              <w:jc w:val="center"/>
              <w:rPr>
                <w:rFonts w:cs="Times New Roman"/>
                <w:color w:val="000000"/>
                <w:sz w:val="18"/>
                <w:szCs w:val="18"/>
              </w:rPr>
            </w:pPr>
            <w:r w:rsidRPr="003A0BFD">
              <w:rPr>
                <w:rFonts w:cs="Times New Roman"/>
                <w:color w:val="000000"/>
                <w:sz w:val="18"/>
                <w:szCs w:val="18"/>
              </w:rPr>
              <w:t>t.sk. ieņēmumu pozīcijas korekcija par ES fondu finansējuma izlietojumu</w:t>
            </w:r>
          </w:p>
        </w:tc>
        <w:tc>
          <w:tcPr>
            <w:tcW w:w="2409"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7AE3174" w14:textId="77777777" w:rsidR="007957DF" w:rsidRPr="003A0BFD" w:rsidRDefault="007957DF" w:rsidP="007957DF">
            <w:pPr>
              <w:autoSpaceDE w:val="0"/>
              <w:autoSpaceDN w:val="0"/>
              <w:adjustRightInd w:val="0"/>
              <w:spacing w:after="0"/>
              <w:ind w:firstLine="0"/>
              <w:jc w:val="center"/>
              <w:rPr>
                <w:rFonts w:cs="Times New Roman"/>
                <w:color w:val="000000"/>
                <w:sz w:val="18"/>
                <w:szCs w:val="18"/>
              </w:rPr>
            </w:pPr>
            <w:r w:rsidRPr="003A0BFD">
              <w:rPr>
                <w:rFonts w:cs="Times New Roman"/>
                <w:color w:val="000000"/>
                <w:sz w:val="18"/>
                <w:szCs w:val="18"/>
              </w:rPr>
              <w:t>Izdevumi</w:t>
            </w:r>
          </w:p>
        </w:tc>
        <w:tc>
          <w:tcPr>
            <w:tcW w:w="2552"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0AC11AC" w14:textId="77777777" w:rsidR="007957DF" w:rsidRPr="003A0BFD" w:rsidRDefault="007957DF" w:rsidP="007957DF">
            <w:pPr>
              <w:autoSpaceDE w:val="0"/>
              <w:autoSpaceDN w:val="0"/>
              <w:adjustRightInd w:val="0"/>
              <w:spacing w:after="0"/>
              <w:ind w:firstLine="0"/>
              <w:jc w:val="center"/>
              <w:rPr>
                <w:rFonts w:cs="Times New Roman"/>
                <w:color w:val="000000"/>
                <w:sz w:val="18"/>
                <w:szCs w:val="18"/>
              </w:rPr>
            </w:pPr>
            <w:r w:rsidRPr="003A0BFD">
              <w:rPr>
                <w:rFonts w:cs="Times New Roman"/>
                <w:color w:val="000000"/>
                <w:sz w:val="18"/>
                <w:szCs w:val="18"/>
              </w:rPr>
              <w:t>Ietekme uz B.9 neto aizdevumiem (+)/neto aizņēmumiem (-) (ieskaitot korekciju par ES fondu finansējuma izlietojumu)</w:t>
            </w:r>
          </w:p>
        </w:tc>
        <w:tc>
          <w:tcPr>
            <w:tcW w:w="241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742EC7DA" w14:textId="77777777" w:rsidR="007957DF" w:rsidRPr="003A0BFD" w:rsidRDefault="007957DF" w:rsidP="007957DF">
            <w:pPr>
              <w:autoSpaceDE w:val="0"/>
              <w:autoSpaceDN w:val="0"/>
              <w:adjustRightInd w:val="0"/>
              <w:spacing w:after="0"/>
              <w:ind w:firstLine="0"/>
              <w:jc w:val="center"/>
              <w:rPr>
                <w:rFonts w:cs="Times New Roman"/>
                <w:color w:val="000000"/>
                <w:sz w:val="18"/>
                <w:szCs w:val="18"/>
              </w:rPr>
            </w:pPr>
            <w:r w:rsidRPr="003A0BFD">
              <w:rPr>
                <w:rFonts w:cs="Times New Roman"/>
                <w:color w:val="000000"/>
                <w:sz w:val="18"/>
                <w:szCs w:val="18"/>
              </w:rPr>
              <w:t>Ietekme uz vispārējās valdības parādu</w:t>
            </w:r>
          </w:p>
        </w:tc>
      </w:tr>
      <w:tr w:rsidR="005D494D" w:rsidRPr="003A0BFD" w14:paraId="50B6FA51" w14:textId="77777777" w:rsidTr="003A0BFD">
        <w:trPr>
          <w:trHeight w:val="252"/>
        </w:trPr>
        <w:tc>
          <w:tcPr>
            <w:tcW w:w="18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A02D818" w14:textId="77777777" w:rsidR="007957DF" w:rsidRPr="003A0BFD" w:rsidRDefault="007957DF" w:rsidP="007957DF">
            <w:pPr>
              <w:autoSpaceDE w:val="0"/>
              <w:autoSpaceDN w:val="0"/>
              <w:adjustRightInd w:val="0"/>
              <w:spacing w:after="0"/>
              <w:ind w:firstLine="0"/>
              <w:jc w:val="left"/>
              <w:rPr>
                <w:rFonts w:cs="Times New Roman"/>
                <w:color w:val="000000"/>
                <w:sz w:val="18"/>
                <w:szCs w:val="18"/>
              </w:rPr>
            </w:pPr>
            <w:r w:rsidRPr="003A0BFD">
              <w:rPr>
                <w:rFonts w:cs="Times New Roman"/>
                <w:color w:val="000000"/>
                <w:sz w:val="18"/>
                <w:szCs w:val="18"/>
              </w:rPr>
              <w:t>2018</w:t>
            </w: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A29174A"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56F5469"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B063AE0"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0D9198"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97557A"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r>
      <w:tr w:rsidR="005D494D" w:rsidRPr="003A0BFD" w14:paraId="7F3361D7" w14:textId="77777777" w:rsidTr="003A0BFD">
        <w:trPr>
          <w:trHeight w:val="252"/>
        </w:trPr>
        <w:tc>
          <w:tcPr>
            <w:tcW w:w="1865" w:type="dxa"/>
            <w:tcBorders>
              <w:top w:val="single" w:sz="4" w:space="0" w:color="auto"/>
              <w:left w:val="single" w:sz="4" w:space="0" w:color="auto"/>
              <w:bottom w:val="single" w:sz="4" w:space="0" w:color="auto"/>
              <w:right w:val="single" w:sz="4" w:space="0" w:color="auto"/>
            </w:tcBorders>
          </w:tcPr>
          <w:p w14:paraId="16ADDCD4"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S130130</w:t>
            </w:r>
          </w:p>
        </w:tc>
        <w:tc>
          <w:tcPr>
            <w:tcW w:w="2418" w:type="dxa"/>
            <w:tcBorders>
              <w:top w:val="single" w:sz="4" w:space="0" w:color="auto"/>
              <w:left w:val="single" w:sz="4" w:space="0" w:color="auto"/>
              <w:bottom w:val="single" w:sz="4" w:space="0" w:color="auto"/>
              <w:right w:val="single" w:sz="4" w:space="0" w:color="auto"/>
            </w:tcBorders>
          </w:tcPr>
          <w:p w14:paraId="26FD7DF8"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1 059,590</w:t>
            </w:r>
          </w:p>
        </w:tc>
        <w:tc>
          <w:tcPr>
            <w:tcW w:w="2410" w:type="dxa"/>
            <w:tcBorders>
              <w:top w:val="single" w:sz="4" w:space="0" w:color="auto"/>
              <w:left w:val="single" w:sz="4" w:space="0" w:color="auto"/>
              <w:bottom w:val="single" w:sz="4" w:space="0" w:color="auto"/>
              <w:right w:val="single" w:sz="4" w:space="0" w:color="auto"/>
            </w:tcBorders>
          </w:tcPr>
          <w:p w14:paraId="65D65B79"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7,317</w:t>
            </w:r>
          </w:p>
        </w:tc>
        <w:tc>
          <w:tcPr>
            <w:tcW w:w="2409" w:type="dxa"/>
            <w:tcBorders>
              <w:top w:val="single" w:sz="4" w:space="0" w:color="auto"/>
              <w:left w:val="single" w:sz="4" w:space="0" w:color="auto"/>
              <w:bottom w:val="single" w:sz="4" w:space="0" w:color="auto"/>
              <w:right w:val="single" w:sz="4" w:space="0" w:color="auto"/>
            </w:tcBorders>
          </w:tcPr>
          <w:p w14:paraId="6B801CA0"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1 086,057</w:t>
            </w:r>
          </w:p>
        </w:tc>
        <w:tc>
          <w:tcPr>
            <w:tcW w:w="2552" w:type="dxa"/>
            <w:tcBorders>
              <w:top w:val="single" w:sz="4" w:space="0" w:color="auto"/>
              <w:left w:val="single" w:sz="4" w:space="0" w:color="auto"/>
              <w:bottom w:val="single" w:sz="4" w:space="0" w:color="auto"/>
              <w:right w:val="single" w:sz="4" w:space="0" w:color="auto"/>
            </w:tcBorders>
          </w:tcPr>
          <w:p w14:paraId="2CD72701"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-26,467</w:t>
            </w:r>
          </w:p>
        </w:tc>
        <w:tc>
          <w:tcPr>
            <w:tcW w:w="2410" w:type="dxa"/>
            <w:tcBorders>
              <w:top w:val="single" w:sz="4" w:space="0" w:color="auto"/>
              <w:left w:val="single" w:sz="4" w:space="0" w:color="auto"/>
              <w:bottom w:val="single" w:sz="4" w:space="0" w:color="auto"/>
              <w:right w:val="single" w:sz="4" w:space="0" w:color="auto"/>
            </w:tcBorders>
          </w:tcPr>
          <w:p w14:paraId="55001506"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493,822</w:t>
            </w:r>
          </w:p>
        </w:tc>
      </w:tr>
      <w:tr w:rsidR="005D494D" w:rsidRPr="003A0BFD" w14:paraId="7C4E161D" w14:textId="77777777" w:rsidTr="003A0BFD">
        <w:trPr>
          <w:trHeight w:val="252"/>
        </w:trPr>
        <w:tc>
          <w:tcPr>
            <w:tcW w:w="1865" w:type="dxa"/>
            <w:tcBorders>
              <w:top w:val="single" w:sz="4" w:space="0" w:color="auto"/>
              <w:left w:val="single" w:sz="4" w:space="0" w:color="auto"/>
              <w:bottom w:val="single" w:sz="4" w:space="0" w:color="auto"/>
              <w:right w:val="single" w:sz="4" w:space="0" w:color="auto"/>
            </w:tcBorders>
          </w:tcPr>
          <w:p w14:paraId="713D6D10"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S130330</w:t>
            </w:r>
          </w:p>
        </w:tc>
        <w:tc>
          <w:tcPr>
            <w:tcW w:w="2418" w:type="dxa"/>
            <w:tcBorders>
              <w:top w:val="single" w:sz="4" w:space="0" w:color="auto"/>
              <w:left w:val="single" w:sz="4" w:space="0" w:color="auto"/>
              <w:bottom w:val="single" w:sz="4" w:space="0" w:color="auto"/>
              <w:right w:val="single" w:sz="4" w:space="0" w:color="auto"/>
            </w:tcBorders>
          </w:tcPr>
          <w:p w14:paraId="5C8DF7AC"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500,378</w:t>
            </w:r>
          </w:p>
        </w:tc>
        <w:tc>
          <w:tcPr>
            <w:tcW w:w="2410" w:type="dxa"/>
            <w:tcBorders>
              <w:top w:val="single" w:sz="4" w:space="0" w:color="auto"/>
              <w:left w:val="single" w:sz="4" w:space="0" w:color="auto"/>
              <w:bottom w:val="single" w:sz="4" w:space="0" w:color="auto"/>
              <w:right w:val="single" w:sz="4" w:space="0" w:color="auto"/>
            </w:tcBorders>
          </w:tcPr>
          <w:p w14:paraId="4D635AE0"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4,466</w:t>
            </w:r>
          </w:p>
        </w:tc>
        <w:tc>
          <w:tcPr>
            <w:tcW w:w="2409" w:type="dxa"/>
            <w:tcBorders>
              <w:top w:val="single" w:sz="4" w:space="0" w:color="auto"/>
              <w:left w:val="single" w:sz="4" w:space="0" w:color="auto"/>
              <w:bottom w:val="single" w:sz="4" w:space="0" w:color="auto"/>
              <w:right w:val="single" w:sz="4" w:space="0" w:color="auto"/>
            </w:tcBorders>
          </w:tcPr>
          <w:p w14:paraId="77A21199"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530,479</w:t>
            </w:r>
          </w:p>
        </w:tc>
        <w:tc>
          <w:tcPr>
            <w:tcW w:w="2552" w:type="dxa"/>
            <w:tcBorders>
              <w:top w:val="single" w:sz="4" w:space="0" w:color="auto"/>
              <w:left w:val="single" w:sz="4" w:space="0" w:color="auto"/>
              <w:bottom w:val="single" w:sz="4" w:space="0" w:color="auto"/>
              <w:right w:val="single" w:sz="4" w:space="0" w:color="auto"/>
            </w:tcBorders>
          </w:tcPr>
          <w:p w14:paraId="1F8A0CB3"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-30,101</w:t>
            </w:r>
          </w:p>
        </w:tc>
        <w:tc>
          <w:tcPr>
            <w:tcW w:w="2410" w:type="dxa"/>
            <w:tcBorders>
              <w:top w:val="single" w:sz="4" w:space="0" w:color="auto"/>
              <w:left w:val="single" w:sz="4" w:space="0" w:color="auto"/>
              <w:bottom w:val="single" w:sz="4" w:space="0" w:color="auto"/>
              <w:right w:val="single" w:sz="4" w:space="0" w:color="auto"/>
            </w:tcBorders>
          </w:tcPr>
          <w:p w14:paraId="0E15FB15"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292,911</w:t>
            </w:r>
          </w:p>
        </w:tc>
      </w:tr>
      <w:tr w:rsidR="005D494D" w:rsidRPr="003A0BFD" w14:paraId="1E30C027" w14:textId="77777777" w:rsidTr="003A0BFD">
        <w:trPr>
          <w:trHeight w:val="252"/>
        </w:trPr>
        <w:tc>
          <w:tcPr>
            <w:tcW w:w="1865" w:type="dxa"/>
            <w:tcBorders>
              <w:top w:val="single" w:sz="4" w:space="0" w:color="auto"/>
              <w:left w:val="single" w:sz="4" w:space="0" w:color="auto"/>
              <w:bottom w:val="single" w:sz="4" w:space="0" w:color="auto"/>
              <w:right w:val="single" w:sz="4" w:space="0" w:color="auto"/>
            </w:tcBorders>
          </w:tcPr>
          <w:p w14:paraId="5AB34D4C"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18" w:type="dxa"/>
            <w:tcBorders>
              <w:top w:val="single" w:sz="4" w:space="0" w:color="auto"/>
              <w:left w:val="single" w:sz="4" w:space="0" w:color="auto"/>
              <w:bottom w:val="single" w:sz="4" w:space="0" w:color="auto"/>
              <w:right w:val="single" w:sz="4" w:space="0" w:color="auto"/>
            </w:tcBorders>
          </w:tcPr>
          <w:p w14:paraId="2BA932B4"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150AF1EB"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09" w:type="dxa"/>
            <w:tcBorders>
              <w:top w:val="single" w:sz="4" w:space="0" w:color="auto"/>
              <w:left w:val="single" w:sz="4" w:space="0" w:color="auto"/>
              <w:bottom w:val="single" w:sz="4" w:space="0" w:color="auto"/>
              <w:right w:val="single" w:sz="4" w:space="0" w:color="auto"/>
            </w:tcBorders>
          </w:tcPr>
          <w:p w14:paraId="5FEF85A2"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552" w:type="dxa"/>
            <w:tcBorders>
              <w:top w:val="single" w:sz="4" w:space="0" w:color="auto"/>
              <w:left w:val="single" w:sz="4" w:space="0" w:color="auto"/>
              <w:bottom w:val="single" w:sz="4" w:space="0" w:color="auto"/>
              <w:right w:val="single" w:sz="4" w:space="0" w:color="auto"/>
            </w:tcBorders>
          </w:tcPr>
          <w:p w14:paraId="02E679B6"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5ED7F722"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r>
      <w:tr w:rsidR="005D494D" w:rsidRPr="003A0BFD" w14:paraId="14FA1294" w14:textId="77777777" w:rsidTr="003A0BFD">
        <w:trPr>
          <w:trHeight w:val="252"/>
        </w:trPr>
        <w:tc>
          <w:tcPr>
            <w:tcW w:w="18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4858C1" w14:textId="77777777" w:rsidR="007957DF" w:rsidRPr="003A0BFD" w:rsidRDefault="007957DF" w:rsidP="007957DF">
            <w:pPr>
              <w:autoSpaceDE w:val="0"/>
              <w:autoSpaceDN w:val="0"/>
              <w:adjustRightInd w:val="0"/>
              <w:spacing w:after="0"/>
              <w:ind w:firstLine="0"/>
              <w:jc w:val="left"/>
              <w:rPr>
                <w:rFonts w:cs="Times New Roman"/>
                <w:color w:val="000000"/>
                <w:sz w:val="18"/>
                <w:szCs w:val="18"/>
              </w:rPr>
            </w:pPr>
            <w:r w:rsidRPr="003A0BFD">
              <w:rPr>
                <w:rFonts w:cs="Times New Roman"/>
                <w:color w:val="000000"/>
                <w:sz w:val="18"/>
                <w:szCs w:val="18"/>
              </w:rPr>
              <w:t>2019</w:t>
            </w: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581D3FC"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0AE254B"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3D9714F"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DCACFB"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E4F0E4"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r>
      <w:tr w:rsidR="005D494D" w:rsidRPr="003A0BFD" w14:paraId="185AEC6D" w14:textId="77777777" w:rsidTr="003A0BFD">
        <w:trPr>
          <w:trHeight w:val="252"/>
        </w:trPr>
        <w:tc>
          <w:tcPr>
            <w:tcW w:w="1865" w:type="dxa"/>
            <w:tcBorders>
              <w:top w:val="single" w:sz="4" w:space="0" w:color="auto"/>
              <w:left w:val="single" w:sz="4" w:space="0" w:color="auto"/>
              <w:bottom w:val="single" w:sz="4" w:space="0" w:color="auto"/>
              <w:right w:val="single" w:sz="4" w:space="0" w:color="auto"/>
            </w:tcBorders>
          </w:tcPr>
          <w:p w14:paraId="58A770A3"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S130130</w:t>
            </w:r>
          </w:p>
        </w:tc>
        <w:tc>
          <w:tcPr>
            <w:tcW w:w="2418" w:type="dxa"/>
            <w:tcBorders>
              <w:top w:val="single" w:sz="4" w:space="0" w:color="auto"/>
              <w:left w:val="single" w:sz="4" w:space="0" w:color="auto"/>
              <w:bottom w:val="single" w:sz="4" w:space="0" w:color="auto"/>
              <w:right w:val="single" w:sz="4" w:space="0" w:color="auto"/>
            </w:tcBorders>
          </w:tcPr>
          <w:p w14:paraId="2A98F1E3"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1 025,757</w:t>
            </w:r>
          </w:p>
        </w:tc>
        <w:tc>
          <w:tcPr>
            <w:tcW w:w="2410" w:type="dxa"/>
            <w:tcBorders>
              <w:top w:val="single" w:sz="4" w:space="0" w:color="auto"/>
              <w:left w:val="single" w:sz="4" w:space="0" w:color="auto"/>
              <w:bottom w:val="single" w:sz="4" w:space="0" w:color="auto"/>
              <w:right w:val="single" w:sz="4" w:space="0" w:color="auto"/>
            </w:tcBorders>
          </w:tcPr>
          <w:p w14:paraId="48844EAE"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8,667</w:t>
            </w:r>
          </w:p>
        </w:tc>
        <w:tc>
          <w:tcPr>
            <w:tcW w:w="2409" w:type="dxa"/>
            <w:tcBorders>
              <w:top w:val="single" w:sz="4" w:space="0" w:color="auto"/>
              <w:left w:val="single" w:sz="4" w:space="0" w:color="auto"/>
              <w:bottom w:val="single" w:sz="4" w:space="0" w:color="auto"/>
              <w:right w:val="single" w:sz="4" w:space="0" w:color="auto"/>
            </w:tcBorders>
          </w:tcPr>
          <w:p w14:paraId="16CB526A"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1 063,777</w:t>
            </w:r>
          </w:p>
        </w:tc>
        <w:tc>
          <w:tcPr>
            <w:tcW w:w="2552" w:type="dxa"/>
            <w:tcBorders>
              <w:top w:val="single" w:sz="4" w:space="0" w:color="auto"/>
              <w:left w:val="single" w:sz="4" w:space="0" w:color="auto"/>
              <w:bottom w:val="single" w:sz="4" w:space="0" w:color="auto"/>
              <w:right w:val="single" w:sz="4" w:space="0" w:color="auto"/>
            </w:tcBorders>
          </w:tcPr>
          <w:p w14:paraId="112560E3"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-38,020</w:t>
            </w:r>
          </w:p>
        </w:tc>
        <w:tc>
          <w:tcPr>
            <w:tcW w:w="2410" w:type="dxa"/>
            <w:tcBorders>
              <w:top w:val="single" w:sz="4" w:space="0" w:color="auto"/>
              <w:left w:val="single" w:sz="4" w:space="0" w:color="auto"/>
              <w:bottom w:val="single" w:sz="4" w:space="0" w:color="auto"/>
              <w:right w:val="single" w:sz="4" w:space="0" w:color="auto"/>
            </w:tcBorders>
          </w:tcPr>
          <w:p w14:paraId="620296AA"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516,533</w:t>
            </w:r>
          </w:p>
        </w:tc>
      </w:tr>
      <w:tr w:rsidR="005D494D" w:rsidRPr="003A0BFD" w14:paraId="2C1E3FCC" w14:textId="77777777" w:rsidTr="003A0BFD">
        <w:trPr>
          <w:trHeight w:val="252"/>
        </w:trPr>
        <w:tc>
          <w:tcPr>
            <w:tcW w:w="1865" w:type="dxa"/>
            <w:tcBorders>
              <w:top w:val="single" w:sz="4" w:space="0" w:color="auto"/>
              <w:left w:val="single" w:sz="4" w:space="0" w:color="auto"/>
              <w:bottom w:val="single" w:sz="4" w:space="0" w:color="auto"/>
              <w:right w:val="single" w:sz="4" w:space="0" w:color="auto"/>
            </w:tcBorders>
          </w:tcPr>
          <w:p w14:paraId="732CBDF4"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S130330</w:t>
            </w:r>
          </w:p>
        </w:tc>
        <w:tc>
          <w:tcPr>
            <w:tcW w:w="2418" w:type="dxa"/>
            <w:tcBorders>
              <w:top w:val="single" w:sz="4" w:space="0" w:color="auto"/>
              <w:left w:val="single" w:sz="4" w:space="0" w:color="auto"/>
              <w:bottom w:val="single" w:sz="4" w:space="0" w:color="auto"/>
              <w:right w:val="single" w:sz="4" w:space="0" w:color="auto"/>
            </w:tcBorders>
          </w:tcPr>
          <w:p w14:paraId="168027DD"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565,478</w:t>
            </w:r>
          </w:p>
        </w:tc>
        <w:tc>
          <w:tcPr>
            <w:tcW w:w="2410" w:type="dxa"/>
            <w:tcBorders>
              <w:top w:val="single" w:sz="4" w:space="0" w:color="auto"/>
              <w:left w:val="single" w:sz="4" w:space="0" w:color="auto"/>
              <w:bottom w:val="single" w:sz="4" w:space="0" w:color="auto"/>
              <w:right w:val="single" w:sz="4" w:space="0" w:color="auto"/>
            </w:tcBorders>
          </w:tcPr>
          <w:p w14:paraId="4D860441"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7,074</w:t>
            </w:r>
          </w:p>
        </w:tc>
        <w:tc>
          <w:tcPr>
            <w:tcW w:w="2409" w:type="dxa"/>
            <w:tcBorders>
              <w:top w:val="single" w:sz="4" w:space="0" w:color="auto"/>
              <w:left w:val="single" w:sz="4" w:space="0" w:color="auto"/>
              <w:bottom w:val="single" w:sz="4" w:space="0" w:color="auto"/>
              <w:right w:val="single" w:sz="4" w:space="0" w:color="auto"/>
            </w:tcBorders>
          </w:tcPr>
          <w:p w14:paraId="295E0995"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524,112</w:t>
            </w:r>
          </w:p>
        </w:tc>
        <w:tc>
          <w:tcPr>
            <w:tcW w:w="2552" w:type="dxa"/>
            <w:tcBorders>
              <w:top w:val="single" w:sz="4" w:space="0" w:color="auto"/>
              <w:left w:val="single" w:sz="4" w:space="0" w:color="auto"/>
              <w:bottom w:val="single" w:sz="4" w:space="0" w:color="auto"/>
              <w:right w:val="single" w:sz="4" w:space="0" w:color="auto"/>
            </w:tcBorders>
          </w:tcPr>
          <w:p w14:paraId="17A2560C"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41,366</w:t>
            </w:r>
          </w:p>
        </w:tc>
        <w:tc>
          <w:tcPr>
            <w:tcW w:w="2410" w:type="dxa"/>
            <w:tcBorders>
              <w:top w:val="single" w:sz="4" w:space="0" w:color="auto"/>
              <w:left w:val="single" w:sz="4" w:space="0" w:color="auto"/>
              <w:bottom w:val="single" w:sz="4" w:space="0" w:color="auto"/>
              <w:right w:val="single" w:sz="4" w:space="0" w:color="auto"/>
            </w:tcBorders>
          </w:tcPr>
          <w:p w14:paraId="49CBD7AF"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286,395</w:t>
            </w:r>
          </w:p>
        </w:tc>
      </w:tr>
      <w:tr w:rsidR="005D494D" w:rsidRPr="003A0BFD" w14:paraId="6C37D24D" w14:textId="77777777" w:rsidTr="003A0BFD">
        <w:trPr>
          <w:trHeight w:val="252"/>
        </w:trPr>
        <w:tc>
          <w:tcPr>
            <w:tcW w:w="1865" w:type="dxa"/>
            <w:tcBorders>
              <w:top w:val="single" w:sz="4" w:space="0" w:color="auto"/>
              <w:left w:val="single" w:sz="4" w:space="0" w:color="auto"/>
              <w:bottom w:val="single" w:sz="4" w:space="0" w:color="auto"/>
              <w:right w:val="single" w:sz="4" w:space="0" w:color="auto"/>
            </w:tcBorders>
          </w:tcPr>
          <w:p w14:paraId="1F824C2E"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18" w:type="dxa"/>
            <w:tcBorders>
              <w:top w:val="single" w:sz="4" w:space="0" w:color="auto"/>
              <w:left w:val="single" w:sz="4" w:space="0" w:color="auto"/>
              <w:bottom w:val="single" w:sz="4" w:space="0" w:color="auto"/>
              <w:right w:val="single" w:sz="4" w:space="0" w:color="auto"/>
            </w:tcBorders>
          </w:tcPr>
          <w:p w14:paraId="64B136BB"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7D8DA2B5"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09" w:type="dxa"/>
            <w:tcBorders>
              <w:top w:val="single" w:sz="4" w:space="0" w:color="auto"/>
              <w:left w:val="single" w:sz="4" w:space="0" w:color="auto"/>
              <w:bottom w:val="single" w:sz="4" w:space="0" w:color="auto"/>
              <w:right w:val="single" w:sz="4" w:space="0" w:color="auto"/>
            </w:tcBorders>
          </w:tcPr>
          <w:p w14:paraId="3DA806D8"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552" w:type="dxa"/>
            <w:tcBorders>
              <w:top w:val="single" w:sz="4" w:space="0" w:color="auto"/>
              <w:left w:val="single" w:sz="4" w:space="0" w:color="auto"/>
              <w:bottom w:val="single" w:sz="4" w:space="0" w:color="auto"/>
              <w:right w:val="single" w:sz="4" w:space="0" w:color="auto"/>
            </w:tcBorders>
          </w:tcPr>
          <w:p w14:paraId="721B6781"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205EB44E"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r>
      <w:tr w:rsidR="005D494D" w:rsidRPr="003A0BFD" w14:paraId="4D2478EC" w14:textId="77777777" w:rsidTr="003A0BFD">
        <w:trPr>
          <w:trHeight w:val="252"/>
        </w:trPr>
        <w:tc>
          <w:tcPr>
            <w:tcW w:w="18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48BB621" w14:textId="77777777" w:rsidR="007957DF" w:rsidRPr="003A0BFD" w:rsidRDefault="007957DF" w:rsidP="007957DF">
            <w:pPr>
              <w:autoSpaceDE w:val="0"/>
              <w:autoSpaceDN w:val="0"/>
              <w:adjustRightInd w:val="0"/>
              <w:spacing w:after="0"/>
              <w:ind w:firstLine="0"/>
              <w:jc w:val="left"/>
              <w:rPr>
                <w:rFonts w:cs="Times New Roman"/>
                <w:color w:val="000000"/>
                <w:sz w:val="18"/>
                <w:szCs w:val="18"/>
              </w:rPr>
            </w:pPr>
            <w:r w:rsidRPr="003A0BFD">
              <w:rPr>
                <w:rFonts w:cs="Times New Roman"/>
                <w:color w:val="000000"/>
                <w:sz w:val="18"/>
                <w:szCs w:val="18"/>
              </w:rPr>
              <w:t>2020</w:t>
            </w: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D6E807"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5903ECB"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C5BB1A"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1A7A79E"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D623B3"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p>
        </w:tc>
      </w:tr>
      <w:tr w:rsidR="005D494D" w:rsidRPr="003A0BFD" w14:paraId="49F2B002" w14:textId="77777777" w:rsidTr="003A0BFD">
        <w:trPr>
          <w:trHeight w:val="252"/>
        </w:trPr>
        <w:tc>
          <w:tcPr>
            <w:tcW w:w="1865" w:type="dxa"/>
            <w:tcBorders>
              <w:top w:val="single" w:sz="4" w:space="0" w:color="auto"/>
              <w:left w:val="single" w:sz="4" w:space="0" w:color="auto"/>
              <w:bottom w:val="single" w:sz="4" w:space="0" w:color="auto"/>
              <w:right w:val="single" w:sz="4" w:space="0" w:color="auto"/>
            </w:tcBorders>
          </w:tcPr>
          <w:p w14:paraId="0B3FC8FC"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S130130</w:t>
            </w:r>
          </w:p>
        </w:tc>
        <w:tc>
          <w:tcPr>
            <w:tcW w:w="2418" w:type="dxa"/>
            <w:tcBorders>
              <w:top w:val="single" w:sz="4" w:space="0" w:color="auto"/>
              <w:left w:val="single" w:sz="4" w:space="0" w:color="auto"/>
              <w:bottom w:val="single" w:sz="4" w:space="0" w:color="auto"/>
              <w:right w:val="single" w:sz="4" w:space="0" w:color="auto"/>
            </w:tcBorders>
          </w:tcPr>
          <w:p w14:paraId="290E1775"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1 083,074</w:t>
            </w:r>
          </w:p>
        </w:tc>
        <w:tc>
          <w:tcPr>
            <w:tcW w:w="2410" w:type="dxa"/>
            <w:tcBorders>
              <w:top w:val="single" w:sz="4" w:space="0" w:color="auto"/>
              <w:left w:val="single" w:sz="4" w:space="0" w:color="auto"/>
              <w:bottom w:val="single" w:sz="4" w:space="0" w:color="auto"/>
              <w:right w:val="single" w:sz="4" w:space="0" w:color="auto"/>
            </w:tcBorders>
          </w:tcPr>
          <w:p w14:paraId="1CA6A7EA"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22,879</w:t>
            </w:r>
          </w:p>
        </w:tc>
        <w:tc>
          <w:tcPr>
            <w:tcW w:w="2409" w:type="dxa"/>
            <w:tcBorders>
              <w:top w:val="single" w:sz="4" w:space="0" w:color="auto"/>
              <w:left w:val="single" w:sz="4" w:space="0" w:color="auto"/>
              <w:bottom w:val="single" w:sz="4" w:space="0" w:color="auto"/>
              <w:right w:val="single" w:sz="4" w:space="0" w:color="auto"/>
            </w:tcBorders>
          </w:tcPr>
          <w:p w14:paraId="40848FA1"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1 096,757</w:t>
            </w:r>
          </w:p>
        </w:tc>
        <w:tc>
          <w:tcPr>
            <w:tcW w:w="2552" w:type="dxa"/>
            <w:tcBorders>
              <w:top w:val="single" w:sz="4" w:space="0" w:color="auto"/>
              <w:left w:val="single" w:sz="4" w:space="0" w:color="auto"/>
              <w:bottom w:val="single" w:sz="4" w:space="0" w:color="auto"/>
              <w:right w:val="single" w:sz="4" w:space="0" w:color="auto"/>
            </w:tcBorders>
          </w:tcPr>
          <w:p w14:paraId="3886E23D"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-13,683</w:t>
            </w:r>
          </w:p>
        </w:tc>
        <w:tc>
          <w:tcPr>
            <w:tcW w:w="2410" w:type="dxa"/>
            <w:tcBorders>
              <w:top w:val="single" w:sz="4" w:space="0" w:color="auto"/>
              <w:left w:val="single" w:sz="4" w:space="0" w:color="auto"/>
              <w:bottom w:val="single" w:sz="4" w:space="0" w:color="auto"/>
              <w:right w:val="single" w:sz="4" w:space="0" w:color="auto"/>
            </w:tcBorders>
          </w:tcPr>
          <w:p w14:paraId="29A21454"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544,898</w:t>
            </w:r>
          </w:p>
        </w:tc>
      </w:tr>
      <w:tr w:rsidR="005D494D" w:rsidRPr="003A0BFD" w14:paraId="196107E8" w14:textId="77777777" w:rsidTr="003A0BFD">
        <w:trPr>
          <w:trHeight w:val="262"/>
        </w:trPr>
        <w:tc>
          <w:tcPr>
            <w:tcW w:w="1865" w:type="dxa"/>
            <w:tcBorders>
              <w:top w:val="single" w:sz="4" w:space="0" w:color="auto"/>
              <w:left w:val="single" w:sz="4" w:space="0" w:color="auto"/>
              <w:bottom w:val="single" w:sz="4" w:space="0" w:color="auto"/>
              <w:right w:val="single" w:sz="4" w:space="0" w:color="auto"/>
            </w:tcBorders>
          </w:tcPr>
          <w:p w14:paraId="7E57203A"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S130330</w:t>
            </w:r>
          </w:p>
        </w:tc>
        <w:tc>
          <w:tcPr>
            <w:tcW w:w="2418" w:type="dxa"/>
            <w:tcBorders>
              <w:top w:val="single" w:sz="4" w:space="0" w:color="auto"/>
              <w:left w:val="single" w:sz="4" w:space="0" w:color="auto"/>
              <w:bottom w:val="single" w:sz="4" w:space="0" w:color="auto"/>
              <w:right w:val="single" w:sz="4" w:space="0" w:color="auto"/>
            </w:tcBorders>
          </w:tcPr>
          <w:p w14:paraId="6F7C59A9"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566,184</w:t>
            </w:r>
          </w:p>
        </w:tc>
        <w:tc>
          <w:tcPr>
            <w:tcW w:w="2410" w:type="dxa"/>
            <w:tcBorders>
              <w:top w:val="single" w:sz="4" w:space="0" w:color="auto"/>
              <w:left w:val="single" w:sz="4" w:space="0" w:color="auto"/>
              <w:bottom w:val="single" w:sz="4" w:space="0" w:color="auto"/>
              <w:right w:val="single" w:sz="4" w:space="0" w:color="auto"/>
            </w:tcBorders>
          </w:tcPr>
          <w:p w14:paraId="1088ADB2"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15,718</w:t>
            </w:r>
          </w:p>
        </w:tc>
        <w:tc>
          <w:tcPr>
            <w:tcW w:w="2409" w:type="dxa"/>
            <w:tcBorders>
              <w:top w:val="single" w:sz="4" w:space="0" w:color="auto"/>
              <w:left w:val="single" w:sz="4" w:space="0" w:color="auto"/>
              <w:bottom w:val="single" w:sz="4" w:space="0" w:color="auto"/>
              <w:right w:val="single" w:sz="4" w:space="0" w:color="auto"/>
            </w:tcBorders>
          </w:tcPr>
          <w:p w14:paraId="667C3E88"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545,398</w:t>
            </w:r>
          </w:p>
        </w:tc>
        <w:tc>
          <w:tcPr>
            <w:tcW w:w="2552" w:type="dxa"/>
            <w:tcBorders>
              <w:top w:val="single" w:sz="4" w:space="0" w:color="auto"/>
              <w:left w:val="single" w:sz="4" w:space="0" w:color="auto"/>
              <w:bottom w:val="single" w:sz="4" w:space="0" w:color="auto"/>
              <w:right w:val="single" w:sz="4" w:space="0" w:color="auto"/>
            </w:tcBorders>
          </w:tcPr>
          <w:p w14:paraId="4777E270"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20,786</w:t>
            </w:r>
          </w:p>
        </w:tc>
        <w:tc>
          <w:tcPr>
            <w:tcW w:w="2410" w:type="dxa"/>
            <w:tcBorders>
              <w:top w:val="single" w:sz="4" w:space="0" w:color="auto"/>
              <w:left w:val="single" w:sz="4" w:space="0" w:color="auto"/>
              <w:bottom w:val="single" w:sz="4" w:space="0" w:color="auto"/>
              <w:right w:val="single" w:sz="4" w:space="0" w:color="auto"/>
            </w:tcBorders>
          </w:tcPr>
          <w:p w14:paraId="5D36C644" w14:textId="77777777" w:rsidR="007957DF" w:rsidRPr="003A0BFD" w:rsidRDefault="007957DF" w:rsidP="007957DF">
            <w:pPr>
              <w:autoSpaceDE w:val="0"/>
              <w:autoSpaceDN w:val="0"/>
              <w:adjustRightInd w:val="0"/>
              <w:spacing w:after="0"/>
              <w:ind w:firstLine="0"/>
              <w:jc w:val="right"/>
              <w:rPr>
                <w:rFonts w:cs="Times New Roman"/>
                <w:color w:val="000000"/>
                <w:sz w:val="18"/>
                <w:szCs w:val="18"/>
              </w:rPr>
            </w:pPr>
            <w:r w:rsidRPr="003A0BFD">
              <w:rPr>
                <w:rFonts w:cs="Times New Roman"/>
                <w:color w:val="000000"/>
                <w:sz w:val="18"/>
                <w:szCs w:val="18"/>
              </w:rPr>
              <w:t>296,798</w:t>
            </w:r>
          </w:p>
        </w:tc>
      </w:tr>
    </w:tbl>
    <w:p w14:paraId="6D5B1179" w14:textId="4619AAF2" w:rsidR="004F391E" w:rsidRPr="00095088" w:rsidRDefault="00095088" w:rsidP="005D494D">
      <w:pPr>
        <w:widowControl w:val="0"/>
        <w:spacing w:before="120"/>
        <w:ind w:firstLine="0"/>
        <w:rPr>
          <w:rFonts w:eastAsia="Times New Roman" w:cs="Times New Roman"/>
          <w:i/>
          <w:color w:val="000000"/>
          <w:sz w:val="20"/>
        </w:rPr>
      </w:pPr>
      <w:r w:rsidRPr="00095088">
        <w:rPr>
          <w:rFonts w:eastAsia="Times New Roman" w:cs="Times New Roman"/>
          <w:i/>
          <w:color w:val="000000"/>
          <w:sz w:val="20"/>
        </w:rPr>
        <w:t>Datu avots: Centrālā statistikas pārvalde</w:t>
      </w:r>
    </w:p>
    <w:p w14:paraId="1C9663A5" w14:textId="30891F4B" w:rsidR="00095088" w:rsidRDefault="00095088" w:rsidP="005D494D">
      <w:pPr>
        <w:widowControl w:val="0"/>
        <w:ind w:firstLine="0"/>
        <w:rPr>
          <w:rFonts w:eastAsia="Times New Roman" w:cs="Times New Roman"/>
          <w:color w:val="000000"/>
        </w:rPr>
      </w:pPr>
    </w:p>
    <w:p w14:paraId="7D74BE62" w14:textId="33E6AA6A" w:rsidR="004F391E" w:rsidRDefault="004F391E" w:rsidP="00401A5B">
      <w:pPr>
        <w:rPr>
          <w:rFonts w:cs="Times New Roman"/>
          <w:sz w:val="20"/>
          <w:szCs w:val="20"/>
        </w:rPr>
      </w:pPr>
    </w:p>
    <w:p w14:paraId="332476DB" w14:textId="36A4D7FD" w:rsidR="003A0BFD" w:rsidRDefault="003A0BFD" w:rsidP="00401A5B">
      <w:pPr>
        <w:rPr>
          <w:rFonts w:cs="Times New Roman"/>
          <w:sz w:val="20"/>
          <w:szCs w:val="20"/>
        </w:rPr>
      </w:pPr>
    </w:p>
    <w:p w14:paraId="6CFED4DB" w14:textId="50406B28" w:rsidR="003A0BFD" w:rsidRDefault="003A0BFD" w:rsidP="00401A5B">
      <w:pPr>
        <w:rPr>
          <w:rFonts w:cs="Times New Roman"/>
          <w:sz w:val="20"/>
          <w:szCs w:val="20"/>
        </w:rPr>
      </w:pPr>
    </w:p>
    <w:p w14:paraId="525BCD79" w14:textId="77777777" w:rsidR="003A0BFD" w:rsidRDefault="003A0BFD" w:rsidP="00401A5B">
      <w:pPr>
        <w:rPr>
          <w:rFonts w:cs="Times New Roman"/>
          <w:sz w:val="20"/>
          <w:szCs w:val="20"/>
        </w:rPr>
      </w:pPr>
    </w:p>
    <w:p w14:paraId="6AF69168" w14:textId="77777777" w:rsidR="003A0BFD" w:rsidRPr="004F391E" w:rsidRDefault="003A0BFD" w:rsidP="00401A5B">
      <w:pPr>
        <w:rPr>
          <w:rFonts w:cs="Times New Roman"/>
          <w:sz w:val="20"/>
          <w:szCs w:val="20"/>
        </w:rPr>
      </w:pPr>
    </w:p>
    <w:p w14:paraId="612FEA04" w14:textId="52FC9B28" w:rsidR="009D05C2" w:rsidRPr="001D773D" w:rsidRDefault="00095088" w:rsidP="00401A5B">
      <w:pPr>
        <w:widowControl w:val="0"/>
        <w:jc w:val="right"/>
        <w:rPr>
          <w:rFonts w:eastAsia="Times New Roman" w:cs="Times New Roman"/>
          <w:color w:val="000000"/>
        </w:rPr>
      </w:pPr>
      <w:r w:rsidRPr="001D773D">
        <w:rPr>
          <w:rFonts w:eastAsia="Times New Roman" w:cs="Times New Roman"/>
          <w:color w:val="000000"/>
        </w:rPr>
        <w:lastRenderedPageBreak/>
        <w:t>2</w:t>
      </w:r>
      <w:r w:rsidR="009D05C2" w:rsidRPr="001D773D">
        <w:rPr>
          <w:rFonts w:eastAsia="Times New Roman" w:cs="Times New Roman"/>
          <w:color w:val="000000"/>
        </w:rPr>
        <w:t>.</w:t>
      </w:r>
      <w:r w:rsidRPr="001D773D">
        <w:rPr>
          <w:rFonts w:eastAsia="Times New Roman" w:cs="Times New Roman"/>
          <w:color w:val="000000"/>
        </w:rPr>
        <w:t xml:space="preserve"> </w:t>
      </w:r>
      <w:r w:rsidR="009D05C2" w:rsidRPr="001D773D">
        <w:rPr>
          <w:rFonts w:eastAsia="Times New Roman" w:cs="Times New Roman"/>
          <w:color w:val="000000"/>
        </w:rPr>
        <w:t>pielikums</w:t>
      </w:r>
    </w:p>
    <w:p w14:paraId="30B93A78" w14:textId="0639AFA3" w:rsidR="004F391E" w:rsidRDefault="009D05C2" w:rsidP="00401A5B">
      <w:pPr>
        <w:widowControl w:val="0"/>
        <w:jc w:val="right"/>
        <w:rPr>
          <w:b/>
          <w:szCs w:val="24"/>
        </w:rPr>
      </w:pPr>
      <w:r w:rsidRPr="001D773D">
        <w:rPr>
          <w:b/>
          <w:szCs w:val="24"/>
        </w:rPr>
        <w:t>Vispārējās valdības sektorā iekļauto kapitālsabiedrību prognozētā ietekme uz vispārējās</w:t>
      </w:r>
      <w:r w:rsidR="003B4DAE" w:rsidRPr="001D773D">
        <w:rPr>
          <w:b/>
          <w:szCs w:val="24"/>
        </w:rPr>
        <w:t xml:space="preserve"> valdības neto aizdevumiem vai </w:t>
      </w:r>
      <w:r w:rsidR="00095088" w:rsidRPr="001D773D">
        <w:rPr>
          <w:b/>
          <w:szCs w:val="24"/>
        </w:rPr>
        <w:t>aizņēmumiem (B.9) 2022., 2023. un 2024</w:t>
      </w:r>
      <w:r w:rsidRPr="001D773D">
        <w:rPr>
          <w:b/>
          <w:szCs w:val="24"/>
        </w:rPr>
        <w:t>. gadā</w:t>
      </w:r>
    </w:p>
    <w:p w14:paraId="6E13C692" w14:textId="5526EC97" w:rsidR="00635652" w:rsidRPr="00635652" w:rsidRDefault="00635652" w:rsidP="00635652">
      <w:pPr>
        <w:widowControl w:val="0"/>
        <w:spacing w:after="0"/>
        <w:jc w:val="right"/>
        <w:rPr>
          <w:i/>
          <w:sz w:val="20"/>
          <w:szCs w:val="24"/>
        </w:rPr>
      </w:pPr>
      <w:r w:rsidRPr="00635652">
        <w:rPr>
          <w:i/>
          <w:sz w:val="20"/>
          <w:szCs w:val="24"/>
        </w:rPr>
        <w:t>euro</w:t>
      </w:r>
    </w:p>
    <w:tbl>
      <w:tblPr>
        <w:tblW w:w="14024" w:type="dxa"/>
        <w:tblLook w:val="04A0" w:firstRow="1" w:lastRow="0" w:firstColumn="1" w:lastColumn="0" w:noHBand="0" w:noVBand="1"/>
      </w:tblPr>
      <w:tblGrid>
        <w:gridCol w:w="1131"/>
        <w:gridCol w:w="7081"/>
        <w:gridCol w:w="1984"/>
        <w:gridCol w:w="1985"/>
        <w:gridCol w:w="1843"/>
      </w:tblGrid>
      <w:tr w:rsidR="0017127D" w:rsidRPr="0017127D" w14:paraId="427D4D9B" w14:textId="77777777" w:rsidTr="0017127D">
        <w:trPr>
          <w:trHeight w:val="300"/>
        </w:trPr>
        <w:tc>
          <w:tcPr>
            <w:tcW w:w="14024" w:type="dxa"/>
            <w:gridSpan w:val="5"/>
            <w:tcBorders>
              <w:top w:val="single" w:sz="8" w:space="0" w:color="auto"/>
              <w:left w:val="single" w:sz="8" w:space="0" w:color="auto"/>
              <w:bottom w:val="single" w:sz="8" w:space="0" w:color="auto"/>
              <w:right w:val="single" w:sz="8" w:space="0" w:color="000000"/>
            </w:tcBorders>
            <w:shd w:val="clear" w:color="000000" w:fill="9BC2E6"/>
            <w:noWrap/>
            <w:vAlign w:val="center"/>
            <w:hideMark/>
          </w:tcPr>
          <w:p w14:paraId="51B5B212" w14:textId="77777777" w:rsidR="0017127D" w:rsidRPr="0017127D" w:rsidRDefault="0017127D" w:rsidP="0017127D">
            <w:pPr>
              <w:spacing w:after="0"/>
              <w:ind w:firstLine="0"/>
              <w:jc w:val="center"/>
              <w:rPr>
                <w:rFonts w:eastAsia="Times New Roman" w:cs="Times New Roman"/>
                <w:b/>
                <w:bCs/>
                <w:color w:val="000000"/>
                <w:sz w:val="18"/>
                <w:szCs w:val="18"/>
              </w:rPr>
            </w:pPr>
            <w:r w:rsidRPr="0017127D">
              <w:rPr>
                <w:rFonts w:eastAsia="Times New Roman" w:cs="Times New Roman"/>
                <w:b/>
                <w:bCs/>
                <w:color w:val="000000"/>
                <w:sz w:val="18"/>
                <w:szCs w:val="18"/>
              </w:rPr>
              <w:t>2022</w:t>
            </w:r>
          </w:p>
        </w:tc>
      </w:tr>
      <w:tr w:rsidR="0017127D" w:rsidRPr="0017127D" w14:paraId="5A4EAB61" w14:textId="77777777" w:rsidTr="0017127D">
        <w:trPr>
          <w:trHeight w:val="732"/>
        </w:trPr>
        <w:tc>
          <w:tcPr>
            <w:tcW w:w="1131" w:type="dxa"/>
            <w:tcBorders>
              <w:top w:val="nil"/>
              <w:left w:val="single" w:sz="8" w:space="0" w:color="auto"/>
              <w:bottom w:val="single" w:sz="8" w:space="0" w:color="auto"/>
              <w:right w:val="single" w:sz="8" w:space="0" w:color="auto"/>
            </w:tcBorders>
            <w:shd w:val="clear" w:color="000000" w:fill="BDD7EE"/>
            <w:noWrap/>
            <w:vAlign w:val="center"/>
            <w:hideMark/>
          </w:tcPr>
          <w:p w14:paraId="5C1710D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N.p.k.</w:t>
            </w:r>
          </w:p>
        </w:tc>
        <w:tc>
          <w:tcPr>
            <w:tcW w:w="7081" w:type="dxa"/>
            <w:tcBorders>
              <w:top w:val="nil"/>
              <w:left w:val="nil"/>
              <w:bottom w:val="single" w:sz="8" w:space="0" w:color="auto"/>
              <w:right w:val="single" w:sz="8" w:space="0" w:color="auto"/>
            </w:tcBorders>
            <w:shd w:val="clear" w:color="000000" w:fill="BDD7EE"/>
            <w:noWrap/>
            <w:vAlign w:val="center"/>
            <w:hideMark/>
          </w:tcPr>
          <w:p w14:paraId="7BED162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c>
          <w:tcPr>
            <w:tcW w:w="1984" w:type="dxa"/>
            <w:tcBorders>
              <w:top w:val="nil"/>
              <w:left w:val="nil"/>
              <w:bottom w:val="single" w:sz="8" w:space="0" w:color="auto"/>
              <w:right w:val="single" w:sz="8" w:space="0" w:color="auto"/>
            </w:tcBorders>
            <w:shd w:val="clear" w:color="000000" w:fill="BDD7EE"/>
            <w:vAlign w:val="center"/>
            <w:hideMark/>
          </w:tcPr>
          <w:p w14:paraId="5177325A" w14:textId="77777777" w:rsidR="0017127D" w:rsidRPr="0017127D" w:rsidRDefault="0017127D" w:rsidP="0017127D">
            <w:pPr>
              <w:spacing w:after="0"/>
              <w:ind w:firstLine="0"/>
              <w:jc w:val="center"/>
              <w:rPr>
                <w:rFonts w:eastAsia="Times New Roman" w:cs="Times New Roman"/>
                <w:color w:val="000000"/>
                <w:sz w:val="18"/>
                <w:szCs w:val="18"/>
              </w:rPr>
            </w:pPr>
            <w:r w:rsidRPr="0017127D">
              <w:rPr>
                <w:rFonts w:eastAsia="Times New Roman" w:cs="Times New Roman"/>
                <w:color w:val="000000"/>
                <w:sz w:val="18"/>
                <w:szCs w:val="18"/>
              </w:rPr>
              <w:t>Ieņēmumi</w:t>
            </w:r>
          </w:p>
        </w:tc>
        <w:tc>
          <w:tcPr>
            <w:tcW w:w="1985" w:type="dxa"/>
            <w:tcBorders>
              <w:top w:val="nil"/>
              <w:left w:val="nil"/>
              <w:bottom w:val="single" w:sz="8" w:space="0" w:color="auto"/>
              <w:right w:val="single" w:sz="8" w:space="0" w:color="auto"/>
            </w:tcBorders>
            <w:shd w:val="clear" w:color="000000" w:fill="BDD7EE"/>
            <w:vAlign w:val="center"/>
            <w:hideMark/>
          </w:tcPr>
          <w:p w14:paraId="64D3876D" w14:textId="77777777" w:rsidR="0017127D" w:rsidRPr="0017127D" w:rsidRDefault="0017127D" w:rsidP="0017127D">
            <w:pPr>
              <w:spacing w:after="0"/>
              <w:ind w:firstLine="0"/>
              <w:jc w:val="center"/>
              <w:rPr>
                <w:rFonts w:eastAsia="Times New Roman" w:cs="Times New Roman"/>
                <w:color w:val="000000"/>
                <w:sz w:val="18"/>
                <w:szCs w:val="18"/>
              </w:rPr>
            </w:pPr>
            <w:r w:rsidRPr="0017127D">
              <w:rPr>
                <w:rFonts w:eastAsia="Times New Roman" w:cs="Times New Roman"/>
                <w:color w:val="000000"/>
                <w:sz w:val="18"/>
                <w:szCs w:val="18"/>
              </w:rPr>
              <w:t>Izdevumi</w:t>
            </w:r>
          </w:p>
        </w:tc>
        <w:tc>
          <w:tcPr>
            <w:tcW w:w="1843" w:type="dxa"/>
            <w:tcBorders>
              <w:top w:val="nil"/>
              <w:left w:val="nil"/>
              <w:bottom w:val="single" w:sz="8" w:space="0" w:color="auto"/>
              <w:right w:val="single" w:sz="8" w:space="0" w:color="auto"/>
            </w:tcBorders>
            <w:shd w:val="clear" w:color="000000" w:fill="BDD7EE"/>
            <w:vAlign w:val="center"/>
            <w:hideMark/>
          </w:tcPr>
          <w:p w14:paraId="21FF4D8C" w14:textId="77777777" w:rsidR="0017127D" w:rsidRPr="0017127D" w:rsidRDefault="0017127D" w:rsidP="0017127D">
            <w:pPr>
              <w:spacing w:after="0"/>
              <w:ind w:firstLine="0"/>
              <w:jc w:val="center"/>
              <w:rPr>
                <w:rFonts w:eastAsia="Times New Roman" w:cs="Times New Roman"/>
                <w:color w:val="000000"/>
                <w:sz w:val="18"/>
                <w:szCs w:val="18"/>
              </w:rPr>
            </w:pPr>
            <w:r w:rsidRPr="0017127D">
              <w:rPr>
                <w:rFonts w:eastAsia="Times New Roman" w:cs="Times New Roman"/>
                <w:color w:val="000000"/>
                <w:sz w:val="18"/>
                <w:szCs w:val="18"/>
              </w:rPr>
              <w:t>Ietekme uz B.9 neto aizdevumiem (+)/neto aizņēmumiem (-)</w:t>
            </w:r>
          </w:p>
        </w:tc>
      </w:tr>
      <w:tr w:rsidR="0017127D" w:rsidRPr="0017127D" w14:paraId="5385C7FC" w14:textId="77777777" w:rsidTr="0017127D">
        <w:trPr>
          <w:trHeight w:val="300"/>
        </w:trPr>
        <w:tc>
          <w:tcPr>
            <w:tcW w:w="1131" w:type="dxa"/>
            <w:tcBorders>
              <w:top w:val="nil"/>
              <w:left w:val="single" w:sz="8" w:space="0" w:color="auto"/>
              <w:bottom w:val="single" w:sz="8" w:space="0" w:color="auto"/>
              <w:right w:val="single" w:sz="8" w:space="0" w:color="auto"/>
            </w:tcBorders>
            <w:shd w:val="clear" w:color="000000" w:fill="DDEBF7"/>
            <w:noWrap/>
            <w:vAlign w:val="center"/>
            <w:hideMark/>
          </w:tcPr>
          <w:p w14:paraId="171198EF"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S130100</w:t>
            </w:r>
          </w:p>
        </w:tc>
        <w:tc>
          <w:tcPr>
            <w:tcW w:w="7081" w:type="dxa"/>
            <w:tcBorders>
              <w:top w:val="nil"/>
              <w:left w:val="nil"/>
              <w:bottom w:val="single" w:sz="8" w:space="0" w:color="auto"/>
              <w:right w:val="single" w:sz="8" w:space="0" w:color="auto"/>
            </w:tcBorders>
            <w:shd w:val="clear" w:color="000000" w:fill="DDEBF7"/>
            <w:noWrap/>
            <w:vAlign w:val="center"/>
            <w:hideMark/>
          </w:tcPr>
          <w:p w14:paraId="1924C37F"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Valsts struktūru kontrolētas un finansētas komercsabiedrības</w:t>
            </w:r>
          </w:p>
        </w:tc>
        <w:tc>
          <w:tcPr>
            <w:tcW w:w="1984" w:type="dxa"/>
            <w:tcBorders>
              <w:top w:val="nil"/>
              <w:left w:val="nil"/>
              <w:bottom w:val="single" w:sz="8" w:space="0" w:color="auto"/>
              <w:right w:val="single" w:sz="8" w:space="0" w:color="auto"/>
            </w:tcBorders>
            <w:shd w:val="clear" w:color="000000" w:fill="DDEBF7"/>
            <w:noWrap/>
            <w:vAlign w:val="center"/>
            <w:hideMark/>
          </w:tcPr>
          <w:p w14:paraId="326C9B3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c>
          <w:tcPr>
            <w:tcW w:w="1985" w:type="dxa"/>
            <w:tcBorders>
              <w:top w:val="nil"/>
              <w:left w:val="nil"/>
              <w:bottom w:val="single" w:sz="8" w:space="0" w:color="auto"/>
              <w:right w:val="single" w:sz="8" w:space="0" w:color="auto"/>
            </w:tcBorders>
            <w:shd w:val="clear" w:color="000000" w:fill="DDEBF7"/>
            <w:noWrap/>
            <w:vAlign w:val="center"/>
            <w:hideMark/>
          </w:tcPr>
          <w:p w14:paraId="0B8BF3D7"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c>
          <w:tcPr>
            <w:tcW w:w="1843" w:type="dxa"/>
            <w:tcBorders>
              <w:top w:val="nil"/>
              <w:left w:val="nil"/>
              <w:bottom w:val="single" w:sz="8" w:space="0" w:color="auto"/>
              <w:right w:val="single" w:sz="8" w:space="0" w:color="auto"/>
            </w:tcBorders>
            <w:shd w:val="clear" w:color="000000" w:fill="DDEBF7"/>
            <w:noWrap/>
            <w:vAlign w:val="center"/>
            <w:hideMark/>
          </w:tcPr>
          <w:p w14:paraId="1316249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r>
      <w:tr w:rsidR="0017127D" w:rsidRPr="0017127D" w14:paraId="176AFE03"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4E55EB4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w:t>
            </w:r>
          </w:p>
        </w:tc>
        <w:tc>
          <w:tcPr>
            <w:tcW w:w="7081" w:type="dxa"/>
            <w:tcBorders>
              <w:top w:val="nil"/>
              <w:left w:val="nil"/>
              <w:bottom w:val="single" w:sz="8" w:space="0" w:color="auto"/>
              <w:right w:val="single" w:sz="8" w:space="0" w:color="auto"/>
            </w:tcBorders>
            <w:shd w:val="clear" w:color="auto" w:fill="auto"/>
            <w:noWrap/>
            <w:vAlign w:val="center"/>
            <w:hideMark/>
          </w:tcPr>
          <w:p w14:paraId="51310A9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"Iekšlietu ministrijas poliklīnika"</w:t>
            </w:r>
          </w:p>
        </w:tc>
        <w:tc>
          <w:tcPr>
            <w:tcW w:w="1984" w:type="dxa"/>
            <w:tcBorders>
              <w:top w:val="nil"/>
              <w:left w:val="nil"/>
              <w:bottom w:val="single" w:sz="8" w:space="0" w:color="auto"/>
              <w:right w:val="single" w:sz="8" w:space="0" w:color="auto"/>
            </w:tcBorders>
            <w:shd w:val="clear" w:color="auto" w:fill="auto"/>
            <w:noWrap/>
            <w:vAlign w:val="center"/>
            <w:hideMark/>
          </w:tcPr>
          <w:p w14:paraId="61703B5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2 407 400</w:t>
            </w:r>
          </w:p>
        </w:tc>
        <w:tc>
          <w:tcPr>
            <w:tcW w:w="1985" w:type="dxa"/>
            <w:tcBorders>
              <w:top w:val="nil"/>
              <w:left w:val="nil"/>
              <w:bottom w:val="single" w:sz="8" w:space="0" w:color="auto"/>
              <w:right w:val="single" w:sz="8" w:space="0" w:color="auto"/>
            </w:tcBorders>
            <w:shd w:val="clear" w:color="auto" w:fill="auto"/>
            <w:noWrap/>
            <w:vAlign w:val="center"/>
            <w:hideMark/>
          </w:tcPr>
          <w:p w14:paraId="29A1557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2 413 270</w:t>
            </w:r>
          </w:p>
        </w:tc>
        <w:tc>
          <w:tcPr>
            <w:tcW w:w="1843" w:type="dxa"/>
            <w:tcBorders>
              <w:top w:val="nil"/>
              <w:left w:val="nil"/>
              <w:bottom w:val="single" w:sz="8" w:space="0" w:color="auto"/>
              <w:right w:val="single" w:sz="8" w:space="0" w:color="auto"/>
            </w:tcBorders>
            <w:shd w:val="clear" w:color="auto" w:fill="auto"/>
            <w:noWrap/>
            <w:vAlign w:val="center"/>
            <w:hideMark/>
          </w:tcPr>
          <w:p w14:paraId="2D57ABE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-5 870</w:t>
            </w:r>
          </w:p>
        </w:tc>
      </w:tr>
      <w:tr w:rsidR="0017127D" w:rsidRPr="0017127D" w14:paraId="0382063D"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7E9F6FE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w:t>
            </w:r>
          </w:p>
        </w:tc>
        <w:tc>
          <w:tcPr>
            <w:tcW w:w="7081" w:type="dxa"/>
            <w:tcBorders>
              <w:top w:val="nil"/>
              <w:left w:val="nil"/>
              <w:bottom w:val="single" w:sz="8" w:space="0" w:color="auto"/>
              <w:right w:val="single" w:sz="8" w:space="0" w:color="auto"/>
            </w:tcBorders>
            <w:shd w:val="clear" w:color="auto" w:fill="auto"/>
            <w:noWrap/>
            <w:vAlign w:val="center"/>
            <w:hideMark/>
          </w:tcPr>
          <w:p w14:paraId="45962287"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"RTU Inženierzinātņu vidusskola"</w:t>
            </w:r>
          </w:p>
        </w:tc>
        <w:tc>
          <w:tcPr>
            <w:tcW w:w="1984" w:type="dxa"/>
            <w:tcBorders>
              <w:top w:val="nil"/>
              <w:left w:val="nil"/>
              <w:bottom w:val="single" w:sz="8" w:space="0" w:color="auto"/>
              <w:right w:val="single" w:sz="8" w:space="0" w:color="auto"/>
            </w:tcBorders>
            <w:shd w:val="clear" w:color="auto" w:fill="auto"/>
            <w:noWrap/>
            <w:vAlign w:val="center"/>
            <w:hideMark/>
          </w:tcPr>
          <w:p w14:paraId="2BB774E1" w14:textId="77777777" w:rsidR="0017127D" w:rsidRPr="0017127D" w:rsidRDefault="0017127D" w:rsidP="0017127D">
            <w:pPr>
              <w:spacing w:after="0"/>
              <w:ind w:firstLine="0"/>
              <w:jc w:val="right"/>
              <w:rPr>
                <w:rFonts w:eastAsia="Times New Roman" w:cs="Times New Roman"/>
                <w:color w:val="000000"/>
                <w:sz w:val="18"/>
                <w:szCs w:val="18"/>
              </w:rPr>
            </w:pPr>
            <w:bookmarkStart w:id="90" w:name="_GoBack"/>
            <w:bookmarkEnd w:id="90"/>
            <w:r w:rsidRPr="0017127D">
              <w:rPr>
                <w:rFonts w:eastAsia="Times New Roman" w:cs="Times New Roman"/>
                <w:color w:val="000000"/>
                <w:sz w:val="18"/>
                <w:szCs w:val="18"/>
              </w:rPr>
              <w:t>400 000</w:t>
            </w:r>
          </w:p>
        </w:tc>
        <w:tc>
          <w:tcPr>
            <w:tcW w:w="1985" w:type="dxa"/>
            <w:tcBorders>
              <w:top w:val="nil"/>
              <w:left w:val="nil"/>
              <w:bottom w:val="single" w:sz="8" w:space="0" w:color="auto"/>
              <w:right w:val="single" w:sz="8" w:space="0" w:color="auto"/>
            </w:tcBorders>
            <w:shd w:val="clear" w:color="auto" w:fill="auto"/>
            <w:noWrap/>
            <w:vAlign w:val="center"/>
            <w:hideMark/>
          </w:tcPr>
          <w:p w14:paraId="380B9B6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380 000</w:t>
            </w:r>
          </w:p>
        </w:tc>
        <w:tc>
          <w:tcPr>
            <w:tcW w:w="1843" w:type="dxa"/>
            <w:tcBorders>
              <w:top w:val="nil"/>
              <w:left w:val="nil"/>
              <w:bottom w:val="single" w:sz="8" w:space="0" w:color="auto"/>
              <w:right w:val="single" w:sz="8" w:space="0" w:color="auto"/>
            </w:tcBorders>
            <w:shd w:val="clear" w:color="auto" w:fill="auto"/>
            <w:noWrap/>
            <w:vAlign w:val="center"/>
            <w:hideMark/>
          </w:tcPr>
          <w:p w14:paraId="30568D9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20 000</w:t>
            </w:r>
          </w:p>
        </w:tc>
      </w:tr>
      <w:tr w:rsidR="0017127D" w:rsidRPr="0017127D" w14:paraId="52B1F8F3"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2E3610B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w:t>
            </w:r>
          </w:p>
        </w:tc>
        <w:tc>
          <w:tcPr>
            <w:tcW w:w="7081" w:type="dxa"/>
            <w:tcBorders>
              <w:top w:val="nil"/>
              <w:left w:val="nil"/>
              <w:bottom w:val="single" w:sz="8" w:space="0" w:color="auto"/>
              <w:right w:val="single" w:sz="8" w:space="0" w:color="auto"/>
            </w:tcBorders>
            <w:shd w:val="clear" w:color="auto" w:fill="auto"/>
            <w:noWrap/>
            <w:vAlign w:val="center"/>
            <w:hideMark/>
          </w:tcPr>
          <w:p w14:paraId="6B2C7CBF"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"Latvijas Universitātes nekustamā īpašuma aģentūra"</w:t>
            </w:r>
          </w:p>
        </w:tc>
        <w:tc>
          <w:tcPr>
            <w:tcW w:w="1984" w:type="dxa"/>
            <w:tcBorders>
              <w:top w:val="nil"/>
              <w:left w:val="nil"/>
              <w:bottom w:val="single" w:sz="8" w:space="0" w:color="auto"/>
              <w:right w:val="single" w:sz="8" w:space="0" w:color="auto"/>
            </w:tcBorders>
            <w:shd w:val="clear" w:color="auto" w:fill="auto"/>
            <w:noWrap/>
            <w:vAlign w:val="center"/>
            <w:hideMark/>
          </w:tcPr>
          <w:p w14:paraId="24BA88A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985" w:type="dxa"/>
            <w:tcBorders>
              <w:top w:val="nil"/>
              <w:left w:val="nil"/>
              <w:bottom w:val="single" w:sz="8" w:space="0" w:color="auto"/>
              <w:right w:val="single" w:sz="8" w:space="0" w:color="auto"/>
            </w:tcBorders>
            <w:shd w:val="clear" w:color="auto" w:fill="auto"/>
            <w:noWrap/>
            <w:vAlign w:val="center"/>
            <w:hideMark/>
          </w:tcPr>
          <w:p w14:paraId="231A0DD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-1 973 300</w:t>
            </w:r>
          </w:p>
        </w:tc>
        <w:tc>
          <w:tcPr>
            <w:tcW w:w="1843" w:type="dxa"/>
            <w:tcBorders>
              <w:top w:val="nil"/>
              <w:left w:val="nil"/>
              <w:bottom w:val="single" w:sz="8" w:space="0" w:color="auto"/>
              <w:right w:val="single" w:sz="8" w:space="0" w:color="auto"/>
            </w:tcBorders>
            <w:shd w:val="clear" w:color="auto" w:fill="auto"/>
            <w:noWrap/>
            <w:vAlign w:val="center"/>
            <w:hideMark/>
          </w:tcPr>
          <w:p w14:paraId="3992E04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1 973 300</w:t>
            </w:r>
          </w:p>
        </w:tc>
      </w:tr>
      <w:tr w:rsidR="0017127D" w:rsidRPr="0017127D" w14:paraId="752575A9"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10A86C3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w:t>
            </w:r>
          </w:p>
        </w:tc>
        <w:tc>
          <w:tcPr>
            <w:tcW w:w="7081" w:type="dxa"/>
            <w:tcBorders>
              <w:top w:val="nil"/>
              <w:left w:val="nil"/>
              <w:bottom w:val="single" w:sz="8" w:space="0" w:color="auto"/>
              <w:right w:val="single" w:sz="8" w:space="0" w:color="auto"/>
            </w:tcBorders>
            <w:shd w:val="clear" w:color="auto" w:fill="auto"/>
            <w:noWrap/>
            <w:vAlign w:val="center"/>
            <w:hideMark/>
          </w:tcPr>
          <w:p w14:paraId="284CC0C4"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"Bulduru Dārzkopības vidusskola"</w:t>
            </w:r>
          </w:p>
        </w:tc>
        <w:tc>
          <w:tcPr>
            <w:tcW w:w="1984" w:type="dxa"/>
            <w:tcBorders>
              <w:top w:val="nil"/>
              <w:left w:val="nil"/>
              <w:bottom w:val="single" w:sz="8" w:space="0" w:color="auto"/>
              <w:right w:val="single" w:sz="8" w:space="0" w:color="auto"/>
            </w:tcBorders>
            <w:shd w:val="clear" w:color="auto" w:fill="auto"/>
            <w:noWrap/>
            <w:vAlign w:val="center"/>
            <w:hideMark/>
          </w:tcPr>
          <w:p w14:paraId="238BF4E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660 000</w:t>
            </w:r>
          </w:p>
        </w:tc>
        <w:tc>
          <w:tcPr>
            <w:tcW w:w="1985" w:type="dxa"/>
            <w:tcBorders>
              <w:top w:val="nil"/>
              <w:left w:val="nil"/>
              <w:bottom w:val="single" w:sz="8" w:space="0" w:color="auto"/>
              <w:right w:val="single" w:sz="8" w:space="0" w:color="auto"/>
            </w:tcBorders>
            <w:shd w:val="clear" w:color="auto" w:fill="auto"/>
            <w:noWrap/>
            <w:vAlign w:val="center"/>
            <w:hideMark/>
          </w:tcPr>
          <w:p w14:paraId="4B3FD3C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674 500</w:t>
            </w:r>
          </w:p>
        </w:tc>
        <w:tc>
          <w:tcPr>
            <w:tcW w:w="1843" w:type="dxa"/>
            <w:tcBorders>
              <w:top w:val="nil"/>
              <w:left w:val="nil"/>
              <w:bottom w:val="single" w:sz="8" w:space="0" w:color="auto"/>
              <w:right w:val="single" w:sz="8" w:space="0" w:color="auto"/>
            </w:tcBorders>
            <w:shd w:val="clear" w:color="auto" w:fill="auto"/>
            <w:noWrap/>
            <w:vAlign w:val="center"/>
            <w:hideMark/>
          </w:tcPr>
          <w:p w14:paraId="6AAC758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-14 500</w:t>
            </w:r>
          </w:p>
        </w:tc>
      </w:tr>
      <w:tr w:rsidR="0017127D" w:rsidRPr="0017127D" w14:paraId="5FD588E6"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391FC86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w:t>
            </w:r>
          </w:p>
        </w:tc>
        <w:tc>
          <w:tcPr>
            <w:tcW w:w="7081" w:type="dxa"/>
            <w:tcBorders>
              <w:top w:val="nil"/>
              <w:left w:val="nil"/>
              <w:bottom w:val="single" w:sz="8" w:space="0" w:color="auto"/>
              <w:right w:val="single" w:sz="8" w:space="0" w:color="auto"/>
            </w:tcBorders>
            <w:shd w:val="clear" w:color="auto" w:fill="auto"/>
            <w:noWrap/>
            <w:vAlign w:val="center"/>
            <w:hideMark/>
          </w:tcPr>
          <w:p w14:paraId="13573856"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VAS "Latvijas Attīstības finanšu institūcija Altum"</w:t>
            </w:r>
          </w:p>
        </w:tc>
        <w:tc>
          <w:tcPr>
            <w:tcW w:w="1984" w:type="dxa"/>
            <w:tcBorders>
              <w:top w:val="nil"/>
              <w:left w:val="nil"/>
              <w:bottom w:val="single" w:sz="8" w:space="0" w:color="auto"/>
              <w:right w:val="single" w:sz="8" w:space="0" w:color="auto"/>
            </w:tcBorders>
            <w:shd w:val="clear" w:color="auto" w:fill="auto"/>
            <w:noWrap/>
            <w:vAlign w:val="center"/>
            <w:hideMark/>
          </w:tcPr>
          <w:p w14:paraId="141901D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35 292 624</w:t>
            </w:r>
          </w:p>
        </w:tc>
        <w:tc>
          <w:tcPr>
            <w:tcW w:w="1985" w:type="dxa"/>
            <w:tcBorders>
              <w:top w:val="nil"/>
              <w:left w:val="nil"/>
              <w:bottom w:val="single" w:sz="8" w:space="0" w:color="auto"/>
              <w:right w:val="single" w:sz="8" w:space="0" w:color="auto"/>
            </w:tcBorders>
            <w:shd w:val="clear" w:color="auto" w:fill="auto"/>
            <w:noWrap/>
            <w:vAlign w:val="center"/>
            <w:hideMark/>
          </w:tcPr>
          <w:p w14:paraId="1E67D98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36 739 598</w:t>
            </w:r>
          </w:p>
        </w:tc>
        <w:tc>
          <w:tcPr>
            <w:tcW w:w="1843" w:type="dxa"/>
            <w:tcBorders>
              <w:top w:val="nil"/>
              <w:left w:val="nil"/>
              <w:bottom w:val="single" w:sz="8" w:space="0" w:color="auto"/>
              <w:right w:val="single" w:sz="8" w:space="0" w:color="auto"/>
            </w:tcBorders>
            <w:shd w:val="clear" w:color="auto" w:fill="auto"/>
            <w:noWrap/>
            <w:vAlign w:val="center"/>
            <w:hideMark/>
          </w:tcPr>
          <w:p w14:paraId="11114D7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-1 446 974</w:t>
            </w:r>
          </w:p>
        </w:tc>
      </w:tr>
      <w:tr w:rsidR="0017127D" w:rsidRPr="0017127D" w14:paraId="47E0D1C0"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1DF1C20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w:t>
            </w:r>
          </w:p>
        </w:tc>
        <w:tc>
          <w:tcPr>
            <w:tcW w:w="7081" w:type="dxa"/>
            <w:tcBorders>
              <w:top w:val="nil"/>
              <w:left w:val="nil"/>
              <w:bottom w:val="single" w:sz="8" w:space="0" w:color="auto"/>
              <w:right w:val="single" w:sz="8" w:space="0" w:color="auto"/>
            </w:tcBorders>
            <w:shd w:val="clear" w:color="auto" w:fill="auto"/>
            <w:noWrap/>
            <w:vAlign w:val="center"/>
            <w:hideMark/>
          </w:tcPr>
          <w:p w14:paraId="5EACBA7D"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"Šampētera nams"</w:t>
            </w:r>
          </w:p>
        </w:tc>
        <w:tc>
          <w:tcPr>
            <w:tcW w:w="1984" w:type="dxa"/>
            <w:tcBorders>
              <w:top w:val="nil"/>
              <w:left w:val="nil"/>
              <w:bottom w:val="single" w:sz="8" w:space="0" w:color="auto"/>
              <w:right w:val="single" w:sz="8" w:space="0" w:color="auto"/>
            </w:tcBorders>
            <w:shd w:val="clear" w:color="auto" w:fill="auto"/>
            <w:noWrap/>
            <w:vAlign w:val="center"/>
            <w:hideMark/>
          </w:tcPr>
          <w:p w14:paraId="237B3F9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1 925 000</w:t>
            </w:r>
          </w:p>
        </w:tc>
        <w:tc>
          <w:tcPr>
            <w:tcW w:w="1985" w:type="dxa"/>
            <w:tcBorders>
              <w:top w:val="nil"/>
              <w:left w:val="nil"/>
              <w:bottom w:val="single" w:sz="8" w:space="0" w:color="auto"/>
              <w:right w:val="single" w:sz="8" w:space="0" w:color="auto"/>
            </w:tcBorders>
            <w:shd w:val="clear" w:color="auto" w:fill="auto"/>
            <w:noWrap/>
            <w:vAlign w:val="center"/>
            <w:hideMark/>
          </w:tcPr>
          <w:p w14:paraId="4A43C9E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1 910 030</w:t>
            </w:r>
          </w:p>
        </w:tc>
        <w:tc>
          <w:tcPr>
            <w:tcW w:w="1843" w:type="dxa"/>
            <w:tcBorders>
              <w:top w:val="nil"/>
              <w:left w:val="nil"/>
              <w:bottom w:val="single" w:sz="8" w:space="0" w:color="auto"/>
              <w:right w:val="single" w:sz="8" w:space="0" w:color="auto"/>
            </w:tcBorders>
            <w:shd w:val="clear" w:color="auto" w:fill="auto"/>
            <w:noWrap/>
            <w:vAlign w:val="center"/>
            <w:hideMark/>
          </w:tcPr>
          <w:p w14:paraId="25A50C9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14 970</w:t>
            </w:r>
          </w:p>
        </w:tc>
      </w:tr>
      <w:tr w:rsidR="0017127D" w:rsidRPr="0017127D" w14:paraId="62E5E95D"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16DB84E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w:t>
            </w:r>
          </w:p>
        </w:tc>
        <w:tc>
          <w:tcPr>
            <w:tcW w:w="7081" w:type="dxa"/>
            <w:tcBorders>
              <w:top w:val="nil"/>
              <w:left w:val="nil"/>
              <w:bottom w:val="single" w:sz="8" w:space="0" w:color="auto"/>
              <w:right w:val="single" w:sz="8" w:space="0" w:color="auto"/>
            </w:tcBorders>
            <w:shd w:val="clear" w:color="auto" w:fill="auto"/>
            <w:noWrap/>
            <w:vAlign w:val="center"/>
            <w:hideMark/>
          </w:tcPr>
          <w:p w14:paraId="7E853BD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Koncerti”</w:t>
            </w:r>
          </w:p>
        </w:tc>
        <w:tc>
          <w:tcPr>
            <w:tcW w:w="1984" w:type="dxa"/>
            <w:tcBorders>
              <w:top w:val="nil"/>
              <w:left w:val="nil"/>
              <w:bottom w:val="single" w:sz="8" w:space="0" w:color="auto"/>
              <w:right w:val="single" w:sz="8" w:space="0" w:color="auto"/>
            </w:tcBorders>
            <w:shd w:val="clear" w:color="auto" w:fill="auto"/>
            <w:noWrap/>
            <w:vAlign w:val="center"/>
            <w:hideMark/>
          </w:tcPr>
          <w:p w14:paraId="5855CFB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750 000</w:t>
            </w:r>
          </w:p>
        </w:tc>
        <w:tc>
          <w:tcPr>
            <w:tcW w:w="1985" w:type="dxa"/>
            <w:tcBorders>
              <w:top w:val="nil"/>
              <w:left w:val="nil"/>
              <w:bottom w:val="single" w:sz="8" w:space="0" w:color="auto"/>
              <w:right w:val="single" w:sz="8" w:space="0" w:color="auto"/>
            </w:tcBorders>
            <w:shd w:val="clear" w:color="auto" w:fill="auto"/>
            <w:noWrap/>
            <w:vAlign w:val="center"/>
            <w:hideMark/>
          </w:tcPr>
          <w:p w14:paraId="6F0DADD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752 000</w:t>
            </w:r>
          </w:p>
        </w:tc>
        <w:tc>
          <w:tcPr>
            <w:tcW w:w="1843" w:type="dxa"/>
            <w:tcBorders>
              <w:top w:val="nil"/>
              <w:left w:val="nil"/>
              <w:bottom w:val="single" w:sz="8" w:space="0" w:color="auto"/>
              <w:right w:val="single" w:sz="8" w:space="0" w:color="auto"/>
            </w:tcBorders>
            <w:shd w:val="clear" w:color="auto" w:fill="auto"/>
            <w:noWrap/>
            <w:vAlign w:val="center"/>
            <w:hideMark/>
          </w:tcPr>
          <w:p w14:paraId="7AD1EFB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-2 000</w:t>
            </w:r>
          </w:p>
        </w:tc>
      </w:tr>
      <w:tr w:rsidR="0017127D" w:rsidRPr="0017127D" w14:paraId="5CFE014E"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2936834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w:t>
            </w:r>
          </w:p>
        </w:tc>
        <w:tc>
          <w:tcPr>
            <w:tcW w:w="7081" w:type="dxa"/>
            <w:tcBorders>
              <w:top w:val="nil"/>
              <w:left w:val="nil"/>
              <w:bottom w:val="single" w:sz="8" w:space="0" w:color="auto"/>
              <w:right w:val="single" w:sz="8" w:space="0" w:color="auto"/>
            </w:tcBorders>
            <w:shd w:val="clear" w:color="auto" w:fill="auto"/>
            <w:noWrap/>
            <w:vAlign w:val="center"/>
            <w:hideMark/>
          </w:tcPr>
          <w:p w14:paraId="2B581E1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"Valmieras drāmas teātris"</w:t>
            </w:r>
          </w:p>
        </w:tc>
        <w:tc>
          <w:tcPr>
            <w:tcW w:w="1984" w:type="dxa"/>
            <w:tcBorders>
              <w:top w:val="nil"/>
              <w:left w:val="nil"/>
              <w:bottom w:val="single" w:sz="8" w:space="0" w:color="auto"/>
              <w:right w:val="single" w:sz="8" w:space="0" w:color="auto"/>
            </w:tcBorders>
            <w:shd w:val="clear" w:color="auto" w:fill="auto"/>
            <w:noWrap/>
            <w:vAlign w:val="center"/>
            <w:hideMark/>
          </w:tcPr>
          <w:p w14:paraId="6E87B25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2 089 783</w:t>
            </w:r>
          </w:p>
        </w:tc>
        <w:tc>
          <w:tcPr>
            <w:tcW w:w="1985" w:type="dxa"/>
            <w:tcBorders>
              <w:top w:val="nil"/>
              <w:left w:val="nil"/>
              <w:bottom w:val="single" w:sz="8" w:space="0" w:color="auto"/>
              <w:right w:val="single" w:sz="8" w:space="0" w:color="auto"/>
            </w:tcBorders>
            <w:shd w:val="clear" w:color="auto" w:fill="auto"/>
            <w:noWrap/>
            <w:vAlign w:val="center"/>
            <w:hideMark/>
          </w:tcPr>
          <w:p w14:paraId="66D0DCB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2 116 031</w:t>
            </w:r>
          </w:p>
        </w:tc>
        <w:tc>
          <w:tcPr>
            <w:tcW w:w="1843" w:type="dxa"/>
            <w:tcBorders>
              <w:top w:val="nil"/>
              <w:left w:val="nil"/>
              <w:bottom w:val="single" w:sz="8" w:space="0" w:color="auto"/>
              <w:right w:val="single" w:sz="8" w:space="0" w:color="auto"/>
            </w:tcBorders>
            <w:shd w:val="clear" w:color="auto" w:fill="auto"/>
            <w:noWrap/>
            <w:vAlign w:val="center"/>
            <w:hideMark/>
          </w:tcPr>
          <w:p w14:paraId="75AF312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-26 248</w:t>
            </w:r>
          </w:p>
        </w:tc>
      </w:tr>
      <w:tr w:rsidR="0017127D" w:rsidRPr="0017127D" w14:paraId="7291E1DA"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178500A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w:t>
            </w:r>
          </w:p>
        </w:tc>
        <w:tc>
          <w:tcPr>
            <w:tcW w:w="7081" w:type="dxa"/>
            <w:tcBorders>
              <w:top w:val="nil"/>
              <w:left w:val="nil"/>
              <w:bottom w:val="single" w:sz="8" w:space="0" w:color="auto"/>
              <w:right w:val="single" w:sz="8" w:space="0" w:color="auto"/>
            </w:tcBorders>
            <w:shd w:val="clear" w:color="auto" w:fill="auto"/>
            <w:noWrap/>
            <w:vAlign w:val="center"/>
            <w:hideMark/>
          </w:tcPr>
          <w:p w14:paraId="6476CF0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"Daugavpils teātris"</w:t>
            </w:r>
          </w:p>
        </w:tc>
        <w:tc>
          <w:tcPr>
            <w:tcW w:w="1984" w:type="dxa"/>
            <w:tcBorders>
              <w:top w:val="nil"/>
              <w:left w:val="nil"/>
              <w:bottom w:val="single" w:sz="8" w:space="0" w:color="auto"/>
              <w:right w:val="single" w:sz="8" w:space="0" w:color="auto"/>
            </w:tcBorders>
            <w:shd w:val="clear" w:color="auto" w:fill="auto"/>
            <w:noWrap/>
            <w:vAlign w:val="center"/>
            <w:hideMark/>
          </w:tcPr>
          <w:p w14:paraId="3CF1EB0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120 000</w:t>
            </w:r>
          </w:p>
        </w:tc>
        <w:tc>
          <w:tcPr>
            <w:tcW w:w="1985" w:type="dxa"/>
            <w:tcBorders>
              <w:top w:val="nil"/>
              <w:left w:val="nil"/>
              <w:bottom w:val="single" w:sz="8" w:space="0" w:color="auto"/>
              <w:right w:val="single" w:sz="8" w:space="0" w:color="auto"/>
            </w:tcBorders>
            <w:shd w:val="clear" w:color="auto" w:fill="auto"/>
            <w:noWrap/>
            <w:vAlign w:val="center"/>
            <w:hideMark/>
          </w:tcPr>
          <w:p w14:paraId="27D26C6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260 100</w:t>
            </w:r>
          </w:p>
        </w:tc>
        <w:tc>
          <w:tcPr>
            <w:tcW w:w="1843" w:type="dxa"/>
            <w:tcBorders>
              <w:top w:val="nil"/>
              <w:left w:val="nil"/>
              <w:bottom w:val="single" w:sz="8" w:space="0" w:color="auto"/>
              <w:right w:val="single" w:sz="8" w:space="0" w:color="auto"/>
            </w:tcBorders>
            <w:shd w:val="clear" w:color="auto" w:fill="auto"/>
            <w:noWrap/>
            <w:vAlign w:val="center"/>
            <w:hideMark/>
          </w:tcPr>
          <w:p w14:paraId="4E962EE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-140 100</w:t>
            </w:r>
          </w:p>
        </w:tc>
      </w:tr>
      <w:tr w:rsidR="0017127D" w:rsidRPr="0017127D" w14:paraId="7C959B3E"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6192602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w:t>
            </w:r>
          </w:p>
        </w:tc>
        <w:tc>
          <w:tcPr>
            <w:tcW w:w="7081" w:type="dxa"/>
            <w:tcBorders>
              <w:top w:val="nil"/>
              <w:left w:val="nil"/>
              <w:bottom w:val="single" w:sz="8" w:space="0" w:color="auto"/>
              <w:right w:val="single" w:sz="8" w:space="0" w:color="auto"/>
            </w:tcBorders>
            <w:shd w:val="clear" w:color="auto" w:fill="auto"/>
            <w:noWrap/>
            <w:vAlign w:val="center"/>
            <w:hideMark/>
          </w:tcPr>
          <w:p w14:paraId="477FB107"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Nacionālais teātris"</w:t>
            </w:r>
          </w:p>
        </w:tc>
        <w:tc>
          <w:tcPr>
            <w:tcW w:w="1984" w:type="dxa"/>
            <w:tcBorders>
              <w:top w:val="nil"/>
              <w:left w:val="nil"/>
              <w:bottom w:val="single" w:sz="8" w:space="0" w:color="auto"/>
              <w:right w:val="single" w:sz="8" w:space="0" w:color="auto"/>
            </w:tcBorders>
            <w:shd w:val="clear" w:color="auto" w:fill="auto"/>
            <w:noWrap/>
            <w:vAlign w:val="center"/>
            <w:hideMark/>
          </w:tcPr>
          <w:p w14:paraId="08B732D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1 250 000</w:t>
            </w:r>
          </w:p>
        </w:tc>
        <w:tc>
          <w:tcPr>
            <w:tcW w:w="1985" w:type="dxa"/>
            <w:tcBorders>
              <w:top w:val="nil"/>
              <w:left w:val="nil"/>
              <w:bottom w:val="single" w:sz="8" w:space="0" w:color="auto"/>
              <w:right w:val="single" w:sz="8" w:space="0" w:color="auto"/>
            </w:tcBorders>
            <w:shd w:val="clear" w:color="auto" w:fill="auto"/>
            <w:noWrap/>
            <w:vAlign w:val="center"/>
            <w:hideMark/>
          </w:tcPr>
          <w:p w14:paraId="7726E92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1 193 000</w:t>
            </w:r>
          </w:p>
        </w:tc>
        <w:tc>
          <w:tcPr>
            <w:tcW w:w="1843" w:type="dxa"/>
            <w:tcBorders>
              <w:top w:val="nil"/>
              <w:left w:val="nil"/>
              <w:bottom w:val="single" w:sz="8" w:space="0" w:color="auto"/>
              <w:right w:val="single" w:sz="8" w:space="0" w:color="auto"/>
            </w:tcBorders>
            <w:shd w:val="clear" w:color="auto" w:fill="auto"/>
            <w:noWrap/>
            <w:vAlign w:val="center"/>
            <w:hideMark/>
          </w:tcPr>
          <w:p w14:paraId="2ACC599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57 000</w:t>
            </w:r>
          </w:p>
        </w:tc>
      </w:tr>
      <w:tr w:rsidR="0017127D" w:rsidRPr="0017127D" w14:paraId="4F33333F"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12718BD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11</w:t>
            </w:r>
          </w:p>
        </w:tc>
        <w:tc>
          <w:tcPr>
            <w:tcW w:w="7081" w:type="dxa"/>
            <w:tcBorders>
              <w:top w:val="nil"/>
              <w:left w:val="nil"/>
              <w:bottom w:val="single" w:sz="8" w:space="0" w:color="auto"/>
              <w:right w:val="single" w:sz="8" w:space="0" w:color="auto"/>
            </w:tcBorders>
            <w:shd w:val="clear" w:color="auto" w:fill="auto"/>
            <w:noWrap/>
            <w:vAlign w:val="center"/>
            <w:hideMark/>
          </w:tcPr>
          <w:p w14:paraId="290F7E52"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Nacionālais simfoniskais orķestris"</w:t>
            </w:r>
          </w:p>
        </w:tc>
        <w:tc>
          <w:tcPr>
            <w:tcW w:w="1984" w:type="dxa"/>
            <w:tcBorders>
              <w:top w:val="nil"/>
              <w:left w:val="nil"/>
              <w:bottom w:val="single" w:sz="8" w:space="0" w:color="auto"/>
              <w:right w:val="single" w:sz="8" w:space="0" w:color="auto"/>
            </w:tcBorders>
            <w:shd w:val="clear" w:color="auto" w:fill="auto"/>
            <w:noWrap/>
            <w:vAlign w:val="center"/>
            <w:hideMark/>
          </w:tcPr>
          <w:p w14:paraId="526DCBE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609 420</w:t>
            </w:r>
          </w:p>
        </w:tc>
        <w:tc>
          <w:tcPr>
            <w:tcW w:w="1985" w:type="dxa"/>
            <w:tcBorders>
              <w:top w:val="nil"/>
              <w:left w:val="nil"/>
              <w:bottom w:val="single" w:sz="8" w:space="0" w:color="auto"/>
              <w:right w:val="single" w:sz="8" w:space="0" w:color="auto"/>
            </w:tcBorders>
            <w:shd w:val="clear" w:color="auto" w:fill="auto"/>
            <w:noWrap/>
            <w:vAlign w:val="center"/>
            <w:hideMark/>
          </w:tcPr>
          <w:p w14:paraId="59336A8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604 221</w:t>
            </w:r>
          </w:p>
        </w:tc>
        <w:tc>
          <w:tcPr>
            <w:tcW w:w="1843" w:type="dxa"/>
            <w:tcBorders>
              <w:top w:val="nil"/>
              <w:left w:val="nil"/>
              <w:bottom w:val="single" w:sz="8" w:space="0" w:color="auto"/>
              <w:right w:val="single" w:sz="8" w:space="0" w:color="auto"/>
            </w:tcBorders>
            <w:shd w:val="clear" w:color="auto" w:fill="auto"/>
            <w:noWrap/>
            <w:vAlign w:val="center"/>
            <w:hideMark/>
          </w:tcPr>
          <w:p w14:paraId="2489A2B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5 199</w:t>
            </w:r>
          </w:p>
        </w:tc>
      </w:tr>
      <w:tr w:rsidR="0017127D" w:rsidRPr="0017127D" w14:paraId="339C37C1"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7A41D4A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12</w:t>
            </w:r>
          </w:p>
        </w:tc>
        <w:tc>
          <w:tcPr>
            <w:tcW w:w="7081" w:type="dxa"/>
            <w:tcBorders>
              <w:top w:val="nil"/>
              <w:left w:val="nil"/>
              <w:bottom w:val="single" w:sz="8" w:space="0" w:color="auto"/>
              <w:right w:val="single" w:sz="8" w:space="0" w:color="auto"/>
            </w:tcBorders>
            <w:shd w:val="clear" w:color="auto" w:fill="auto"/>
            <w:noWrap/>
            <w:vAlign w:val="center"/>
            <w:hideMark/>
          </w:tcPr>
          <w:p w14:paraId="4A87B93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Nacionālā opera un balets”</w:t>
            </w:r>
          </w:p>
        </w:tc>
        <w:tc>
          <w:tcPr>
            <w:tcW w:w="1984" w:type="dxa"/>
            <w:tcBorders>
              <w:top w:val="nil"/>
              <w:left w:val="nil"/>
              <w:bottom w:val="single" w:sz="8" w:space="0" w:color="auto"/>
              <w:right w:val="single" w:sz="8" w:space="0" w:color="auto"/>
            </w:tcBorders>
            <w:shd w:val="clear" w:color="auto" w:fill="auto"/>
            <w:noWrap/>
            <w:vAlign w:val="center"/>
            <w:hideMark/>
          </w:tcPr>
          <w:p w14:paraId="53D8ABB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3 150 000</w:t>
            </w:r>
          </w:p>
        </w:tc>
        <w:tc>
          <w:tcPr>
            <w:tcW w:w="1985" w:type="dxa"/>
            <w:tcBorders>
              <w:top w:val="nil"/>
              <w:left w:val="nil"/>
              <w:bottom w:val="single" w:sz="8" w:space="0" w:color="auto"/>
              <w:right w:val="single" w:sz="8" w:space="0" w:color="auto"/>
            </w:tcBorders>
            <w:shd w:val="clear" w:color="auto" w:fill="auto"/>
            <w:noWrap/>
            <w:vAlign w:val="center"/>
            <w:hideMark/>
          </w:tcPr>
          <w:p w14:paraId="3A40BC0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3 150 000</w:t>
            </w:r>
          </w:p>
        </w:tc>
        <w:tc>
          <w:tcPr>
            <w:tcW w:w="1843" w:type="dxa"/>
            <w:tcBorders>
              <w:top w:val="nil"/>
              <w:left w:val="nil"/>
              <w:bottom w:val="single" w:sz="8" w:space="0" w:color="auto"/>
              <w:right w:val="single" w:sz="8" w:space="0" w:color="auto"/>
            </w:tcBorders>
            <w:shd w:val="clear" w:color="auto" w:fill="auto"/>
            <w:noWrap/>
            <w:vAlign w:val="center"/>
            <w:hideMark/>
          </w:tcPr>
          <w:p w14:paraId="607996D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296A00E6"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0B13C0C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w:t>
            </w:r>
          </w:p>
        </w:tc>
        <w:tc>
          <w:tcPr>
            <w:tcW w:w="7081" w:type="dxa"/>
            <w:tcBorders>
              <w:top w:val="nil"/>
              <w:left w:val="nil"/>
              <w:bottom w:val="single" w:sz="8" w:space="0" w:color="auto"/>
              <w:right w:val="single" w:sz="8" w:space="0" w:color="auto"/>
            </w:tcBorders>
            <w:shd w:val="clear" w:color="auto" w:fill="auto"/>
            <w:vAlign w:val="center"/>
            <w:hideMark/>
          </w:tcPr>
          <w:p w14:paraId="0FD8629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"Valsts Akadēmiskais koris "Latvija""</w:t>
            </w:r>
          </w:p>
        </w:tc>
        <w:tc>
          <w:tcPr>
            <w:tcW w:w="1984" w:type="dxa"/>
            <w:tcBorders>
              <w:top w:val="nil"/>
              <w:left w:val="nil"/>
              <w:bottom w:val="single" w:sz="8" w:space="0" w:color="auto"/>
              <w:right w:val="single" w:sz="8" w:space="0" w:color="auto"/>
            </w:tcBorders>
            <w:shd w:val="clear" w:color="auto" w:fill="auto"/>
            <w:noWrap/>
            <w:vAlign w:val="center"/>
            <w:hideMark/>
          </w:tcPr>
          <w:p w14:paraId="7B4A5CA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92 500</w:t>
            </w:r>
          </w:p>
        </w:tc>
        <w:tc>
          <w:tcPr>
            <w:tcW w:w="1985" w:type="dxa"/>
            <w:tcBorders>
              <w:top w:val="nil"/>
              <w:left w:val="nil"/>
              <w:bottom w:val="single" w:sz="8" w:space="0" w:color="auto"/>
              <w:right w:val="single" w:sz="8" w:space="0" w:color="auto"/>
            </w:tcBorders>
            <w:shd w:val="clear" w:color="auto" w:fill="auto"/>
            <w:noWrap/>
            <w:vAlign w:val="center"/>
            <w:hideMark/>
          </w:tcPr>
          <w:p w14:paraId="6ED1FFF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91 000</w:t>
            </w:r>
          </w:p>
        </w:tc>
        <w:tc>
          <w:tcPr>
            <w:tcW w:w="1843" w:type="dxa"/>
            <w:tcBorders>
              <w:top w:val="nil"/>
              <w:left w:val="nil"/>
              <w:bottom w:val="single" w:sz="8" w:space="0" w:color="auto"/>
              <w:right w:val="single" w:sz="8" w:space="0" w:color="auto"/>
            </w:tcBorders>
            <w:shd w:val="clear" w:color="auto" w:fill="auto"/>
            <w:noWrap/>
            <w:vAlign w:val="center"/>
            <w:hideMark/>
          </w:tcPr>
          <w:p w14:paraId="0955535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1 500</w:t>
            </w:r>
          </w:p>
        </w:tc>
      </w:tr>
      <w:tr w:rsidR="0017127D" w:rsidRPr="0017127D" w14:paraId="0DB98A23"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62B1536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w:t>
            </w:r>
          </w:p>
        </w:tc>
        <w:tc>
          <w:tcPr>
            <w:tcW w:w="7081" w:type="dxa"/>
            <w:tcBorders>
              <w:top w:val="nil"/>
              <w:left w:val="nil"/>
              <w:bottom w:val="single" w:sz="8" w:space="0" w:color="auto"/>
              <w:right w:val="single" w:sz="8" w:space="0" w:color="auto"/>
            </w:tcBorders>
            <w:shd w:val="clear" w:color="auto" w:fill="auto"/>
            <w:vAlign w:val="center"/>
            <w:hideMark/>
          </w:tcPr>
          <w:p w14:paraId="47D9FDDF"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"Liepājas Simfoniskais orķestris"</w:t>
            </w:r>
          </w:p>
        </w:tc>
        <w:tc>
          <w:tcPr>
            <w:tcW w:w="1984" w:type="dxa"/>
            <w:tcBorders>
              <w:top w:val="nil"/>
              <w:left w:val="nil"/>
              <w:bottom w:val="single" w:sz="8" w:space="0" w:color="auto"/>
              <w:right w:val="single" w:sz="8" w:space="0" w:color="auto"/>
            </w:tcBorders>
            <w:shd w:val="clear" w:color="auto" w:fill="auto"/>
            <w:noWrap/>
            <w:vAlign w:val="center"/>
            <w:hideMark/>
          </w:tcPr>
          <w:p w14:paraId="10ED313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260 000</w:t>
            </w:r>
          </w:p>
        </w:tc>
        <w:tc>
          <w:tcPr>
            <w:tcW w:w="1985" w:type="dxa"/>
            <w:tcBorders>
              <w:top w:val="nil"/>
              <w:left w:val="nil"/>
              <w:bottom w:val="single" w:sz="8" w:space="0" w:color="auto"/>
              <w:right w:val="single" w:sz="8" w:space="0" w:color="auto"/>
            </w:tcBorders>
            <w:shd w:val="clear" w:color="auto" w:fill="auto"/>
            <w:noWrap/>
            <w:vAlign w:val="center"/>
            <w:hideMark/>
          </w:tcPr>
          <w:p w14:paraId="7686300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257 400</w:t>
            </w:r>
          </w:p>
        </w:tc>
        <w:tc>
          <w:tcPr>
            <w:tcW w:w="1843" w:type="dxa"/>
            <w:tcBorders>
              <w:top w:val="nil"/>
              <w:left w:val="nil"/>
              <w:bottom w:val="single" w:sz="8" w:space="0" w:color="auto"/>
              <w:right w:val="single" w:sz="8" w:space="0" w:color="auto"/>
            </w:tcBorders>
            <w:shd w:val="clear" w:color="auto" w:fill="auto"/>
            <w:noWrap/>
            <w:vAlign w:val="center"/>
            <w:hideMark/>
          </w:tcPr>
          <w:p w14:paraId="14EE1C1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2 600</w:t>
            </w:r>
          </w:p>
        </w:tc>
      </w:tr>
      <w:tr w:rsidR="0017127D" w:rsidRPr="0017127D" w14:paraId="6ED199D2"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21F50F0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15</w:t>
            </w:r>
          </w:p>
        </w:tc>
        <w:tc>
          <w:tcPr>
            <w:tcW w:w="7081" w:type="dxa"/>
            <w:tcBorders>
              <w:top w:val="nil"/>
              <w:left w:val="nil"/>
              <w:bottom w:val="single" w:sz="8" w:space="0" w:color="auto"/>
              <w:right w:val="single" w:sz="8" w:space="0" w:color="auto"/>
            </w:tcBorders>
            <w:shd w:val="clear" w:color="auto" w:fill="auto"/>
            <w:noWrap/>
            <w:vAlign w:val="center"/>
            <w:hideMark/>
          </w:tcPr>
          <w:p w14:paraId="514E1665"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"Rīgas cirks"</w:t>
            </w:r>
          </w:p>
        </w:tc>
        <w:tc>
          <w:tcPr>
            <w:tcW w:w="1984" w:type="dxa"/>
            <w:tcBorders>
              <w:top w:val="nil"/>
              <w:left w:val="nil"/>
              <w:bottom w:val="single" w:sz="8" w:space="0" w:color="auto"/>
              <w:right w:val="single" w:sz="8" w:space="0" w:color="auto"/>
            </w:tcBorders>
            <w:shd w:val="clear" w:color="auto" w:fill="auto"/>
            <w:noWrap/>
            <w:vAlign w:val="center"/>
            <w:hideMark/>
          </w:tcPr>
          <w:p w14:paraId="3BBE09E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145 177</w:t>
            </w:r>
          </w:p>
        </w:tc>
        <w:tc>
          <w:tcPr>
            <w:tcW w:w="1985" w:type="dxa"/>
            <w:tcBorders>
              <w:top w:val="nil"/>
              <w:left w:val="nil"/>
              <w:bottom w:val="single" w:sz="8" w:space="0" w:color="auto"/>
              <w:right w:val="single" w:sz="8" w:space="0" w:color="auto"/>
            </w:tcBorders>
            <w:shd w:val="clear" w:color="auto" w:fill="auto"/>
            <w:noWrap/>
            <w:vAlign w:val="center"/>
            <w:hideMark/>
          </w:tcPr>
          <w:p w14:paraId="048E4A9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1 000 260</w:t>
            </w:r>
          </w:p>
        </w:tc>
        <w:tc>
          <w:tcPr>
            <w:tcW w:w="1843" w:type="dxa"/>
            <w:tcBorders>
              <w:top w:val="nil"/>
              <w:left w:val="nil"/>
              <w:bottom w:val="single" w:sz="8" w:space="0" w:color="auto"/>
              <w:right w:val="single" w:sz="8" w:space="0" w:color="auto"/>
            </w:tcBorders>
            <w:shd w:val="clear" w:color="auto" w:fill="auto"/>
            <w:noWrap/>
            <w:vAlign w:val="center"/>
            <w:hideMark/>
          </w:tcPr>
          <w:p w14:paraId="61CF753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-855 083</w:t>
            </w:r>
          </w:p>
        </w:tc>
      </w:tr>
      <w:tr w:rsidR="0017127D" w:rsidRPr="0017127D" w14:paraId="4112C081"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7A07065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w:t>
            </w:r>
          </w:p>
        </w:tc>
        <w:tc>
          <w:tcPr>
            <w:tcW w:w="7081" w:type="dxa"/>
            <w:tcBorders>
              <w:top w:val="nil"/>
              <w:left w:val="nil"/>
              <w:bottom w:val="single" w:sz="8" w:space="0" w:color="auto"/>
              <w:right w:val="single" w:sz="8" w:space="0" w:color="auto"/>
            </w:tcBorders>
            <w:shd w:val="clear" w:color="auto" w:fill="auto"/>
            <w:noWrap/>
            <w:vAlign w:val="center"/>
            <w:hideMark/>
          </w:tcPr>
          <w:p w14:paraId="7A8C58B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"Starptautiskā Rakstnieku un tulkotāju māja"</w:t>
            </w:r>
          </w:p>
        </w:tc>
        <w:tc>
          <w:tcPr>
            <w:tcW w:w="1984" w:type="dxa"/>
            <w:tcBorders>
              <w:top w:val="nil"/>
              <w:left w:val="nil"/>
              <w:bottom w:val="single" w:sz="8" w:space="0" w:color="auto"/>
              <w:right w:val="single" w:sz="8" w:space="0" w:color="auto"/>
            </w:tcBorders>
            <w:shd w:val="clear" w:color="auto" w:fill="auto"/>
            <w:noWrap/>
            <w:vAlign w:val="center"/>
            <w:hideMark/>
          </w:tcPr>
          <w:p w14:paraId="7534DF4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7 500</w:t>
            </w:r>
          </w:p>
        </w:tc>
        <w:tc>
          <w:tcPr>
            <w:tcW w:w="1985" w:type="dxa"/>
            <w:tcBorders>
              <w:top w:val="nil"/>
              <w:left w:val="nil"/>
              <w:bottom w:val="single" w:sz="8" w:space="0" w:color="auto"/>
              <w:right w:val="single" w:sz="8" w:space="0" w:color="auto"/>
            </w:tcBorders>
            <w:shd w:val="clear" w:color="auto" w:fill="auto"/>
            <w:noWrap/>
            <w:vAlign w:val="center"/>
            <w:hideMark/>
          </w:tcPr>
          <w:p w14:paraId="08660BB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4 712</w:t>
            </w:r>
          </w:p>
        </w:tc>
        <w:tc>
          <w:tcPr>
            <w:tcW w:w="1843" w:type="dxa"/>
            <w:tcBorders>
              <w:top w:val="nil"/>
              <w:left w:val="nil"/>
              <w:bottom w:val="single" w:sz="8" w:space="0" w:color="auto"/>
              <w:right w:val="single" w:sz="8" w:space="0" w:color="auto"/>
            </w:tcBorders>
            <w:shd w:val="clear" w:color="auto" w:fill="auto"/>
            <w:noWrap/>
            <w:vAlign w:val="center"/>
            <w:hideMark/>
          </w:tcPr>
          <w:p w14:paraId="4DDD625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2 788</w:t>
            </w:r>
          </w:p>
        </w:tc>
      </w:tr>
      <w:tr w:rsidR="0017127D" w:rsidRPr="0017127D" w14:paraId="4C9A1CA8"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076FFC5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17</w:t>
            </w:r>
          </w:p>
        </w:tc>
        <w:tc>
          <w:tcPr>
            <w:tcW w:w="7081" w:type="dxa"/>
            <w:tcBorders>
              <w:top w:val="nil"/>
              <w:left w:val="nil"/>
              <w:bottom w:val="single" w:sz="8" w:space="0" w:color="auto"/>
              <w:right w:val="single" w:sz="8" w:space="0" w:color="auto"/>
            </w:tcBorders>
            <w:shd w:val="clear" w:color="auto" w:fill="auto"/>
            <w:noWrap/>
            <w:vAlign w:val="center"/>
            <w:hideMark/>
          </w:tcPr>
          <w:p w14:paraId="6E306986"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"Mihaila Čehova Rīgas Krievu teātris"</w:t>
            </w:r>
          </w:p>
        </w:tc>
        <w:tc>
          <w:tcPr>
            <w:tcW w:w="1984" w:type="dxa"/>
            <w:tcBorders>
              <w:top w:val="nil"/>
              <w:left w:val="nil"/>
              <w:bottom w:val="single" w:sz="8" w:space="0" w:color="auto"/>
              <w:right w:val="single" w:sz="8" w:space="0" w:color="auto"/>
            </w:tcBorders>
            <w:shd w:val="clear" w:color="auto" w:fill="auto"/>
            <w:noWrap/>
            <w:vAlign w:val="center"/>
            <w:hideMark/>
          </w:tcPr>
          <w:p w14:paraId="524D244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1 550 000</w:t>
            </w:r>
          </w:p>
        </w:tc>
        <w:tc>
          <w:tcPr>
            <w:tcW w:w="1985" w:type="dxa"/>
            <w:tcBorders>
              <w:top w:val="nil"/>
              <w:left w:val="nil"/>
              <w:bottom w:val="single" w:sz="8" w:space="0" w:color="auto"/>
              <w:right w:val="single" w:sz="8" w:space="0" w:color="auto"/>
            </w:tcBorders>
            <w:shd w:val="clear" w:color="auto" w:fill="auto"/>
            <w:noWrap/>
            <w:vAlign w:val="center"/>
            <w:hideMark/>
          </w:tcPr>
          <w:p w14:paraId="74768A1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1 600 000</w:t>
            </w:r>
          </w:p>
        </w:tc>
        <w:tc>
          <w:tcPr>
            <w:tcW w:w="1843" w:type="dxa"/>
            <w:tcBorders>
              <w:top w:val="nil"/>
              <w:left w:val="nil"/>
              <w:bottom w:val="single" w:sz="8" w:space="0" w:color="auto"/>
              <w:right w:val="single" w:sz="8" w:space="0" w:color="auto"/>
            </w:tcBorders>
            <w:shd w:val="clear" w:color="auto" w:fill="auto"/>
            <w:noWrap/>
            <w:vAlign w:val="center"/>
            <w:hideMark/>
          </w:tcPr>
          <w:p w14:paraId="029C98A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-50 000</w:t>
            </w:r>
          </w:p>
        </w:tc>
      </w:tr>
      <w:tr w:rsidR="0017127D" w:rsidRPr="0017127D" w14:paraId="08D3B543"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4F4A43E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lastRenderedPageBreak/>
              <w:t>18</w:t>
            </w:r>
          </w:p>
        </w:tc>
        <w:tc>
          <w:tcPr>
            <w:tcW w:w="7081" w:type="dxa"/>
            <w:tcBorders>
              <w:top w:val="nil"/>
              <w:left w:val="nil"/>
              <w:bottom w:val="single" w:sz="8" w:space="0" w:color="auto"/>
              <w:right w:val="single" w:sz="8" w:space="0" w:color="auto"/>
            </w:tcBorders>
            <w:shd w:val="clear" w:color="auto" w:fill="auto"/>
            <w:noWrap/>
            <w:vAlign w:val="center"/>
            <w:hideMark/>
          </w:tcPr>
          <w:p w14:paraId="6F1B0054"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Leļļu teātris"</w:t>
            </w:r>
          </w:p>
        </w:tc>
        <w:tc>
          <w:tcPr>
            <w:tcW w:w="1984" w:type="dxa"/>
            <w:tcBorders>
              <w:top w:val="nil"/>
              <w:left w:val="nil"/>
              <w:bottom w:val="single" w:sz="8" w:space="0" w:color="auto"/>
              <w:right w:val="single" w:sz="8" w:space="0" w:color="auto"/>
            </w:tcBorders>
            <w:shd w:val="clear" w:color="auto" w:fill="auto"/>
            <w:noWrap/>
            <w:vAlign w:val="center"/>
            <w:hideMark/>
          </w:tcPr>
          <w:p w14:paraId="79E87E7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100 000</w:t>
            </w:r>
          </w:p>
        </w:tc>
        <w:tc>
          <w:tcPr>
            <w:tcW w:w="1985" w:type="dxa"/>
            <w:tcBorders>
              <w:top w:val="nil"/>
              <w:left w:val="nil"/>
              <w:bottom w:val="single" w:sz="8" w:space="0" w:color="auto"/>
              <w:right w:val="single" w:sz="8" w:space="0" w:color="auto"/>
            </w:tcBorders>
            <w:shd w:val="clear" w:color="auto" w:fill="auto"/>
            <w:noWrap/>
            <w:vAlign w:val="center"/>
            <w:hideMark/>
          </w:tcPr>
          <w:p w14:paraId="67478C7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1 684 720</w:t>
            </w:r>
          </w:p>
        </w:tc>
        <w:tc>
          <w:tcPr>
            <w:tcW w:w="1843" w:type="dxa"/>
            <w:tcBorders>
              <w:top w:val="nil"/>
              <w:left w:val="nil"/>
              <w:bottom w:val="single" w:sz="8" w:space="0" w:color="auto"/>
              <w:right w:val="single" w:sz="8" w:space="0" w:color="auto"/>
            </w:tcBorders>
            <w:shd w:val="clear" w:color="auto" w:fill="auto"/>
            <w:noWrap/>
            <w:vAlign w:val="center"/>
            <w:hideMark/>
          </w:tcPr>
          <w:p w14:paraId="3EE596B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-1 584 720</w:t>
            </w:r>
          </w:p>
        </w:tc>
      </w:tr>
      <w:tr w:rsidR="0017127D" w:rsidRPr="0017127D" w14:paraId="4B52F535"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3CDD897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w:t>
            </w:r>
          </w:p>
        </w:tc>
        <w:tc>
          <w:tcPr>
            <w:tcW w:w="7081" w:type="dxa"/>
            <w:tcBorders>
              <w:top w:val="nil"/>
              <w:left w:val="nil"/>
              <w:bottom w:val="single" w:sz="8" w:space="0" w:color="auto"/>
              <w:right w:val="single" w:sz="8" w:space="0" w:color="auto"/>
            </w:tcBorders>
            <w:shd w:val="clear" w:color="auto" w:fill="auto"/>
            <w:noWrap/>
            <w:vAlign w:val="center"/>
            <w:hideMark/>
          </w:tcPr>
          <w:p w14:paraId="19EF173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VAS "Tiesu namu aģentūra"</w:t>
            </w:r>
          </w:p>
        </w:tc>
        <w:tc>
          <w:tcPr>
            <w:tcW w:w="1984" w:type="dxa"/>
            <w:tcBorders>
              <w:top w:val="nil"/>
              <w:left w:val="nil"/>
              <w:bottom w:val="single" w:sz="8" w:space="0" w:color="auto"/>
              <w:right w:val="single" w:sz="8" w:space="0" w:color="auto"/>
            </w:tcBorders>
            <w:shd w:val="clear" w:color="auto" w:fill="auto"/>
            <w:noWrap/>
            <w:vAlign w:val="center"/>
            <w:hideMark/>
          </w:tcPr>
          <w:p w14:paraId="045B287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7 870 000</w:t>
            </w:r>
          </w:p>
        </w:tc>
        <w:tc>
          <w:tcPr>
            <w:tcW w:w="1985" w:type="dxa"/>
            <w:tcBorders>
              <w:top w:val="nil"/>
              <w:left w:val="nil"/>
              <w:bottom w:val="single" w:sz="8" w:space="0" w:color="auto"/>
              <w:right w:val="single" w:sz="8" w:space="0" w:color="auto"/>
            </w:tcBorders>
            <w:shd w:val="clear" w:color="auto" w:fill="auto"/>
            <w:noWrap/>
            <w:vAlign w:val="center"/>
            <w:hideMark/>
          </w:tcPr>
          <w:p w14:paraId="382B7A7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6 158 000</w:t>
            </w:r>
          </w:p>
        </w:tc>
        <w:tc>
          <w:tcPr>
            <w:tcW w:w="1843" w:type="dxa"/>
            <w:tcBorders>
              <w:top w:val="nil"/>
              <w:left w:val="nil"/>
              <w:bottom w:val="single" w:sz="8" w:space="0" w:color="auto"/>
              <w:right w:val="single" w:sz="8" w:space="0" w:color="auto"/>
            </w:tcBorders>
            <w:shd w:val="clear" w:color="auto" w:fill="auto"/>
            <w:noWrap/>
            <w:vAlign w:val="center"/>
            <w:hideMark/>
          </w:tcPr>
          <w:p w14:paraId="770664B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1 712 000</w:t>
            </w:r>
          </w:p>
        </w:tc>
      </w:tr>
      <w:tr w:rsidR="0017127D" w:rsidRPr="0017127D" w14:paraId="5A334113"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4895D09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20</w:t>
            </w:r>
          </w:p>
        </w:tc>
        <w:tc>
          <w:tcPr>
            <w:tcW w:w="7081" w:type="dxa"/>
            <w:tcBorders>
              <w:top w:val="nil"/>
              <w:left w:val="nil"/>
              <w:bottom w:val="single" w:sz="8" w:space="0" w:color="auto"/>
              <w:right w:val="single" w:sz="8" w:space="0" w:color="auto"/>
            </w:tcBorders>
            <w:shd w:val="clear" w:color="auto" w:fill="auto"/>
            <w:noWrap/>
            <w:vAlign w:val="center"/>
            <w:hideMark/>
          </w:tcPr>
          <w:p w14:paraId="366FFEA2"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VAS "Valsts nekustamie īpašumi"</w:t>
            </w:r>
          </w:p>
        </w:tc>
        <w:tc>
          <w:tcPr>
            <w:tcW w:w="1984" w:type="dxa"/>
            <w:tcBorders>
              <w:top w:val="nil"/>
              <w:left w:val="nil"/>
              <w:bottom w:val="single" w:sz="8" w:space="0" w:color="auto"/>
              <w:right w:val="single" w:sz="8" w:space="0" w:color="auto"/>
            </w:tcBorders>
            <w:shd w:val="clear" w:color="auto" w:fill="auto"/>
            <w:noWrap/>
            <w:vAlign w:val="center"/>
            <w:hideMark/>
          </w:tcPr>
          <w:p w14:paraId="0188552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41 644 835</w:t>
            </w:r>
          </w:p>
        </w:tc>
        <w:tc>
          <w:tcPr>
            <w:tcW w:w="1985" w:type="dxa"/>
            <w:tcBorders>
              <w:top w:val="nil"/>
              <w:left w:val="nil"/>
              <w:bottom w:val="single" w:sz="8" w:space="0" w:color="auto"/>
              <w:right w:val="single" w:sz="8" w:space="0" w:color="auto"/>
            </w:tcBorders>
            <w:shd w:val="clear" w:color="auto" w:fill="auto"/>
            <w:noWrap/>
            <w:vAlign w:val="center"/>
            <w:hideMark/>
          </w:tcPr>
          <w:p w14:paraId="6637C43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45 224 579</w:t>
            </w:r>
          </w:p>
        </w:tc>
        <w:tc>
          <w:tcPr>
            <w:tcW w:w="1843" w:type="dxa"/>
            <w:tcBorders>
              <w:top w:val="nil"/>
              <w:left w:val="nil"/>
              <w:bottom w:val="single" w:sz="8" w:space="0" w:color="auto"/>
              <w:right w:val="single" w:sz="8" w:space="0" w:color="auto"/>
            </w:tcBorders>
            <w:shd w:val="clear" w:color="auto" w:fill="auto"/>
            <w:noWrap/>
            <w:vAlign w:val="center"/>
            <w:hideMark/>
          </w:tcPr>
          <w:p w14:paraId="0470107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-3 579 744</w:t>
            </w:r>
          </w:p>
        </w:tc>
      </w:tr>
      <w:tr w:rsidR="0017127D" w:rsidRPr="0017127D" w14:paraId="7C1D5295"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7B544C1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21</w:t>
            </w:r>
          </w:p>
        </w:tc>
        <w:tc>
          <w:tcPr>
            <w:tcW w:w="7081" w:type="dxa"/>
            <w:tcBorders>
              <w:top w:val="nil"/>
              <w:left w:val="nil"/>
              <w:bottom w:val="single" w:sz="8" w:space="0" w:color="auto"/>
              <w:right w:val="single" w:sz="8" w:space="0" w:color="auto"/>
            </w:tcBorders>
            <w:shd w:val="clear" w:color="auto" w:fill="auto"/>
            <w:noWrap/>
            <w:vAlign w:val="center"/>
            <w:hideMark/>
          </w:tcPr>
          <w:p w14:paraId="6BF7240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"Vides investīciju fonds”</w:t>
            </w:r>
          </w:p>
        </w:tc>
        <w:tc>
          <w:tcPr>
            <w:tcW w:w="1984" w:type="dxa"/>
            <w:tcBorders>
              <w:top w:val="nil"/>
              <w:left w:val="nil"/>
              <w:bottom w:val="single" w:sz="8" w:space="0" w:color="auto"/>
              <w:right w:val="single" w:sz="8" w:space="0" w:color="auto"/>
            </w:tcBorders>
            <w:shd w:val="clear" w:color="auto" w:fill="auto"/>
            <w:noWrap/>
            <w:vAlign w:val="center"/>
            <w:hideMark/>
          </w:tcPr>
          <w:p w14:paraId="032E2A7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570 352</w:t>
            </w:r>
          </w:p>
        </w:tc>
        <w:tc>
          <w:tcPr>
            <w:tcW w:w="1985" w:type="dxa"/>
            <w:tcBorders>
              <w:top w:val="nil"/>
              <w:left w:val="nil"/>
              <w:bottom w:val="single" w:sz="8" w:space="0" w:color="auto"/>
              <w:right w:val="single" w:sz="8" w:space="0" w:color="auto"/>
            </w:tcBorders>
            <w:shd w:val="clear" w:color="auto" w:fill="auto"/>
            <w:noWrap/>
            <w:vAlign w:val="center"/>
            <w:hideMark/>
          </w:tcPr>
          <w:p w14:paraId="1D20C05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489 798</w:t>
            </w:r>
          </w:p>
        </w:tc>
        <w:tc>
          <w:tcPr>
            <w:tcW w:w="1843" w:type="dxa"/>
            <w:tcBorders>
              <w:top w:val="nil"/>
              <w:left w:val="nil"/>
              <w:bottom w:val="single" w:sz="8" w:space="0" w:color="auto"/>
              <w:right w:val="single" w:sz="8" w:space="0" w:color="auto"/>
            </w:tcBorders>
            <w:shd w:val="clear" w:color="auto" w:fill="auto"/>
            <w:noWrap/>
            <w:vAlign w:val="center"/>
            <w:hideMark/>
          </w:tcPr>
          <w:p w14:paraId="0C7EEB8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80 554</w:t>
            </w:r>
          </w:p>
        </w:tc>
      </w:tr>
      <w:tr w:rsidR="0017127D" w:rsidRPr="0017127D" w14:paraId="0C08BC54"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0BF60A1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22</w:t>
            </w:r>
          </w:p>
        </w:tc>
        <w:tc>
          <w:tcPr>
            <w:tcW w:w="7081" w:type="dxa"/>
            <w:tcBorders>
              <w:top w:val="nil"/>
              <w:left w:val="nil"/>
              <w:bottom w:val="single" w:sz="8" w:space="0" w:color="auto"/>
              <w:right w:val="single" w:sz="8" w:space="0" w:color="auto"/>
            </w:tcBorders>
            <w:shd w:val="clear" w:color="auto" w:fill="auto"/>
            <w:noWrap/>
            <w:vAlign w:val="center"/>
            <w:hideMark/>
          </w:tcPr>
          <w:p w14:paraId="78EE578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Vides, ģeoloģijas un meteoroloģijas centrs"</w:t>
            </w:r>
          </w:p>
        </w:tc>
        <w:tc>
          <w:tcPr>
            <w:tcW w:w="1984" w:type="dxa"/>
            <w:tcBorders>
              <w:top w:val="nil"/>
              <w:left w:val="nil"/>
              <w:bottom w:val="single" w:sz="8" w:space="0" w:color="auto"/>
              <w:right w:val="single" w:sz="8" w:space="0" w:color="auto"/>
            </w:tcBorders>
            <w:shd w:val="clear" w:color="auto" w:fill="auto"/>
            <w:noWrap/>
            <w:vAlign w:val="center"/>
            <w:hideMark/>
          </w:tcPr>
          <w:p w14:paraId="6AA1500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2 369 248</w:t>
            </w:r>
          </w:p>
        </w:tc>
        <w:tc>
          <w:tcPr>
            <w:tcW w:w="1985" w:type="dxa"/>
            <w:tcBorders>
              <w:top w:val="nil"/>
              <w:left w:val="nil"/>
              <w:bottom w:val="single" w:sz="8" w:space="0" w:color="auto"/>
              <w:right w:val="single" w:sz="8" w:space="0" w:color="auto"/>
            </w:tcBorders>
            <w:shd w:val="clear" w:color="auto" w:fill="auto"/>
            <w:noWrap/>
            <w:vAlign w:val="center"/>
            <w:hideMark/>
          </w:tcPr>
          <w:p w14:paraId="49870E6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2 698 902</w:t>
            </w:r>
          </w:p>
        </w:tc>
        <w:tc>
          <w:tcPr>
            <w:tcW w:w="1843" w:type="dxa"/>
            <w:tcBorders>
              <w:top w:val="nil"/>
              <w:left w:val="nil"/>
              <w:bottom w:val="single" w:sz="8" w:space="0" w:color="auto"/>
              <w:right w:val="single" w:sz="8" w:space="0" w:color="auto"/>
            </w:tcBorders>
            <w:shd w:val="clear" w:color="auto" w:fill="auto"/>
            <w:noWrap/>
            <w:vAlign w:val="center"/>
            <w:hideMark/>
          </w:tcPr>
          <w:p w14:paraId="5D406FA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-329 654</w:t>
            </w:r>
          </w:p>
        </w:tc>
      </w:tr>
      <w:tr w:rsidR="0017127D" w:rsidRPr="0017127D" w14:paraId="470649FB"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462DA7C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23</w:t>
            </w:r>
          </w:p>
        </w:tc>
        <w:tc>
          <w:tcPr>
            <w:tcW w:w="7081" w:type="dxa"/>
            <w:tcBorders>
              <w:top w:val="nil"/>
              <w:left w:val="nil"/>
              <w:bottom w:val="single" w:sz="8" w:space="0" w:color="auto"/>
              <w:right w:val="single" w:sz="8" w:space="0" w:color="auto"/>
            </w:tcBorders>
            <w:shd w:val="clear" w:color="auto" w:fill="auto"/>
            <w:noWrap/>
            <w:vAlign w:val="center"/>
            <w:hideMark/>
          </w:tcPr>
          <w:p w14:paraId="6089444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Televīzija"</w:t>
            </w:r>
          </w:p>
        </w:tc>
        <w:tc>
          <w:tcPr>
            <w:tcW w:w="1984" w:type="dxa"/>
            <w:tcBorders>
              <w:top w:val="nil"/>
              <w:left w:val="nil"/>
              <w:bottom w:val="single" w:sz="8" w:space="0" w:color="auto"/>
              <w:right w:val="single" w:sz="8" w:space="0" w:color="auto"/>
            </w:tcBorders>
            <w:shd w:val="clear" w:color="auto" w:fill="auto"/>
            <w:noWrap/>
            <w:vAlign w:val="center"/>
            <w:hideMark/>
          </w:tcPr>
          <w:p w14:paraId="0D0DDF6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675 000</w:t>
            </w:r>
          </w:p>
        </w:tc>
        <w:tc>
          <w:tcPr>
            <w:tcW w:w="1985" w:type="dxa"/>
            <w:tcBorders>
              <w:top w:val="nil"/>
              <w:left w:val="nil"/>
              <w:bottom w:val="single" w:sz="8" w:space="0" w:color="auto"/>
              <w:right w:val="single" w:sz="8" w:space="0" w:color="auto"/>
            </w:tcBorders>
            <w:shd w:val="clear" w:color="auto" w:fill="auto"/>
            <w:noWrap/>
            <w:vAlign w:val="center"/>
            <w:hideMark/>
          </w:tcPr>
          <w:p w14:paraId="683FD99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86 667</w:t>
            </w:r>
          </w:p>
        </w:tc>
        <w:tc>
          <w:tcPr>
            <w:tcW w:w="1843" w:type="dxa"/>
            <w:tcBorders>
              <w:top w:val="nil"/>
              <w:left w:val="nil"/>
              <w:bottom w:val="single" w:sz="8" w:space="0" w:color="auto"/>
              <w:right w:val="single" w:sz="8" w:space="0" w:color="auto"/>
            </w:tcBorders>
            <w:shd w:val="clear" w:color="auto" w:fill="auto"/>
            <w:noWrap/>
            <w:vAlign w:val="center"/>
            <w:hideMark/>
          </w:tcPr>
          <w:p w14:paraId="748C578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588 333</w:t>
            </w:r>
          </w:p>
        </w:tc>
      </w:tr>
      <w:tr w:rsidR="0017127D" w:rsidRPr="0017127D" w14:paraId="6CF54629"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5750F2B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24</w:t>
            </w:r>
          </w:p>
        </w:tc>
        <w:tc>
          <w:tcPr>
            <w:tcW w:w="7081" w:type="dxa"/>
            <w:tcBorders>
              <w:top w:val="nil"/>
              <w:left w:val="nil"/>
              <w:bottom w:val="single" w:sz="8" w:space="0" w:color="auto"/>
              <w:right w:val="single" w:sz="8" w:space="0" w:color="auto"/>
            </w:tcBorders>
            <w:shd w:val="clear" w:color="auto" w:fill="auto"/>
            <w:noWrap/>
            <w:vAlign w:val="center"/>
            <w:hideMark/>
          </w:tcPr>
          <w:p w14:paraId="577CD3E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"LatRailNet"</w:t>
            </w:r>
          </w:p>
        </w:tc>
        <w:tc>
          <w:tcPr>
            <w:tcW w:w="1984" w:type="dxa"/>
            <w:tcBorders>
              <w:top w:val="nil"/>
              <w:left w:val="nil"/>
              <w:bottom w:val="single" w:sz="8" w:space="0" w:color="auto"/>
              <w:right w:val="single" w:sz="8" w:space="0" w:color="auto"/>
            </w:tcBorders>
            <w:shd w:val="clear" w:color="auto" w:fill="auto"/>
            <w:noWrap/>
            <w:vAlign w:val="center"/>
            <w:hideMark/>
          </w:tcPr>
          <w:p w14:paraId="6AD9912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1 286 000</w:t>
            </w:r>
          </w:p>
        </w:tc>
        <w:tc>
          <w:tcPr>
            <w:tcW w:w="1985" w:type="dxa"/>
            <w:tcBorders>
              <w:top w:val="nil"/>
              <w:left w:val="nil"/>
              <w:bottom w:val="single" w:sz="8" w:space="0" w:color="auto"/>
              <w:right w:val="single" w:sz="8" w:space="0" w:color="auto"/>
            </w:tcBorders>
            <w:shd w:val="clear" w:color="auto" w:fill="auto"/>
            <w:noWrap/>
            <w:vAlign w:val="center"/>
            <w:hideMark/>
          </w:tcPr>
          <w:p w14:paraId="37A1FE9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1 288 000</w:t>
            </w:r>
          </w:p>
        </w:tc>
        <w:tc>
          <w:tcPr>
            <w:tcW w:w="1843" w:type="dxa"/>
            <w:tcBorders>
              <w:top w:val="nil"/>
              <w:left w:val="nil"/>
              <w:bottom w:val="single" w:sz="8" w:space="0" w:color="auto"/>
              <w:right w:val="single" w:sz="8" w:space="0" w:color="auto"/>
            </w:tcBorders>
            <w:shd w:val="clear" w:color="auto" w:fill="auto"/>
            <w:noWrap/>
            <w:vAlign w:val="center"/>
            <w:hideMark/>
          </w:tcPr>
          <w:p w14:paraId="5CB027D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-2 000</w:t>
            </w:r>
          </w:p>
        </w:tc>
      </w:tr>
      <w:tr w:rsidR="0017127D" w:rsidRPr="0017127D" w14:paraId="3C9DC63F"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189171A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25</w:t>
            </w:r>
          </w:p>
        </w:tc>
        <w:tc>
          <w:tcPr>
            <w:tcW w:w="7081" w:type="dxa"/>
            <w:tcBorders>
              <w:top w:val="nil"/>
              <w:left w:val="nil"/>
              <w:bottom w:val="single" w:sz="8" w:space="0" w:color="auto"/>
              <w:right w:val="single" w:sz="8" w:space="0" w:color="auto"/>
            </w:tcBorders>
            <w:shd w:val="clear" w:color="auto" w:fill="auto"/>
            <w:noWrap/>
            <w:vAlign w:val="center"/>
            <w:hideMark/>
          </w:tcPr>
          <w:p w14:paraId="1EC2F18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VAS "Latvijas Valsts ceļi"</w:t>
            </w:r>
          </w:p>
        </w:tc>
        <w:tc>
          <w:tcPr>
            <w:tcW w:w="1984" w:type="dxa"/>
            <w:tcBorders>
              <w:top w:val="nil"/>
              <w:left w:val="nil"/>
              <w:bottom w:val="single" w:sz="8" w:space="0" w:color="auto"/>
              <w:right w:val="single" w:sz="8" w:space="0" w:color="auto"/>
            </w:tcBorders>
            <w:shd w:val="clear" w:color="auto" w:fill="auto"/>
            <w:noWrap/>
            <w:vAlign w:val="center"/>
            <w:hideMark/>
          </w:tcPr>
          <w:p w14:paraId="37B7E52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16 500 000</w:t>
            </w:r>
          </w:p>
        </w:tc>
        <w:tc>
          <w:tcPr>
            <w:tcW w:w="1985" w:type="dxa"/>
            <w:tcBorders>
              <w:top w:val="nil"/>
              <w:left w:val="nil"/>
              <w:bottom w:val="single" w:sz="8" w:space="0" w:color="auto"/>
              <w:right w:val="single" w:sz="8" w:space="0" w:color="auto"/>
            </w:tcBorders>
            <w:shd w:val="clear" w:color="auto" w:fill="auto"/>
            <w:noWrap/>
            <w:vAlign w:val="center"/>
            <w:hideMark/>
          </w:tcPr>
          <w:p w14:paraId="24DE528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16 443 000</w:t>
            </w:r>
          </w:p>
        </w:tc>
        <w:tc>
          <w:tcPr>
            <w:tcW w:w="1843" w:type="dxa"/>
            <w:tcBorders>
              <w:top w:val="nil"/>
              <w:left w:val="nil"/>
              <w:bottom w:val="single" w:sz="8" w:space="0" w:color="auto"/>
              <w:right w:val="single" w:sz="8" w:space="0" w:color="auto"/>
            </w:tcBorders>
            <w:shd w:val="clear" w:color="auto" w:fill="auto"/>
            <w:noWrap/>
            <w:vAlign w:val="center"/>
            <w:hideMark/>
          </w:tcPr>
          <w:p w14:paraId="00118EB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57 000</w:t>
            </w:r>
          </w:p>
        </w:tc>
      </w:tr>
      <w:tr w:rsidR="0017127D" w:rsidRPr="0017127D" w14:paraId="1229ABA1"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0BCB33B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26</w:t>
            </w:r>
          </w:p>
        </w:tc>
        <w:tc>
          <w:tcPr>
            <w:tcW w:w="7081" w:type="dxa"/>
            <w:tcBorders>
              <w:top w:val="nil"/>
              <w:left w:val="nil"/>
              <w:bottom w:val="single" w:sz="8" w:space="0" w:color="auto"/>
              <w:right w:val="single" w:sz="8" w:space="0" w:color="auto"/>
            </w:tcBorders>
            <w:shd w:val="clear" w:color="auto" w:fill="auto"/>
            <w:noWrap/>
            <w:vAlign w:val="center"/>
            <w:hideMark/>
          </w:tcPr>
          <w:p w14:paraId="0D8B7F8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"Autotransporta direkcija"</w:t>
            </w:r>
          </w:p>
        </w:tc>
        <w:tc>
          <w:tcPr>
            <w:tcW w:w="1984" w:type="dxa"/>
            <w:tcBorders>
              <w:top w:val="nil"/>
              <w:left w:val="nil"/>
              <w:bottom w:val="single" w:sz="8" w:space="0" w:color="auto"/>
              <w:right w:val="single" w:sz="8" w:space="0" w:color="auto"/>
            </w:tcBorders>
            <w:shd w:val="clear" w:color="auto" w:fill="auto"/>
            <w:noWrap/>
            <w:vAlign w:val="center"/>
            <w:hideMark/>
          </w:tcPr>
          <w:p w14:paraId="3BA8DAB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3 717 097</w:t>
            </w:r>
          </w:p>
        </w:tc>
        <w:tc>
          <w:tcPr>
            <w:tcW w:w="1985" w:type="dxa"/>
            <w:tcBorders>
              <w:top w:val="nil"/>
              <w:left w:val="nil"/>
              <w:bottom w:val="single" w:sz="8" w:space="0" w:color="auto"/>
              <w:right w:val="single" w:sz="8" w:space="0" w:color="auto"/>
            </w:tcBorders>
            <w:shd w:val="clear" w:color="auto" w:fill="auto"/>
            <w:noWrap/>
            <w:vAlign w:val="center"/>
            <w:hideMark/>
          </w:tcPr>
          <w:p w14:paraId="57DAF1B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3 407 688</w:t>
            </w:r>
          </w:p>
        </w:tc>
        <w:tc>
          <w:tcPr>
            <w:tcW w:w="1843" w:type="dxa"/>
            <w:tcBorders>
              <w:top w:val="nil"/>
              <w:left w:val="nil"/>
              <w:bottom w:val="single" w:sz="8" w:space="0" w:color="auto"/>
              <w:right w:val="single" w:sz="8" w:space="0" w:color="auto"/>
            </w:tcBorders>
            <w:shd w:val="clear" w:color="auto" w:fill="auto"/>
            <w:noWrap/>
            <w:vAlign w:val="center"/>
            <w:hideMark/>
          </w:tcPr>
          <w:p w14:paraId="05791BB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309 409</w:t>
            </w:r>
          </w:p>
        </w:tc>
      </w:tr>
      <w:tr w:rsidR="0017127D" w:rsidRPr="0017127D" w14:paraId="335C7318"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63A9F90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27</w:t>
            </w:r>
          </w:p>
        </w:tc>
        <w:tc>
          <w:tcPr>
            <w:tcW w:w="7081" w:type="dxa"/>
            <w:tcBorders>
              <w:top w:val="nil"/>
              <w:left w:val="nil"/>
              <w:bottom w:val="single" w:sz="8" w:space="0" w:color="auto"/>
              <w:right w:val="single" w:sz="8" w:space="0" w:color="auto"/>
            </w:tcBorders>
            <w:shd w:val="clear" w:color="auto" w:fill="auto"/>
            <w:noWrap/>
            <w:vAlign w:val="center"/>
            <w:hideMark/>
          </w:tcPr>
          <w:p w14:paraId="0AC394EE"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VAS "Latvijas autoceļu uzturētājs"</w:t>
            </w:r>
          </w:p>
        </w:tc>
        <w:tc>
          <w:tcPr>
            <w:tcW w:w="1984" w:type="dxa"/>
            <w:tcBorders>
              <w:top w:val="nil"/>
              <w:left w:val="nil"/>
              <w:bottom w:val="single" w:sz="8" w:space="0" w:color="auto"/>
              <w:right w:val="single" w:sz="8" w:space="0" w:color="auto"/>
            </w:tcBorders>
            <w:shd w:val="clear" w:color="auto" w:fill="auto"/>
            <w:noWrap/>
            <w:vAlign w:val="center"/>
            <w:hideMark/>
          </w:tcPr>
          <w:p w14:paraId="0C352CF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81 653 400</w:t>
            </w:r>
          </w:p>
        </w:tc>
        <w:tc>
          <w:tcPr>
            <w:tcW w:w="1985" w:type="dxa"/>
            <w:tcBorders>
              <w:top w:val="nil"/>
              <w:left w:val="nil"/>
              <w:bottom w:val="single" w:sz="8" w:space="0" w:color="auto"/>
              <w:right w:val="single" w:sz="8" w:space="0" w:color="auto"/>
            </w:tcBorders>
            <w:shd w:val="clear" w:color="auto" w:fill="auto"/>
            <w:noWrap/>
            <w:vAlign w:val="center"/>
            <w:hideMark/>
          </w:tcPr>
          <w:p w14:paraId="6F0A52D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80 002 800</w:t>
            </w:r>
          </w:p>
        </w:tc>
        <w:tc>
          <w:tcPr>
            <w:tcW w:w="1843" w:type="dxa"/>
            <w:tcBorders>
              <w:top w:val="nil"/>
              <w:left w:val="nil"/>
              <w:bottom w:val="single" w:sz="8" w:space="0" w:color="auto"/>
              <w:right w:val="single" w:sz="8" w:space="0" w:color="auto"/>
            </w:tcBorders>
            <w:shd w:val="clear" w:color="auto" w:fill="auto"/>
            <w:noWrap/>
            <w:vAlign w:val="center"/>
            <w:hideMark/>
          </w:tcPr>
          <w:p w14:paraId="7A19303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1 650 600</w:t>
            </w:r>
          </w:p>
        </w:tc>
      </w:tr>
      <w:tr w:rsidR="0017127D" w:rsidRPr="0017127D" w14:paraId="6FBBB40F"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7CB83EF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28</w:t>
            </w:r>
          </w:p>
        </w:tc>
        <w:tc>
          <w:tcPr>
            <w:tcW w:w="7081" w:type="dxa"/>
            <w:tcBorders>
              <w:top w:val="nil"/>
              <w:left w:val="nil"/>
              <w:bottom w:val="single" w:sz="8" w:space="0" w:color="auto"/>
              <w:right w:val="single" w:sz="8" w:space="0" w:color="auto"/>
            </w:tcBorders>
            <w:shd w:val="clear" w:color="auto" w:fill="auto"/>
            <w:noWrap/>
            <w:vAlign w:val="center"/>
            <w:hideMark/>
          </w:tcPr>
          <w:p w14:paraId="4353EB4F"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xml:space="preserve">SIA “Eiropas dzelzceļa līnijas” </w:t>
            </w:r>
          </w:p>
        </w:tc>
        <w:tc>
          <w:tcPr>
            <w:tcW w:w="1984" w:type="dxa"/>
            <w:tcBorders>
              <w:top w:val="nil"/>
              <w:left w:val="nil"/>
              <w:bottom w:val="single" w:sz="8" w:space="0" w:color="auto"/>
              <w:right w:val="single" w:sz="8" w:space="0" w:color="auto"/>
            </w:tcBorders>
            <w:shd w:val="clear" w:color="auto" w:fill="auto"/>
            <w:noWrap/>
            <w:vAlign w:val="center"/>
            <w:hideMark/>
          </w:tcPr>
          <w:p w14:paraId="0577196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985" w:type="dxa"/>
            <w:tcBorders>
              <w:top w:val="nil"/>
              <w:left w:val="nil"/>
              <w:bottom w:val="single" w:sz="8" w:space="0" w:color="auto"/>
              <w:right w:val="single" w:sz="8" w:space="0" w:color="auto"/>
            </w:tcBorders>
            <w:shd w:val="clear" w:color="auto" w:fill="auto"/>
            <w:noWrap/>
            <w:vAlign w:val="center"/>
            <w:hideMark/>
          </w:tcPr>
          <w:p w14:paraId="451761B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843" w:type="dxa"/>
            <w:tcBorders>
              <w:top w:val="nil"/>
              <w:left w:val="nil"/>
              <w:bottom w:val="single" w:sz="8" w:space="0" w:color="auto"/>
              <w:right w:val="single" w:sz="8" w:space="0" w:color="auto"/>
            </w:tcBorders>
            <w:shd w:val="clear" w:color="auto" w:fill="auto"/>
            <w:noWrap/>
            <w:vAlign w:val="center"/>
            <w:hideMark/>
          </w:tcPr>
          <w:p w14:paraId="2D0D3BC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1AE2010E"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0EF7911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29</w:t>
            </w:r>
          </w:p>
        </w:tc>
        <w:tc>
          <w:tcPr>
            <w:tcW w:w="7081" w:type="dxa"/>
            <w:tcBorders>
              <w:top w:val="nil"/>
              <w:left w:val="nil"/>
              <w:bottom w:val="single" w:sz="8" w:space="0" w:color="auto"/>
              <w:right w:val="single" w:sz="8" w:space="0" w:color="auto"/>
            </w:tcBorders>
            <w:shd w:val="clear" w:color="auto" w:fill="auto"/>
            <w:noWrap/>
            <w:vAlign w:val="center"/>
            <w:hideMark/>
          </w:tcPr>
          <w:p w14:paraId="4A852F7D"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“Zemkopības ministrijas nekustamie īpašumi”</w:t>
            </w:r>
          </w:p>
        </w:tc>
        <w:tc>
          <w:tcPr>
            <w:tcW w:w="1984" w:type="dxa"/>
            <w:tcBorders>
              <w:top w:val="nil"/>
              <w:left w:val="nil"/>
              <w:bottom w:val="single" w:sz="8" w:space="0" w:color="auto"/>
              <w:right w:val="single" w:sz="8" w:space="0" w:color="auto"/>
            </w:tcBorders>
            <w:shd w:val="clear" w:color="auto" w:fill="auto"/>
            <w:noWrap/>
            <w:vAlign w:val="center"/>
            <w:hideMark/>
          </w:tcPr>
          <w:p w14:paraId="727BA0F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2 094 000</w:t>
            </w:r>
          </w:p>
        </w:tc>
        <w:tc>
          <w:tcPr>
            <w:tcW w:w="1985" w:type="dxa"/>
            <w:tcBorders>
              <w:top w:val="nil"/>
              <w:left w:val="nil"/>
              <w:bottom w:val="single" w:sz="8" w:space="0" w:color="auto"/>
              <w:right w:val="single" w:sz="8" w:space="0" w:color="auto"/>
            </w:tcBorders>
            <w:shd w:val="clear" w:color="auto" w:fill="auto"/>
            <w:noWrap/>
            <w:vAlign w:val="center"/>
            <w:hideMark/>
          </w:tcPr>
          <w:p w14:paraId="0BDB9D7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2 039 000</w:t>
            </w:r>
          </w:p>
        </w:tc>
        <w:tc>
          <w:tcPr>
            <w:tcW w:w="1843" w:type="dxa"/>
            <w:tcBorders>
              <w:top w:val="nil"/>
              <w:left w:val="nil"/>
              <w:bottom w:val="single" w:sz="8" w:space="0" w:color="auto"/>
              <w:right w:val="single" w:sz="8" w:space="0" w:color="auto"/>
            </w:tcBorders>
            <w:shd w:val="clear" w:color="auto" w:fill="auto"/>
            <w:noWrap/>
            <w:vAlign w:val="center"/>
            <w:hideMark/>
          </w:tcPr>
          <w:p w14:paraId="0334C7C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55 000</w:t>
            </w:r>
          </w:p>
        </w:tc>
      </w:tr>
      <w:tr w:rsidR="0017127D" w:rsidRPr="0017127D" w14:paraId="561B4538"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6B4F3A0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30</w:t>
            </w:r>
          </w:p>
        </w:tc>
        <w:tc>
          <w:tcPr>
            <w:tcW w:w="7081" w:type="dxa"/>
            <w:tcBorders>
              <w:top w:val="nil"/>
              <w:left w:val="nil"/>
              <w:bottom w:val="single" w:sz="8" w:space="0" w:color="auto"/>
              <w:right w:val="single" w:sz="8" w:space="0" w:color="auto"/>
            </w:tcBorders>
            <w:shd w:val="clear" w:color="auto" w:fill="auto"/>
            <w:noWrap/>
            <w:vAlign w:val="center"/>
            <w:hideMark/>
          </w:tcPr>
          <w:p w14:paraId="5972C589"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Proves birojs”</w:t>
            </w:r>
          </w:p>
        </w:tc>
        <w:tc>
          <w:tcPr>
            <w:tcW w:w="1984" w:type="dxa"/>
            <w:tcBorders>
              <w:top w:val="nil"/>
              <w:left w:val="nil"/>
              <w:bottom w:val="single" w:sz="8" w:space="0" w:color="auto"/>
              <w:right w:val="single" w:sz="8" w:space="0" w:color="auto"/>
            </w:tcBorders>
            <w:shd w:val="clear" w:color="auto" w:fill="auto"/>
            <w:noWrap/>
            <w:vAlign w:val="center"/>
            <w:hideMark/>
          </w:tcPr>
          <w:p w14:paraId="2310F74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560 722</w:t>
            </w:r>
          </w:p>
        </w:tc>
        <w:tc>
          <w:tcPr>
            <w:tcW w:w="1985" w:type="dxa"/>
            <w:tcBorders>
              <w:top w:val="nil"/>
              <w:left w:val="nil"/>
              <w:bottom w:val="single" w:sz="8" w:space="0" w:color="auto"/>
              <w:right w:val="single" w:sz="8" w:space="0" w:color="auto"/>
            </w:tcBorders>
            <w:shd w:val="clear" w:color="auto" w:fill="auto"/>
            <w:noWrap/>
            <w:vAlign w:val="center"/>
            <w:hideMark/>
          </w:tcPr>
          <w:p w14:paraId="5CEA545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527 293</w:t>
            </w:r>
          </w:p>
        </w:tc>
        <w:tc>
          <w:tcPr>
            <w:tcW w:w="1843" w:type="dxa"/>
            <w:tcBorders>
              <w:top w:val="nil"/>
              <w:left w:val="nil"/>
              <w:bottom w:val="single" w:sz="8" w:space="0" w:color="auto"/>
              <w:right w:val="single" w:sz="8" w:space="0" w:color="auto"/>
            </w:tcBorders>
            <w:shd w:val="clear" w:color="auto" w:fill="auto"/>
            <w:noWrap/>
            <w:vAlign w:val="center"/>
            <w:hideMark/>
          </w:tcPr>
          <w:p w14:paraId="24B1DA9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33 429</w:t>
            </w:r>
          </w:p>
        </w:tc>
      </w:tr>
      <w:tr w:rsidR="0017127D" w:rsidRPr="0017127D" w14:paraId="2A60F066"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6F3B4CE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31</w:t>
            </w:r>
          </w:p>
        </w:tc>
        <w:tc>
          <w:tcPr>
            <w:tcW w:w="7081" w:type="dxa"/>
            <w:tcBorders>
              <w:top w:val="nil"/>
              <w:left w:val="nil"/>
              <w:bottom w:val="single" w:sz="8" w:space="0" w:color="auto"/>
              <w:right w:val="single" w:sz="8" w:space="0" w:color="auto"/>
            </w:tcBorders>
            <w:shd w:val="clear" w:color="auto" w:fill="auto"/>
            <w:noWrap/>
            <w:vAlign w:val="center"/>
            <w:hideMark/>
          </w:tcPr>
          <w:p w14:paraId="510353A0"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"Latvijas standarts"</w:t>
            </w:r>
          </w:p>
        </w:tc>
        <w:tc>
          <w:tcPr>
            <w:tcW w:w="1984" w:type="dxa"/>
            <w:tcBorders>
              <w:top w:val="nil"/>
              <w:left w:val="nil"/>
              <w:bottom w:val="single" w:sz="8" w:space="0" w:color="auto"/>
              <w:right w:val="single" w:sz="8" w:space="0" w:color="auto"/>
            </w:tcBorders>
            <w:shd w:val="clear" w:color="auto" w:fill="auto"/>
            <w:noWrap/>
            <w:vAlign w:val="center"/>
            <w:hideMark/>
          </w:tcPr>
          <w:p w14:paraId="07AC030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329 952</w:t>
            </w:r>
          </w:p>
        </w:tc>
        <w:tc>
          <w:tcPr>
            <w:tcW w:w="1985" w:type="dxa"/>
            <w:tcBorders>
              <w:top w:val="nil"/>
              <w:left w:val="nil"/>
              <w:bottom w:val="single" w:sz="8" w:space="0" w:color="auto"/>
              <w:right w:val="single" w:sz="8" w:space="0" w:color="auto"/>
            </w:tcBorders>
            <w:shd w:val="clear" w:color="auto" w:fill="auto"/>
            <w:noWrap/>
            <w:vAlign w:val="center"/>
            <w:hideMark/>
          </w:tcPr>
          <w:p w14:paraId="6CFE196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341 017</w:t>
            </w:r>
          </w:p>
        </w:tc>
        <w:tc>
          <w:tcPr>
            <w:tcW w:w="1843" w:type="dxa"/>
            <w:tcBorders>
              <w:top w:val="nil"/>
              <w:left w:val="nil"/>
              <w:bottom w:val="single" w:sz="8" w:space="0" w:color="auto"/>
              <w:right w:val="single" w:sz="8" w:space="0" w:color="auto"/>
            </w:tcBorders>
            <w:shd w:val="clear" w:color="auto" w:fill="auto"/>
            <w:noWrap/>
            <w:vAlign w:val="center"/>
            <w:hideMark/>
          </w:tcPr>
          <w:p w14:paraId="6B229FF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-11 065</w:t>
            </w:r>
          </w:p>
        </w:tc>
      </w:tr>
      <w:tr w:rsidR="0017127D" w:rsidRPr="0017127D" w14:paraId="6F2CCDAF"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63F34F2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32</w:t>
            </w:r>
          </w:p>
        </w:tc>
        <w:tc>
          <w:tcPr>
            <w:tcW w:w="7081" w:type="dxa"/>
            <w:tcBorders>
              <w:top w:val="nil"/>
              <w:left w:val="nil"/>
              <w:bottom w:val="single" w:sz="8" w:space="0" w:color="auto"/>
              <w:right w:val="single" w:sz="8" w:space="0" w:color="auto"/>
            </w:tcBorders>
            <w:shd w:val="clear" w:color="auto" w:fill="auto"/>
            <w:noWrap/>
            <w:vAlign w:val="center"/>
            <w:hideMark/>
          </w:tcPr>
          <w:p w14:paraId="08303355"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"Hiponia"</w:t>
            </w:r>
          </w:p>
        </w:tc>
        <w:tc>
          <w:tcPr>
            <w:tcW w:w="1984" w:type="dxa"/>
            <w:tcBorders>
              <w:top w:val="nil"/>
              <w:left w:val="nil"/>
              <w:bottom w:val="single" w:sz="8" w:space="0" w:color="auto"/>
              <w:right w:val="single" w:sz="8" w:space="0" w:color="auto"/>
            </w:tcBorders>
            <w:shd w:val="clear" w:color="auto" w:fill="auto"/>
            <w:noWrap/>
            <w:vAlign w:val="center"/>
            <w:hideMark/>
          </w:tcPr>
          <w:p w14:paraId="3C2E052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985" w:type="dxa"/>
            <w:tcBorders>
              <w:top w:val="nil"/>
              <w:left w:val="nil"/>
              <w:bottom w:val="single" w:sz="8" w:space="0" w:color="auto"/>
              <w:right w:val="single" w:sz="8" w:space="0" w:color="auto"/>
            </w:tcBorders>
            <w:shd w:val="clear" w:color="auto" w:fill="auto"/>
            <w:noWrap/>
            <w:vAlign w:val="center"/>
            <w:hideMark/>
          </w:tcPr>
          <w:p w14:paraId="4C8817E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843" w:type="dxa"/>
            <w:tcBorders>
              <w:top w:val="nil"/>
              <w:left w:val="nil"/>
              <w:bottom w:val="single" w:sz="8" w:space="0" w:color="auto"/>
              <w:right w:val="single" w:sz="8" w:space="0" w:color="auto"/>
            </w:tcBorders>
            <w:shd w:val="clear" w:color="auto" w:fill="auto"/>
            <w:noWrap/>
            <w:vAlign w:val="center"/>
            <w:hideMark/>
          </w:tcPr>
          <w:p w14:paraId="1C0B0E3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1032F2F5"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24DBA8E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33</w:t>
            </w:r>
          </w:p>
        </w:tc>
        <w:tc>
          <w:tcPr>
            <w:tcW w:w="7081" w:type="dxa"/>
            <w:tcBorders>
              <w:top w:val="nil"/>
              <w:left w:val="nil"/>
              <w:bottom w:val="single" w:sz="8" w:space="0" w:color="auto"/>
              <w:right w:val="single" w:sz="8" w:space="0" w:color="auto"/>
            </w:tcBorders>
            <w:shd w:val="clear" w:color="auto" w:fill="auto"/>
            <w:noWrap/>
            <w:vAlign w:val="center"/>
            <w:hideMark/>
          </w:tcPr>
          <w:p w14:paraId="19EADF1D"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"Reverta"</w:t>
            </w:r>
          </w:p>
        </w:tc>
        <w:tc>
          <w:tcPr>
            <w:tcW w:w="1984" w:type="dxa"/>
            <w:tcBorders>
              <w:top w:val="nil"/>
              <w:left w:val="nil"/>
              <w:bottom w:val="single" w:sz="8" w:space="0" w:color="auto"/>
              <w:right w:val="single" w:sz="8" w:space="0" w:color="auto"/>
            </w:tcBorders>
            <w:shd w:val="clear" w:color="auto" w:fill="auto"/>
            <w:noWrap/>
            <w:vAlign w:val="center"/>
            <w:hideMark/>
          </w:tcPr>
          <w:p w14:paraId="627E1C6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985" w:type="dxa"/>
            <w:tcBorders>
              <w:top w:val="nil"/>
              <w:left w:val="nil"/>
              <w:bottom w:val="single" w:sz="8" w:space="0" w:color="auto"/>
              <w:right w:val="single" w:sz="8" w:space="0" w:color="auto"/>
            </w:tcBorders>
            <w:shd w:val="clear" w:color="auto" w:fill="auto"/>
            <w:noWrap/>
            <w:vAlign w:val="center"/>
            <w:hideMark/>
          </w:tcPr>
          <w:p w14:paraId="1B15409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131 250</w:t>
            </w:r>
          </w:p>
        </w:tc>
        <w:tc>
          <w:tcPr>
            <w:tcW w:w="1843" w:type="dxa"/>
            <w:tcBorders>
              <w:top w:val="nil"/>
              <w:left w:val="nil"/>
              <w:bottom w:val="single" w:sz="8" w:space="0" w:color="auto"/>
              <w:right w:val="single" w:sz="8" w:space="0" w:color="auto"/>
            </w:tcBorders>
            <w:shd w:val="clear" w:color="auto" w:fill="auto"/>
            <w:noWrap/>
            <w:vAlign w:val="center"/>
            <w:hideMark/>
          </w:tcPr>
          <w:p w14:paraId="195C97A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-131 250</w:t>
            </w:r>
          </w:p>
        </w:tc>
      </w:tr>
      <w:tr w:rsidR="0017127D" w:rsidRPr="0017127D" w14:paraId="43A94A1C"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0D9F5C3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34</w:t>
            </w:r>
          </w:p>
        </w:tc>
        <w:tc>
          <w:tcPr>
            <w:tcW w:w="7081" w:type="dxa"/>
            <w:tcBorders>
              <w:top w:val="nil"/>
              <w:left w:val="nil"/>
              <w:bottom w:val="single" w:sz="8" w:space="0" w:color="auto"/>
              <w:right w:val="single" w:sz="8" w:space="0" w:color="auto"/>
            </w:tcBorders>
            <w:shd w:val="clear" w:color="auto" w:fill="auto"/>
            <w:noWrap/>
            <w:vAlign w:val="center"/>
            <w:hideMark/>
          </w:tcPr>
          <w:p w14:paraId="35A0D709"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"FeLM"</w:t>
            </w:r>
          </w:p>
        </w:tc>
        <w:tc>
          <w:tcPr>
            <w:tcW w:w="1984" w:type="dxa"/>
            <w:tcBorders>
              <w:top w:val="nil"/>
              <w:left w:val="nil"/>
              <w:bottom w:val="single" w:sz="8" w:space="0" w:color="auto"/>
              <w:right w:val="single" w:sz="8" w:space="0" w:color="auto"/>
            </w:tcBorders>
            <w:shd w:val="clear" w:color="auto" w:fill="auto"/>
            <w:noWrap/>
            <w:vAlign w:val="center"/>
            <w:hideMark/>
          </w:tcPr>
          <w:p w14:paraId="76664B2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985" w:type="dxa"/>
            <w:tcBorders>
              <w:top w:val="nil"/>
              <w:left w:val="nil"/>
              <w:bottom w:val="single" w:sz="8" w:space="0" w:color="auto"/>
              <w:right w:val="single" w:sz="8" w:space="0" w:color="auto"/>
            </w:tcBorders>
            <w:shd w:val="clear" w:color="auto" w:fill="auto"/>
            <w:noWrap/>
            <w:vAlign w:val="center"/>
            <w:hideMark/>
          </w:tcPr>
          <w:p w14:paraId="4D5F3EE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78 600</w:t>
            </w:r>
          </w:p>
        </w:tc>
        <w:tc>
          <w:tcPr>
            <w:tcW w:w="1843" w:type="dxa"/>
            <w:tcBorders>
              <w:top w:val="nil"/>
              <w:left w:val="nil"/>
              <w:bottom w:val="single" w:sz="8" w:space="0" w:color="auto"/>
              <w:right w:val="single" w:sz="8" w:space="0" w:color="auto"/>
            </w:tcBorders>
            <w:shd w:val="clear" w:color="auto" w:fill="auto"/>
            <w:noWrap/>
            <w:vAlign w:val="center"/>
            <w:hideMark/>
          </w:tcPr>
          <w:p w14:paraId="59FC6B3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-78 600</w:t>
            </w:r>
          </w:p>
        </w:tc>
      </w:tr>
      <w:tr w:rsidR="0017127D" w:rsidRPr="0017127D" w14:paraId="3D3A9EBB"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508CF20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35</w:t>
            </w:r>
          </w:p>
        </w:tc>
        <w:tc>
          <w:tcPr>
            <w:tcW w:w="7081" w:type="dxa"/>
            <w:tcBorders>
              <w:top w:val="nil"/>
              <w:left w:val="nil"/>
              <w:bottom w:val="single" w:sz="8" w:space="0" w:color="auto"/>
              <w:right w:val="single" w:sz="8" w:space="0" w:color="auto"/>
            </w:tcBorders>
            <w:shd w:val="clear" w:color="auto" w:fill="auto"/>
            <w:noWrap/>
            <w:vAlign w:val="center"/>
            <w:hideMark/>
          </w:tcPr>
          <w:p w14:paraId="4A2EF3C7"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“Publisko aktīvu pārvaldītājs Possessor”</w:t>
            </w:r>
          </w:p>
        </w:tc>
        <w:tc>
          <w:tcPr>
            <w:tcW w:w="1984" w:type="dxa"/>
            <w:tcBorders>
              <w:top w:val="nil"/>
              <w:left w:val="nil"/>
              <w:bottom w:val="single" w:sz="8" w:space="0" w:color="auto"/>
              <w:right w:val="single" w:sz="8" w:space="0" w:color="auto"/>
            </w:tcBorders>
            <w:shd w:val="clear" w:color="auto" w:fill="auto"/>
            <w:noWrap/>
            <w:vAlign w:val="center"/>
            <w:hideMark/>
          </w:tcPr>
          <w:p w14:paraId="064AFA5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2 346 562</w:t>
            </w:r>
          </w:p>
        </w:tc>
        <w:tc>
          <w:tcPr>
            <w:tcW w:w="1985" w:type="dxa"/>
            <w:tcBorders>
              <w:top w:val="nil"/>
              <w:left w:val="nil"/>
              <w:bottom w:val="single" w:sz="8" w:space="0" w:color="auto"/>
              <w:right w:val="single" w:sz="8" w:space="0" w:color="auto"/>
            </w:tcBorders>
            <w:shd w:val="clear" w:color="auto" w:fill="auto"/>
            <w:noWrap/>
            <w:vAlign w:val="center"/>
            <w:hideMark/>
          </w:tcPr>
          <w:p w14:paraId="0572249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2 482 313</w:t>
            </w:r>
          </w:p>
        </w:tc>
        <w:tc>
          <w:tcPr>
            <w:tcW w:w="1843" w:type="dxa"/>
            <w:tcBorders>
              <w:top w:val="nil"/>
              <w:left w:val="nil"/>
              <w:bottom w:val="single" w:sz="8" w:space="0" w:color="auto"/>
              <w:right w:val="single" w:sz="8" w:space="0" w:color="auto"/>
            </w:tcBorders>
            <w:shd w:val="clear" w:color="auto" w:fill="auto"/>
            <w:noWrap/>
            <w:vAlign w:val="center"/>
            <w:hideMark/>
          </w:tcPr>
          <w:p w14:paraId="06F3421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-135 751</w:t>
            </w:r>
          </w:p>
        </w:tc>
      </w:tr>
      <w:tr w:rsidR="0017127D" w:rsidRPr="0017127D" w14:paraId="1175E9EC"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0CE83EE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36</w:t>
            </w:r>
          </w:p>
        </w:tc>
        <w:tc>
          <w:tcPr>
            <w:tcW w:w="7081" w:type="dxa"/>
            <w:tcBorders>
              <w:top w:val="nil"/>
              <w:left w:val="nil"/>
              <w:bottom w:val="single" w:sz="8" w:space="0" w:color="auto"/>
              <w:right w:val="single" w:sz="8" w:space="0" w:color="auto"/>
            </w:tcBorders>
            <w:shd w:val="clear" w:color="auto" w:fill="auto"/>
            <w:noWrap/>
            <w:vAlign w:val="center"/>
            <w:hideMark/>
          </w:tcPr>
          <w:p w14:paraId="44C11A80"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"REAP"</w:t>
            </w:r>
          </w:p>
        </w:tc>
        <w:tc>
          <w:tcPr>
            <w:tcW w:w="1984" w:type="dxa"/>
            <w:tcBorders>
              <w:top w:val="nil"/>
              <w:left w:val="nil"/>
              <w:bottom w:val="single" w:sz="8" w:space="0" w:color="auto"/>
              <w:right w:val="single" w:sz="8" w:space="0" w:color="auto"/>
            </w:tcBorders>
            <w:shd w:val="clear" w:color="auto" w:fill="auto"/>
            <w:noWrap/>
            <w:vAlign w:val="center"/>
            <w:hideMark/>
          </w:tcPr>
          <w:p w14:paraId="3F22756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985" w:type="dxa"/>
            <w:tcBorders>
              <w:top w:val="nil"/>
              <w:left w:val="nil"/>
              <w:bottom w:val="single" w:sz="8" w:space="0" w:color="auto"/>
              <w:right w:val="single" w:sz="8" w:space="0" w:color="auto"/>
            </w:tcBorders>
            <w:shd w:val="clear" w:color="auto" w:fill="auto"/>
            <w:noWrap/>
            <w:vAlign w:val="center"/>
            <w:hideMark/>
          </w:tcPr>
          <w:p w14:paraId="27FE75D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195 200</w:t>
            </w:r>
          </w:p>
        </w:tc>
        <w:tc>
          <w:tcPr>
            <w:tcW w:w="1843" w:type="dxa"/>
            <w:tcBorders>
              <w:top w:val="nil"/>
              <w:left w:val="nil"/>
              <w:bottom w:val="single" w:sz="8" w:space="0" w:color="auto"/>
              <w:right w:val="single" w:sz="8" w:space="0" w:color="auto"/>
            </w:tcBorders>
            <w:shd w:val="clear" w:color="auto" w:fill="auto"/>
            <w:noWrap/>
            <w:vAlign w:val="center"/>
            <w:hideMark/>
          </w:tcPr>
          <w:p w14:paraId="67FA896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-195200</w:t>
            </w:r>
          </w:p>
        </w:tc>
      </w:tr>
      <w:tr w:rsidR="0017127D" w:rsidRPr="0017127D" w14:paraId="1DEA0D65"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739BAA5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37</w:t>
            </w:r>
          </w:p>
        </w:tc>
        <w:tc>
          <w:tcPr>
            <w:tcW w:w="7081" w:type="dxa"/>
            <w:tcBorders>
              <w:top w:val="nil"/>
              <w:left w:val="nil"/>
              <w:bottom w:val="single" w:sz="8" w:space="0" w:color="auto"/>
              <w:right w:val="single" w:sz="8" w:space="0" w:color="auto"/>
            </w:tcBorders>
            <w:shd w:val="clear" w:color="auto" w:fill="auto"/>
            <w:noWrap/>
            <w:vAlign w:val="center"/>
            <w:hideMark/>
          </w:tcPr>
          <w:p w14:paraId="35E3DBB9"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„Enerģijas publiskais tirgotājs”</w:t>
            </w:r>
          </w:p>
        </w:tc>
        <w:tc>
          <w:tcPr>
            <w:tcW w:w="1984" w:type="dxa"/>
            <w:tcBorders>
              <w:top w:val="nil"/>
              <w:left w:val="nil"/>
              <w:bottom w:val="single" w:sz="8" w:space="0" w:color="auto"/>
              <w:right w:val="single" w:sz="8" w:space="0" w:color="auto"/>
            </w:tcBorders>
            <w:shd w:val="clear" w:color="auto" w:fill="auto"/>
            <w:noWrap/>
            <w:vAlign w:val="center"/>
            <w:hideMark/>
          </w:tcPr>
          <w:p w14:paraId="0171208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127 254 252</w:t>
            </w:r>
          </w:p>
        </w:tc>
        <w:tc>
          <w:tcPr>
            <w:tcW w:w="1985" w:type="dxa"/>
            <w:tcBorders>
              <w:top w:val="nil"/>
              <w:left w:val="nil"/>
              <w:bottom w:val="single" w:sz="8" w:space="0" w:color="auto"/>
              <w:right w:val="single" w:sz="8" w:space="0" w:color="auto"/>
            </w:tcBorders>
            <w:shd w:val="clear" w:color="auto" w:fill="auto"/>
            <w:noWrap/>
            <w:vAlign w:val="center"/>
            <w:hideMark/>
          </w:tcPr>
          <w:p w14:paraId="6BFA7A9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118 416 911</w:t>
            </w:r>
          </w:p>
        </w:tc>
        <w:tc>
          <w:tcPr>
            <w:tcW w:w="1843" w:type="dxa"/>
            <w:tcBorders>
              <w:top w:val="nil"/>
              <w:left w:val="nil"/>
              <w:bottom w:val="single" w:sz="8" w:space="0" w:color="auto"/>
              <w:right w:val="single" w:sz="8" w:space="0" w:color="auto"/>
            </w:tcBorders>
            <w:shd w:val="clear" w:color="auto" w:fill="auto"/>
            <w:noWrap/>
            <w:vAlign w:val="center"/>
            <w:hideMark/>
          </w:tcPr>
          <w:p w14:paraId="033EDE7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8 837 342</w:t>
            </w:r>
          </w:p>
        </w:tc>
      </w:tr>
      <w:tr w:rsidR="0017127D" w:rsidRPr="0017127D" w14:paraId="655DB93F"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3710A71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38</w:t>
            </w:r>
          </w:p>
        </w:tc>
        <w:tc>
          <w:tcPr>
            <w:tcW w:w="7081" w:type="dxa"/>
            <w:tcBorders>
              <w:top w:val="nil"/>
              <w:left w:val="nil"/>
              <w:bottom w:val="single" w:sz="8" w:space="0" w:color="auto"/>
              <w:right w:val="single" w:sz="8" w:space="0" w:color="auto"/>
            </w:tcBorders>
            <w:shd w:val="clear" w:color="auto" w:fill="auto"/>
            <w:noWrap/>
            <w:vAlign w:val="center"/>
            <w:hideMark/>
          </w:tcPr>
          <w:p w14:paraId="14E6440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“Bobsleja un kamaniņu trase”</w:t>
            </w:r>
          </w:p>
        </w:tc>
        <w:tc>
          <w:tcPr>
            <w:tcW w:w="1984" w:type="dxa"/>
            <w:tcBorders>
              <w:top w:val="nil"/>
              <w:left w:val="nil"/>
              <w:bottom w:val="single" w:sz="8" w:space="0" w:color="auto"/>
              <w:right w:val="single" w:sz="8" w:space="0" w:color="auto"/>
            </w:tcBorders>
            <w:shd w:val="clear" w:color="auto" w:fill="auto"/>
            <w:noWrap/>
            <w:vAlign w:val="center"/>
            <w:hideMark/>
          </w:tcPr>
          <w:p w14:paraId="60CD200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520 000</w:t>
            </w:r>
          </w:p>
        </w:tc>
        <w:tc>
          <w:tcPr>
            <w:tcW w:w="1985" w:type="dxa"/>
            <w:tcBorders>
              <w:top w:val="nil"/>
              <w:left w:val="nil"/>
              <w:bottom w:val="single" w:sz="8" w:space="0" w:color="auto"/>
              <w:right w:val="single" w:sz="8" w:space="0" w:color="auto"/>
            </w:tcBorders>
            <w:shd w:val="clear" w:color="auto" w:fill="auto"/>
            <w:noWrap/>
            <w:vAlign w:val="center"/>
            <w:hideMark/>
          </w:tcPr>
          <w:p w14:paraId="38538C8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798 800</w:t>
            </w:r>
          </w:p>
        </w:tc>
        <w:tc>
          <w:tcPr>
            <w:tcW w:w="1843" w:type="dxa"/>
            <w:tcBorders>
              <w:top w:val="nil"/>
              <w:left w:val="nil"/>
              <w:bottom w:val="single" w:sz="8" w:space="0" w:color="auto"/>
              <w:right w:val="single" w:sz="8" w:space="0" w:color="auto"/>
            </w:tcBorders>
            <w:shd w:val="clear" w:color="auto" w:fill="auto"/>
            <w:noWrap/>
            <w:vAlign w:val="center"/>
            <w:hideMark/>
          </w:tcPr>
          <w:p w14:paraId="78440AC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-278 800</w:t>
            </w:r>
          </w:p>
        </w:tc>
      </w:tr>
      <w:tr w:rsidR="0017127D" w:rsidRPr="0017127D" w14:paraId="0F1ED6AA"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5798A0F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39</w:t>
            </w:r>
          </w:p>
        </w:tc>
        <w:tc>
          <w:tcPr>
            <w:tcW w:w="7081" w:type="dxa"/>
            <w:tcBorders>
              <w:top w:val="nil"/>
              <w:left w:val="nil"/>
              <w:bottom w:val="single" w:sz="8" w:space="0" w:color="auto"/>
              <w:right w:val="single" w:sz="8" w:space="0" w:color="auto"/>
            </w:tcBorders>
            <w:shd w:val="clear" w:color="auto" w:fill="auto"/>
            <w:noWrap/>
            <w:vAlign w:val="center"/>
            <w:hideMark/>
          </w:tcPr>
          <w:p w14:paraId="15651AD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"Rīgas Tūrisma un radošās industrijas tehnikums"</w:t>
            </w:r>
          </w:p>
        </w:tc>
        <w:tc>
          <w:tcPr>
            <w:tcW w:w="1984" w:type="dxa"/>
            <w:tcBorders>
              <w:top w:val="nil"/>
              <w:left w:val="nil"/>
              <w:bottom w:val="single" w:sz="8" w:space="0" w:color="auto"/>
              <w:right w:val="single" w:sz="8" w:space="0" w:color="auto"/>
            </w:tcBorders>
            <w:shd w:val="clear" w:color="auto" w:fill="auto"/>
            <w:noWrap/>
            <w:vAlign w:val="center"/>
            <w:hideMark/>
          </w:tcPr>
          <w:p w14:paraId="62C2CF5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650 000</w:t>
            </w:r>
          </w:p>
        </w:tc>
        <w:tc>
          <w:tcPr>
            <w:tcW w:w="1985" w:type="dxa"/>
            <w:tcBorders>
              <w:top w:val="nil"/>
              <w:left w:val="nil"/>
              <w:bottom w:val="single" w:sz="8" w:space="0" w:color="auto"/>
              <w:right w:val="single" w:sz="8" w:space="0" w:color="auto"/>
            </w:tcBorders>
            <w:shd w:val="clear" w:color="auto" w:fill="auto"/>
            <w:noWrap/>
            <w:vAlign w:val="center"/>
            <w:hideMark/>
          </w:tcPr>
          <w:p w14:paraId="669A244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618 000</w:t>
            </w:r>
          </w:p>
        </w:tc>
        <w:tc>
          <w:tcPr>
            <w:tcW w:w="1843" w:type="dxa"/>
            <w:tcBorders>
              <w:top w:val="nil"/>
              <w:left w:val="nil"/>
              <w:bottom w:val="single" w:sz="8" w:space="0" w:color="auto"/>
              <w:right w:val="single" w:sz="8" w:space="0" w:color="auto"/>
            </w:tcBorders>
            <w:shd w:val="clear" w:color="auto" w:fill="auto"/>
            <w:noWrap/>
            <w:vAlign w:val="center"/>
            <w:hideMark/>
          </w:tcPr>
          <w:p w14:paraId="426DF36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32 000</w:t>
            </w:r>
          </w:p>
        </w:tc>
      </w:tr>
      <w:tr w:rsidR="0017127D" w:rsidRPr="0017127D" w14:paraId="5BE6E9FD"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2D1DE5F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40</w:t>
            </w:r>
          </w:p>
        </w:tc>
        <w:tc>
          <w:tcPr>
            <w:tcW w:w="7081" w:type="dxa"/>
            <w:tcBorders>
              <w:top w:val="nil"/>
              <w:left w:val="nil"/>
              <w:bottom w:val="single" w:sz="8" w:space="0" w:color="auto"/>
              <w:right w:val="single" w:sz="8" w:space="0" w:color="auto"/>
            </w:tcBorders>
            <w:shd w:val="clear" w:color="auto" w:fill="auto"/>
            <w:noWrap/>
            <w:vAlign w:val="center"/>
            <w:hideMark/>
          </w:tcPr>
          <w:p w14:paraId="6F0CF785"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"Kultūras un sporta centrs "Daugavas stadions""</w:t>
            </w:r>
          </w:p>
        </w:tc>
        <w:tc>
          <w:tcPr>
            <w:tcW w:w="1984" w:type="dxa"/>
            <w:tcBorders>
              <w:top w:val="nil"/>
              <w:left w:val="nil"/>
              <w:bottom w:val="single" w:sz="8" w:space="0" w:color="auto"/>
              <w:right w:val="single" w:sz="8" w:space="0" w:color="auto"/>
            </w:tcBorders>
            <w:shd w:val="clear" w:color="auto" w:fill="auto"/>
            <w:noWrap/>
            <w:vAlign w:val="center"/>
            <w:hideMark/>
          </w:tcPr>
          <w:p w14:paraId="5F8096A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1 462 000</w:t>
            </w:r>
          </w:p>
        </w:tc>
        <w:tc>
          <w:tcPr>
            <w:tcW w:w="1985" w:type="dxa"/>
            <w:tcBorders>
              <w:top w:val="nil"/>
              <w:left w:val="nil"/>
              <w:bottom w:val="single" w:sz="8" w:space="0" w:color="auto"/>
              <w:right w:val="single" w:sz="8" w:space="0" w:color="auto"/>
            </w:tcBorders>
            <w:shd w:val="clear" w:color="auto" w:fill="auto"/>
            <w:noWrap/>
            <w:vAlign w:val="center"/>
            <w:hideMark/>
          </w:tcPr>
          <w:p w14:paraId="631FC5A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1 930 491</w:t>
            </w:r>
          </w:p>
        </w:tc>
        <w:tc>
          <w:tcPr>
            <w:tcW w:w="1843" w:type="dxa"/>
            <w:tcBorders>
              <w:top w:val="nil"/>
              <w:left w:val="nil"/>
              <w:bottom w:val="single" w:sz="8" w:space="0" w:color="auto"/>
              <w:right w:val="single" w:sz="8" w:space="0" w:color="auto"/>
            </w:tcBorders>
            <w:shd w:val="clear" w:color="auto" w:fill="auto"/>
            <w:noWrap/>
            <w:vAlign w:val="center"/>
            <w:hideMark/>
          </w:tcPr>
          <w:p w14:paraId="54EE7AB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-468 491</w:t>
            </w:r>
          </w:p>
        </w:tc>
      </w:tr>
      <w:tr w:rsidR="0017127D" w:rsidRPr="0017127D" w14:paraId="0D8128E9"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44AB867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41</w:t>
            </w:r>
          </w:p>
        </w:tc>
        <w:tc>
          <w:tcPr>
            <w:tcW w:w="7081" w:type="dxa"/>
            <w:tcBorders>
              <w:top w:val="nil"/>
              <w:left w:val="nil"/>
              <w:bottom w:val="single" w:sz="8" w:space="0" w:color="auto"/>
              <w:right w:val="single" w:sz="8" w:space="0" w:color="auto"/>
            </w:tcBorders>
            <w:shd w:val="clear" w:color="auto" w:fill="auto"/>
            <w:noWrap/>
            <w:vAlign w:val="center"/>
            <w:hideMark/>
          </w:tcPr>
          <w:p w14:paraId="03538C15"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xml:space="preserve">SIA "Lielstraupes pils" </w:t>
            </w:r>
          </w:p>
        </w:tc>
        <w:tc>
          <w:tcPr>
            <w:tcW w:w="1984" w:type="dxa"/>
            <w:tcBorders>
              <w:top w:val="nil"/>
              <w:left w:val="nil"/>
              <w:bottom w:val="single" w:sz="8" w:space="0" w:color="auto"/>
              <w:right w:val="single" w:sz="8" w:space="0" w:color="auto"/>
            </w:tcBorders>
            <w:shd w:val="clear" w:color="auto" w:fill="auto"/>
            <w:noWrap/>
            <w:vAlign w:val="center"/>
            <w:hideMark/>
          </w:tcPr>
          <w:p w14:paraId="3731C23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2530</w:t>
            </w:r>
          </w:p>
        </w:tc>
        <w:tc>
          <w:tcPr>
            <w:tcW w:w="1985" w:type="dxa"/>
            <w:tcBorders>
              <w:top w:val="nil"/>
              <w:left w:val="nil"/>
              <w:bottom w:val="single" w:sz="8" w:space="0" w:color="auto"/>
              <w:right w:val="single" w:sz="8" w:space="0" w:color="auto"/>
            </w:tcBorders>
            <w:shd w:val="clear" w:color="auto" w:fill="auto"/>
            <w:noWrap/>
            <w:vAlign w:val="center"/>
            <w:hideMark/>
          </w:tcPr>
          <w:p w14:paraId="0AF4A7D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7037</w:t>
            </w:r>
          </w:p>
        </w:tc>
        <w:tc>
          <w:tcPr>
            <w:tcW w:w="1843" w:type="dxa"/>
            <w:tcBorders>
              <w:top w:val="nil"/>
              <w:left w:val="nil"/>
              <w:bottom w:val="single" w:sz="8" w:space="0" w:color="auto"/>
              <w:right w:val="single" w:sz="8" w:space="0" w:color="auto"/>
            </w:tcBorders>
            <w:shd w:val="clear" w:color="auto" w:fill="auto"/>
            <w:noWrap/>
            <w:vAlign w:val="center"/>
            <w:hideMark/>
          </w:tcPr>
          <w:p w14:paraId="66D827F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-4507</w:t>
            </w:r>
          </w:p>
        </w:tc>
      </w:tr>
      <w:tr w:rsidR="0017127D" w:rsidRPr="0017127D" w14:paraId="4B61F173"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2F0B3CC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42</w:t>
            </w:r>
          </w:p>
        </w:tc>
        <w:tc>
          <w:tcPr>
            <w:tcW w:w="7081" w:type="dxa"/>
            <w:tcBorders>
              <w:top w:val="nil"/>
              <w:left w:val="nil"/>
              <w:bottom w:val="single" w:sz="8" w:space="0" w:color="auto"/>
              <w:right w:val="single" w:sz="8" w:space="0" w:color="auto"/>
            </w:tcBorders>
            <w:shd w:val="clear" w:color="auto" w:fill="auto"/>
            <w:noWrap/>
            <w:vAlign w:val="center"/>
            <w:hideMark/>
          </w:tcPr>
          <w:p w14:paraId="5D265DE0"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"Veselības centra "Biķernieki""</w:t>
            </w:r>
          </w:p>
        </w:tc>
        <w:tc>
          <w:tcPr>
            <w:tcW w:w="1984" w:type="dxa"/>
            <w:tcBorders>
              <w:top w:val="nil"/>
              <w:left w:val="nil"/>
              <w:bottom w:val="single" w:sz="8" w:space="0" w:color="auto"/>
              <w:right w:val="single" w:sz="8" w:space="0" w:color="auto"/>
            </w:tcBorders>
            <w:shd w:val="clear" w:color="auto" w:fill="auto"/>
            <w:noWrap/>
            <w:vAlign w:val="center"/>
            <w:hideMark/>
          </w:tcPr>
          <w:p w14:paraId="23EC493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2 372 512</w:t>
            </w:r>
          </w:p>
        </w:tc>
        <w:tc>
          <w:tcPr>
            <w:tcW w:w="1985" w:type="dxa"/>
            <w:tcBorders>
              <w:top w:val="nil"/>
              <w:left w:val="nil"/>
              <w:bottom w:val="single" w:sz="8" w:space="0" w:color="auto"/>
              <w:right w:val="single" w:sz="8" w:space="0" w:color="auto"/>
            </w:tcBorders>
            <w:shd w:val="clear" w:color="auto" w:fill="auto"/>
            <w:noWrap/>
            <w:vAlign w:val="center"/>
            <w:hideMark/>
          </w:tcPr>
          <w:p w14:paraId="3AC0CF7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2 368 939</w:t>
            </w:r>
          </w:p>
        </w:tc>
        <w:tc>
          <w:tcPr>
            <w:tcW w:w="1843" w:type="dxa"/>
            <w:tcBorders>
              <w:top w:val="nil"/>
              <w:left w:val="nil"/>
              <w:bottom w:val="single" w:sz="8" w:space="0" w:color="auto"/>
              <w:right w:val="single" w:sz="8" w:space="0" w:color="auto"/>
            </w:tcBorders>
            <w:shd w:val="clear" w:color="auto" w:fill="auto"/>
            <w:noWrap/>
            <w:vAlign w:val="center"/>
            <w:hideMark/>
          </w:tcPr>
          <w:p w14:paraId="11E2F87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3 573</w:t>
            </w:r>
          </w:p>
        </w:tc>
      </w:tr>
      <w:tr w:rsidR="0017127D" w:rsidRPr="0017127D" w14:paraId="567920A5"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07789FE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lastRenderedPageBreak/>
              <w:t>43</w:t>
            </w:r>
          </w:p>
        </w:tc>
        <w:tc>
          <w:tcPr>
            <w:tcW w:w="7081" w:type="dxa"/>
            <w:tcBorders>
              <w:top w:val="nil"/>
              <w:left w:val="nil"/>
              <w:bottom w:val="single" w:sz="8" w:space="0" w:color="auto"/>
              <w:right w:val="single" w:sz="8" w:space="0" w:color="auto"/>
            </w:tcBorders>
            <w:shd w:val="clear" w:color="auto" w:fill="auto"/>
            <w:noWrap/>
            <w:vAlign w:val="center"/>
            <w:hideMark/>
          </w:tcPr>
          <w:p w14:paraId="399BDDB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"Ludzas medicīnas centrs"</w:t>
            </w:r>
          </w:p>
        </w:tc>
        <w:tc>
          <w:tcPr>
            <w:tcW w:w="1984" w:type="dxa"/>
            <w:tcBorders>
              <w:top w:val="nil"/>
              <w:left w:val="nil"/>
              <w:bottom w:val="single" w:sz="8" w:space="0" w:color="auto"/>
              <w:right w:val="single" w:sz="8" w:space="0" w:color="auto"/>
            </w:tcBorders>
            <w:shd w:val="clear" w:color="auto" w:fill="auto"/>
            <w:noWrap/>
            <w:vAlign w:val="center"/>
            <w:hideMark/>
          </w:tcPr>
          <w:p w14:paraId="2B95FCD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3 480 000</w:t>
            </w:r>
          </w:p>
        </w:tc>
        <w:tc>
          <w:tcPr>
            <w:tcW w:w="1985" w:type="dxa"/>
            <w:tcBorders>
              <w:top w:val="nil"/>
              <w:left w:val="nil"/>
              <w:bottom w:val="single" w:sz="8" w:space="0" w:color="auto"/>
              <w:right w:val="single" w:sz="8" w:space="0" w:color="auto"/>
            </w:tcBorders>
            <w:shd w:val="clear" w:color="auto" w:fill="auto"/>
            <w:noWrap/>
            <w:vAlign w:val="center"/>
            <w:hideMark/>
          </w:tcPr>
          <w:p w14:paraId="3412916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3 290 000</w:t>
            </w:r>
          </w:p>
        </w:tc>
        <w:tc>
          <w:tcPr>
            <w:tcW w:w="1843" w:type="dxa"/>
            <w:tcBorders>
              <w:top w:val="nil"/>
              <w:left w:val="nil"/>
              <w:bottom w:val="single" w:sz="8" w:space="0" w:color="auto"/>
              <w:right w:val="single" w:sz="8" w:space="0" w:color="auto"/>
            </w:tcBorders>
            <w:shd w:val="clear" w:color="auto" w:fill="auto"/>
            <w:noWrap/>
            <w:vAlign w:val="center"/>
            <w:hideMark/>
          </w:tcPr>
          <w:p w14:paraId="47605A6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190 000</w:t>
            </w:r>
          </w:p>
        </w:tc>
      </w:tr>
      <w:tr w:rsidR="0017127D" w:rsidRPr="0017127D" w14:paraId="7485BEC3"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7FE6441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44</w:t>
            </w:r>
          </w:p>
        </w:tc>
        <w:tc>
          <w:tcPr>
            <w:tcW w:w="7081" w:type="dxa"/>
            <w:tcBorders>
              <w:top w:val="nil"/>
              <w:left w:val="nil"/>
              <w:bottom w:val="single" w:sz="8" w:space="0" w:color="auto"/>
              <w:right w:val="single" w:sz="8" w:space="0" w:color="auto"/>
            </w:tcBorders>
            <w:shd w:val="clear" w:color="auto" w:fill="auto"/>
            <w:noWrap/>
            <w:vAlign w:val="center"/>
            <w:hideMark/>
          </w:tcPr>
          <w:p w14:paraId="3FCFF52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Bērnu psihoneiroloģiskā slimnīcā "Ainaži"</w:t>
            </w:r>
          </w:p>
        </w:tc>
        <w:tc>
          <w:tcPr>
            <w:tcW w:w="1984" w:type="dxa"/>
            <w:tcBorders>
              <w:top w:val="nil"/>
              <w:left w:val="nil"/>
              <w:bottom w:val="single" w:sz="8" w:space="0" w:color="auto"/>
              <w:right w:val="single" w:sz="8" w:space="0" w:color="auto"/>
            </w:tcBorders>
            <w:shd w:val="clear" w:color="auto" w:fill="auto"/>
            <w:noWrap/>
            <w:vAlign w:val="center"/>
            <w:hideMark/>
          </w:tcPr>
          <w:p w14:paraId="27FC091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1 850 000</w:t>
            </w:r>
          </w:p>
        </w:tc>
        <w:tc>
          <w:tcPr>
            <w:tcW w:w="1985" w:type="dxa"/>
            <w:tcBorders>
              <w:top w:val="nil"/>
              <w:left w:val="nil"/>
              <w:bottom w:val="single" w:sz="8" w:space="0" w:color="auto"/>
              <w:right w:val="single" w:sz="8" w:space="0" w:color="auto"/>
            </w:tcBorders>
            <w:shd w:val="clear" w:color="auto" w:fill="auto"/>
            <w:noWrap/>
            <w:vAlign w:val="center"/>
            <w:hideMark/>
          </w:tcPr>
          <w:p w14:paraId="0AF4CAB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1 788 917</w:t>
            </w:r>
          </w:p>
        </w:tc>
        <w:tc>
          <w:tcPr>
            <w:tcW w:w="1843" w:type="dxa"/>
            <w:tcBorders>
              <w:top w:val="nil"/>
              <w:left w:val="nil"/>
              <w:bottom w:val="single" w:sz="8" w:space="0" w:color="auto"/>
              <w:right w:val="single" w:sz="8" w:space="0" w:color="auto"/>
            </w:tcBorders>
            <w:shd w:val="clear" w:color="auto" w:fill="auto"/>
            <w:noWrap/>
            <w:vAlign w:val="center"/>
            <w:hideMark/>
          </w:tcPr>
          <w:p w14:paraId="6C11736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61 083</w:t>
            </w:r>
          </w:p>
        </w:tc>
      </w:tr>
      <w:tr w:rsidR="0017127D" w:rsidRPr="0017127D" w14:paraId="7ABA3DCA"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49F4387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45</w:t>
            </w:r>
          </w:p>
        </w:tc>
        <w:tc>
          <w:tcPr>
            <w:tcW w:w="7081" w:type="dxa"/>
            <w:tcBorders>
              <w:top w:val="nil"/>
              <w:left w:val="nil"/>
              <w:bottom w:val="single" w:sz="8" w:space="0" w:color="auto"/>
              <w:right w:val="single" w:sz="8" w:space="0" w:color="auto"/>
            </w:tcBorders>
            <w:shd w:val="clear" w:color="auto" w:fill="auto"/>
            <w:noWrap/>
            <w:vAlign w:val="center"/>
            <w:hideMark/>
          </w:tcPr>
          <w:p w14:paraId="39266620"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"Aknīstes psihoneiroloģiskā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1128A50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985" w:type="dxa"/>
            <w:tcBorders>
              <w:top w:val="nil"/>
              <w:left w:val="nil"/>
              <w:bottom w:val="single" w:sz="8" w:space="0" w:color="auto"/>
              <w:right w:val="single" w:sz="8" w:space="0" w:color="auto"/>
            </w:tcBorders>
            <w:shd w:val="clear" w:color="auto" w:fill="auto"/>
            <w:noWrap/>
            <w:vAlign w:val="center"/>
            <w:hideMark/>
          </w:tcPr>
          <w:p w14:paraId="5F4EE6D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843" w:type="dxa"/>
            <w:tcBorders>
              <w:top w:val="nil"/>
              <w:left w:val="nil"/>
              <w:bottom w:val="single" w:sz="8" w:space="0" w:color="auto"/>
              <w:right w:val="single" w:sz="8" w:space="0" w:color="auto"/>
            </w:tcBorders>
            <w:shd w:val="clear" w:color="auto" w:fill="auto"/>
            <w:noWrap/>
            <w:vAlign w:val="center"/>
            <w:hideMark/>
          </w:tcPr>
          <w:p w14:paraId="70FB7B6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4E3B904D"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55E155B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46</w:t>
            </w:r>
          </w:p>
        </w:tc>
        <w:tc>
          <w:tcPr>
            <w:tcW w:w="7081" w:type="dxa"/>
            <w:tcBorders>
              <w:top w:val="nil"/>
              <w:left w:val="nil"/>
              <w:bottom w:val="single" w:sz="8" w:space="0" w:color="auto"/>
              <w:right w:val="single" w:sz="8" w:space="0" w:color="auto"/>
            </w:tcBorders>
            <w:shd w:val="clear" w:color="auto" w:fill="auto"/>
            <w:noWrap/>
            <w:vAlign w:val="center"/>
            <w:hideMark/>
          </w:tcPr>
          <w:p w14:paraId="40A1ED2D"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"Piejūras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1F14AAD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4 827 000</w:t>
            </w:r>
          </w:p>
        </w:tc>
        <w:tc>
          <w:tcPr>
            <w:tcW w:w="1985" w:type="dxa"/>
            <w:tcBorders>
              <w:top w:val="nil"/>
              <w:left w:val="nil"/>
              <w:bottom w:val="single" w:sz="8" w:space="0" w:color="auto"/>
              <w:right w:val="single" w:sz="8" w:space="0" w:color="auto"/>
            </w:tcBorders>
            <w:shd w:val="clear" w:color="auto" w:fill="auto"/>
            <w:noWrap/>
            <w:vAlign w:val="center"/>
            <w:hideMark/>
          </w:tcPr>
          <w:p w14:paraId="76E9FB1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4 726 531</w:t>
            </w:r>
          </w:p>
        </w:tc>
        <w:tc>
          <w:tcPr>
            <w:tcW w:w="1843" w:type="dxa"/>
            <w:tcBorders>
              <w:top w:val="nil"/>
              <w:left w:val="nil"/>
              <w:bottom w:val="single" w:sz="8" w:space="0" w:color="auto"/>
              <w:right w:val="single" w:sz="8" w:space="0" w:color="auto"/>
            </w:tcBorders>
            <w:shd w:val="clear" w:color="auto" w:fill="auto"/>
            <w:noWrap/>
            <w:vAlign w:val="center"/>
            <w:hideMark/>
          </w:tcPr>
          <w:p w14:paraId="0952F2D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100 469</w:t>
            </w:r>
          </w:p>
        </w:tc>
      </w:tr>
      <w:tr w:rsidR="0017127D" w:rsidRPr="0017127D" w14:paraId="6D855492"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5E1BC48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47</w:t>
            </w:r>
          </w:p>
        </w:tc>
        <w:tc>
          <w:tcPr>
            <w:tcW w:w="7081" w:type="dxa"/>
            <w:tcBorders>
              <w:top w:val="nil"/>
              <w:left w:val="nil"/>
              <w:bottom w:val="single" w:sz="8" w:space="0" w:color="auto"/>
              <w:right w:val="single" w:sz="8" w:space="0" w:color="auto"/>
            </w:tcBorders>
            <w:shd w:val="clear" w:color="auto" w:fill="auto"/>
            <w:noWrap/>
            <w:vAlign w:val="center"/>
            <w:hideMark/>
          </w:tcPr>
          <w:p w14:paraId="6A4F0764"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"Slimnīca "Ģintermuiža""</w:t>
            </w:r>
          </w:p>
        </w:tc>
        <w:tc>
          <w:tcPr>
            <w:tcW w:w="1984" w:type="dxa"/>
            <w:tcBorders>
              <w:top w:val="nil"/>
              <w:left w:val="nil"/>
              <w:bottom w:val="single" w:sz="8" w:space="0" w:color="auto"/>
              <w:right w:val="single" w:sz="8" w:space="0" w:color="auto"/>
            </w:tcBorders>
            <w:shd w:val="clear" w:color="auto" w:fill="auto"/>
            <w:noWrap/>
            <w:vAlign w:val="center"/>
            <w:hideMark/>
          </w:tcPr>
          <w:p w14:paraId="74DB88C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11 809 091</w:t>
            </w:r>
          </w:p>
        </w:tc>
        <w:tc>
          <w:tcPr>
            <w:tcW w:w="1985" w:type="dxa"/>
            <w:tcBorders>
              <w:top w:val="nil"/>
              <w:left w:val="nil"/>
              <w:bottom w:val="single" w:sz="8" w:space="0" w:color="auto"/>
              <w:right w:val="single" w:sz="8" w:space="0" w:color="auto"/>
            </w:tcBorders>
            <w:shd w:val="clear" w:color="auto" w:fill="auto"/>
            <w:noWrap/>
            <w:vAlign w:val="center"/>
            <w:hideMark/>
          </w:tcPr>
          <w:p w14:paraId="251C1BE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11 779 706</w:t>
            </w:r>
          </w:p>
        </w:tc>
        <w:tc>
          <w:tcPr>
            <w:tcW w:w="1843" w:type="dxa"/>
            <w:tcBorders>
              <w:top w:val="nil"/>
              <w:left w:val="nil"/>
              <w:bottom w:val="single" w:sz="8" w:space="0" w:color="auto"/>
              <w:right w:val="single" w:sz="8" w:space="0" w:color="auto"/>
            </w:tcBorders>
            <w:shd w:val="clear" w:color="auto" w:fill="auto"/>
            <w:noWrap/>
            <w:vAlign w:val="center"/>
            <w:hideMark/>
          </w:tcPr>
          <w:p w14:paraId="426666D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29 385</w:t>
            </w:r>
          </w:p>
        </w:tc>
      </w:tr>
      <w:tr w:rsidR="0017127D" w:rsidRPr="0017127D" w14:paraId="09EC3A68"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2F0A63E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48</w:t>
            </w:r>
          </w:p>
        </w:tc>
        <w:tc>
          <w:tcPr>
            <w:tcW w:w="7081" w:type="dxa"/>
            <w:tcBorders>
              <w:top w:val="nil"/>
              <w:left w:val="nil"/>
              <w:bottom w:val="single" w:sz="8" w:space="0" w:color="auto"/>
              <w:right w:val="single" w:sz="8" w:space="0" w:color="auto"/>
            </w:tcBorders>
            <w:shd w:val="clear" w:color="auto" w:fill="auto"/>
            <w:noWrap/>
            <w:vAlign w:val="center"/>
            <w:hideMark/>
          </w:tcPr>
          <w:p w14:paraId="3CA70F99"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"Daugavpils psihoneiroloģiskā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700E3E6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21 239 343</w:t>
            </w:r>
          </w:p>
        </w:tc>
        <w:tc>
          <w:tcPr>
            <w:tcW w:w="1985" w:type="dxa"/>
            <w:tcBorders>
              <w:top w:val="nil"/>
              <w:left w:val="nil"/>
              <w:bottom w:val="single" w:sz="8" w:space="0" w:color="auto"/>
              <w:right w:val="single" w:sz="8" w:space="0" w:color="auto"/>
            </w:tcBorders>
            <w:shd w:val="clear" w:color="auto" w:fill="auto"/>
            <w:noWrap/>
            <w:vAlign w:val="center"/>
            <w:hideMark/>
          </w:tcPr>
          <w:p w14:paraId="6D7C6C0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21 702 343</w:t>
            </w:r>
          </w:p>
        </w:tc>
        <w:tc>
          <w:tcPr>
            <w:tcW w:w="1843" w:type="dxa"/>
            <w:tcBorders>
              <w:top w:val="nil"/>
              <w:left w:val="nil"/>
              <w:bottom w:val="single" w:sz="8" w:space="0" w:color="auto"/>
              <w:right w:val="single" w:sz="8" w:space="0" w:color="auto"/>
            </w:tcBorders>
            <w:shd w:val="clear" w:color="auto" w:fill="auto"/>
            <w:noWrap/>
            <w:vAlign w:val="center"/>
            <w:hideMark/>
          </w:tcPr>
          <w:p w14:paraId="594A13F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-463 000</w:t>
            </w:r>
          </w:p>
        </w:tc>
      </w:tr>
      <w:tr w:rsidR="0017127D" w:rsidRPr="0017127D" w14:paraId="6A0ABDAF"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4689553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49</w:t>
            </w:r>
          </w:p>
        </w:tc>
        <w:tc>
          <w:tcPr>
            <w:tcW w:w="7081" w:type="dxa"/>
            <w:tcBorders>
              <w:top w:val="nil"/>
              <w:left w:val="nil"/>
              <w:bottom w:val="single" w:sz="8" w:space="0" w:color="auto"/>
              <w:right w:val="single" w:sz="8" w:space="0" w:color="auto"/>
            </w:tcBorders>
            <w:shd w:val="clear" w:color="auto" w:fill="auto"/>
            <w:noWrap/>
            <w:vAlign w:val="center"/>
            <w:hideMark/>
          </w:tcPr>
          <w:p w14:paraId="1D95EF20"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"Rīgas psihiatrijas un narkoloģijas centrs"</w:t>
            </w:r>
          </w:p>
        </w:tc>
        <w:tc>
          <w:tcPr>
            <w:tcW w:w="1984" w:type="dxa"/>
            <w:tcBorders>
              <w:top w:val="nil"/>
              <w:left w:val="nil"/>
              <w:bottom w:val="single" w:sz="8" w:space="0" w:color="auto"/>
              <w:right w:val="single" w:sz="8" w:space="0" w:color="auto"/>
            </w:tcBorders>
            <w:shd w:val="clear" w:color="auto" w:fill="auto"/>
            <w:noWrap/>
            <w:vAlign w:val="center"/>
            <w:hideMark/>
          </w:tcPr>
          <w:p w14:paraId="1C036C8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25 359 950</w:t>
            </w:r>
          </w:p>
        </w:tc>
        <w:tc>
          <w:tcPr>
            <w:tcW w:w="1985" w:type="dxa"/>
            <w:tcBorders>
              <w:top w:val="nil"/>
              <w:left w:val="nil"/>
              <w:bottom w:val="single" w:sz="8" w:space="0" w:color="auto"/>
              <w:right w:val="single" w:sz="8" w:space="0" w:color="auto"/>
            </w:tcBorders>
            <w:shd w:val="clear" w:color="auto" w:fill="auto"/>
            <w:noWrap/>
            <w:vAlign w:val="center"/>
            <w:hideMark/>
          </w:tcPr>
          <w:p w14:paraId="4A68337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26 104 950</w:t>
            </w:r>
          </w:p>
        </w:tc>
        <w:tc>
          <w:tcPr>
            <w:tcW w:w="1843" w:type="dxa"/>
            <w:tcBorders>
              <w:top w:val="nil"/>
              <w:left w:val="nil"/>
              <w:bottom w:val="single" w:sz="8" w:space="0" w:color="auto"/>
              <w:right w:val="single" w:sz="8" w:space="0" w:color="auto"/>
            </w:tcBorders>
            <w:shd w:val="clear" w:color="auto" w:fill="auto"/>
            <w:noWrap/>
            <w:vAlign w:val="center"/>
            <w:hideMark/>
          </w:tcPr>
          <w:p w14:paraId="1A8B38B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-745 000</w:t>
            </w:r>
          </w:p>
        </w:tc>
      </w:tr>
      <w:tr w:rsidR="0017127D" w:rsidRPr="0017127D" w14:paraId="07BCA2FA"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391BC52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50</w:t>
            </w:r>
          </w:p>
        </w:tc>
        <w:tc>
          <w:tcPr>
            <w:tcW w:w="7081" w:type="dxa"/>
            <w:tcBorders>
              <w:top w:val="nil"/>
              <w:left w:val="nil"/>
              <w:bottom w:val="single" w:sz="8" w:space="0" w:color="auto"/>
              <w:right w:val="single" w:sz="8" w:space="0" w:color="auto"/>
            </w:tcBorders>
            <w:shd w:val="clear" w:color="auto" w:fill="auto"/>
            <w:noWrap/>
            <w:vAlign w:val="center"/>
            <w:hideMark/>
          </w:tcPr>
          <w:p w14:paraId="7968510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"Nacionālais rehabilitācijas centrs "Vaivari""</w:t>
            </w:r>
          </w:p>
        </w:tc>
        <w:tc>
          <w:tcPr>
            <w:tcW w:w="1984" w:type="dxa"/>
            <w:tcBorders>
              <w:top w:val="nil"/>
              <w:left w:val="nil"/>
              <w:bottom w:val="single" w:sz="8" w:space="0" w:color="auto"/>
              <w:right w:val="single" w:sz="8" w:space="0" w:color="auto"/>
            </w:tcBorders>
            <w:shd w:val="clear" w:color="auto" w:fill="auto"/>
            <w:noWrap/>
            <w:vAlign w:val="center"/>
            <w:hideMark/>
          </w:tcPr>
          <w:p w14:paraId="31FA234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16 242 826</w:t>
            </w:r>
          </w:p>
        </w:tc>
        <w:tc>
          <w:tcPr>
            <w:tcW w:w="1985" w:type="dxa"/>
            <w:tcBorders>
              <w:top w:val="nil"/>
              <w:left w:val="nil"/>
              <w:bottom w:val="single" w:sz="8" w:space="0" w:color="auto"/>
              <w:right w:val="single" w:sz="8" w:space="0" w:color="auto"/>
            </w:tcBorders>
            <w:shd w:val="clear" w:color="auto" w:fill="auto"/>
            <w:noWrap/>
            <w:vAlign w:val="center"/>
            <w:hideMark/>
          </w:tcPr>
          <w:p w14:paraId="6429618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16 376 326</w:t>
            </w:r>
          </w:p>
        </w:tc>
        <w:tc>
          <w:tcPr>
            <w:tcW w:w="1843" w:type="dxa"/>
            <w:tcBorders>
              <w:top w:val="nil"/>
              <w:left w:val="nil"/>
              <w:bottom w:val="single" w:sz="8" w:space="0" w:color="auto"/>
              <w:right w:val="single" w:sz="8" w:space="0" w:color="auto"/>
            </w:tcBorders>
            <w:shd w:val="clear" w:color="auto" w:fill="auto"/>
            <w:noWrap/>
            <w:vAlign w:val="center"/>
            <w:hideMark/>
          </w:tcPr>
          <w:p w14:paraId="228FF52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-133 500</w:t>
            </w:r>
          </w:p>
        </w:tc>
      </w:tr>
      <w:tr w:rsidR="0017127D" w:rsidRPr="0017127D" w14:paraId="76AFD296"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6AC5011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51</w:t>
            </w:r>
          </w:p>
        </w:tc>
        <w:tc>
          <w:tcPr>
            <w:tcW w:w="7081" w:type="dxa"/>
            <w:tcBorders>
              <w:top w:val="nil"/>
              <w:left w:val="nil"/>
              <w:bottom w:val="single" w:sz="8" w:space="0" w:color="auto"/>
              <w:right w:val="single" w:sz="8" w:space="0" w:color="auto"/>
            </w:tcBorders>
            <w:shd w:val="clear" w:color="auto" w:fill="auto"/>
            <w:noWrap/>
            <w:vAlign w:val="center"/>
            <w:hideMark/>
          </w:tcPr>
          <w:p w14:paraId="22C70ED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"Traumatoloģijas un ortopēdijas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49913F5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23 245 430</w:t>
            </w:r>
          </w:p>
        </w:tc>
        <w:tc>
          <w:tcPr>
            <w:tcW w:w="1985" w:type="dxa"/>
            <w:tcBorders>
              <w:top w:val="nil"/>
              <w:left w:val="nil"/>
              <w:bottom w:val="single" w:sz="8" w:space="0" w:color="auto"/>
              <w:right w:val="single" w:sz="8" w:space="0" w:color="auto"/>
            </w:tcBorders>
            <w:shd w:val="clear" w:color="auto" w:fill="auto"/>
            <w:noWrap/>
            <w:vAlign w:val="center"/>
            <w:hideMark/>
          </w:tcPr>
          <w:p w14:paraId="6437183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23 100 000</w:t>
            </w:r>
          </w:p>
        </w:tc>
        <w:tc>
          <w:tcPr>
            <w:tcW w:w="1843" w:type="dxa"/>
            <w:tcBorders>
              <w:top w:val="nil"/>
              <w:left w:val="nil"/>
              <w:bottom w:val="single" w:sz="8" w:space="0" w:color="auto"/>
              <w:right w:val="single" w:sz="8" w:space="0" w:color="auto"/>
            </w:tcBorders>
            <w:shd w:val="clear" w:color="auto" w:fill="auto"/>
            <w:noWrap/>
            <w:vAlign w:val="center"/>
            <w:hideMark/>
          </w:tcPr>
          <w:p w14:paraId="30A9A1C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145 430</w:t>
            </w:r>
          </w:p>
        </w:tc>
      </w:tr>
      <w:tr w:rsidR="0017127D" w:rsidRPr="0017127D" w14:paraId="131E918A"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522EC46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52</w:t>
            </w:r>
          </w:p>
        </w:tc>
        <w:tc>
          <w:tcPr>
            <w:tcW w:w="7081" w:type="dxa"/>
            <w:tcBorders>
              <w:top w:val="nil"/>
              <w:left w:val="nil"/>
              <w:bottom w:val="single" w:sz="8" w:space="0" w:color="auto"/>
              <w:right w:val="single" w:sz="8" w:space="0" w:color="auto"/>
            </w:tcBorders>
            <w:shd w:val="clear" w:color="auto" w:fill="auto"/>
            <w:noWrap/>
            <w:vAlign w:val="center"/>
            <w:hideMark/>
          </w:tcPr>
          <w:p w14:paraId="673132ED"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"Paula Stradiņa klīniskā universitātes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657B9EF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146 308 466</w:t>
            </w:r>
          </w:p>
        </w:tc>
        <w:tc>
          <w:tcPr>
            <w:tcW w:w="1985" w:type="dxa"/>
            <w:tcBorders>
              <w:top w:val="nil"/>
              <w:left w:val="nil"/>
              <w:bottom w:val="single" w:sz="8" w:space="0" w:color="auto"/>
              <w:right w:val="single" w:sz="8" w:space="0" w:color="auto"/>
            </w:tcBorders>
            <w:shd w:val="clear" w:color="auto" w:fill="auto"/>
            <w:noWrap/>
            <w:vAlign w:val="center"/>
            <w:hideMark/>
          </w:tcPr>
          <w:p w14:paraId="528D4C2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150 623 283</w:t>
            </w:r>
          </w:p>
        </w:tc>
        <w:tc>
          <w:tcPr>
            <w:tcW w:w="1843" w:type="dxa"/>
            <w:tcBorders>
              <w:top w:val="nil"/>
              <w:left w:val="nil"/>
              <w:bottom w:val="single" w:sz="8" w:space="0" w:color="auto"/>
              <w:right w:val="single" w:sz="8" w:space="0" w:color="auto"/>
            </w:tcBorders>
            <w:shd w:val="clear" w:color="auto" w:fill="auto"/>
            <w:noWrap/>
            <w:vAlign w:val="center"/>
            <w:hideMark/>
          </w:tcPr>
          <w:p w14:paraId="11AF74C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-4 314 817</w:t>
            </w:r>
          </w:p>
        </w:tc>
      </w:tr>
      <w:tr w:rsidR="0017127D" w:rsidRPr="0017127D" w14:paraId="500F4AAF"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16C21FE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53</w:t>
            </w:r>
          </w:p>
        </w:tc>
        <w:tc>
          <w:tcPr>
            <w:tcW w:w="7081" w:type="dxa"/>
            <w:tcBorders>
              <w:top w:val="nil"/>
              <w:left w:val="nil"/>
              <w:bottom w:val="single" w:sz="8" w:space="0" w:color="auto"/>
              <w:right w:val="single" w:sz="8" w:space="0" w:color="auto"/>
            </w:tcBorders>
            <w:shd w:val="clear" w:color="auto" w:fill="auto"/>
            <w:noWrap/>
            <w:vAlign w:val="center"/>
            <w:hideMark/>
          </w:tcPr>
          <w:p w14:paraId="304F4A79"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Radio"</w:t>
            </w:r>
          </w:p>
        </w:tc>
        <w:tc>
          <w:tcPr>
            <w:tcW w:w="1984" w:type="dxa"/>
            <w:tcBorders>
              <w:top w:val="nil"/>
              <w:left w:val="nil"/>
              <w:bottom w:val="single" w:sz="8" w:space="0" w:color="auto"/>
              <w:right w:val="single" w:sz="8" w:space="0" w:color="auto"/>
            </w:tcBorders>
            <w:shd w:val="clear" w:color="auto" w:fill="auto"/>
            <w:noWrap/>
            <w:vAlign w:val="center"/>
            <w:hideMark/>
          </w:tcPr>
          <w:p w14:paraId="6CE8BE1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99 175</w:t>
            </w:r>
          </w:p>
        </w:tc>
        <w:tc>
          <w:tcPr>
            <w:tcW w:w="1985" w:type="dxa"/>
            <w:tcBorders>
              <w:top w:val="nil"/>
              <w:left w:val="nil"/>
              <w:bottom w:val="single" w:sz="8" w:space="0" w:color="auto"/>
              <w:right w:val="single" w:sz="8" w:space="0" w:color="auto"/>
            </w:tcBorders>
            <w:shd w:val="clear" w:color="auto" w:fill="auto"/>
            <w:noWrap/>
            <w:vAlign w:val="center"/>
            <w:hideMark/>
          </w:tcPr>
          <w:p w14:paraId="37D1C37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22 650</w:t>
            </w:r>
          </w:p>
        </w:tc>
        <w:tc>
          <w:tcPr>
            <w:tcW w:w="1843" w:type="dxa"/>
            <w:tcBorders>
              <w:top w:val="nil"/>
              <w:left w:val="nil"/>
              <w:bottom w:val="single" w:sz="8" w:space="0" w:color="auto"/>
              <w:right w:val="single" w:sz="8" w:space="0" w:color="auto"/>
            </w:tcBorders>
            <w:shd w:val="clear" w:color="auto" w:fill="auto"/>
            <w:noWrap/>
            <w:vAlign w:val="center"/>
            <w:hideMark/>
          </w:tcPr>
          <w:p w14:paraId="0545566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76 525</w:t>
            </w:r>
          </w:p>
        </w:tc>
      </w:tr>
      <w:tr w:rsidR="0017127D" w:rsidRPr="0017127D" w14:paraId="772E50EC"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75B1030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54</w:t>
            </w:r>
          </w:p>
        </w:tc>
        <w:tc>
          <w:tcPr>
            <w:tcW w:w="7081" w:type="dxa"/>
            <w:tcBorders>
              <w:top w:val="nil"/>
              <w:left w:val="nil"/>
              <w:bottom w:val="single" w:sz="8" w:space="0" w:color="auto"/>
              <w:right w:val="single" w:sz="8" w:space="0" w:color="auto"/>
            </w:tcBorders>
            <w:shd w:val="clear" w:color="auto" w:fill="auto"/>
            <w:noWrap/>
            <w:vAlign w:val="center"/>
            <w:hideMark/>
          </w:tcPr>
          <w:p w14:paraId="22CEDDA5"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"Rīgas Austrumu klīniskā universitātes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7519C73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184 347 567</w:t>
            </w:r>
          </w:p>
        </w:tc>
        <w:tc>
          <w:tcPr>
            <w:tcW w:w="1985" w:type="dxa"/>
            <w:tcBorders>
              <w:top w:val="nil"/>
              <w:left w:val="nil"/>
              <w:bottom w:val="single" w:sz="8" w:space="0" w:color="auto"/>
              <w:right w:val="single" w:sz="8" w:space="0" w:color="auto"/>
            </w:tcBorders>
            <w:shd w:val="clear" w:color="auto" w:fill="auto"/>
            <w:noWrap/>
            <w:vAlign w:val="center"/>
            <w:hideMark/>
          </w:tcPr>
          <w:p w14:paraId="78FBDB9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181 165 647</w:t>
            </w:r>
          </w:p>
        </w:tc>
        <w:tc>
          <w:tcPr>
            <w:tcW w:w="1843" w:type="dxa"/>
            <w:tcBorders>
              <w:top w:val="nil"/>
              <w:left w:val="nil"/>
              <w:bottom w:val="single" w:sz="8" w:space="0" w:color="auto"/>
              <w:right w:val="single" w:sz="8" w:space="0" w:color="auto"/>
            </w:tcBorders>
            <w:shd w:val="clear" w:color="auto" w:fill="auto"/>
            <w:noWrap/>
            <w:vAlign w:val="center"/>
            <w:hideMark/>
          </w:tcPr>
          <w:p w14:paraId="71236D8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3 181 920</w:t>
            </w:r>
          </w:p>
        </w:tc>
      </w:tr>
      <w:tr w:rsidR="0017127D" w:rsidRPr="0017127D" w14:paraId="5A630DB0"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46E36F6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55</w:t>
            </w:r>
          </w:p>
        </w:tc>
        <w:tc>
          <w:tcPr>
            <w:tcW w:w="7081" w:type="dxa"/>
            <w:tcBorders>
              <w:top w:val="nil"/>
              <w:left w:val="nil"/>
              <w:bottom w:val="single" w:sz="8" w:space="0" w:color="auto"/>
              <w:right w:val="single" w:sz="8" w:space="0" w:color="auto"/>
            </w:tcBorders>
            <w:shd w:val="clear" w:color="auto" w:fill="auto"/>
            <w:noWrap/>
            <w:vAlign w:val="center"/>
            <w:hideMark/>
          </w:tcPr>
          <w:p w14:paraId="1E36DF5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"Ceļu satiksmes drošības direkcija"</w:t>
            </w:r>
          </w:p>
        </w:tc>
        <w:tc>
          <w:tcPr>
            <w:tcW w:w="1984" w:type="dxa"/>
            <w:tcBorders>
              <w:top w:val="nil"/>
              <w:left w:val="nil"/>
              <w:bottom w:val="single" w:sz="8" w:space="0" w:color="auto"/>
              <w:right w:val="single" w:sz="8" w:space="0" w:color="auto"/>
            </w:tcBorders>
            <w:shd w:val="clear" w:color="auto" w:fill="auto"/>
            <w:noWrap/>
            <w:vAlign w:val="center"/>
            <w:hideMark/>
          </w:tcPr>
          <w:p w14:paraId="3A2333F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50 922 861</w:t>
            </w:r>
          </w:p>
        </w:tc>
        <w:tc>
          <w:tcPr>
            <w:tcW w:w="1985" w:type="dxa"/>
            <w:tcBorders>
              <w:top w:val="nil"/>
              <w:left w:val="nil"/>
              <w:bottom w:val="single" w:sz="8" w:space="0" w:color="auto"/>
              <w:right w:val="single" w:sz="8" w:space="0" w:color="auto"/>
            </w:tcBorders>
            <w:shd w:val="clear" w:color="auto" w:fill="auto"/>
            <w:noWrap/>
            <w:vAlign w:val="center"/>
            <w:hideMark/>
          </w:tcPr>
          <w:p w14:paraId="738E8F3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48 478 818</w:t>
            </w:r>
          </w:p>
        </w:tc>
        <w:tc>
          <w:tcPr>
            <w:tcW w:w="1843" w:type="dxa"/>
            <w:tcBorders>
              <w:top w:val="nil"/>
              <w:left w:val="nil"/>
              <w:bottom w:val="single" w:sz="8" w:space="0" w:color="auto"/>
              <w:right w:val="single" w:sz="8" w:space="0" w:color="auto"/>
            </w:tcBorders>
            <w:shd w:val="clear" w:color="auto" w:fill="auto"/>
            <w:noWrap/>
            <w:vAlign w:val="center"/>
            <w:hideMark/>
          </w:tcPr>
          <w:p w14:paraId="3F19C33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2 444 043</w:t>
            </w:r>
          </w:p>
        </w:tc>
      </w:tr>
      <w:tr w:rsidR="0017127D" w:rsidRPr="0017127D" w14:paraId="62063A63"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25110AA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56</w:t>
            </w:r>
          </w:p>
        </w:tc>
        <w:tc>
          <w:tcPr>
            <w:tcW w:w="7081" w:type="dxa"/>
            <w:tcBorders>
              <w:top w:val="nil"/>
              <w:left w:val="nil"/>
              <w:bottom w:val="single" w:sz="8" w:space="0" w:color="auto"/>
              <w:right w:val="single" w:sz="8" w:space="0" w:color="auto"/>
            </w:tcBorders>
            <w:shd w:val="clear" w:color="auto" w:fill="auto"/>
            <w:noWrap/>
            <w:vAlign w:val="center"/>
            <w:hideMark/>
          </w:tcPr>
          <w:p w14:paraId="19D384B6"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"Strenču psihoneiroloģiskā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6297093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9 859 280</w:t>
            </w:r>
          </w:p>
        </w:tc>
        <w:tc>
          <w:tcPr>
            <w:tcW w:w="1985" w:type="dxa"/>
            <w:tcBorders>
              <w:top w:val="nil"/>
              <w:left w:val="nil"/>
              <w:bottom w:val="single" w:sz="8" w:space="0" w:color="auto"/>
              <w:right w:val="single" w:sz="8" w:space="0" w:color="auto"/>
            </w:tcBorders>
            <w:shd w:val="clear" w:color="auto" w:fill="auto"/>
            <w:noWrap/>
            <w:vAlign w:val="center"/>
            <w:hideMark/>
          </w:tcPr>
          <w:p w14:paraId="574A622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10 280 529</w:t>
            </w:r>
          </w:p>
        </w:tc>
        <w:tc>
          <w:tcPr>
            <w:tcW w:w="1843" w:type="dxa"/>
            <w:tcBorders>
              <w:top w:val="nil"/>
              <w:left w:val="nil"/>
              <w:bottom w:val="single" w:sz="8" w:space="0" w:color="auto"/>
              <w:right w:val="single" w:sz="8" w:space="0" w:color="auto"/>
            </w:tcBorders>
            <w:shd w:val="clear" w:color="auto" w:fill="auto"/>
            <w:noWrap/>
            <w:vAlign w:val="center"/>
            <w:hideMark/>
          </w:tcPr>
          <w:p w14:paraId="5BA4F2D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-421 249</w:t>
            </w:r>
          </w:p>
        </w:tc>
      </w:tr>
      <w:tr w:rsidR="0017127D" w:rsidRPr="0017127D" w14:paraId="5E3C5352"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23FADEF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57</w:t>
            </w:r>
          </w:p>
        </w:tc>
        <w:tc>
          <w:tcPr>
            <w:tcW w:w="7081" w:type="dxa"/>
            <w:tcBorders>
              <w:top w:val="nil"/>
              <w:left w:val="nil"/>
              <w:bottom w:val="single" w:sz="8" w:space="0" w:color="auto"/>
              <w:right w:val="single" w:sz="8" w:space="0" w:color="auto"/>
            </w:tcBorders>
            <w:shd w:val="clear" w:color="auto" w:fill="auto"/>
            <w:noWrap/>
            <w:vAlign w:val="center"/>
            <w:hideMark/>
          </w:tcPr>
          <w:p w14:paraId="6A47FB3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"Bērnu klīniskā universitātes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667CB51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67 458 349</w:t>
            </w:r>
          </w:p>
        </w:tc>
        <w:tc>
          <w:tcPr>
            <w:tcW w:w="1985" w:type="dxa"/>
            <w:tcBorders>
              <w:top w:val="nil"/>
              <w:left w:val="nil"/>
              <w:bottom w:val="single" w:sz="8" w:space="0" w:color="auto"/>
              <w:right w:val="single" w:sz="8" w:space="0" w:color="auto"/>
            </w:tcBorders>
            <w:shd w:val="clear" w:color="auto" w:fill="auto"/>
            <w:noWrap/>
            <w:vAlign w:val="center"/>
            <w:hideMark/>
          </w:tcPr>
          <w:p w14:paraId="593BD38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68 411 763</w:t>
            </w:r>
          </w:p>
        </w:tc>
        <w:tc>
          <w:tcPr>
            <w:tcW w:w="1843" w:type="dxa"/>
            <w:tcBorders>
              <w:top w:val="nil"/>
              <w:left w:val="nil"/>
              <w:bottom w:val="single" w:sz="8" w:space="0" w:color="auto"/>
              <w:right w:val="single" w:sz="8" w:space="0" w:color="auto"/>
            </w:tcBorders>
            <w:shd w:val="clear" w:color="auto" w:fill="auto"/>
            <w:noWrap/>
            <w:vAlign w:val="center"/>
            <w:hideMark/>
          </w:tcPr>
          <w:p w14:paraId="672DAC6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-953 414</w:t>
            </w:r>
          </w:p>
        </w:tc>
      </w:tr>
      <w:tr w:rsidR="0017127D" w:rsidRPr="0017127D" w14:paraId="14EAF06A"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4B55517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58</w:t>
            </w:r>
          </w:p>
        </w:tc>
        <w:tc>
          <w:tcPr>
            <w:tcW w:w="7081" w:type="dxa"/>
            <w:tcBorders>
              <w:top w:val="nil"/>
              <w:left w:val="nil"/>
              <w:bottom w:val="single" w:sz="8" w:space="0" w:color="auto"/>
              <w:right w:val="single" w:sz="8" w:space="0" w:color="auto"/>
            </w:tcBorders>
            <w:shd w:val="clear" w:color="auto" w:fill="auto"/>
            <w:noWrap/>
            <w:vAlign w:val="center"/>
            <w:hideMark/>
          </w:tcPr>
          <w:p w14:paraId="23226865"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"Pasažieru vilciens"</w:t>
            </w:r>
          </w:p>
        </w:tc>
        <w:tc>
          <w:tcPr>
            <w:tcW w:w="1984" w:type="dxa"/>
            <w:tcBorders>
              <w:top w:val="nil"/>
              <w:left w:val="nil"/>
              <w:bottom w:val="single" w:sz="8" w:space="0" w:color="auto"/>
              <w:right w:val="single" w:sz="8" w:space="0" w:color="auto"/>
            </w:tcBorders>
            <w:shd w:val="clear" w:color="auto" w:fill="auto"/>
            <w:noWrap/>
            <w:vAlign w:val="center"/>
            <w:hideMark/>
          </w:tcPr>
          <w:p w14:paraId="7A0BA65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43 852 719</w:t>
            </w:r>
          </w:p>
        </w:tc>
        <w:tc>
          <w:tcPr>
            <w:tcW w:w="1985" w:type="dxa"/>
            <w:tcBorders>
              <w:top w:val="nil"/>
              <w:left w:val="nil"/>
              <w:bottom w:val="single" w:sz="8" w:space="0" w:color="auto"/>
              <w:right w:val="single" w:sz="8" w:space="0" w:color="auto"/>
            </w:tcBorders>
            <w:shd w:val="clear" w:color="auto" w:fill="auto"/>
            <w:noWrap/>
            <w:vAlign w:val="center"/>
            <w:hideMark/>
          </w:tcPr>
          <w:p w14:paraId="2BF8FB3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101 123 554</w:t>
            </w:r>
          </w:p>
        </w:tc>
        <w:tc>
          <w:tcPr>
            <w:tcW w:w="1843" w:type="dxa"/>
            <w:tcBorders>
              <w:top w:val="nil"/>
              <w:left w:val="nil"/>
              <w:bottom w:val="single" w:sz="8" w:space="0" w:color="auto"/>
              <w:right w:val="single" w:sz="8" w:space="0" w:color="auto"/>
            </w:tcBorders>
            <w:shd w:val="clear" w:color="auto" w:fill="auto"/>
            <w:noWrap/>
            <w:vAlign w:val="center"/>
            <w:hideMark/>
          </w:tcPr>
          <w:p w14:paraId="09C991C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-57 270 835</w:t>
            </w:r>
          </w:p>
        </w:tc>
      </w:tr>
      <w:tr w:rsidR="0017127D" w:rsidRPr="0017127D" w14:paraId="3A72D46A"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1415D9E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59</w:t>
            </w:r>
          </w:p>
        </w:tc>
        <w:tc>
          <w:tcPr>
            <w:tcW w:w="7081" w:type="dxa"/>
            <w:tcBorders>
              <w:top w:val="nil"/>
              <w:left w:val="nil"/>
              <w:bottom w:val="single" w:sz="8" w:space="0" w:color="auto"/>
              <w:right w:val="single" w:sz="8" w:space="0" w:color="auto"/>
            </w:tcBorders>
            <w:shd w:val="clear" w:color="auto" w:fill="auto"/>
            <w:noWrap/>
            <w:vAlign w:val="center"/>
            <w:hideMark/>
          </w:tcPr>
          <w:p w14:paraId="2555C3D2"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Nodibinājums "Akadēmiskās informācijas centrs"</w:t>
            </w:r>
          </w:p>
        </w:tc>
        <w:tc>
          <w:tcPr>
            <w:tcW w:w="1984" w:type="dxa"/>
            <w:tcBorders>
              <w:top w:val="nil"/>
              <w:left w:val="nil"/>
              <w:bottom w:val="single" w:sz="8" w:space="0" w:color="auto"/>
              <w:right w:val="single" w:sz="8" w:space="0" w:color="auto"/>
            </w:tcBorders>
            <w:shd w:val="clear" w:color="auto" w:fill="auto"/>
            <w:noWrap/>
            <w:vAlign w:val="center"/>
            <w:hideMark/>
          </w:tcPr>
          <w:p w14:paraId="664612A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243 000</w:t>
            </w:r>
          </w:p>
        </w:tc>
        <w:tc>
          <w:tcPr>
            <w:tcW w:w="1985" w:type="dxa"/>
            <w:tcBorders>
              <w:top w:val="nil"/>
              <w:left w:val="nil"/>
              <w:bottom w:val="single" w:sz="8" w:space="0" w:color="auto"/>
              <w:right w:val="single" w:sz="8" w:space="0" w:color="auto"/>
            </w:tcBorders>
            <w:shd w:val="clear" w:color="auto" w:fill="auto"/>
            <w:noWrap/>
            <w:vAlign w:val="center"/>
            <w:hideMark/>
          </w:tcPr>
          <w:p w14:paraId="29464F7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1 921 187</w:t>
            </w:r>
          </w:p>
        </w:tc>
        <w:tc>
          <w:tcPr>
            <w:tcW w:w="1843" w:type="dxa"/>
            <w:tcBorders>
              <w:top w:val="nil"/>
              <w:left w:val="nil"/>
              <w:bottom w:val="single" w:sz="8" w:space="0" w:color="auto"/>
              <w:right w:val="single" w:sz="8" w:space="0" w:color="auto"/>
            </w:tcBorders>
            <w:shd w:val="clear" w:color="auto" w:fill="auto"/>
            <w:noWrap/>
            <w:vAlign w:val="center"/>
            <w:hideMark/>
          </w:tcPr>
          <w:p w14:paraId="09631D9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-1 678 187</w:t>
            </w:r>
          </w:p>
        </w:tc>
      </w:tr>
      <w:tr w:rsidR="0017127D" w:rsidRPr="0017127D" w14:paraId="3763632B" w14:textId="77777777" w:rsidTr="0017127D">
        <w:trPr>
          <w:trHeight w:val="300"/>
        </w:trPr>
        <w:tc>
          <w:tcPr>
            <w:tcW w:w="1131" w:type="dxa"/>
            <w:tcBorders>
              <w:top w:val="nil"/>
              <w:left w:val="single" w:sz="8" w:space="0" w:color="auto"/>
              <w:bottom w:val="single" w:sz="8" w:space="0" w:color="auto"/>
              <w:right w:val="single" w:sz="8" w:space="0" w:color="auto"/>
            </w:tcBorders>
            <w:shd w:val="clear" w:color="000000" w:fill="DDEBF7"/>
            <w:noWrap/>
            <w:vAlign w:val="center"/>
            <w:hideMark/>
          </w:tcPr>
          <w:p w14:paraId="624BC6F0" w14:textId="77777777" w:rsidR="0017127D" w:rsidRPr="0017127D" w:rsidRDefault="0017127D" w:rsidP="0017127D">
            <w:pPr>
              <w:spacing w:after="0"/>
              <w:ind w:firstLine="0"/>
              <w:jc w:val="center"/>
              <w:rPr>
                <w:rFonts w:eastAsia="Times New Roman" w:cs="Times New Roman"/>
                <w:color w:val="000000"/>
                <w:sz w:val="18"/>
                <w:szCs w:val="18"/>
              </w:rPr>
            </w:pPr>
            <w:r w:rsidRPr="0017127D">
              <w:rPr>
                <w:rFonts w:eastAsia="Times New Roman" w:cs="Times New Roman"/>
                <w:color w:val="000000"/>
                <w:sz w:val="18"/>
                <w:szCs w:val="18"/>
              </w:rPr>
              <w:t>S130300</w:t>
            </w:r>
          </w:p>
        </w:tc>
        <w:tc>
          <w:tcPr>
            <w:tcW w:w="7081" w:type="dxa"/>
            <w:tcBorders>
              <w:top w:val="nil"/>
              <w:left w:val="nil"/>
              <w:bottom w:val="single" w:sz="8" w:space="0" w:color="auto"/>
              <w:right w:val="single" w:sz="8" w:space="0" w:color="auto"/>
            </w:tcBorders>
            <w:shd w:val="clear" w:color="000000" w:fill="DDEBF7"/>
            <w:noWrap/>
            <w:vAlign w:val="center"/>
            <w:hideMark/>
          </w:tcPr>
          <w:p w14:paraId="101BDCA0"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Pašvaldības struktūru kontrolētas un finansētas komercsabiedrības</w:t>
            </w:r>
          </w:p>
        </w:tc>
        <w:tc>
          <w:tcPr>
            <w:tcW w:w="1984" w:type="dxa"/>
            <w:tcBorders>
              <w:top w:val="nil"/>
              <w:left w:val="nil"/>
              <w:bottom w:val="single" w:sz="8" w:space="0" w:color="auto"/>
              <w:right w:val="single" w:sz="8" w:space="0" w:color="auto"/>
            </w:tcBorders>
            <w:shd w:val="clear" w:color="000000" w:fill="DDEBF7"/>
            <w:noWrap/>
            <w:vAlign w:val="center"/>
            <w:hideMark/>
          </w:tcPr>
          <w:p w14:paraId="17EBAE22"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c>
          <w:tcPr>
            <w:tcW w:w="1985" w:type="dxa"/>
            <w:tcBorders>
              <w:top w:val="nil"/>
              <w:left w:val="nil"/>
              <w:bottom w:val="single" w:sz="8" w:space="0" w:color="auto"/>
              <w:right w:val="single" w:sz="8" w:space="0" w:color="auto"/>
            </w:tcBorders>
            <w:shd w:val="clear" w:color="000000" w:fill="DDEBF7"/>
            <w:noWrap/>
            <w:vAlign w:val="center"/>
            <w:hideMark/>
          </w:tcPr>
          <w:p w14:paraId="4784172F"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c>
          <w:tcPr>
            <w:tcW w:w="1843" w:type="dxa"/>
            <w:tcBorders>
              <w:top w:val="nil"/>
              <w:left w:val="nil"/>
              <w:bottom w:val="single" w:sz="8" w:space="0" w:color="auto"/>
              <w:right w:val="single" w:sz="8" w:space="0" w:color="auto"/>
            </w:tcBorders>
            <w:shd w:val="clear" w:color="000000" w:fill="DDEBF7"/>
            <w:noWrap/>
            <w:vAlign w:val="center"/>
            <w:hideMark/>
          </w:tcPr>
          <w:p w14:paraId="317A2ED5"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r>
      <w:tr w:rsidR="0017127D" w:rsidRPr="0017127D" w14:paraId="37BA9F22"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7AE02E8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61</w:t>
            </w:r>
          </w:p>
        </w:tc>
        <w:tc>
          <w:tcPr>
            <w:tcW w:w="7081" w:type="dxa"/>
            <w:tcBorders>
              <w:top w:val="nil"/>
              <w:left w:val="nil"/>
              <w:bottom w:val="single" w:sz="8" w:space="0" w:color="auto"/>
              <w:right w:val="single" w:sz="8" w:space="0" w:color="auto"/>
            </w:tcBorders>
            <w:shd w:val="clear" w:color="auto" w:fill="auto"/>
            <w:noWrap/>
            <w:vAlign w:val="center"/>
            <w:hideMark/>
          </w:tcPr>
          <w:p w14:paraId="0565DCF2"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"Vidzemes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2FD9D29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22 994 152</w:t>
            </w:r>
          </w:p>
        </w:tc>
        <w:tc>
          <w:tcPr>
            <w:tcW w:w="1985" w:type="dxa"/>
            <w:tcBorders>
              <w:top w:val="nil"/>
              <w:left w:val="nil"/>
              <w:bottom w:val="single" w:sz="8" w:space="0" w:color="auto"/>
              <w:right w:val="single" w:sz="8" w:space="0" w:color="auto"/>
            </w:tcBorders>
            <w:shd w:val="clear" w:color="auto" w:fill="auto"/>
            <w:noWrap/>
            <w:vAlign w:val="center"/>
            <w:hideMark/>
          </w:tcPr>
          <w:p w14:paraId="527161F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22 924 060</w:t>
            </w:r>
          </w:p>
        </w:tc>
        <w:tc>
          <w:tcPr>
            <w:tcW w:w="1843" w:type="dxa"/>
            <w:tcBorders>
              <w:top w:val="nil"/>
              <w:left w:val="nil"/>
              <w:bottom w:val="single" w:sz="8" w:space="0" w:color="auto"/>
              <w:right w:val="single" w:sz="8" w:space="0" w:color="auto"/>
            </w:tcBorders>
            <w:shd w:val="clear" w:color="auto" w:fill="auto"/>
            <w:noWrap/>
            <w:vAlign w:val="center"/>
            <w:hideMark/>
          </w:tcPr>
          <w:p w14:paraId="62C842E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70 092</w:t>
            </w:r>
          </w:p>
        </w:tc>
      </w:tr>
      <w:tr w:rsidR="0017127D" w:rsidRPr="0017127D" w14:paraId="1E7EDD84"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0D77BCB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62</w:t>
            </w:r>
          </w:p>
        </w:tc>
        <w:tc>
          <w:tcPr>
            <w:tcW w:w="7081" w:type="dxa"/>
            <w:tcBorders>
              <w:top w:val="nil"/>
              <w:left w:val="nil"/>
              <w:bottom w:val="single" w:sz="8" w:space="0" w:color="auto"/>
              <w:right w:val="single" w:sz="8" w:space="0" w:color="auto"/>
            </w:tcBorders>
            <w:shd w:val="clear" w:color="auto" w:fill="auto"/>
            <w:noWrap/>
            <w:vAlign w:val="center"/>
            <w:hideMark/>
          </w:tcPr>
          <w:p w14:paraId="458E5D8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"Dobeles un apkārtnes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01A75A6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398 106</w:t>
            </w:r>
          </w:p>
        </w:tc>
        <w:tc>
          <w:tcPr>
            <w:tcW w:w="1985" w:type="dxa"/>
            <w:tcBorders>
              <w:top w:val="nil"/>
              <w:left w:val="nil"/>
              <w:bottom w:val="single" w:sz="8" w:space="0" w:color="auto"/>
              <w:right w:val="single" w:sz="8" w:space="0" w:color="auto"/>
            </w:tcBorders>
            <w:shd w:val="clear" w:color="auto" w:fill="auto"/>
            <w:noWrap/>
            <w:vAlign w:val="center"/>
            <w:hideMark/>
          </w:tcPr>
          <w:p w14:paraId="0C4461D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69 158</w:t>
            </w:r>
          </w:p>
        </w:tc>
        <w:tc>
          <w:tcPr>
            <w:tcW w:w="1843" w:type="dxa"/>
            <w:tcBorders>
              <w:top w:val="nil"/>
              <w:left w:val="nil"/>
              <w:bottom w:val="single" w:sz="8" w:space="0" w:color="auto"/>
              <w:right w:val="single" w:sz="8" w:space="0" w:color="auto"/>
            </w:tcBorders>
            <w:shd w:val="clear" w:color="auto" w:fill="auto"/>
            <w:noWrap/>
            <w:vAlign w:val="center"/>
            <w:hideMark/>
          </w:tcPr>
          <w:p w14:paraId="366A139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328 948</w:t>
            </w:r>
          </w:p>
        </w:tc>
      </w:tr>
      <w:tr w:rsidR="0017127D" w:rsidRPr="0017127D" w14:paraId="4A44706A"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0404D59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63</w:t>
            </w:r>
          </w:p>
        </w:tc>
        <w:tc>
          <w:tcPr>
            <w:tcW w:w="7081" w:type="dxa"/>
            <w:tcBorders>
              <w:top w:val="nil"/>
              <w:left w:val="nil"/>
              <w:bottom w:val="single" w:sz="8" w:space="0" w:color="auto"/>
              <w:right w:val="single" w:sz="8" w:space="0" w:color="auto"/>
            </w:tcBorders>
            <w:shd w:val="clear" w:color="auto" w:fill="auto"/>
            <w:noWrap/>
            <w:vAlign w:val="center"/>
            <w:hideMark/>
          </w:tcPr>
          <w:p w14:paraId="4882C404"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"Cēsu klīnika"</w:t>
            </w:r>
          </w:p>
        </w:tc>
        <w:tc>
          <w:tcPr>
            <w:tcW w:w="1984" w:type="dxa"/>
            <w:tcBorders>
              <w:top w:val="nil"/>
              <w:left w:val="nil"/>
              <w:bottom w:val="single" w:sz="8" w:space="0" w:color="auto"/>
              <w:right w:val="single" w:sz="8" w:space="0" w:color="auto"/>
            </w:tcBorders>
            <w:shd w:val="clear" w:color="auto" w:fill="auto"/>
            <w:noWrap/>
            <w:vAlign w:val="center"/>
            <w:hideMark/>
          </w:tcPr>
          <w:p w14:paraId="5BA6B63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8 174 775</w:t>
            </w:r>
          </w:p>
        </w:tc>
        <w:tc>
          <w:tcPr>
            <w:tcW w:w="1985" w:type="dxa"/>
            <w:tcBorders>
              <w:top w:val="nil"/>
              <w:left w:val="nil"/>
              <w:bottom w:val="single" w:sz="8" w:space="0" w:color="auto"/>
              <w:right w:val="single" w:sz="8" w:space="0" w:color="auto"/>
            </w:tcBorders>
            <w:shd w:val="clear" w:color="auto" w:fill="auto"/>
            <w:noWrap/>
            <w:vAlign w:val="center"/>
            <w:hideMark/>
          </w:tcPr>
          <w:p w14:paraId="25A8C02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8 051 733</w:t>
            </w:r>
          </w:p>
        </w:tc>
        <w:tc>
          <w:tcPr>
            <w:tcW w:w="1843" w:type="dxa"/>
            <w:tcBorders>
              <w:top w:val="nil"/>
              <w:left w:val="nil"/>
              <w:bottom w:val="single" w:sz="8" w:space="0" w:color="auto"/>
              <w:right w:val="single" w:sz="8" w:space="0" w:color="auto"/>
            </w:tcBorders>
            <w:shd w:val="clear" w:color="auto" w:fill="auto"/>
            <w:noWrap/>
            <w:vAlign w:val="center"/>
            <w:hideMark/>
          </w:tcPr>
          <w:p w14:paraId="55E1960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123 042</w:t>
            </w:r>
          </w:p>
        </w:tc>
      </w:tr>
      <w:tr w:rsidR="0017127D" w:rsidRPr="0017127D" w14:paraId="1D277EE8"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3E997A5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64</w:t>
            </w:r>
          </w:p>
        </w:tc>
        <w:tc>
          <w:tcPr>
            <w:tcW w:w="7081" w:type="dxa"/>
            <w:tcBorders>
              <w:top w:val="nil"/>
              <w:left w:val="nil"/>
              <w:bottom w:val="single" w:sz="8" w:space="0" w:color="auto"/>
              <w:right w:val="single" w:sz="8" w:space="0" w:color="auto"/>
            </w:tcBorders>
            <w:shd w:val="clear" w:color="auto" w:fill="auto"/>
            <w:noWrap/>
            <w:vAlign w:val="center"/>
            <w:hideMark/>
          </w:tcPr>
          <w:p w14:paraId="20F7EBD2"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"Madonas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621EAD4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9 425 064</w:t>
            </w:r>
          </w:p>
        </w:tc>
        <w:tc>
          <w:tcPr>
            <w:tcW w:w="1985" w:type="dxa"/>
            <w:tcBorders>
              <w:top w:val="nil"/>
              <w:left w:val="nil"/>
              <w:bottom w:val="single" w:sz="8" w:space="0" w:color="auto"/>
              <w:right w:val="single" w:sz="8" w:space="0" w:color="auto"/>
            </w:tcBorders>
            <w:shd w:val="clear" w:color="auto" w:fill="auto"/>
            <w:noWrap/>
            <w:vAlign w:val="center"/>
            <w:hideMark/>
          </w:tcPr>
          <w:p w14:paraId="4DEB774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8 857 111</w:t>
            </w:r>
          </w:p>
        </w:tc>
        <w:tc>
          <w:tcPr>
            <w:tcW w:w="1843" w:type="dxa"/>
            <w:tcBorders>
              <w:top w:val="nil"/>
              <w:left w:val="nil"/>
              <w:bottom w:val="single" w:sz="8" w:space="0" w:color="auto"/>
              <w:right w:val="single" w:sz="8" w:space="0" w:color="auto"/>
            </w:tcBorders>
            <w:shd w:val="clear" w:color="auto" w:fill="auto"/>
            <w:noWrap/>
            <w:vAlign w:val="center"/>
            <w:hideMark/>
          </w:tcPr>
          <w:p w14:paraId="5D4AE45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567 953</w:t>
            </w:r>
          </w:p>
        </w:tc>
      </w:tr>
      <w:tr w:rsidR="0017127D" w:rsidRPr="0017127D" w14:paraId="79AA8D69"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0F3C49D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65</w:t>
            </w:r>
          </w:p>
        </w:tc>
        <w:tc>
          <w:tcPr>
            <w:tcW w:w="7081" w:type="dxa"/>
            <w:tcBorders>
              <w:top w:val="nil"/>
              <w:left w:val="nil"/>
              <w:bottom w:val="single" w:sz="8" w:space="0" w:color="auto"/>
              <w:right w:val="single" w:sz="8" w:space="0" w:color="auto"/>
            </w:tcBorders>
            <w:shd w:val="clear" w:color="auto" w:fill="auto"/>
            <w:noWrap/>
            <w:vAlign w:val="center"/>
            <w:hideMark/>
          </w:tcPr>
          <w:p w14:paraId="16E8D854"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“Ogres rajona slimnīca”</w:t>
            </w:r>
          </w:p>
        </w:tc>
        <w:tc>
          <w:tcPr>
            <w:tcW w:w="1984" w:type="dxa"/>
            <w:tcBorders>
              <w:top w:val="nil"/>
              <w:left w:val="nil"/>
              <w:bottom w:val="single" w:sz="8" w:space="0" w:color="auto"/>
              <w:right w:val="single" w:sz="8" w:space="0" w:color="auto"/>
            </w:tcBorders>
            <w:shd w:val="clear" w:color="auto" w:fill="auto"/>
            <w:noWrap/>
            <w:vAlign w:val="center"/>
            <w:hideMark/>
          </w:tcPr>
          <w:p w14:paraId="7DBFDC9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10 998 007</w:t>
            </w:r>
          </w:p>
        </w:tc>
        <w:tc>
          <w:tcPr>
            <w:tcW w:w="1985" w:type="dxa"/>
            <w:tcBorders>
              <w:top w:val="nil"/>
              <w:left w:val="nil"/>
              <w:bottom w:val="single" w:sz="8" w:space="0" w:color="auto"/>
              <w:right w:val="single" w:sz="8" w:space="0" w:color="auto"/>
            </w:tcBorders>
            <w:shd w:val="clear" w:color="auto" w:fill="auto"/>
            <w:noWrap/>
            <w:vAlign w:val="center"/>
            <w:hideMark/>
          </w:tcPr>
          <w:p w14:paraId="447E710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9 223 778</w:t>
            </w:r>
          </w:p>
        </w:tc>
        <w:tc>
          <w:tcPr>
            <w:tcW w:w="1843" w:type="dxa"/>
            <w:tcBorders>
              <w:top w:val="nil"/>
              <w:left w:val="nil"/>
              <w:bottom w:val="single" w:sz="8" w:space="0" w:color="auto"/>
              <w:right w:val="single" w:sz="8" w:space="0" w:color="auto"/>
            </w:tcBorders>
            <w:shd w:val="clear" w:color="auto" w:fill="auto"/>
            <w:noWrap/>
            <w:vAlign w:val="center"/>
            <w:hideMark/>
          </w:tcPr>
          <w:p w14:paraId="41C33A9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1 774 229</w:t>
            </w:r>
          </w:p>
        </w:tc>
      </w:tr>
      <w:tr w:rsidR="0017127D" w:rsidRPr="0017127D" w14:paraId="5DD5EEC3"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1EFFF2F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66</w:t>
            </w:r>
          </w:p>
        </w:tc>
        <w:tc>
          <w:tcPr>
            <w:tcW w:w="7081" w:type="dxa"/>
            <w:tcBorders>
              <w:top w:val="nil"/>
              <w:left w:val="nil"/>
              <w:bottom w:val="single" w:sz="8" w:space="0" w:color="auto"/>
              <w:right w:val="single" w:sz="8" w:space="0" w:color="auto"/>
            </w:tcBorders>
            <w:shd w:val="clear" w:color="auto" w:fill="auto"/>
            <w:noWrap/>
            <w:vAlign w:val="center"/>
            <w:hideMark/>
          </w:tcPr>
          <w:p w14:paraId="5C182D37"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"Rēzeknes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268B882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20 000 000</w:t>
            </w:r>
          </w:p>
        </w:tc>
        <w:tc>
          <w:tcPr>
            <w:tcW w:w="1985" w:type="dxa"/>
            <w:tcBorders>
              <w:top w:val="nil"/>
              <w:left w:val="nil"/>
              <w:bottom w:val="single" w:sz="8" w:space="0" w:color="auto"/>
              <w:right w:val="single" w:sz="8" w:space="0" w:color="auto"/>
            </w:tcBorders>
            <w:shd w:val="clear" w:color="auto" w:fill="auto"/>
            <w:noWrap/>
            <w:vAlign w:val="center"/>
            <w:hideMark/>
          </w:tcPr>
          <w:p w14:paraId="51F1F1B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19 832 000</w:t>
            </w:r>
          </w:p>
        </w:tc>
        <w:tc>
          <w:tcPr>
            <w:tcW w:w="1843" w:type="dxa"/>
            <w:tcBorders>
              <w:top w:val="nil"/>
              <w:left w:val="nil"/>
              <w:bottom w:val="single" w:sz="8" w:space="0" w:color="auto"/>
              <w:right w:val="single" w:sz="8" w:space="0" w:color="auto"/>
            </w:tcBorders>
            <w:shd w:val="clear" w:color="auto" w:fill="auto"/>
            <w:noWrap/>
            <w:vAlign w:val="center"/>
            <w:hideMark/>
          </w:tcPr>
          <w:p w14:paraId="49D3CFC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168 000</w:t>
            </w:r>
          </w:p>
        </w:tc>
      </w:tr>
      <w:tr w:rsidR="0017127D" w:rsidRPr="0017127D" w14:paraId="1708D346"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73358BE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67</w:t>
            </w:r>
          </w:p>
        </w:tc>
        <w:tc>
          <w:tcPr>
            <w:tcW w:w="7081" w:type="dxa"/>
            <w:tcBorders>
              <w:top w:val="nil"/>
              <w:left w:val="nil"/>
              <w:bottom w:val="single" w:sz="8" w:space="0" w:color="auto"/>
              <w:right w:val="single" w:sz="8" w:space="0" w:color="auto"/>
            </w:tcBorders>
            <w:shd w:val="clear" w:color="auto" w:fill="auto"/>
            <w:noWrap/>
            <w:vAlign w:val="center"/>
            <w:hideMark/>
          </w:tcPr>
          <w:p w14:paraId="6844E752"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"Rēzeknes Satiksme"</w:t>
            </w:r>
          </w:p>
        </w:tc>
        <w:tc>
          <w:tcPr>
            <w:tcW w:w="1984" w:type="dxa"/>
            <w:tcBorders>
              <w:top w:val="nil"/>
              <w:left w:val="nil"/>
              <w:bottom w:val="single" w:sz="8" w:space="0" w:color="auto"/>
              <w:right w:val="single" w:sz="8" w:space="0" w:color="auto"/>
            </w:tcBorders>
            <w:shd w:val="clear" w:color="auto" w:fill="auto"/>
            <w:noWrap/>
            <w:vAlign w:val="center"/>
            <w:hideMark/>
          </w:tcPr>
          <w:p w14:paraId="366B1CD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2 166 739</w:t>
            </w:r>
          </w:p>
        </w:tc>
        <w:tc>
          <w:tcPr>
            <w:tcW w:w="1985" w:type="dxa"/>
            <w:tcBorders>
              <w:top w:val="nil"/>
              <w:left w:val="nil"/>
              <w:bottom w:val="single" w:sz="8" w:space="0" w:color="auto"/>
              <w:right w:val="single" w:sz="8" w:space="0" w:color="auto"/>
            </w:tcBorders>
            <w:shd w:val="clear" w:color="auto" w:fill="auto"/>
            <w:noWrap/>
            <w:vAlign w:val="center"/>
            <w:hideMark/>
          </w:tcPr>
          <w:p w14:paraId="463F2F9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1 710 973</w:t>
            </w:r>
          </w:p>
        </w:tc>
        <w:tc>
          <w:tcPr>
            <w:tcW w:w="1843" w:type="dxa"/>
            <w:tcBorders>
              <w:top w:val="nil"/>
              <w:left w:val="nil"/>
              <w:bottom w:val="single" w:sz="8" w:space="0" w:color="auto"/>
              <w:right w:val="single" w:sz="8" w:space="0" w:color="auto"/>
            </w:tcBorders>
            <w:shd w:val="clear" w:color="auto" w:fill="auto"/>
            <w:noWrap/>
            <w:vAlign w:val="center"/>
            <w:hideMark/>
          </w:tcPr>
          <w:p w14:paraId="01117D8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455 766</w:t>
            </w:r>
          </w:p>
        </w:tc>
      </w:tr>
      <w:tr w:rsidR="0017127D" w:rsidRPr="0017127D" w14:paraId="7538A26F"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489DDF4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lastRenderedPageBreak/>
              <w:t>68</w:t>
            </w:r>
          </w:p>
        </w:tc>
        <w:tc>
          <w:tcPr>
            <w:tcW w:w="7081" w:type="dxa"/>
            <w:tcBorders>
              <w:top w:val="nil"/>
              <w:left w:val="nil"/>
              <w:bottom w:val="single" w:sz="8" w:space="0" w:color="auto"/>
              <w:right w:val="single" w:sz="8" w:space="0" w:color="auto"/>
            </w:tcBorders>
            <w:shd w:val="clear" w:color="auto" w:fill="auto"/>
            <w:noWrap/>
            <w:vAlign w:val="center"/>
            <w:hideMark/>
          </w:tcPr>
          <w:p w14:paraId="6B8A6FC7"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"Ziemeļkurzemes reģionālā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38EF1F6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17 913 858</w:t>
            </w:r>
          </w:p>
        </w:tc>
        <w:tc>
          <w:tcPr>
            <w:tcW w:w="1985" w:type="dxa"/>
            <w:tcBorders>
              <w:top w:val="nil"/>
              <w:left w:val="nil"/>
              <w:bottom w:val="single" w:sz="8" w:space="0" w:color="auto"/>
              <w:right w:val="single" w:sz="8" w:space="0" w:color="auto"/>
            </w:tcBorders>
            <w:shd w:val="clear" w:color="auto" w:fill="auto"/>
            <w:noWrap/>
            <w:vAlign w:val="center"/>
            <w:hideMark/>
          </w:tcPr>
          <w:p w14:paraId="4895756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17 712 624</w:t>
            </w:r>
          </w:p>
        </w:tc>
        <w:tc>
          <w:tcPr>
            <w:tcW w:w="1843" w:type="dxa"/>
            <w:tcBorders>
              <w:top w:val="nil"/>
              <w:left w:val="nil"/>
              <w:bottom w:val="single" w:sz="8" w:space="0" w:color="auto"/>
              <w:right w:val="single" w:sz="8" w:space="0" w:color="auto"/>
            </w:tcBorders>
            <w:shd w:val="clear" w:color="auto" w:fill="auto"/>
            <w:noWrap/>
            <w:vAlign w:val="center"/>
            <w:hideMark/>
          </w:tcPr>
          <w:p w14:paraId="28C6FF3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201 234</w:t>
            </w:r>
          </w:p>
        </w:tc>
      </w:tr>
      <w:tr w:rsidR="0017127D" w:rsidRPr="0017127D" w14:paraId="540A24C6"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18BC7FE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69</w:t>
            </w:r>
          </w:p>
        </w:tc>
        <w:tc>
          <w:tcPr>
            <w:tcW w:w="7081" w:type="dxa"/>
            <w:tcBorders>
              <w:top w:val="nil"/>
              <w:left w:val="nil"/>
              <w:bottom w:val="single" w:sz="8" w:space="0" w:color="auto"/>
              <w:right w:val="single" w:sz="8" w:space="0" w:color="auto"/>
            </w:tcBorders>
            <w:shd w:val="clear" w:color="auto" w:fill="auto"/>
            <w:noWrap/>
            <w:vAlign w:val="center"/>
            <w:hideMark/>
          </w:tcPr>
          <w:p w14:paraId="128372E6"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"Olimpiskais centrs "Ventspils""</w:t>
            </w:r>
          </w:p>
        </w:tc>
        <w:tc>
          <w:tcPr>
            <w:tcW w:w="1984" w:type="dxa"/>
            <w:tcBorders>
              <w:top w:val="nil"/>
              <w:left w:val="nil"/>
              <w:bottom w:val="single" w:sz="8" w:space="0" w:color="auto"/>
              <w:right w:val="single" w:sz="8" w:space="0" w:color="auto"/>
            </w:tcBorders>
            <w:shd w:val="clear" w:color="auto" w:fill="auto"/>
            <w:noWrap/>
            <w:vAlign w:val="center"/>
            <w:hideMark/>
          </w:tcPr>
          <w:p w14:paraId="57DB9AF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2 081 023</w:t>
            </w:r>
          </w:p>
        </w:tc>
        <w:tc>
          <w:tcPr>
            <w:tcW w:w="1985" w:type="dxa"/>
            <w:tcBorders>
              <w:top w:val="nil"/>
              <w:left w:val="nil"/>
              <w:bottom w:val="single" w:sz="8" w:space="0" w:color="auto"/>
              <w:right w:val="single" w:sz="8" w:space="0" w:color="auto"/>
            </w:tcBorders>
            <w:shd w:val="clear" w:color="auto" w:fill="auto"/>
            <w:noWrap/>
            <w:vAlign w:val="center"/>
            <w:hideMark/>
          </w:tcPr>
          <w:p w14:paraId="1ED43B5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2 106 018</w:t>
            </w:r>
          </w:p>
        </w:tc>
        <w:tc>
          <w:tcPr>
            <w:tcW w:w="1843" w:type="dxa"/>
            <w:tcBorders>
              <w:top w:val="nil"/>
              <w:left w:val="nil"/>
              <w:bottom w:val="single" w:sz="8" w:space="0" w:color="auto"/>
              <w:right w:val="single" w:sz="8" w:space="0" w:color="auto"/>
            </w:tcBorders>
            <w:shd w:val="clear" w:color="auto" w:fill="auto"/>
            <w:noWrap/>
            <w:vAlign w:val="center"/>
            <w:hideMark/>
          </w:tcPr>
          <w:p w14:paraId="4EF6258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-24 995</w:t>
            </w:r>
          </w:p>
        </w:tc>
      </w:tr>
      <w:tr w:rsidR="0017127D" w:rsidRPr="0017127D" w14:paraId="7B01D302"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2431A86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70</w:t>
            </w:r>
          </w:p>
        </w:tc>
        <w:tc>
          <w:tcPr>
            <w:tcW w:w="7081" w:type="dxa"/>
            <w:tcBorders>
              <w:top w:val="nil"/>
              <w:left w:val="nil"/>
              <w:bottom w:val="single" w:sz="8" w:space="0" w:color="auto"/>
              <w:right w:val="single" w:sz="8" w:space="0" w:color="auto"/>
            </w:tcBorders>
            <w:shd w:val="clear" w:color="auto" w:fill="auto"/>
            <w:noWrap/>
            <w:vAlign w:val="center"/>
            <w:hideMark/>
          </w:tcPr>
          <w:p w14:paraId="20157306"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"Jūrmalas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71EA623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9 308 615</w:t>
            </w:r>
          </w:p>
        </w:tc>
        <w:tc>
          <w:tcPr>
            <w:tcW w:w="1985" w:type="dxa"/>
            <w:tcBorders>
              <w:top w:val="nil"/>
              <w:left w:val="nil"/>
              <w:bottom w:val="single" w:sz="8" w:space="0" w:color="auto"/>
              <w:right w:val="single" w:sz="8" w:space="0" w:color="auto"/>
            </w:tcBorders>
            <w:shd w:val="clear" w:color="auto" w:fill="auto"/>
            <w:noWrap/>
            <w:vAlign w:val="center"/>
            <w:hideMark/>
          </w:tcPr>
          <w:p w14:paraId="47C73BF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10 016 076</w:t>
            </w:r>
          </w:p>
        </w:tc>
        <w:tc>
          <w:tcPr>
            <w:tcW w:w="1843" w:type="dxa"/>
            <w:tcBorders>
              <w:top w:val="nil"/>
              <w:left w:val="nil"/>
              <w:bottom w:val="single" w:sz="8" w:space="0" w:color="auto"/>
              <w:right w:val="single" w:sz="8" w:space="0" w:color="auto"/>
            </w:tcBorders>
            <w:shd w:val="clear" w:color="auto" w:fill="auto"/>
            <w:noWrap/>
            <w:vAlign w:val="center"/>
            <w:hideMark/>
          </w:tcPr>
          <w:p w14:paraId="4155288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-707 461</w:t>
            </w:r>
          </w:p>
        </w:tc>
      </w:tr>
      <w:tr w:rsidR="0017127D" w:rsidRPr="0017127D" w14:paraId="46E670DA"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1008E47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71</w:t>
            </w:r>
          </w:p>
        </w:tc>
        <w:tc>
          <w:tcPr>
            <w:tcW w:w="7081" w:type="dxa"/>
            <w:tcBorders>
              <w:top w:val="nil"/>
              <w:left w:val="nil"/>
              <w:bottom w:val="single" w:sz="8" w:space="0" w:color="auto"/>
              <w:right w:val="single" w:sz="8" w:space="0" w:color="auto"/>
            </w:tcBorders>
            <w:shd w:val="clear" w:color="auto" w:fill="auto"/>
            <w:noWrap/>
            <w:vAlign w:val="center"/>
            <w:hideMark/>
          </w:tcPr>
          <w:p w14:paraId="40329DD9"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xml:space="preserve">Nodibinājums "Rīgas Tūrisma Attīstības Birojs" </w:t>
            </w:r>
          </w:p>
        </w:tc>
        <w:tc>
          <w:tcPr>
            <w:tcW w:w="1984" w:type="dxa"/>
            <w:tcBorders>
              <w:top w:val="nil"/>
              <w:left w:val="nil"/>
              <w:bottom w:val="single" w:sz="8" w:space="0" w:color="auto"/>
              <w:right w:val="single" w:sz="8" w:space="0" w:color="auto"/>
            </w:tcBorders>
            <w:shd w:val="clear" w:color="auto" w:fill="auto"/>
            <w:noWrap/>
            <w:vAlign w:val="center"/>
            <w:hideMark/>
          </w:tcPr>
          <w:p w14:paraId="70DE732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985" w:type="dxa"/>
            <w:tcBorders>
              <w:top w:val="nil"/>
              <w:left w:val="nil"/>
              <w:bottom w:val="single" w:sz="8" w:space="0" w:color="auto"/>
              <w:right w:val="single" w:sz="8" w:space="0" w:color="auto"/>
            </w:tcBorders>
            <w:shd w:val="clear" w:color="auto" w:fill="auto"/>
            <w:noWrap/>
            <w:vAlign w:val="center"/>
            <w:hideMark/>
          </w:tcPr>
          <w:p w14:paraId="20F3CF5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843" w:type="dxa"/>
            <w:tcBorders>
              <w:top w:val="nil"/>
              <w:left w:val="nil"/>
              <w:bottom w:val="single" w:sz="8" w:space="0" w:color="auto"/>
              <w:right w:val="single" w:sz="8" w:space="0" w:color="auto"/>
            </w:tcBorders>
            <w:shd w:val="clear" w:color="auto" w:fill="auto"/>
            <w:noWrap/>
            <w:vAlign w:val="center"/>
            <w:hideMark/>
          </w:tcPr>
          <w:p w14:paraId="4467384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1315F553"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1184477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72</w:t>
            </w:r>
          </w:p>
        </w:tc>
        <w:tc>
          <w:tcPr>
            <w:tcW w:w="7081" w:type="dxa"/>
            <w:tcBorders>
              <w:top w:val="nil"/>
              <w:left w:val="nil"/>
              <w:bottom w:val="single" w:sz="8" w:space="0" w:color="auto"/>
              <w:right w:val="single" w:sz="8" w:space="0" w:color="auto"/>
            </w:tcBorders>
            <w:shd w:val="clear" w:color="auto" w:fill="auto"/>
            <w:noWrap/>
            <w:vAlign w:val="center"/>
            <w:hideMark/>
          </w:tcPr>
          <w:p w14:paraId="1AB68C2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xml:space="preserve">SIA "Rīgas 2. slimnīca" </w:t>
            </w:r>
          </w:p>
        </w:tc>
        <w:tc>
          <w:tcPr>
            <w:tcW w:w="1984" w:type="dxa"/>
            <w:tcBorders>
              <w:top w:val="nil"/>
              <w:left w:val="nil"/>
              <w:bottom w:val="single" w:sz="8" w:space="0" w:color="auto"/>
              <w:right w:val="single" w:sz="8" w:space="0" w:color="auto"/>
            </w:tcBorders>
            <w:shd w:val="clear" w:color="auto" w:fill="auto"/>
            <w:noWrap/>
            <w:vAlign w:val="center"/>
            <w:hideMark/>
          </w:tcPr>
          <w:p w14:paraId="682A970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9 331 464</w:t>
            </w:r>
          </w:p>
        </w:tc>
        <w:tc>
          <w:tcPr>
            <w:tcW w:w="1985" w:type="dxa"/>
            <w:tcBorders>
              <w:top w:val="nil"/>
              <w:left w:val="nil"/>
              <w:bottom w:val="single" w:sz="8" w:space="0" w:color="auto"/>
              <w:right w:val="single" w:sz="8" w:space="0" w:color="auto"/>
            </w:tcBorders>
            <w:shd w:val="clear" w:color="auto" w:fill="auto"/>
            <w:noWrap/>
            <w:vAlign w:val="center"/>
            <w:hideMark/>
          </w:tcPr>
          <w:p w14:paraId="44F15EA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9 298 474</w:t>
            </w:r>
          </w:p>
        </w:tc>
        <w:tc>
          <w:tcPr>
            <w:tcW w:w="1843" w:type="dxa"/>
            <w:tcBorders>
              <w:top w:val="nil"/>
              <w:left w:val="nil"/>
              <w:bottom w:val="single" w:sz="8" w:space="0" w:color="auto"/>
              <w:right w:val="single" w:sz="8" w:space="0" w:color="auto"/>
            </w:tcBorders>
            <w:shd w:val="clear" w:color="auto" w:fill="auto"/>
            <w:noWrap/>
            <w:vAlign w:val="center"/>
            <w:hideMark/>
          </w:tcPr>
          <w:p w14:paraId="7AC92ED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32990</w:t>
            </w:r>
          </w:p>
        </w:tc>
      </w:tr>
      <w:tr w:rsidR="0017127D" w:rsidRPr="0017127D" w14:paraId="47613CB3"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4C712C1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73</w:t>
            </w:r>
          </w:p>
        </w:tc>
        <w:tc>
          <w:tcPr>
            <w:tcW w:w="7081" w:type="dxa"/>
            <w:tcBorders>
              <w:top w:val="nil"/>
              <w:left w:val="nil"/>
              <w:bottom w:val="single" w:sz="8" w:space="0" w:color="auto"/>
              <w:right w:val="single" w:sz="8" w:space="0" w:color="auto"/>
            </w:tcBorders>
            <w:shd w:val="clear" w:color="auto" w:fill="auto"/>
            <w:noWrap/>
            <w:vAlign w:val="center"/>
            <w:hideMark/>
          </w:tcPr>
          <w:p w14:paraId="2CB6793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"Jelgavas pilsētas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6F55895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14 057 252</w:t>
            </w:r>
          </w:p>
        </w:tc>
        <w:tc>
          <w:tcPr>
            <w:tcW w:w="1985" w:type="dxa"/>
            <w:tcBorders>
              <w:top w:val="nil"/>
              <w:left w:val="nil"/>
              <w:bottom w:val="single" w:sz="8" w:space="0" w:color="auto"/>
              <w:right w:val="single" w:sz="8" w:space="0" w:color="auto"/>
            </w:tcBorders>
            <w:shd w:val="clear" w:color="auto" w:fill="auto"/>
            <w:noWrap/>
            <w:vAlign w:val="center"/>
            <w:hideMark/>
          </w:tcPr>
          <w:p w14:paraId="3F830F0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12 924 554</w:t>
            </w:r>
          </w:p>
        </w:tc>
        <w:tc>
          <w:tcPr>
            <w:tcW w:w="1843" w:type="dxa"/>
            <w:tcBorders>
              <w:top w:val="nil"/>
              <w:left w:val="nil"/>
              <w:bottom w:val="single" w:sz="8" w:space="0" w:color="auto"/>
              <w:right w:val="single" w:sz="8" w:space="0" w:color="auto"/>
            </w:tcBorders>
            <w:shd w:val="clear" w:color="auto" w:fill="auto"/>
            <w:noWrap/>
            <w:vAlign w:val="center"/>
            <w:hideMark/>
          </w:tcPr>
          <w:p w14:paraId="21E41E0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1 132 698</w:t>
            </w:r>
          </w:p>
        </w:tc>
      </w:tr>
      <w:tr w:rsidR="0017127D" w:rsidRPr="0017127D" w14:paraId="32082F3D"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78627B6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74</w:t>
            </w:r>
          </w:p>
        </w:tc>
        <w:tc>
          <w:tcPr>
            <w:tcW w:w="7081" w:type="dxa"/>
            <w:tcBorders>
              <w:top w:val="nil"/>
              <w:left w:val="nil"/>
              <w:bottom w:val="single" w:sz="8" w:space="0" w:color="auto"/>
              <w:right w:val="single" w:sz="8" w:space="0" w:color="auto"/>
            </w:tcBorders>
            <w:shd w:val="clear" w:color="auto" w:fill="auto"/>
            <w:noWrap/>
            <w:vAlign w:val="center"/>
            <w:hideMark/>
          </w:tcPr>
          <w:p w14:paraId="752569E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"Rīgas 1.slimnīca"</w:t>
            </w:r>
          </w:p>
        </w:tc>
        <w:tc>
          <w:tcPr>
            <w:tcW w:w="1984" w:type="dxa"/>
            <w:tcBorders>
              <w:top w:val="nil"/>
              <w:left w:val="nil"/>
              <w:bottom w:val="single" w:sz="8" w:space="0" w:color="auto"/>
              <w:right w:val="single" w:sz="8" w:space="0" w:color="auto"/>
            </w:tcBorders>
            <w:shd w:val="clear" w:color="auto" w:fill="auto"/>
            <w:noWrap/>
            <w:vAlign w:val="center"/>
            <w:hideMark/>
          </w:tcPr>
          <w:p w14:paraId="375D697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22 553 280</w:t>
            </w:r>
          </w:p>
        </w:tc>
        <w:tc>
          <w:tcPr>
            <w:tcW w:w="1985" w:type="dxa"/>
            <w:tcBorders>
              <w:top w:val="nil"/>
              <w:left w:val="nil"/>
              <w:bottom w:val="single" w:sz="8" w:space="0" w:color="auto"/>
              <w:right w:val="single" w:sz="8" w:space="0" w:color="auto"/>
            </w:tcBorders>
            <w:shd w:val="clear" w:color="auto" w:fill="auto"/>
            <w:noWrap/>
            <w:vAlign w:val="center"/>
            <w:hideMark/>
          </w:tcPr>
          <w:p w14:paraId="15A3AEE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22 642 124</w:t>
            </w:r>
          </w:p>
        </w:tc>
        <w:tc>
          <w:tcPr>
            <w:tcW w:w="1843" w:type="dxa"/>
            <w:tcBorders>
              <w:top w:val="nil"/>
              <w:left w:val="nil"/>
              <w:bottom w:val="single" w:sz="8" w:space="0" w:color="auto"/>
              <w:right w:val="single" w:sz="8" w:space="0" w:color="auto"/>
            </w:tcBorders>
            <w:shd w:val="clear" w:color="auto" w:fill="auto"/>
            <w:noWrap/>
            <w:vAlign w:val="center"/>
            <w:hideMark/>
          </w:tcPr>
          <w:p w14:paraId="4379C85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-88 844</w:t>
            </w:r>
          </w:p>
        </w:tc>
      </w:tr>
      <w:tr w:rsidR="0017127D" w:rsidRPr="0017127D" w14:paraId="7C93684C"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7F090B6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75</w:t>
            </w:r>
          </w:p>
        </w:tc>
        <w:tc>
          <w:tcPr>
            <w:tcW w:w="7081" w:type="dxa"/>
            <w:tcBorders>
              <w:top w:val="nil"/>
              <w:left w:val="nil"/>
              <w:bottom w:val="single" w:sz="8" w:space="0" w:color="auto"/>
              <w:right w:val="single" w:sz="8" w:space="0" w:color="auto"/>
            </w:tcBorders>
            <w:shd w:val="clear" w:color="auto" w:fill="auto"/>
            <w:noWrap/>
            <w:vAlign w:val="center"/>
            <w:hideMark/>
          </w:tcPr>
          <w:p w14:paraId="19066860"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"Rīgas Dzemdību nams"</w:t>
            </w:r>
          </w:p>
        </w:tc>
        <w:tc>
          <w:tcPr>
            <w:tcW w:w="1984" w:type="dxa"/>
            <w:tcBorders>
              <w:top w:val="nil"/>
              <w:left w:val="nil"/>
              <w:bottom w:val="single" w:sz="8" w:space="0" w:color="auto"/>
              <w:right w:val="single" w:sz="8" w:space="0" w:color="auto"/>
            </w:tcBorders>
            <w:shd w:val="clear" w:color="auto" w:fill="auto"/>
            <w:noWrap/>
            <w:vAlign w:val="center"/>
            <w:hideMark/>
          </w:tcPr>
          <w:p w14:paraId="25DEE02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13 988 925</w:t>
            </w:r>
          </w:p>
        </w:tc>
        <w:tc>
          <w:tcPr>
            <w:tcW w:w="1985" w:type="dxa"/>
            <w:tcBorders>
              <w:top w:val="nil"/>
              <w:left w:val="nil"/>
              <w:bottom w:val="single" w:sz="8" w:space="0" w:color="auto"/>
              <w:right w:val="single" w:sz="8" w:space="0" w:color="auto"/>
            </w:tcBorders>
            <w:shd w:val="clear" w:color="auto" w:fill="auto"/>
            <w:noWrap/>
            <w:vAlign w:val="center"/>
            <w:hideMark/>
          </w:tcPr>
          <w:p w14:paraId="7249F14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13 975 445</w:t>
            </w:r>
          </w:p>
        </w:tc>
        <w:tc>
          <w:tcPr>
            <w:tcW w:w="1843" w:type="dxa"/>
            <w:tcBorders>
              <w:top w:val="nil"/>
              <w:left w:val="nil"/>
              <w:bottom w:val="single" w:sz="8" w:space="0" w:color="auto"/>
              <w:right w:val="single" w:sz="8" w:space="0" w:color="auto"/>
            </w:tcBorders>
            <w:shd w:val="clear" w:color="auto" w:fill="auto"/>
            <w:noWrap/>
            <w:vAlign w:val="center"/>
            <w:hideMark/>
          </w:tcPr>
          <w:p w14:paraId="19B980E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13 480</w:t>
            </w:r>
          </w:p>
        </w:tc>
      </w:tr>
      <w:tr w:rsidR="0017127D" w:rsidRPr="0017127D" w14:paraId="33044230"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3E151CE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76</w:t>
            </w:r>
          </w:p>
        </w:tc>
        <w:tc>
          <w:tcPr>
            <w:tcW w:w="7081" w:type="dxa"/>
            <w:tcBorders>
              <w:top w:val="nil"/>
              <w:left w:val="nil"/>
              <w:bottom w:val="single" w:sz="8" w:space="0" w:color="auto"/>
              <w:right w:val="single" w:sz="8" w:space="0" w:color="auto"/>
            </w:tcBorders>
            <w:shd w:val="clear" w:color="auto" w:fill="auto"/>
            <w:noWrap/>
            <w:vAlign w:val="center"/>
            <w:hideMark/>
          </w:tcPr>
          <w:p w14:paraId="4B0295F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"Rīgas veselības centrs"</w:t>
            </w:r>
          </w:p>
        </w:tc>
        <w:tc>
          <w:tcPr>
            <w:tcW w:w="1984" w:type="dxa"/>
            <w:tcBorders>
              <w:top w:val="nil"/>
              <w:left w:val="nil"/>
              <w:bottom w:val="single" w:sz="8" w:space="0" w:color="auto"/>
              <w:right w:val="single" w:sz="8" w:space="0" w:color="auto"/>
            </w:tcBorders>
            <w:shd w:val="clear" w:color="auto" w:fill="auto"/>
            <w:noWrap/>
            <w:vAlign w:val="center"/>
            <w:hideMark/>
          </w:tcPr>
          <w:p w14:paraId="3D4032F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10 409 280</w:t>
            </w:r>
          </w:p>
        </w:tc>
        <w:tc>
          <w:tcPr>
            <w:tcW w:w="1985" w:type="dxa"/>
            <w:tcBorders>
              <w:top w:val="nil"/>
              <w:left w:val="nil"/>
              <w:bottom w:val="single" w:sz="8" w:space="0" w:color="auto"/>
              <w:right w:val="single" w:sz="8" w:space="0" w:color="auto"/>
            </w:tcBorders>
            <w:shd w:val="clear" w:color="auto" w:fill="auto"/>
            <w:noWrap/>
            <w:vAlign w:val="center"/>
            <w:hideMark/>
          </w:tcPr>
          <w:p w14:paraId="62EF3E4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10 291 743</w:t>
            </w:r>
          </w:p>
        </w:tc>
        <w:tc>
          <w:tcPr>
            <w:tcW w:w="1843" w:type="dxa"/>
            <w:tcBorders>
              <w:top w:val="nil"/>
              <w:left w:val="nil"/>
              <w:bottom w:val="single" w:sz="8" w:space="0" w:color="auto"/>
              <w:right w:val="single" w:sz="8" w:space="0" w:color="auto"/>
            </w:tcBorders>
            <w:shd w:val="clear" w:color="auto" w:fill="auto"/>
            <w:noWrap/>
            <w:vAlign w:val="center"/>
            <w:hideMark/>
          </w:tcPr>
          <w:p w14:paraId="0F36591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117 537</w:t>
            </w:r>
          </w:p>
        </w:tc>
      </w:tr>
      <w:tr w:rsidR="0017127D" w:rsidRPr="0017127D" w14:paraId="5E71A246"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456BF0D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77</w:t>
            </w:r>
          </w:p>
        </w:tc>
        <w:tc>
          <w:tcPr>
            <w:tcW w:w="7081" w:type="dxa"/>
            <w:tcBorders>
              <w:top w:val="nil"/>
              <w:left w:val="nil"/>
              <w:bottom w:val="single" w:sz="8" w:space="0" w:color="auto"/>
              <w:right w:val="single" w:sz="8" w:space="0" w:color="auto"/>
            </w:tcBorders>
            <w:shd w:val="clear" w:color="auto" w:fill="auto"/>
            <w:noWrap/>
            <w:vAlign w:val="center"/>
            <w:hideMark/>
          </w:tcPr>
          <w:p w14:paraId="590289C5"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"Liepājas tramvajs"</w:t>
            </w:r>
          </w:p>
        </w:tc>
        <w:tc>
          <w:tcPr>
            <w:tcW w:w="1984" w:type="dxa"/>
            <w:tcBorders>
              <w:top w:val="nil"/>
              <w:left w:val="nil"/>
              <w:bottom w:val="single" w:sz="8" w:space="0" w:color="auto"/>
              <w:right w:val="single" w:sz="8" w:space="0" w:color="auto"/>
            </w:tcBorders>
            <w:shd w:val="clear" w:color="auto" w:fill="auto"/>
            <w:noWrap/>
            <w:vAlign w:val="center"/>
            <w:hideMark/>
          </w:tcPr>
          <w:p w14:paraId="516C307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2 148 000</w:t>
            </w:r>
          </w:p>
        </w:tc>
        <w:tc>
          <w:tcPr>
            <w:tcW w:w="1985" w:type="dxa"/>
            <w:tcBorders>
              <w:top w:val="nil"/>
              <w:left w:val="nil"/>
              <w:bottom w:val="single" w:sz="8" w:space="0" w:color="auto"/>
              <w:right w:val="single" w:sz="8" w:space="0" w:color="auto"/>
            </w:tcBorders>
            <w:shd w:val="clear" w:color="auto" w:fill="auto"/>
            <w:noWrap/>
            <w:vAlign w:val="center"/>
            <w:hideMark/>
          </w:tcPr>
          <w:p w14:paraId="3E8C46A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1 654 830</w:t>
            </w:r>
          </w:p>
        </w:tc>
        <w:tc>
          <w:tcPr>
            <w:tcW w:w="1843" w:type="dxa"/>
            <w:tcBorders>
              <w:top w:val="nil"/>
              <w:left w:val="nil"/>
              <w:bottom w:val="single" w:sz="8" w:space="0" w:color="auto"/>
              <w:right w:val="single" w:sz="8" w:space="0" w:color="auto"/>
            </w:tcBorders>
            <w:shd w:val="clear" w:color="auto" w:fill="auto"/>
            <w:noWrap/>
            <w:vAlign w:val="center"/>
            <w:hideMark/>
          </w:tcPr>
          <w:p w14:paraId="267E82E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493 170</w:t>
            </w:r>
          </w:p>
        </w:tc>
      </w:tr>
      <w:tr w:rsidR="0017127D" w:rsidRPr="0017127D" w14:paraId="393D7400"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486B520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78</w:t>
            </w:r>
          </w:p>
        </w:tc>
        <w:tc>
          <w:tcPr>
            <w:tcW w:w="7081" w:type="dxa"/>
            <w:tcBorders>
              <w:top w:val="nil"/>
              <w:left w:val="nil"/>
              <w:bottom w:val="single" w:sz="8" w:space="0" w:color="auto"/>
              <w:right w:val="single" w:sz="8" w:space="0" w:color="auto"/>
            </w:tcBorders>
            <w:shd w:val="clear" w:color="auto" w:fill="auto"/>
            <w:noWrap/>
            <w:vAlign w:val="center"/>
            <w:hideMark/>
          </w:tcPr>
          <w:p w14:paraId="58361D39"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"Liepājas reģionālā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2F0BEF4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30 390 684</w:t>
            </w:r>
          </w:p>
        </w:tc>
        <w:tc>
          <w:tcPr>
            <w:tcW w:w="1985" w:type="dxa"/>
            <w:tcBorders>
              <w:top w:val="nil"/>
              <w:left w:val="nil"/>
              <w:bottom w:val="single" w:sz="8" w:space="0" w:color="auto"/>
              <w:right w:val="single" w:sz="8" w:space="0" w:color="auto"/>
            </w:tcBorders>
            <w:shd w:val="clear" w:color="auto" w:fill="auto"/>
            <w:noWrap/>
            <w:vAlign w:val="center"/>
            <w:hideMark/>
          </w:tcPr>
          <w:p w14:paraId="77E7028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34 508 029</w:t>
            </w:r>
          </w:p>
        </w:tc>
        <w:tc>
          <w:tcPr>
            <w:tcW w:w="1843" w:type="dxa"/>
            <w:tcBorders>
              <w:top w:val="nil"/>
              <w:left w:val="nil"/>
              <w:bottom w:val="single" w:sz="8" w:space="0" w:color="auto"/>
              <w:right w:val="single" w:sz="8" w:space="0" w:color="auto"/>
            </w:tcBorders>
            <w:shd w:val="clear" w:color="auto" w:fill="auto"/>
            <w:noWrap/>
            <w:vAlign w:val="center"/>
            <w:hideMark/>
          </w:tcPr>
          <w:p w14:paraId="7459EF4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-4 117 345</w:t>
            </w:r>
          </w:p>
        </w:tc>
      </w:tr>
      <w:tr w:rsidR="0017127D" w:rsidRPr="0017127D" w14:paraId="472613E0"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0597EB8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79</w:t>
            </w:r>
          </w:p>
        </w:tc>
        <w:tc>
          <w:tcPr>
            <w:tcW w:w="7081" w:type="dxa"/>
            <w:tcBorders>
              <w:top w:val="nil"/>
              <w:left w:val="nil"/>
              <w:bottom w:val="single" w:sz="8" w:space="0" w:color="auto"/>
              <w:right w:val="single" w:sz="8" w:space="0" w:color="auto"/>
            </w:tcBorders>
            <w:shd w:val="clear" w:color="auto" w:fill="auto"/>
            <w:noWrap/>
            <w:vAlign w:val="center"/>
            <w:hideMark/>
          </w:tcPr>
          <w:p w14:paraId="30349256" w14:textId="43E22CE5" w:rsidR="0017127D" w:rsidRPr="0017127D" w:rsidRDefault="00D1653C" w:rsidP="0017127D">
            <w:pPr>
              <w:spacing w:after="0"/>
              <w:ind w:firstLine="0"/>
              <w:jc w:val="left"/>
              <w:rPr>
                <w:rFonts w:eastAsia="Times New Roman" w:cs="Times New Roman"/>
                <w:color w:val="000000"/>
                <w:sz w:val="18"/>
                <w:szCs w:val="18"/>
              </w:rPr>
            </w:pPr>
            <w:r>
              <w:rPr>
                <w:rFonts w:eastAsia="Times New Roman" w:cs="Times New Roman"/>
                <w:color w:val="000000"/>
                <w:sz w:val="18"/>
                <w:szCs w:val="18"/>
              </w:rPr>
              <w:t>SIA "Avio</w:t>
            </w:r>
            <w:r w:rsidR="0017127D" w:rsidRPr="0017127D">
              <w:rPr>
                <w:rFonts w:eastAsia="Times New Roman" w:cs="Times New Roman"/>
                <w:color w:val="000000"/>
                <w:sz w:val="18"/>
                <w:szCs w:val="18"/>
              </w:rPr>
              <w:t>sabiedrība "Liepāja""</w:t>
            </w:r>
          </w:p>
        </w:tc>
        <w:tc>
          <w:tcPr>
            <w:tcW w:w="1984" w:type="dxa"/>
            <w:tcBorders>
              <w:top w:val="nil"/>
              <w:left w:val="nil"/>
              <w:bottom w:val="single" w:sz="8" w:space="0" w:color="auto"/>
              <w:right w:val="single" w:sz="8" w:space="0" w:color="auto"/>
            </w:tcBorders>
            <w:shd w:val="clear" w:color="auto" w:fill="auto"/>
            <w:noWrap/>
            <w:vAlign w:val="center"/>
            <w:hideMark/>
          </w:tcPr>
          <w:p w14:paraId="6BDEA85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1 600 535</w:t>
            </w:r>
          </w:p>
        </w:tc>
        <w:tc>
          <w:tcPr>
            <w:tcW w:w="1985" w:type="dxa"/>
            <w:tcBorders>
              <w:top w:val="nil"/>
              <w:left w:val="nil"/>
              <w:bottom w:val="single" w:sz="8" w:space="0" w:color="auto"/>
              <w:right w:val="single" w:sz="8" w:space="0" w:color="auto"/>
            </w:tcBorders>
            <w:shd w:val="clear" w:color="auto" w:fill="auto"/>
            <w:noWrap/>
            <w:vAlign w:val="center"/>
            <w:hideMark/>
          </w:tcPr>
          <w:p w14:paraId="57EDB75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1 463 745</w:t>
            </w:r>
          </w:p>
        </w:tc>
        <w:tc>
          <w:tcPr>
            <w:tcW w:w="1843" w:type="dxa"/>
            <w:tcBorders>
              <w:top w:val="nil"/>
              <w:left w:val="nil"/>
              <w:bottom w:val="single" w:sz="8" w:space="0" w:color="auto"/>
              <w:right w:val="single" w:sz="8" w:space="0" w:color="auto"/>
            </w:tcBorders>
            <w:shd w:val="clear" w:color="auto" w:fill="auto"/>
            <w:noWrap/>
            <w:vAlign w:val="center"/>
            <w:hideMark/>
          </w:tcPr>
          <w:p w14:paraId="559EC63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136 790</w:t>
            </w:r>
          </w:p>
        </w:tc>
      </w:tr>
      <w:tr w:rsidR="0017127D" w:rsidRPr="0017127D" w14:paraId="3CBB8703"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1AD55C8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80</w:t>
            </w:r>
          </w:p>
        </w:tc>
        <w:tc>
          <w:tcPr>
            <w:tcW w:w="7081" w:type="dxa"/>
            <w:tcBorders>
              <w:top w:val="nil"/>
              <w:left w:val="nil"/>
              <w:bottom w:val="single" w:sz="8" w:space="0" w:color="auto"/>
              <w:right w:val="single" w:sz="8" w:space="0" w:color="auto"/>
            </w:tcBorders>
            <w:shd w:val="clear" w:color="auto" w:fill="auto"/>
            <w:noWrap/>
            <w:vAlign w:val="center"/>
            <w:hideMark/>
          </w:tcPr>
          <w:p w14:paraId="064C87CF"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"Daugavpils bērnu veselības centrs"</w:t>
            </w:r>
          </w:p>
        </w:tc>
        <w:tc>
          <w:tcPr>
            <w:tcW w:w="1984" w:type="dxa"/>
            <w:tcBorders>
              <w:top w:val="nil"/>
              <w:left w:val="nil"/>
              <w:bottom w:val="single" w:sz="8" w:space="0" w:color="auto"/>
              <w:right w:val="single" w:sz="8" w:space="0" w:color="auto"/>
            </w:tcBorders>
            <w:shd w:val="clear" w:color="auto" w:fill="auto"/>
            <w:noWrap/>
            <w:vAlign w:val="center"/>
            <w:hideMark/>
          </w:tcPr>
          <w:p w14:paraId="4102C9F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1 965 430</w:t>
            </w:r>
          </w:p>
        </w:tc>
        <w:tc>
          <w:tcPr>
            <w:tcW w:w="1985" w:type="dxa"/>
            <w:tcBorders>
              <w:top w:val="nil"/>
              <w:left w:val="nil"/>
              <w:bottom w:val="single" w:sz="8" w:space="0" w:color="auto"/>
              <w:right w:val="single" w:sz="8" w:space="0" w:color="auto"/>
            </w:tcBorders>
            <w:shd w:val="clear" w:color="auto" w:fill="auto"/>
            <w:noWrap/>
            <w:vAlign w:val="center"/>
            <w:hideMark/>
          </w:tcPr>
          <w:p w14:paraId="230B0AA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1 985 436</w:t>
            </w:r>
          </w:p>
        </w:tc>
        <w:tc>
          <w:tcPr>
            <w:tcW w:w="1843" w:type="dxa"/>
            <w:tcBorders>
              <w:top w:val="nil"/>
              <w:left w:val="nil"/>
              <w:bottom w:val="single" w:sz="8" w:space="0" w:color="auto"/>
              <w:right w:val="single" w:sz="8" w:space="0" w:color="auto"/>
            </w:tcBorders>
            <w:shd w:val="clear" w:color="auto" w:fill="auto"/>
            <w:noWrap/>
            <w:vAlign w:val="center"/>
            <w:hideMark/>
          </w:tcPr>
          <w:p w14:paraId="79A4A78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-20 006</w:t>
            </w:r>
          </w:p>
        </w:tc>
      </w:tr>
      <w:tr w:rsidR="0017127D" w:rsidRPr="0017127D" w14:paraId="6C09F95A"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013754F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81</w:t>
            </w:r>
          </w:p>
        </w:tc>
        <w:tc>
          <w:tcPr>
            <w:tcW w:w="7081" w:type="dxa"/>
            <w:tcBorders>
              <w:top w:val="nil"/>
              <w:left w:val="nil"/>
              <w:bottom w:val="single" w:sz="8" w:space="0" w:color="auto"/>
              <w:right w:val="single" w:sz="8" w:space="0" w:color="auto"/>
            </w:tcBorders>
            <w:shd w:val="clear" w:color="auto" w:fill="auto"/>
            <w:noWrap/>
            <w:vAlign w:val="center"/>
            <w:hideMark/>
          </w:tcPr>
          <w:p w14:paraId="42C21C4E"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"Kuldīgas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2BC4C11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8 103 810</w:t>
            </w:r>
          </w:p>
        </w:tc>
        <w:tc>
          <w:tcPr>
            <w:tcW w:w="1985" w:type="dxa"/>
            <w:tcBorders>
              <w:top w:val="nil"/>
              <w:left w:val="nil"/>
              <w:bottom w:val="single" w:sz="8" w:space="0" w:color="auto"/>
              <w:right w:val="single" w:sz="8" w:space="0" w:color="auto"/>
            </w:tcBorders>
            <w:shd w:val="clear" w:color="auto" w:fill="auto"/>
            <w:noWrap/>
            <w:vAlign w:val="center"/>
            <w:hideMark/>
          </w:tcPr>
          <w:p w14:paraId="3631669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7 393 644</w:t>
            </w:r>
          </w:p>
        </w:tc>
        <w:tc>
          <w:tcPr>
            <w:tcW w:w="1843" w:type="dxa"/>
            <w:tcBorders>
              <w:top w:val="nil"/>
              <w:left w:val="nil"/>
              <w:bottom w:val="single" w:sz="8" w:space="0" w:color="auto"/>
              <w:right w:val="single" w:sz="8" w:space="0" w:color="auto"/>
            </w:tcBorders>
            <w:shd w:val="clear" w:color="auto" w:fill="auto"/>
            <w:noWrap/>
            <w:vAlign w:val="center"/>
            <w:hideMark/>
          </w:tcPr>
          <w:p w14:paraId="2039FF7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710 166</w:t>
            </w:r>
          </w:p>
        </w:tc>
      </w:tr>
      <w:tr w:rsidR="0017127D" w:rsidRPr="0017127D" w14:paraId="6426A3DD"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55AFE75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82</w:t>
            </w:r>
          </w:p>
        </w:tc>
        <w:tc>
          <w:tcPr>
            <w:tcW w:w="7081" w:type="dxa"/>
            <w:tcBorders>
              <w:top w:val="nil"/>
              <w:left w:val="nil"/>
              <w:bottom w:val="single" w:sz="8" w:space="0" w:color="auto"/>
              <w:right w:val="single" w:sz="8" w:space="0" w:color="auto"/>
            </w:tcBorders>
            <w:shd w:val="clear" w:color="auto" w:fill="auto"/>
            <w:noWrap/>
            <w:vAlign w:val="center"/>
            <w:hideMark/>
          </w:tcPr>
          <w:p w14:paraId="584A889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"Daugavpils satiksme"</w:t>
            </w:r>
          </w:p>
        </w:tc>
        <w:tc>
          <w:tcPr>
            <w:tcW w:w="1984" w:type="dxa"/>
            <w:tcBorders>
              <w:top w:val="nil"/>
              <w:left w:val="nil"/>
              <w:bottom w:val="single" w:sz="8" w:space="0" w:color="auto"/>
              <w:right w:val="single" w:sz="8" w:space="0" w:color="auto"/>
            </w:tcBorders>
            <w:shd w:val="clear" w:color="auto" w:fill="auto"/>
            <w:noWrap/>
            <w:vAlign w:val="center"/>
            <w:hideMark/>
          </w:tcPr>
          <w:p w14:paraId="3E67B59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8 688 961</w:t>
            </w:r>
          </w:p>
        </w:tc>
        <w:tc>
          <w:tcPr>
            <w:tcW w:w="1985" w:type="dxa"/>
            <w:tcBorders>
              <w:top w:val="nil"/>
              <w:left w:val="nil"/>
              <w:bottom w:val="single" w:sz="8" w:space="0" w:color="auto"/>
              <w:right w:val="single" w:sz="8" w:space="0" w:color="auto"/>
            </w:tcBorders>
            <w:shd w:val="clear" w:color="auto" w:fill="auto"/>
            <w:noWrap/>
            <w:vAlign w:val="center"/>
            <w:hideMark/>
          </w:tcPr>
          <w:p w14:paraId="2BAF4C4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7 967 358</w:t>
            </w:r>
          </w:p>
        </w:tc>
        <w:tc>
          <w:tcPr>
            <w:tcW w:w="1843" w:type="dxa"/>
            <w:tcBorders>
              <w:top w:val="nil"/>
              <w:left w:val="nil"/>
              <w:bottom w:val="single" w:sz="8" w:space="0" w:color="auto"/>
              <w:right w:val="single" w:sz="8" w:space="0" w:color="auto"/>
            </w:tcBorders>
            <w:shd w:val="clear" w:color="auto" w:fill="auto"/>
            <w:noWrap/>
            <w:vAlign w:val="center"/>
            <w:hideMark/>
          </w:tcPr>
          <w:p w14:paraId="7F0E56D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721 603</w:t>
            </w:r>
          </w:p>
        </w:tc>
      </w:tr>
      <w:tr w:rsidR="0017127D" w:rsidRPr="0017127D" w14:paraId="386E66DA"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396937D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83</w:t>
            </w:r>
          </w:p>
        </w:tc>
        <w:tc>
          <w:tcPr>
            <w:tcW w:w="7081" w:type="dxa"/>
            <w:tcBorders>
              <w:top w:val="nil"/>
              <w:left w:val="nil"/>
              <w:bottom w:val="single" w:sz="8" w:space="0" w:color="auto"/>
              <w:right w:val="single" w:sz="8" w:space="0" w:color="auto"/>
            </w:tcBorders>
            <w:shd w:val="clear" w:color="auto" w:fill="auto"/>
            <w:noWrap/>
            <w:vAlign w:val="center"/>
            <w:hideMark/>
          </w:tcPr>
          <w:p w14:paraId="148F214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"Rīgas satiksme"</w:t>
            </w:r>
          </w:p>
        </w:tc>
        <w:tc>
          <w:tcPr>
            <w:tcW w:w="1984" w:type="dxa"/>
            <w:tcBorders>
              <w:top w:val="nil"/>
              <w:left w:val="nil"/>
              <w:bottom w:val="single" w:sz="8" w:space="0" w:color="auto"/>
              <w:right w:val="single" w:sz="8" w:space="0" w:color="auto"/>
            </w:tcBorders>
            <w:shd w:val="clear" w:color="auto" w:fill="auto"/>
            <w:noWrap/>
            <w:vAlign w:val="center"/>
            <w:hideMark/>
          </w:tcPr>
          <w:p w14:paraId="51FD285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188 120 157</w:t>
            </w:r>
          </w:p>
        </w:tc>
        <w:tc>
          <w:tcPr>
            <w:tcW w:w="1985" w:type="dxa"/>
            <w:tcBorders>
              <w:top w:val="nil"/>
              <w:left w:val="nil"/>
              <w:bottom w:val="single" w:sz="8" w:space="0" w:color="auto"/>
              <w:right w:val="single" w:sz="8" w:space="0" w:color="auto"/>
            </w:tcBorders>
            <w:shd w:val="clear" w:color="auto" w:fill="auto"/>
            <w:noWrap/>
            <w:vAlign w:val="center"/>
            <w:hideMark/>
          </w:tcPr>
          <w:p w14:paraId="78007EB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201 694 196</w:t>
            </w:r>
          </w:p>
        </w:tc>
        <w:tc>
          <w:tcPr>
            <w:tcW w:w="1843" w:type="dxa"/>
            <w:tcBorders>
              <w:top w:val="nil"/>
              <w:left w:val="nil"/>
              <w:bottom w:val="single" w:sz="8" w:space="0" w:color="auto"/>
              <w:right w:val="single" w:sz="8" w:space="0" w:color="auto"/>
            </w:tcBorders>
            <w:shd w:val="clear" w:color="auto" w:fill="auto"/>
            <w:noWrap/>
            <w:vAlign w:val="center"/>
            <w:hideMark/>
          </w:tcPr>
          <w:p w14:paraId="460B3EA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-13 574 039</w:t>
            </w:r>
          </w:p>
        </w:tc>
      </w:tr>
      <w:tr w:rsidR="0017127D" w:rsidRPr="0017127D" w14:paraId="1E42EC37"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7E6C942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84</w:t>
            </w:r>
          </w:p>
        </w:tc>
        <w:tc>
          <w:tcPr>
            <w:tcW w:w="7081" w:type="dxa"/>
            <w:tcBorders>
              <w:top w:val="nil"/>
              <w:left w:val="nil"/>
              <w:bottom w:val="single" w:sz="8" w:space="0" w:color="auto"/>
              <w:right w:val="single" w:sz="8" w:space="0" w:color="auto"/>
            </w:tcBorders>
            <w:shd w:val="clear" w:color="auto" w:fill="auto"/>
            <w:noWrap/>
            <w:vAlign w:val="center"/>
            <w:hideMark/>
          </w:tcPr>
          <w:p w14:paraId="267CB00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"Daugavpils reģionālā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1878D86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48 832 568</w:t>
            </w:r>
          </w:p>
        </w:tc>
        <w:tc>
          <w:tcPr>
            <w:tcW w:w="1985" w:type="dxa"/>
            <w:tcBorders>
              <w:top w:val="nil"/>
              <w:left w:val="nil"/>
              <w:bottom w:val="single" w:sz="8" w:space="0" w:color="auto"/>
              <w:right w:val="single" w:sz="8" w:space="0" w:color="auto"/>
            </w:tcBorders>
            <w:shd w:val="clear" w:color="auto" w:fill="auto"/>
            <w:noWrap/>
            <w:vAlign w:val="center"/>
            <w:hideMark/>
          </w:tcPr>
          <w:p w14:paraId="6F11B5A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47 312 617</w:t>
            </w:r>
          </w:p>
        </w:tc>
        <w:tc>
          <w:tcPr>
            <w:tcW w:w="1843" w:type="dxa"/>
            <w:tcBorders>
              <w:top w:val="nil"/>
              <w:left w:val="nil"/>
              <w:bottom w:val="single" w:sz="8" w:space="0" w:color="auto"/>
              <w:right w:val="single" w:sz="8" w:space="0" w:color="auto"/>
            </w:tcBorders>
            <w:shd w:val="clear" w:color="auto" w:fill="auto"/>
            <w:noWrap/>
            <w:vAlign w:val="center"/>
            <w:hideMark/>
          </w:tcPr>
          <w:p w14:paraId="1574007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1 519 951</w:t>
            </w:r>
          </w:p>
        </w:tc>
      </w:tr>
      <w:tr w:rsidR="0017127D" w:rsidRPr="0017127D" w14:paraId="6D133F0A" w14:textId="77777777" w:rsidTr="0017127D">
        <w:trPr>
          <w:trHeight w:val="30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086CADA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85</w:t>
            </w:r>
          </w:p>
        </w:tc>
        <w:tc>
          <w:tcPr>
            <w:tcW w:w="7081" w:type="dxa"/>
            <w:tcBorders>
              <w:top w:val="nil"/>
              <w:left w:val="nil"/>
              <w:bottom w:val="single" w:sz="8" w:space="0" w:color="auto"/>
              <w:right w:val="single" w:sz="8" w:space="0" w:color="auto"/>
            </w:tcBorders>
            <w:shd w:val="clear" w:color="auto" w:fill="auto"/>
            <w:noWrap/>
            <w:vAlign w:val="center"/>
            <w:hideMark/>
          </w:tcPr>
          <w:p w14:paraId="4C4FD2C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"Jēkabpils reģionālā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2D565C6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16 733 900</w:t>
            </w:r>
          </w:p>
        </w:tc>
        <w:tc>
          <w:tcPr>
            <w:tcW w:w="1985" w:type="dxa"/>
            <w:tcBorders>
              <w:top w:val="nil"/>
              <w:left w:val="nil"/>
              <w:bottom w:val="single" w:sz="8" w:space="0" w:color="auto"/>
              <w:right w:val="single" w:sz="8" w:space="0" w:color="auto"/>
            </w:tcBorders>
            <w:shd w:val="clear" w:color="auto" w:fill="auto"/>
            <w:noWrap/>
            <w:vAlign w:val="center"/>
            <w:hideMark/>
          </w:tcPr>
          <w:p w14:paraId="6523F77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16 403 050</w:t>
            </w:r>
          </w:p>
        </w:tc>
        <w:tc>
          <w:tcPr>
            <w:tcW w:w="1843" w:type="dxa"/>
            <w:tcBorders>
              <w:top w:val="nil"/>
              <w:left w:val="nil"/>
              <w:bottom w:val="single" w:sz="8" w:space="0" w:color="auto"/>
              <w:right w:val="single" w:sz="8" w:space="0" w:color="auto"/>
            </w:tcBorders>
            <w:shd w:val="clear" w:color="auto" w:fill="auto"/>
            <w:noWrap/>
            <w:vAlign w:val="center"/>
            <w:hideMark/>
          </w:tcPr>
          <w:p w14:paraId="2FDA845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330 850</w:t>
            </w:r>
          </w:p>
        </w:tc>
      </w:tr>
      <w:tr w:rsidR="0017127D" w:rsidRPr="0017127D" w14:paraId="6D1089C5" w14:textId="77777777" w:rsidTr="0017127D">
        <w:trPr>
          <w:trHeight w:val="630"/>
        </w:trPr>
        <w:tc>
          <w:tcPr>
            <w:tcW w:w="14024" w:type="dxa"/>
            <w:gridSpan w:val="5"/>
            <w:tcBorders>
              <w:top w:val="nil"/>
              <w:left w:val="single" w:sz="8" w:space="0" w:color="auto"/>
              <w:bottom w:val="nil"/>
              <w:right w:val="single" w:sz="8" w:space="0" w:color="000000"/>
            </w:tcBorders>
            <w:shd w:val="clear" w:color="auto" w:fill="auto"/>
            <w:noWrap/>
            <w:vAlign w:val="center"/>
            <w:hideMark/>
          </w:tcPr>
          <w:p w14:paraId="16664923" w14:textId="77777777" w:rsidR="0017127D" w:rsidRPr="0017127D" w:rsidRDefault="0017127D" w:rsidP="0017127D">
            <w:pPr>
              <w:spacing w:after="0"/>
              <w:ind w:firstLine="0"/>
              <w:rPr>
                <w:rFonts w:eastAsia="Times New Roman" w:cs="Times New Roman"/>
                <w:color w:val="000000"/>
                <w:sz w:val="18"/>
                <w:szCs w:val="18"/>
              </w:rPr>
            </w:pPr>
            <w:r w:rsidRPr="0017127D">
              <w:rPr>
                <w:rFonts w:eastAsia="Times New Roman" w:cs="Times New Roman"/>
                <w:color w:val="000000"/>
                <w:sz w:val="18"/>
                <w:szCs w:val="18"/>
              </w:rPr>
              <w:t>Tabulā ir norādīti vispārējās valdības pieklasificēto kapitālsabiedrību ieņēmumi, izdevumi un ietekme uz B.9 neto aizdevumiem (+)/neto aizņēmumiem (-), atbilstoši kapitālsabiedrību atsūtītajām saimnieciskās darbības anketām.</w:t>
            </w:r>
          </w:p>
        </w:tc>
      </w:tr>
      <w:tr w:rsidR="0017127D" w:rsidRPr="0017127D" w14:paraId="5686E461" w14:textId="77777777" w:rsidTr="0017127D">
        <w:trPr>
          <w:trHeight w:val="630"/>
        </w:trPr>
        <w:tc>
          <w:tcPr>
            <w:tcW w:w="14024" w:type="dxa"/>
            <w:gridSpan w:val="5"/>
            <w:tcBorders>
              <w:top w:val="nil"/>
              <w:left w:val="single" w:sz="8" w:space="0" w:color="auto"/>
              <w:bottom w:val="single" w:sz="8" w:space="0" w:color="auto"/>
              <w:right w:val="single" w:sz="8" w:space="0" w:color="000000"/>
            </w:tcBorders>
            <w:shd w:val="clear" w:color="auto" w:fill="auto"/>
            <w:noWrap/>
            <w:vAlign w:val="center"/>
            <w:hideMark/>
          </w:tcPr>
          <w:p w14:paraId="2E824467" w14:textId="77777777" w:rsidR="0017127D" w:rsidRPr="0017127D" w:rsidRDefault="0017127D" w:rsidP="0017127D">
            <w:pPr>
              <w:spacing w:after="0"/>
              <w:ind w:firstLine="0"/>
              <w:rPr>
                <w:rFonts w:eastAsia="Times New Roman" w:cs="Times New Roman"/>
                <w:color w:val="000000"/>
                <w:sz w:val="18"/>
                <w:szCs w:val="18"/>
              </w:rPr>
            </w:pPr>
            <w:r w:rsidRPr="0017127D">
              <w:rPr>
                <w:rFonts w:eastAsia="Times New Roman" w:cs="Times New Roman"/>
                <w:color w:val="000000"/>
                <w:sz w:val="18"/>
                <w:szCs w:val="18"/>
              </w:rPr>
              <w:t xml:space="preserve">Vispārējās valdības budžeta pieklasificēto kapitālsabiedrību ietekme uz B.9 neto aizdevumiem (+)/neto aizņēmumiem (-), kas iekļauta vispārējās valdības budžeta prognozēs 2022. gadā ir -63 289 298 </w:t>
            </w:r>
            <w:r w:rsidRPr="0017127D">
              <w:rPr>
                <w:rFonts w:eastAsia="Times New Roman" w:cs="Times New Roman"/>
                <w:i/>
                <w:iCs/>
                <w:color w:val="000000"/>
                <w:sz w:val="18"/>
                <w:szCs w:val="18"/>
              </w:rPr>
              <w:t>euro.</w:t>
            </w:r>
          </w:p>
        </w:tc>
      </w:tr>
    </w:tbl>
    <w:p w14:paraId="1B49969B" w14:textId="126F10B6" w:rsidR="00F65567" w:rsidRDefault="00F65567" w:rsidP="00401A5B">
      <w:pPr>
        <w:widowControl w:val="0"/>
        <w:jc w:val="right"/>
        <w:rPr>
          <w:b/>
          <w:sz w:val="28"/>
          <w:szCs w:val="24"/>
        </w:rPr>
      </w:pPr>
    </w:p>
    <w:p w14:paraId="637DDB4F" w14:textId="1D525062" w:rsidR="00E862CD" w:rsidRDefault="00E862CD" w:rsidP="0017127D">
      <w:pPr>
        <w:widowControl w:val="0"/>
        <w:ind w:firstLine="0"/>
        <w:rPr>
          <w:b/>
          <w:sz w:val="28"/>
          <w:szCs w:val="24"/>
        </w:rPr>
      </w:pPr>
    </w:p>
    <w:tbl>
      <w:tblPr>
        <w:tblW w:w="14024" w:type="dxa"/>
        <w:tblLook w:val="04A0" w:firstRow="1" w:lastRow="0" w:firstColumn="1" w:lastColumn="0" w:noHBand="0" w:noVBand="1"/>
      </w:tblPr>
      <w:tblGrid>
        <w:gridCol w:w="1119"/>
        <w:gridCol w:w="7093"/>
        <w:gridCol w:w="1984"/>
        <w:gridCol w:w="1985"/>
        <w:gridCol w:w="1843"/>
      </w:tblGrid>
      <w:tr w:rsidR="0017127D" w:rsidRPr="0017127D" w14:paraId="7C3275C3" w14:textId="77777777" w:rsidTr="0017127D">
        <w:trPr>
          <w:trHeight w:val="300"/>
        </w:trPr>
        <w:tc>
          <w:tcPr>
            <w:tcW w:w="14024" w:type="dxa"/>
            <w:gridSpan w:val="5"/>
            <w:tcBorders>
              <w:top w:val="single" w:sz="8" w:space="0" w:color="auto"/>
              <w:left w:val="single" w:sz="8" w:space="0" w:color="auto"/>
              <w:bottom w:val="single" w:sz="8" w:space="0" w:color="auto"/>
              <w:right w:val="single" w:sz="8" w:space="0" w:color="000000"/>
            </w:tcBorders>
            <w:shd w:val="clear" w:color="000000" w:fill="9BC2E6"/>
            <w:noWrap/>
            <w:vAlign w:val="center"/>
            <w:hideMark/>
          </w:tcPr>
          <w:p w14:paraId="44E40F79" w14:textId="77777777" w:rsidR="0017127D" w:rsidRPr="0017127D" w:rsidRDefault="0017127D" w:rsidP="0017127D">
            <w:pPr>
              <w:spacing w:after="0"/>
              <w:ind w:firstLine="0"/>
              <w:jc w:val="center"/>
              <w:rPr>
                <w:rFonts w:eastAsia="Times New Roman" w:cs="Times New Roman"/>
                <w:b/>
                <w:bCs/>
                <w:color w:val="000000"/>
                <w:sz w:val="18"/>
                <w:szCs w:val="18"/>
              </w:rPr>
            </w:pPr>
            <w:r w:rsidRPr="0017127D">
              <w:rPr>
                <w:rFonts w:eastAsia="Times New Roman" w:cs="Times New Roman"/>
                <w:b/>
                <w:bCs/>
                <w:color w:val="000000"/>
                <w:sz w:val="18"/>
                <w:szCs w:val="18"/>
              </w:rPr>
              <w:lastRenderedPageBreak/>
              <w:t>2023</w:t>
            </w:r>
          </w:p>
        </w:tc>
      </w:tr>
      <w:tr w:rsidR="0017127D" w:rsidRPr="0017127D" w14:paraId="23EC3FE7" w14:textId="77777777" w:rsidTr="0017127D">
        <w:trPr>
          <w:trHeight w:val="732"/>
        </w:trPr>
        <w:tc>
          <w:tcPr>
            <w:tcW w:w="1119" w:type="dxa"/>
            <w:tcBorders>
              <w:top w:val="nil"/>
              <w:left w:val="single" w:sz="8" w:space="0" w:color="auto"/>
              <w:bottom w:val="single" w:sz="8" w:space="0" w:color="auto"/>
              <w:right w:val="single" w:sz="8" w:space="0" w:color="auto"/>
            </w:tcBorders>
            <w:shd w:val="clear" w:color="000000" w:fill="BDD7EE"/>
            <w:noWrap/>
            <w:vAlign w:val="center"/>
            <w:hideMark/>
          </w:tcPr>
          <w:p w14:paraId="36DCADC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N.p.k.</w:t>
            </w:r>
          </w:p>
        </w:tc>
        <w:tc>
          <w:tcPr>
            <w:tcW w:w="7093" w:type="dxa"/>
            <w:tcBorders>
              <w:top w:val="nil"/>
              <w:left w:val="nil"/>
              <w:bottom w:val="single" w:sz="8" w:space="0" w:color="auto"/>
              <w:right w:val="single" w:sz="8" w:space="0" w:color="auto"/>
            </w:tcBorders>
            <w:shd w:val="clear" w:color="000000" w:fill="BDD7EE"/>
            <w:noWrap/>
            <w:vAlign w:val="center"/>
            <w:hideMark/>
          </w:tcPr>
          <w:p w14:paraId="4B029EF4"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c>
          <w:tcPr>
            <w:tcW w:w="1984" w:type="dxa"/>
            <w:tcBorders>
              <w:top w:val="nil"/>
              <w:left w:val="nil"/>
              <w:bottom w:val="single" w:sz="8" w:space="0" w:color="auto"/>
              <w:right w:val="single" w:sz="8" w:space="0" w:color="auto"/>
            </w:tcBorders>
            <w:shd w:val="clear" w:color="000000" w:fill="BDD7EE"/>
            <w:vAlign w:val="center"/>
            <w:hideMark/>
          </w:tcPr>
          <w:p w14:paraId="3E98C850" w14:textId="77777777" w:rsidR="0017127D" w:rsidRPr="0017127D" w:rsidRDefault="0017127D" w:rsidP="0017127D">
            <w:pPr>
              <w:spacing w:after="0"/>
              <w:ind w:firstLine="0"/>
              <w:jc w:val="center"/>
              <w:rPr>
                <w:rFonts w:eastAsia="Times New Roman" w:cs="Times New Roman"/>
                <w:color w:val="000000"/>
                <w:sz w:val="18"/>
                <w:szCs w:val="18"/>
              </w:rPr>
            </w:pPr>
            <w:r w:rsidRPr="0017127D">
              <w:rPr>
                <w:rFonts w:eastAsia="Times New Roman" w:cs="Times New Roman"/>
                <w:color w:val="000000"/>
                <w:sz w:val="18"/>
                <w:szCs w:val="18"/>
              </w:rPr>
              <w:t>Ieņēmumi</w:t>
            </w:r>
          </w:p>
        </w:tc>
        <w:tc>
          <w:tcPr>
            <w:tcW w:w="1985" w:type="dxa"/>
            <w:tcBorders>
              <w:top w:val="nil"/>
              <w:left w:val="nil"/>
              <w:bottom w:val="single" w:sz="8" w:space="0" w:color="auto"/>
              <w:right w:val="single" w:sz="8" w:space="0" w:color="auto"/>
            </w:tcBorders>
            <w:shd w:val="clear" w:color="000000" w:fill="BDD7EE"/>
            <w:vAlign w:val="center"/>
            <w:hideMark/>
          </w:tcPr>
          <w:p w14:paraId="06497E75" w14:textId="77777777" w:rsidR="0017127D" w:rsidRPr="0017127D" w:rsidRDefault="0017127D" w:rsidP="0017127D">
            <w:pPr>
              <w:spacing w:after="0"/>
              <w:ind w:firstLine="0"/>
              <w:jc w:val="center"/>
              <w:rPr>
                <w:rFonts w:eastAsia="Times New Roman" w:cs="Times New Roman"/>
                <w:color w:val="000000"/>
                <w:sz w:val="18"/>
                <w:szCs w:val="18"/>
              </w:rPr>
            </w:pPr>
            <w:r w:rsidRPr="0017127D">
              <w:rPr>
                <w:rFonts w:eastAsia="Times New Roman" w:cs="Times New Roman"/>
                <w:color w:val="000000"/>
                <w:sz w:val="18"/>
                <w:szCs w:val="18"/>
              </w:rPr>
              <w:t>Izdevumi</w:t>
            </w:r>
          </w:p>
        </w:tc>
        <w:tc>
          <w:tcPr>
            <w:tcW w:w="1843" w:type="dxa"/>
            <w:tcBorders>
              <w:top w:val="nil"/>
              <w:left w:val="nil"/>
              <w:bottom w:val="single" w:sz="8" w:space="0" w:color="auto"/>
              <w:right w:val="single" w:sz="8" w:space="0" w:color="auto"/>
            </w:tcBorders>
            <w:shd w:val="clear" w:color="000000" w:fill="BDD7EE"/>
            <w:vAlign w:val="center"/>
            <w:hideMark/>
          </w:tcPr>
          <w:p w14:paraId="4C84F65E" w14:textId="77777777" w:rsidR="0017127D" w:rsidRPr="0017127D" w:rsidRDefault="0017127D" w:rsidP="0017127D">
            <w:pPr>
              <w:spacing w:after="0"/>
              <w:ind w:firstLine="0"/>
              <w:jc w:val="center"/>
              <w:rPr>
                <w:rFonts w:eastAsia="Times New Roman" w:cs="Times New Roman"/>
                <w:color w:val="000000"/>
                <w:sz w:val="18"/>
                <w:szCs w:val="18"/>
              </w:rPr>
            </w:pPr>
            <w:r w:rsidRPr="0017127D">
              <w:rPr>
                <w:rFonts w:eastAsia="Times New Roman" w:cs="Times New Roman"/>
                <w:color w:val="000000"/>
                <w:sz w:val="18"/>
                <w:szCs w:val="18"/>
              </w:rPr>
              <w:t>Ietekme uz B.9 neto aizdevumiem (+)/neto aizņēmumiem (-)</w:t>
            </w:r>
          </w:p>
        </w:tc>
      </w:tr>
      <w:tr w:rsidR="0017127D" w:rsidRPr="0017127D" w14:paraId="6A7818EA" w14:textId="77777777" w:rsidTr="0017127D">
        <w:trPr>
          <w:trHeight w:val="300"/>
        </w:trPr>
        <w:tc>
          <w:tcPr>
            <w:tcW w:w="1119" w:type="dxa"/>
            <w:tcBorders>
              <w:top w:val="nil"/>
              <w:left w:val="single" w:sz="8" w:space="0" w:color="auto"/>
              <w:bottom w:val="single" w:sz="8" w:space="0" w:color="auto"/>
              <w:right w:val="single" w:sz="8" w:space="0" w:color="auto"/>
            </w:tcBorders>
            <w:shd w:val="clear" w:color="000000" w:fill="DDEBF7"/>
            <w:noWrap/>
            <w:vAlign w:val="center"/>
            <w:hideMark/>
          </w:tcPr>
          <w:p w14:paraId="395C4CE5"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S130100</w:t>
            </w:r>
          </w:p>
        </w:tc>
        <w:tc>
          <w:tcPr>
            <w:tcW w:w="7093" w:type="dxa"/>
            <w:tcBorders>
              <w:top w:val="nil"/>
              <w:left w:val="nil"/>
              <w:bottom w:val="single" w:sz="8" w:space="0" w:color="auto"/>
              <w:right w:val="single" w:sz="8" w:space="0" w:color="auto"/>
            </w:tcBorders>
            <w:shd w:val="clear" w:color="000000" w:fill="DDEBF7"/>
            <w:noWrap/>
            <w:vAlign w:val="center"/>
            <w:hideMark/>
          </w:tcPr>
          <w:p w14:paraId="24FECE1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Valsts struktūru kontrolētas un finansētas komercsabiedrības</w:t>
            </w:r>
          </w:p>
        </w:tc>
        <w:tc>
          <w:tcPr>
            <w:tcW w:w="1984" w:type="dxa"/>
            <w:tcBorders>
              <w:top w:val="nil"/>
              <w:left w:val="nil"/>
              <w:bottom w:val="single" w:sz="8" w:space="0" w:color="auto"/>
              <w:right w:val="single" w:sz="8" w:space="0" w:color="auto"/>
            </w:tcBorders>
            <w:shd w:val="clear" w:color="auto" w:fill="auto"/>
            <w:noWrap/>
            <w:vAlign w:val="center"/>
            <w:hideMark/>
          </w:tcPr>
          <w:p w14:paraId="5E34836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c>
          <w:tcPr>
            <w:tcW w:w="1985" w:type="dxa"/>
            <w:tcBorders>
              <w:top w:val="nil"/>
              <w:left w:val="nil"/>
              <w:bottom w:val="single" w:sz="8" w:space="0" w:color="auto"/>
              <w:right w:val="single" w:sz="8" w:space="0" w:color="auto"/>
            </w:tcBorders>
            <w:shd w:val="clear" w:color="auto" w:fill="auto"/>
            <w:noWrap/>
            <w:vAlign w:val="center"/>
            <w:hideMark/>
          </w:tcPr>
          <w:p w14:paraId="1FA29BE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c>
          <w:tcPr>
            <w:tcW w:w="1843" w:type="dxa"/>
            <w:tcBorders>
              <w:top w:val="nil"/>
              <w:left w:val="nil"/>
              <w:bottom w:val="single" w:sz="8" w:space="0" w:color="auto"/>
              <w:right w:val="single" w:sz="8" w:space="0" w:color="auto"/>
            </w:tcBorders>
            <w:shd w:val="clear" w:color="auto" w:fill="auto"/>
            <w:noWrap/>
            <w:vAlign w:val="center"/>
            <w:hideMark/>
          </w:tcPr>
          <w:p w14:paraId="3C42D1D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r>
      <w:tr w:rsidR="0017127D" w:rsidRPr="0017127D" w14:paraId="29AA33B2"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C60A89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w:t>
            </w:r>
          </w:p>
        </w:tc>
        <w:tc>
          <w:tcPr>
            <w:tcW w:w="7093" w:type="dxa"/>
            <w:tcBorders>
              <w:top w:val="nil"/>
              <w:left w:val="nil"/>
              <w:bottom w:val="single" w:sz="8" w:space="0" w:color="auto"/>
              <w:right w:val="single" w:sz="8" w:space="0" w:color="auto"/>
            </w:tcBorders>
            <w:shd w:val="clear" w:color="auto" w:fill="auto"/>
            <w:noWrap/>
            <w:vAlign w:val="center"/>
            <w:hideMark/>
          </w:tcPr>
          <w:p w14:paraId="4331868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"Iekšlietu ministrijas poliklīnika"</w:t>
            </w:r>
          </w:p>
        </w:tc>
        <w:tc>
          <w:tcPr>
            <w:tcW w:w="1984" w:type="dxa"/>
            <w:tcBorders>
              <w:top w:val="nil"/>
              <w:left w:val="nil"/>
              <w:bottom w:val="single" w:sz="8" w:space="0" w:color="auto"/>
              <w:right w:val="single" w:sz="8" w:space="0" w:color="auto"/>
            </w:tcBorders>
            <w:shd w:val="clear" w:color="auto" w:fill="auto"/>
            <w:noWrap/>
            <w:vAlign w:val="center"/>
            <w:hideMark/>
          </w:tcPr>
          <w:p w14:paraId="5E0377D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2 407 400</w:t>
            </w:r>
          </w:p>
        </w:tc>
        <w:tc>
          <w:tcPr>
            <w:tcW w:w="1985" w:type="dxa"/>
            <w:tcBorders>
              <w:top w:val="nil"/>
              <w:left w:val="nil"/>
              <w:bottom w:val="single" w:sz="8" w:space="0" w:color="auto"/>
              <w:right w:val="single" w:sz="8" w:space="0" w:color="auto"/>
            </w:tcBorders>
            <w:shd w:val="clear" w:color="auto" w:fill="auto"/>
            <w:noWrap/>
            <w:vAlign w:val="center"/>
            <w:hideMark/>
          </w:tcPr>
          <w:p w14:paraId="4619117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2 417 450</w:t>
            </w:r>
          </w:p>
        </w:tc>
        <w:tc>
          <w:tcPr>
            <w:tcW w:w="1843" w:type="dxa"/>
            <w:tcBorders>
              <w:top w:val="nil"/>
              <w:left w:val="nil"/>
              <w:bottom w:val="single" w:sz="8" w:space="0" w:color="auto"/>
              <w:right w:val="single" w:sz="8" w:space="0" w:color="auto"/>
            </w:tcBorders>
            <w:shd w:val="clear" w:color="auto" w:fill="auto"/>
            <w:noWrap/>
            <w:vAlign w:val="center"/>
            <w:hideMark/>
          </w:tcPr>
          <w:p w14:paraId="4ABF584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-10 050</w:t>
            </w:r>
          </w:p>
        </w:tc>
      </w:tr>
      <w:tr w:rsidR="0017127D" w:rsidRPr="0017127D" w14:paraId="42F6E66A"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018E0B5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w:t>
            </w:r>
          </w:p>
        </w:tc>
        <w:tc>
          <w:tcPr>
            <w:tcW w:w="7093" w:type="dxa"/>
            <w:tcBorders>
              <w:top w:val="nil"/>
              <w:left w:val="nil"/>
              <w:bottom w:val="single" w:sz="8" w:space="0" w:color="auto"/>
              <w:right w:val="single" w:sz="8" w:space="0" w:color="auto"/>
            </w:tcBorders>
            <w:shd w:val="clear" w:color="auto" w:fill="auto"/>
            <w:noWrap/>
            <w:vAlign w:val="center"/>
            <w:hideMark/>
          </w:tcPr>
          <w:p w14:paraId="41558349"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"RTU Inženierzinātņu vidusskola"</w:t>
            </w:r>
          </w:p>
        </w:tc>
        <w:tc>
          <w:tcPr>
            <w:tcW w:w="1984" w:type="dxa"/>
            <w:tcBorders>
              <w:top w:val="nil"/>
              <w:left w:val="nil"/>
              <w:bottom w:val="single" w:sz="8" w:space="0" w:color="auto"/>
              <w:right w:val="single" w:sz="8" w:space="0" w:color="auto"/>
            </w:tcBorders>
            <w:shd w:val="clear" w:color="auto" w:fill="auto"/>
            <w:noWrap/>
            <w:vAlign w:val="center"/>
            <w:hideMark/>
          </w:tcPr>
          <w:p w14:paraId="089A655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450 000</w:t>
            </w:r>
          </w:p>
        </w:tc>
        <w:tc>
          <w:tcPr>
            <w:tcW w:w="1985" w:type="dxa"/>
            <w:tcBorders>
              <w:top w:val="nil"/>
              <w:left w:val="nil"/>
              <w:bottom w:val="single" w:sz="8" w:space="0" w:color="auto"/>
              <w:right w:val="single" w:sz="8" w:space="0" w:color="auto"/>
            </w:tcBorders>
            <w:shd w:val="clear" w:color="auto" w:fill="auto"/>
            <w:noWrap/>
            <w:vAlign w:val="center"/>
            <w:hideMark/>
          </w:tcPr>
          <w:p w14:paraId="262E3CB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440 000</w:t>
            </w:r>
          </w:p>
        </w:tc>
        <w:tc>
          <w:tcPr>
            <w:tcW w:w="1843" w:type="dxa"/>
            <w:tcBorders>
              <w:top w:val="nil"/>
              <w:left w:val="nil"/>
              <w:bottom w:val="single" w:sz="8" w:space="0" w:color="auto"/>
              <w:right w:val="single" w:sz="8" w:space="0" w:color="auto"/>
            </w:tcBorders>
            <w:shd w:val="clear" w:color="auto" w:fill="auto"/>
            <w:noWrap/>
            <w:vAlign w:val="center"/>
            <w:hideMark/>
          </w:tcPr>
          <w:p w14:paraId="56DBA28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10 000</w:t>
            </w:r>
          </w:p>
        </w:tc>
      </w:tr>
      <w:tr w:rsidR="0017127D" w:rsidRPr="0017127D" w14:paraId="37492ADD"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4F2546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w:t>
            </w:r>
          </w:p>
        </w:tc>
        <w:tc>
          <w:tcPr>
            <w:tcW w:w="7093" w:type="dxa"/>
            <w:tcBorders>
              <w:top w:val="nil"/>
              <w:left w:val="nil"/>
              <w:bottom w:val="single" w:sz="8" w:space="0" w:color="auto"/>
              <w:right w:val="single" w:sz="8" w:space="0" w:color="auto"/>
            </w:tcBorders>
            <w:shd w:val="clear" w:color="auto" w:fill="auto"/>
            <w:noWrap/>
            <w:vAlign w:val="center"/>
            <w:hideMark/>
          </w:tcPr>
          <w:p w14:paraId="2F9C38AD"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"Latvijas Universitātes nekustamā īpašuma aģentūra"</w:t>
            </w:r>
          </w:p>
        </w:tc>
        <w:tc>
          <w:tcPr>
            <w:tcW w:w="1984" w:type="dxa"/>
            <w:tcBorders>
              <w:top w:val="nil"/>
              <w:left w:val="nil"/>
              <w:bottom w:val="single" w:sz="8" w:space="0" w:color="auto"/>
              <w:right w:val="single" w:sz="8" w:space="0" w:color="auto"/>
            </w:tcBorders>
            <w:shd w:val="clear" w:color="auto" w:fill="auto"/>
            <w:noWrap/>
            <w:vAlign w:val="center"/>
            <w:hideMark/>
          </w:tcPr>
          <w:p w14:paraId="17370F1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985" w:type="dxa"/>
            <w:tcBorders>
              <w:top w:val="nil"/>
              <w:left w:val="nil"/>
              <w:bottom w:val="single" w:sz="8" w:space="0" w:color="auto"/>
              <w:right w:val="single" w:sz="8" w:space="0" w:color="auto"/>
            </w:tcBorders>
            <w:shd w:val="clear" w:color="auto" w:fill="auto"/>
            <w:noWrap/>
            <w:vAlign w:val="center"/>
            <w:hideMark/>
          </w:tcPr>
          <w:p w14:paraId="364B328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843" w:type="dxa"/>
            <w:tcBorders>
              <w:top w:val="nil"/>
              <w:left w:val="nil"/>
              <w:bottom w:val="single" w:sz="8" w:space="0" w:color="auto"/>
              <w:right w:val="single" w:sz="8" w:space="0" w:color="auto"/>
            </w:tcBorders>
            <w:shd w:val="clear" w:color="auto" w:fill="auto"/>
            <w:noWrap/>
            <w:vAlign w:val="center"/>
            <w:hideMark/>
          </w:tcPr>
          <w:p w14:paraId="7DDD8BC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213AADBB"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0CFE2FA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w:t>
            </w:r>
          </w:p>
        </w:tc>
        <w:tc>
          <w:tcPr>
            <w:tcW w:w="7093" w:type="dxa"/>
            <w:tcBorders>
              <w:top w:val="nil"/>
              <w:left w:val="nil"/>
              <w:bottom w:val="single" w:sz="8" w:space="0" w:color="auto"/>
              <w:right w:val="single" w:sz="8" w:space="0" w:color="auto"/>
            </w:tcBorders>
            <w:shd w:val="clear" w:color="auto" w:fill="auto"/>
            <w:noWrap/>
            <w:vAlign w:val="center"/>
            <w:hideMark/>
          </w:tcPr>
          <w:p w14:paraId="0E76416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"Bulduru Dārzkopības vidusskola"</w:t>
            </w:r>
          </w:p>
        </w:tc>
        <w:tc>
          <w:tcPr>
            <w:tcW w:w="1984" w:type="dxa"/>
            <w:tcBorders>
              <w:top w:val="nil"/>
              <w:left w:val="nil"/>
              <w:bottom w:val="single" w:sz="8" w:space="0" w:color="auto"/>
              <w:right w:val="single" w:sz="8" w:space="0" w:color="auto"/>
            </w:tcBorders>
            <w:shd w:val="clear" w:color="auto" w:fill="auto"/>
            <w:noWrap/>
            <w:vAlign w:val="center"/>
            <w:hideMark/>
          </w:tcPr>
          <w:p w14:paraId="69B7E74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660 000</w:t>
            </w:r>
          </w:p>
        </w:tc>
        <w:tc>
          <w:tcPr>
            <w:tcW w:w="1985" w:type="dxa"/>
            <w:tcBorders>
              <w:top w:val="nil"/>
              <w:left w:val="nil"/>
              <w:bottom w:val="single" w:sz="8" w:space="0" w:color="auto"/>
              <w:right w:val="single" w:sz="8" w:space="0" w:color="auto"/>
            </w:tcBorders>
            <w:shd w:val="clear" w:color="auto" w:fill="auto"/>
            <w:noWrap/>
            <w:vAlign w:val="center"/>
            <w:hideMark/>
          </w:tcPr>
          <w:p w14:paraId="4F3181D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674 500</w:t>
            </w:r>
          </w:p>
        </w:tc>
        <w:tc>
          <w:tcPr>
            <w:tcW w:w="1843" w:type="dxa"/>
            <w:tcBorders>
              <w:top w:val="nil"/>
              <w:left w:val="nil"/>
              <w:bottom w:val="single" w:sz="8" w:space="0" w:color="auto"/>
              <w:right w:val="single" w:sz="8" w:space="0" w:color="auto"/>
            </w:tcBorders>
            <w:shd w:val="clear" w:color="auto" w:fill="auto"/>
            <w:noWrap/>
            <w:vAlign w:val="center"/>
            <w:hideMark/>
          </w:tcPr>
          <w:p w14:paraId="394EDB2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-14 500</w:t>
            </w:r>
          </w:p>
        </w:tc>
      </w:tr>
      <w:tr w:rsidR="0017127D" w:rsidRPr="0017127D" w14:paraId="3F6E99DB"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63279FB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w:t>
            </w:r>
          </w:p>
        </w:tc>
        <w:tc>
          <w:tcPr>
            <w:tcW w:w="7093" w:type="dxa"/>
            <w:tcBorders>
              <w:top w:val="nil"/>
              <w:left w:val="nil"/>
              <w:bottom w:val="single" w:sz="8" w:space="0" w:color="auto"/>
              <w:right w:val="single" w:sz="8" w:space="0" w:color="auto"/>
            </w:tcBorders>
            <w:shd w:val="clear" w:color="auto" w:fill="auto"/>
            <w:noWrap/>
            <w:vAlign w:val="center"/>
            <w:hideMark/>
          </w:tcPr>
          <w:p w14:paraId="022840CD"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VAS "Latvijas Attīstības finanšu institūcija Altum"</w:t>
            </w:r>
          </w:p>
        </w:tc>
        <w:tc>
          <w:tcPr>
            <w:tcW w:w="1984" w:type="dxa"/>
            <w:tcBorders>
              <w:top w:val="nil"/>
              <w:left w:val="nil"/>
              <w:bottom w:val="single" w:sz="8" w:space="0" w:color="auto"/>
              <w:right w:val="single" w:sz="8" w:space="0" w:color="auto"/>
            </w:tcBorders>
            <w:shd w:val="clear" w:color="auto" w:fill="auto"/>
            <w:noWrap/>
            <w:vAlign w:val="center"/>
            <w:hideMark/>
          </w:tcPr>
          <w:p w14:paraId="5D4AA6D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32 107 960</w:t>
            </w:r>
          </w:p>
        </w:tc>
        <w:tc>
          <w:tcPr>
            <w:tcW w:w="1985" w:type="dxa"/>
            <w:tcBorders>
              <w:top w:val="nil"/>
              <w:left w:val="nil"/>
              <w:bottom w:val="single" w:sz="8" w:space="0" w:color="auto"/>
              <w:right w:val="single" w:sz="8" w:space="0" w:color="auto"/>
            </w:tcBorders>
            <w:shd w:val="clear" w:color="auto" w:fill="auto"/>
            <w:noWrap/>
            <w:vAlign w:val="center"/>
            <w:hideMark/>
          </w:tcPr>
          <w:p w14:paraId="13EFE3C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33 098 655</w:t>
            </w:r>
          </w:p>
        </w:tc>
        <w:tc>
          <w:tcPr>
            <w:tcW w:w="1843" w:type="dxa"/>
            <w:tcBorders>
              <w:top w:val="nil"/>
              <w:left w:val="nil"/>
              <w:bottom w:val="single" w:sz="8" w:space="0" w:color="auto"/>
              <w:right w:val="single" w:sz="8" w:space="0" w:color="auto"/>
            </w:tcBorders>
            <w:shd w:val="clear" w:color="auto" w:fill="auto"/>
            <w:noWrap/>
            <w:vAlign w:val="center"/>
            <w:hideMark/>
          </w:tcPr>
          <w:p w14:paraId="7500EC1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-990 696</w:t>
            </w:r>
          </w:p>
        </w:tc>
      </w:tr>
      <w:tr w:rsidR="0017127D" w:rsidRPr="0017127D" w14:paraId="4C2DE44D"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1113C8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w:t>
            </w:r>
          </w:p>
        </w:tc>
        <w:tc>
          <w:tcPr>
            <w:tcW w:w="7093" w:type="dxa"/>
            <w:tcBorders>
              <w:top w:val="nil"/>
              <w:left w:val="nil"/>
              <w:bottom w:val="single" w:sz="8" w:space="0" w:color="auto"/>
              <w:right w:val="single" w:sz="8" w:space="0" w:color="auto"/>
            </w:tcBorders>
            <w:shd w:val="clear" w:color="auto" w:fill="auto"/>
            <w:noWrap/>
            <w:vAlign w:val="center"/>
            <w:hideMark/>
          </w:tcPr>
          <w:p w14:paraId="5D4AE17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"Šampētera nams"</w:t>
            </w:r>
          </w:p>
        </w:tc>
        <w:tc>
          <w:tcPr>
            <w:tcW w:w="1984" w:type="dxa"/>
            <w:tcBorders>
              <w:top w:val="nil"/>
              <w:left w:val="nil"/>
              <w:bottom w:val="single" w:sz="8" w:space="0" w:color="auto"/>
              <w:right w:val="single" w:sz="8" w:space="0" w:color="auto"/>
            </w:tcBorders>
            <w:shd w:val="clear" w:color="auto" w:fill="auto"/>
            <w:noWrap/>
            <w:vAlign w:val="center"/>
            <w:hideMark/>
          </w:tcPr>
          <w:p w14:paraId="1CB7E8A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1 930 000</w:t>
            </w:r>
          </w:p>
        </w:tc>
        <w:tc>
          <w:tcPr>
            <w:tcW w:w="1985" w:type="dxa"/>
            <w:tcBorders>
              <w:top w:val="nil"/>
              <w:left w:val="nil"/>
              <w:bottom w:val="single" w:sz="8" w:space="0" w:color="auto"/>
              <w:right w:val="single" w:sz="8" w:space="0" w:color="auto"/>
            </w:tcBorders>
            <w:shd w:val="clear" w:color="auto" w:fill="auto"/>
            <w:noWrap/>
            <w:vAlign w:val="center"/>
            <w:hideMark/>
          </w:tcPr>
          <w:p w14:paraId="5664E30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1 915 445</w:t>
            </w:r>
          </w:p>
        </w:tc>
        <w:tc>
          <w:tcPr>
            <w:tcW w:w="1843" w:type="dxa"/>
            <w:tcBorders>
              <w:top w:val="nil"/>
              <w:left w:val="nil"/>
              <w:bottom w:val="single" w:sz="8" w:space="0" w:color="auto"/>
              <w:right w:val="single" w:sz="8" w:space="0" w:color="auto"/>
            </w:tcBorders>
            <w:shd w:val="clear" w:color="auto" w:fill="auto"/>
            <w:noWrap/>
            <w:vAlign w:val="center"/>
            <w:hideMark/>
          </w:tcPr>
          <w:p w14:paraId="77672CC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14 555</w:t>
            </w:r>
          </w:p>
        </w:tc>
      </w:tr>
      <w:tr w:rsidR="0017127D" w:rsidRPr="0017127D" w14:paraId="49715568"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79C2A5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w:t>
            </w:r>
          </w:p>
        </w:tc>
        <w:tc>
          <w:tcPr>
            <w:tcW w:w="7093" w:type="dxa"/>
            <w:tcBorders>
              <w:top w:val="nil"/>
              <w:left w:val="nil"/>
              <w:bottom w:val="single" w:sz="8" w:space="0" w:color="auto"/>
              <w:right w:val="single" w:sz="8" w:space="0" w:color="auto"/>
            </w:tcBorders>
            <w:shd w:val="clear" w:color="auto" w:fill="auto"/>
            <w:noWrap/>
            <w:vAlign w:val="center"/>
            <w:hideMark/>
          </w:tcPr>
          <w:p w14:paraId="5D108F8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Koncerti”</w:t>
            </w:r>
          </w:p>
        </w:tc>
        <w:tc>
          <w:tcPr>
            <w:tcW w:w="1984" w:type="dxa"/>
            <w:tcBorders>
              <w:top w:val="nil"/>
              <w:left w:val="nil"/>
              <w:bottom w:val="single" w:sz="8" w:space="0" w:color="auto"/>
              <w:right w:val="single" w:sz="8" w:space="0" w:color="auto"/>
            </w:tcBorders>
            <w:shd w:val="clear" w:color="auto" w:fill="auto"/>
            <w:noWrap/>
            <w:vAlign w:val="center"/>
            <w:hideMark/>
          </w:tcPr>
          <w:p w14:paraId="5F5E7AD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800 000</w:t>
            </w:r>
          </w:p>
        </w:tc>
        <w:tc>
          <w:tcPr>
            <w:tcW w:w="1985" w:type="dxa"/>
            <w:tcBorders>
              <w:top w:val="nil"/>
              <w:left w:val="nil"/>
              <w:bottom w:val="single" w:sz="8" w:space="0" w:color="auto"/>
              <w:right w:val="single" w:sz="8" w:space="0" w:color="auto"/>
            </w:tcBorders>
            <w:shd w:val="clear" w:color="auto" w:fill="auto"/>
            <w:noWrap/>
            <w:vAlign w:val="center"/>
            <w:hideMark/>
          </w:tcPr>
          <w:p w14:paraId="469C6E2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809 000</w:t>
            </w:r>
          </w:p>
        </w:tc>
        <w:tc>
          <w:tcPr>
            <w:tcW w:w="1843" w:type="dxa"/>
            <w:tcBorders>
              <w:top w:val="nil"/>
              <w:left w:val="nil"/>
              <w:bottom w:val="single" w:sz="8" w:space="0" w:color="auto"/>
              <w:right w:val="single" w:sz="8" w:space="0" w:color="auto"/>
            </w:tcBorders>
            <w:shd w:val="clear" w:color="auto" w:fill="auto"/>
            <w:noWrap/>
            <w:vAlign w:val="center"/>
            <w:hideMark/>
          </w:tcPr>
          <w:p w14:paraId="7A3B211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-9 000</w:t>
            </w:r>
          </w:p>
        </w:tc>
      </w:tr>
      <w:tr w:rsidR="0017127D" w:rsidRPr="0017127D" w14:paraId="1F9F1703"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BE65FE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w:t>
            </w:r>
          </w:p>
        </w:tc>
        <w:tc>
          <w:tcPr>
            <w:tcW w:w="7093" w:type="dxa"/>
            <w:tcBorders>
              <w:top w:val="nil"/>
              <w:left w:val="nil"/>
              <w:bottom w:val="single" w:sz="8" w:space="0" w:color="auto"/>
              <w:right w:val="single" w:sz="8" w:space="0" w:color="auto"/>
            </w:tcBorders>
            <w:shd w:val="clear" w:color="auto" w:fill="auto"/>
            <w:noWrap/>
            <w:vAlign w:val="center"/>
            <w:hideMark/>
          </w:tcPr>
          <w:p w14:paraId="6FFA1B0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"Valmieras drāmas teātris"</w:t>
            </w:r>
          </w:p>
        </w:tc>
        <w:tc>
          <w:tcPr>
            <w:tcW w:w="1984" w:type="dxa"/>
            <w:tcBorders>
              <w:top w:val="nil"/>
              <w:left w:val="nil"/>
              <w:bottom w:val="single" w:sz="8" w:space="0" w:color="auto"/>
              <w:right w:val="single" w:sz="8" w:space="0" w:color="auto"/>
            </w:tcBorders>
            <w:shd w:val="clear" w:color="auto" w:fill="auto"/>
            <w:noWrap/>
            <w:vAlign w:val="center"/>
            <w:hideMark/>
          </w:tcPr>
          <w:p w14:paraId="68EC9E6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2 194 272</w:t>
            </w:r>
          </w:p>
        </w:tc>
        <w:tc>
          <w:tcPr>
            <w:tcW w:w="1985" w:type="dxa"/>
            <w:tcBorders>
              <w:top w:val="nil"/>
              <w:left w:val="nil"/>
              <w:bottom w:val="single" w:sz="8" w:space="0" w:color="auto"/>
              <w:right w:val="single" w:sz="8" w:space="0" w:color="auto"/>
            </w:tcBorders>
            <w:shd w:val="clear" w:color="auto" w:fill="auto"/>
            <w:noWrap/>
            <w:vAlign w:val="center"/>
            <w:hideMark/>
          </w:tcPr>
          <w:p w14:paraId="5885F02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2 201 489</w:t>
            </w:r>
          </w:p>
        </w:tc>
        <w:tc>
          <w:tcPr>
            <w:tcW w:w="1843" w:type="dxa"/>
            <w:tcBorders>
              <w:top w:val="nil"/>
              <w:left w:val="nil"/>
              <w:bottom w:val="single" w:sz="8" w:space="0" w:color="auto"/>
              <w:right w:val="single" w:sz="8" w:space="0" w:color="auto"/>
            </w:tcBorders>
            <w:shd w:val="clear" w:color="auto" w:fill="auto"/>
            <w:noWrap/>
            <w:vAlign w:val="center"/>
            <w:hideMark/>
          </w:tcPr>
          <w:p w14:paraId="255A98A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-7 217</w:t>
            </w:r>
          </w:p>
        </w:tc>
      </w:tr>
      <w:tr w:rsidR="0017127D" w:rsidRPr="0017127D" w14:paraId="3C310A01"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3542877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w:t>
            </w:r>
          </w:p>
        </w:tc>
        <w:tc>
          <w:tcPr>
            <w:tcW w:w="7093" w:type="dxa"/>
            <w:tcBorders>
              <w:top w:val="nil"/>
              <w:left w:val="nil"/>
              <w:bottom w:val="single" w:sz="8" w:space="0" w:color="auto"/>
              <w:right w:val="single" w:sz="8" w:space="0" w:color="auto"/>
            </w:tcBorders>
            <w:shd w:val="clear" w:color="auto" w:fill="auto"/>
            <w:noWrap/>
            <w:vAlign w:val="center"/>
            <w:hideMark/>
          </w:tcPr>
          <w:p w14:paraId="54547F2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"Daugavpils teātris"</w:t>
            </w:r>
          </w:p>
        </w:tc>
        <w:tc>
          <w:tcPr>
            <w:tcW w:w="1984" w:type="dxa"/>
            <w:tcBorders>
              <w:top w:val="nil"/>
              <w:left w:val="nil"/>
              <w:bottom w:val="single" w:sz="8" w:space="0" w:color="auto"/>
              <w:right w:val="single" w:sz="8" w:space="0" w:color="auto"/>
            </w:tcBorders>
            <w:shd w:val="clear" w:color="auto" w:fill="auto"/>
            <w:noWrap/>
            <w:vAlign w:val="center"/>
            <w:hideMark/>
          </w:tcPr>
          <w:p w14:paraId="489E021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220 000</w:t>
            </w:r>
          </w:p>
        </w:tc>
        <w:tc>
          <w:tcPr>
            <w:tcW w:w="1985" w:type="dxa"/>
            <w:tcBorders>
              <w:top w:val="nil"/>
              <w:left w:val="nil"/>
              <w:bottom w:val="single" w:sz="8" w:space="0" w:color="auto"/>
              <w:right w:val="single" w:sz="8" w:space="0" w:color="auto"/>
            </w:tcBorders>
            <w:shd w:val="clear" w:color="auto" w:fill="auto"/>
            <w:noWrap/>
            <w:vAlign w:val="center"/>
            <w:hideMark/>
          </w:tcPr>
          <w:p w14:paraId="70C2CB7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295 000</w:t>
            </w:r>
          </w:p>
        </w:tc>
        <w:tc>
          <w:tcPr>
            <w:tcW w:w="1843" w:type="dxa"/>
            <w:tcBorders>
              <w:top w:val="nil"/>
              <w:left w:val="nil"/>
              <w:bottom w:val="single" w:sz="8" w:space="0" w:color="auto"/>
              <w:right w:val="single" w:sz="8" w:space="0" w:color="auto"/>
            </w:tcBorders>
            <w:shd w:val="clear" w:color="auto" w:fill="auto"/>
            <w:noWrap/>
            <w:vAlign w:val="center"/>
            <w:hideMark/>
          </w:tcPr>
          <w:p w14:paraId="7C03E33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-75 000</w:t>
            </w:r>
          </w:p>
        </w:tc>
      </w:tr>
      <w:tr w:rsidR="0017127D" w:rsidRPr="0017127D" w14:paraId="3D5DDB96"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40598B6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w:t>
            </w:r>
          </w:p>
        </w:tc>
        <w:tc>
          <w:tcPr>
            <w:tcW w:w="7093" w:type="dxa"/>
            <w:tcBorders>
              <w:top w:val="nil"/>
              <w:left w:val="nil"/>
              <w:bottom w:val="single" w:sz="8" w:space="0" w:color="auto"/>
              <w:right w:val="single" w:sz="8" w:space="0" w:color="auto"/>
            </w:tcBorders>
            <w:shd w:val="clear" w:color="auto" w:fill="auto"/>
            <w:noWrap/>
            <w:vAlign w:val="center"/>
            <w:hideMark/>
          </w:tcPr>
          <w:p w14:paraId="46469DE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Nacionālais teātris"</w:t>
            </w:r>
          </w:p>
        </w:tc>
        <w:tc>
          <w:tcPr>
            <w:tcW w:w="1984" w:type="dxa"/>
            <w:tcBorders>
              <w:top w:val="nil"/>
              <w:left w:val="nil"/>
              <w:bottom w:val="single" w:sz="8" w:space="0" w:color="auto"/>
              <w:right w:val="single" w:sz="8" w:space="0" w:color="auto"/>
            </w:tcBorders>
            <w:shd w:val="clear" w:color="auto" w:fill="auto"/>
            <w:noWrap/>
            <w:vAlign w:val="center"/>
            <w:hideMark/>
          </w:tcPr>
          <w:p w14:paraId="1E238CF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1 450 000</w:t>
            </w:r>
          </w:p>
        </w:tc>
        <w:tc>
          <w:tcPr>
            <w:tcW w:w="1985" w:type="dxa"/>
            <w:tcBorders>
              <w:top w:val="nil"/>
              <w:left w:val="nil"/>
              <w:bottom w:val="single" w:sz="8" w:space="0" w:color="auto"/>
              <w:right w:val="single" w:sz="8" w:space="0" w:color="auto"/>
            </w:tcBorders>
            <w:shd w:val="clear" w:color="auto" w:fill="auto"/>
            <w:noWrap/>
            <w:vAlign w:val="center"/>
            <w:hideMark/>
          </w:tcPr>
          <w:p w14:paraId="54E2C8F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1 407 000</w:t>
            </w:r>
          </w:p>
        </w:tc>
        <w:tc>
          <w:tcPr>
            <w:tcW w:w="1843" w:type="dxa"/>
            <w:tcBorders>
              <w:top w:val="nil"/>
              <w:left w:val="nil"/>
              <w:bottom w:val="single" w:sz="8" w:space="0" w:color="auto"/>
              <w:right w:val="single" w:sz="8" w:space="0" w:color="auto"/>
            </w:tcBorders>
            <w:shd w:val="clear" w:color="auto" w:fill="auto"/>
            <w:noWrap/>
            <w:vAlign w:val="center"/>
            <w:hideMark/>
          </w:tcPr>
          <w:p w14:paraId="1B44E6F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43 000</w:t>
            </w:r>
          </w:p>
        </w:tc>
      </w:tr>
      <w:tr w:rsidR="0017127D" w:rsidRPr="0017127D" w14:paraId="1261507F"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54BDF05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11</w:t>
            </w:r>
          </w:p>
        </w:tc>
        <w:tc>
          <w:tcPr>
            <w:tcW w:w="7093" w:type="dxa"/>
            <w:tcBorders>
              <w:top w:val="nil"/>
              <w:left w:val="nil"/>
              <w:bottom w:val="single" w:sz="8" w:space="0" w:color="auto"/>
              <w:right w:val="single" w:sz="8" w:space="0" w:color="auto"/>
            </w:tcBorders>
            <w:shd w:val="clear" w:color="auto" w:fill="auto"/>
            <w:noWrap/>
            <w:vAlign w:val="center"/>
            <w:hideMark/>
          </w:tcPr>
          <w:p w14:paraId="15BB2F0D"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Nacionālais simfoniskais orķestris"</w:t>
            </w:r>
          </w:p>
        </w:tc>
        <w:tc>
          <w:tcPr>
            <w:tcW w:w="1984" w:type="dxa"/>
            <w:tcBorders>
              <w:top w:val="nil"/>
              <w:left w:val="nil"/>
              <w:bottom w:val="single" w:sz="8" w:space="0" w:color="auto"/>
              <w:right w:val="single" w:sz="8" w:space="0" w:color="auto"/>
            </w:tcBorders>
            <w:shd w:val="clear" w:color="auto" w:fill="auto"/>
            <w:noWrap/>
            <w:vAlign w:val="center"/>
            <w:hideMark/>
          </w:tcPr>
          <w:p w14:paraId="4908C49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609 420</w:t>
            </w:r>
          </w:p>
        </w:tc>
        <w:tc>
          <w:tcPr>
            <w:tcW w:w="1985" w:type="dxa"/>
            <w:tcBorders>
              <w:top w:val="nil"/>
              <w:left w:val="nil"/>
              <w:bottom w:val="single" w:sz="8" w:space="0" w:color="auto"/>
              <w:right w:val="single" w:sz="8" w:space="0" w:color="auto"/>
            </w:tcBorders>
            <w:shd w:val="clear" w:color="auto" w:fill="auto"/>
            <w:noWrap/>
            <w:vAlign w:val="center"/>
            <w:hideMark/>
          </w:tcPr>
          <w:p w14:paraId="706A978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604 952</w:t>
            </w:r>
          </w:p>
        </w:tc>
        <w:tc>
          <w:tcPr>
            <w:tcW w:w="1843" w:type="dxa"/>
            <w:tcBorders>
              <w:top w:val="nil"/>
              <w:left w:val="nil"/>
              <w:bottom w:val="single" w:sz="8" w:space="0" w:color="auto"/>
              <w:right w:val="single" w:sz="8" w:space="0" w:color="auto"/>
            </w:tcBorders>
            <w:shd w:val="clear" w:color="auto" w:fill="auto"/>
            <w:noWrap/>
            <w:vAlign w:val="center"/>
            <w:hideMark/>
          </w:tcPr>
          <w:p w14:paraId="44447C4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4 468</w:t>
            </w:r>
          </w:p>
        </w:tc>
      </w:tr>
      <w:tr w:rsidR="0017127D" w:rsidRPr="0017127D" w14:paraId="015E3300"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3A59C64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12</w:t>
            </w:r>
          </w:p>
        </w:tc>
        <w:tc>
          <w:tcPr>
            <w:tcW w:w="7093" w:type="dxa"/>
            <w:tcBorders>
              <w:top w:val="nil"/>
              <w:left w:val="nil"/>
              <w:bottom w:val="single" w:sz="8" w:space="0" w:color="auto"/>
              <w:right w:val="single" w:sz="8" w:space="0" w:color="auto"/>
            </w:tcBorders>
            <w:shd w:val="clear" w:color="auto" w:fill="auto"/>
            <w:noWrap/>
            <w:vAlign w:val="center"/>
            <w:hideMark/>
          </w:tcPr>
          <w:p w14:paraId="211900E4"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Nacionālā opera un balets”</w:t>
            </w:r>
          </w:p>
        </w:tc>
        <w:tc>
          <w:tcPr>
            <w:tcW w:w="1984" w:type="dxa"/>
            <w:tcBorders>
              <w:top w:val="nil"/>
              <w:left w:val="nil"/>
              <w:bottom w:val="single" w:sz="8" w:space="0" w:color="auto"/>
              <w:right w:val="single" w:sz="8" w:space="0" w:color="auto"/>
            </w:tcBorders>
            <w:shd w:val="clear" w:color="auto" w:fill="auto"/>
            <w:noWrap/>
            <w:vAlign w:val="center"/>
            <w:hideMark/>
          </w:tcPr>
          <w:p w14:paraId="5743F5E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3 700 000</w:t>
            </w:r>
          </w:p>
        </w:tc>
        <w:tc>
          <w:tcPr>
            <w:tcW w:w="1985" w:type="dxa"/>
            <w:tcBorders>
              <w:top w:val="nil"/>
              <w:left w:val="nil"/>
              <w:bottom w:val="single" w:sz="8" w:space="0" w:color="auto"/>
              <w:right w:val="single" w:sz="8" w:space="0" w:color="auto"/>
            </w:tcBorders>
            <w:shd w:val="clear" w:color="auto" w:fill="auto"/>
            <w:noWrap/>
            <w:vAlign w:val="center"/>
            <w:hideMark/>
          </w:tcPr>
          <w:p w14:paraId="653D9F4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3 700 000</w:t>
            </w:r>
          </w:p>
        </w:tc>
        <w:tc>
          <w:tcPr>
            <w:tcW w:w="1843" w:type="dxa"/>
            <w:tcBorders>
              <w:top w:val="nil"/>
              <w:left w:val="nil"/>
              <w:bottom w:val="single" w:sz="8" w:space="0" w:color="auto"/>
              <w:right w:val="single" w:sz="8" w:space="0" w:color="auto"/>
            </w:tcBorders>
            <w:shd w:val="clear" w:color="auto" w:fill="auto"/>
            <w:noWrap/>
            <w:vAlign w:val="center"/>
            <w:hideMark/>
          </w:tcPr>
          <w:p w14:paraId="0813F9A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4CF6F688"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5D72F9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w:t>
            </w:r>
          </w:p>
        </w:tc>
        <w:tc>
          <w:tcPr>
            <w:tcW w:w="7093" w:type="dxa"/>
            <w:tcBorders>
              <w:top w:val="nil"/>
              <w:left w:val="nil"/>
              <w:bottom w:val="single" w:sz="8" w:space="0" w:color="auto"/>
              <w:right w:val="single" w:sz="8" w:space="0" w:color="auto"/>
            </w:tcBorders>
            <w:shd w:val="clear" w:color="auto" w:fill="auto"/>
            <w:vAlign w:val="center"/>
            <w:hideMark/>
          </w:tcPr>
          <w:p w14:paraId="7B4A5EBE"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"Valsts Akadēmiskais koris "Latvija""</w:t>
            </w:r>
          </w:p>
        </w:tc>
        <w:tc>
          <w:tcPr>
            <w:tcW w:w="1984" w:type="dxa"/>
            <w:tcBorders>
              <w:top w:val="nil"/>
              <w:left w:val="nil"/>
              <w:bottom w:val="single" w:sz="8" w:space="0" w:color="auto"/>
              <w:right w:val="single" w:sz="8" w:space="0" w:color="auto"/>
            </w:tcBorders>
            <w:shd w:val="clear" w:color="auto" w:fill="auto"/>
            <w:noWrap/>
            <w:vAlign w:val="center"/>
            <w:hideMark/>
          </w:tcPr>
          <w:p w14:paraId="6F219A0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103 700</w:t>
            </w:r>
          </w:p>
        </w:tc>
        <w:tc>
          <w:tcPr>
            <w:tcW w:w="1985" w:type="dxa"/>
            <w:tcBorders>
              <w:top w:val="nil"/>
              <w:left w:val="nil"/>
              <w:bottom w:val="single" w:sz="8" w:space="0" w:color="auto"/>
              <w:right w:val="single" w:sz="8" w:space="0" w:color="auto"/>
            </w:tcBorders>
            <w:shd w:val="clear" w:color="auto" w:fill="auto"/>
            <w:noWrap/>
            <w:vAlign w:val="center"/>
            <w:hideMark/>
          </w:tcPr>
          <w:p w14:paraId="771E7EC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101 000</w:t>
            </w:r>
          </w:p>
        </w:tc>
        <w:tc>
          <w:tcPr>
            <w:tcW w:w="1843" w:type="dxa"/>
            <w:tcBorders>
              <w:top w:val="nil"/>
              <w:left w:val="nil"/>
              <w:bottom w:val="single" w:sz="8" w:space="0" w:color="auto"/>
              <w:right w:val="single" w:sz="8" w:space="0" w:color="auto"/>
            </w:tcBorders>
            <w:shd w:val="clear" w:color="auto" w:fill="auto"/>
            <w:noWrap/>
            <w:vAlign w:val="center"/>
            <w:hideMark/>
          </w:tcPr>
          <w:p w14:paraId="67F2140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2 700</w:t>
            </w:r>
          </w:p>
        </w:tc>
      </w:tr>
      <w:tr w:rsidR="0017127D" w:rsidRPr="0017127D" w14:paraId="6B3860EE"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395C9CC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w:t>
            </w:r>
          </w:p>
        </w:tc>
        <w:tc>
          <w:tcPr>
            <w:tcW w:w="7093" w:type="dxa"/>
            <w:tcBorders>
              <w:top w:val="nil"/>
              <w:left w:val="nil"/>
              <w:bottom w:val="single" w:sz="8" w:space="0" w:color="auto"/>
              <w:right w:val="single" w:sz="8" w:space="0" w:color="auto"/>
            </w:tcBorders>
            <w:shd w:val="clear" w:color="auto" w:fill="auto"/>
            <w:vAlign w:val="center"/>
            <w:hideMark/>
          </w:tcPr>
          <w:p w14:paraId="30F6F17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"Liepājas Simfoniskais orķestris"</w:t>
            </w:r>
          </w:p>
        </w:tc>
        <w:tc>
          <w:tcPr>
            <w:tcW w:w="1984" w:type="dxa"/>
            <w:tcBorders>
              <w:top w:val="nil"/>
              <w:left w:val="nil"/>
              <w:bottom w:val="single" w:sz="8" w:space="0" w:color="auto"/>
              <w:right w:val="single" w:sz="8" w:space="0" w:color="auto"/>
            </w:tcBorders>
            <w:shd w:val="clear" w:color="auto" w:fill="auto"/>
            <w:noWrap/>
            <w:vAlign w:val="center"/>
            <w:hideMark/>
          </w:tcPr>
          <w:p w14:paraId="0C9AD33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270 000</w:t>
            </w:r>
          </w:p>
        </w:tc>
        <w:tc>
          <w:tcPr>
            <w:tcW w:w="1985" w:type="dxa"/>
            <w:tcBorders>
              <w:top w:val="nil"/>
              <w:left w:val="nil"/>
              <w:bottom w:val="single" w:sz="8" w:space="0" w:color="auto"/>
              <w:right w:val="single" w:sz="8" w:space="0" w:color="auto"/>
            </w:tcBorders>
            <w:shd w:val="clear" w:color="auto" w:fill="auto"/>
            <w:noWrap/>
            <w:vAlign w:val="center"/>
            <w:hideMark/>
          </w:tcPr>
          <w:p w14:paraId="2AA52B5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268 700</w:t>
            </w:r>
          </w:p>
        </w:tc>
        <w:tc>
          <w:tcPr>
            <w:tcW w:w="1843" w:type="dxa"/>
            <w:tcBorders>
              <w:top w:val="nil"/>
              <w:left w:val="nil"/>
              <w:bottom w:val="single" w:sz="8" w:space="0" w:color="auto"/>
              <w:right w:val="single" w:sz="8" w:space="0" w:color="auto"/>
            </w:tcBorders>
            <w:shd w:val="clear" w:color="auto" w:fill="auto"/>
            <w:noWrap/>
            <w:vAlign w:val="center"/>
            <w:hideMark/>
          </w:tcPr>
          <w:p w14:paraId="1D7D4E7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1 300</w:t>
            </w:r>
          </w:p>
        </w:tc>
      </w:tr>
      <w:tr w:rsidR="0017127D" w:rsidRPr="0017127D" w14:paraId="1770B493"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6CEB76A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15</w:t>
            </w:r>
          </w:p>
        </w:tc>
        <w:tc>
          <w:tcPr>
            <w:tcW w:w="7093" w:type="dxa"/>
            <w:tcBorders>
              <w:top w:val="nil"/>
              <w:left w:val="nil"/>
              <w:bottom w:val="single" w:sz="8" w:space="0" w:color="auto"/>
              <w:right w:val="single" w:sz="8" w:space="0" w:color="auto"/>
            </w:tcBorders>
            <w:shd w:val="clear" w:color="auto" w:fill="auto"/>
            <w:noWrap/>
            <w:vAlign w:val="center"/>
            <w:hideMark/>
          </w:tcPr>
          <w:p w14:paraId="2033EFF6"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"Rīgas cirks"</w:t>
            </w:r>
          </w:p>
        </w:tc>
        <w:tc>
          <w:tcPr>
            <w:tcW w:w="1984" w:type="dxa"/>
            <w:tcBorders>
              <w:top w:val="nil"/>
              <w:left w:val="nil"/>
              <w:bottom w:val="single" w:sz="8" w:space="0" w:color="auto"/>
              <w:right w:val="single" w:sz="8" w:space="0" w:color="auto"/>
            </w:tcBorders>
            <w:shd w:val="clear" w:color="auto" w:fill="auto"/>
            <w:noWrap/>
            <w:vAlign w:val="center"/>
            <w:hideMark/>
          </w:tcPr>
          <w:p w14:paraId="03897D9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174 212</w:t>
            </w:r>
          </w:p>
        </w:tc>
        <w:tc>
          <w:tcPr>
            <w:tcW w:w="1985" w:type="dxa"/>
            <w:tcBorders>
              <w:top w:val="nil"/>
              <w:left w:val="nil"/>
              <w:bottom w:val="single" w:sz="8" w:space="0" w:color="auto"/>
              <w:right w:val="single" w:sz="8" w:space="0" w:color="auto"/>
            </w:tcBorders>
            <w:shd w:val="clear" w:color="auto" w:fill="auto"/>
            <w:noWrap/>
            <w:vAlign w:val="center"/>
            <w:hideMark/>
          </w:tcPr>
          <w:p w14:paraId="4CA4FAA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954 580</w:t>
            </w:r>
          </w:p>
        </w:tc>
        <w:tc>
          <w:tcPr>
            <w:tcW w:w="1843" w:type="dxa"/>
            <w:tcBorders>
              <w:top w:val="nil"/>
              <w:left w:val="nil"/>
              <w:bottom w:val="single" w:sz="8" w:space="0" w:color="auto"/>
              <w:right w:val="single" w:sz="8" w:space="0" w:color="auto"/>
            </w:tcBorders>
            <w:shd w:val="clear" w:color="auto" w:fill="auto"/>
            <w:noWrap/>
            <w:vAlign w:val="center"/>
            <w:hideMark/>
          </w:tcPr>
          <w:p w14:paraId="7030B3D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-780 368</w:t>
            </w:r>
          </w:p>
        </w:tc>
      </w:tr>
      <w:tr w:rsidR="0017127D" w:rsidRPr="0017127D" w14:paraId="6F1F18C2"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59CC20F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w:t>
            </w:r>
          </w:p>
        </w:tc>
        <w:tc>
          <w:tcPr>
            <w:tcW w:w="7093" w:type="dxa"/>
            <w:tcBorders>
              <w:top w:val="nil"/>
              <w:left w:val="nil"/>
              <w:bottom w:val="single" w:sz="8" w:space="0" w:color="auto"/>
              <w:right w:val="single" w:sz="8" w:space="0" w:color="auto"/>
            </w:tcBorders>
            <w:shd w:val="clear" w:color="auto" w:fill="auto"/>
            <w:noWrap/>
            <w:vAlign w:val="center"/>
            <w:hideMark/>
          </w:tcPr>
          <w:p w14:paraId="0719EBC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"Starptautiskā Rakstnieku un tulkotāju māja"</w:t>
            </w:r>
          </w:p>
        </w:tc>
        <w:tc>
          <w:tcPr>
            <w:tcW w:w="1984" w:type="dxa"/>
            <w:tcBorders>
              <w:top w:val="nil"/>
              <w:left w:val="nil"/>
              <w:bottom w:val="single" w:sz="8" w:space="0" w:color="auto"/>
              <w:right w:val="single" w:sz="8" w:space="0" w:color="auto"/>
            </w:tcBorders>
            <w:shd w:val="clear" w:color="auto" w:fill="auto"/>
            <w:noWrap/>
            <w:vAlign w:val="center"/>
            <w:hideMark/>
          </w:tcPr>
          <w:p w14:paraId="08777D7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7 000</w:t>
            </w:r>
          </w:p>
        </w:tc>
        <w:tc>
          <w:tcPr>
            <w:tcW w:w="1985" w:type="dxa"/>
            <w:tcBorders>
              <w:top w:val="nil"/>
              <w:left w:val="nil"/>
              <w:bottom w:val="single" w:sz="8" w:space="0" w:color="auto"/>
              <w:right w:val="single" w:sz="8" w:space="0" w:color="auto"/>
            </w:tcBorders>
            <w:shd w:val="clear" w:color="auto" w:fill="auto"/>
            <w:noWrap/>
            <w:vAlign w:val="center"/>
            <w:hideMark/>
          </w:tcPr>
          <w:p w14:paraId="6B1563A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4 485</w:t>
            </w:r>
          </w:p>
        </w:tc>
        <w:tc>
          <w:tcPr>
            <w:tcW w:w="1843" w:type="dxa"/>
            <w:tcBorders>
              <w:top w:val="nil"/>
              <w:left w:val="nil"/>
              <w:bottom w:val="single" w:sz="8" w:space="0" w:color="auto"/>
              <w:right w:val="single" w:sz="8" w:space="0" w:color="auto"/>
            </w:tcBorders>
            <w:shd w:val="clear" w:color="auto" w:fill="auto"/>
            <w:noWrap/>
            <w:vAlign w:val="center"/>
            <w:hideMark/>
          </w:tcPr>
          <w:p w14:paraId="2E9D99B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2 515</w:t>
            </w:r>
          </w:p>
        </w:tc>
      </w:tr>
      <w:tr w:rsidR="0017127D" w:rsidRPr="0017127D" w14:paraId="2D5C40A6"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705C06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17</w:t>
            </w:r>
          </w:p>
        </w:tc>
        <w:tc>
          <w:tcPr>
            <w:tcW w:w="7093" w:type="dxa"/>
            <w:tcBorders>
              <w:top w:val="nil"/>
              <w:left w:val="nil"/>
              <w:bottom w:val="single" w:sz="8" w:space="0" w:color="auto"/>
              <w:right w:val="single" w:sz="8" w:space="0" w:color="auto"/>
            </w:tcBorders>
            <w:shd w:val="clear" w:color="auto" w:fill="auto"/>
            <w:noWrap/>
            <w:vAlign w:val="center"/>
            <w:hideMark/>
          </w:tcPr>
          <w:p w14:paraId="52B378C0"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"Mihaila Čehova Rīgas Krievu teātris"</w:t>
            </w:r>
          </w:p>
        </w:tc>
        <w:tc>
          <w:tcPr>
            <w:tcW w:w="1984" w:type="dxa"/>
            <w:tcBorders>
              <w:top w:val="nil"/>
              <w:left w:val="nil"/>
              <w:bottom w:val="single" w:sz="8" w:space="0" w:color="auto"/>
              <w:right w:val="single" w:sz="8" w:space="0" w:color="auto"/>
            </w:tcBorders>
            <w:shd w:val="clear" w:color="auto" w:fill="auto"/>
            <w:noWrap/>
            <w:vAlign w:val="center"/>
            <w:hideMark/>
          </w:tcPr>
          <w:p w14:paraId="4A2C3A3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1 550 000</w:t>
            </w:r>
          </w:p>
        </w:tc>
        <w:tc>
          <w:tcPr>
            <w:tcW w:w="1985" w:type="dxa"/>
            <w:tcBorders>
              <w:top w:val="nil"/>
              <w:left w:val="nil"/>
              <w:bottom w:val="single" w:sz="8" w:space="0" w:color="auto"/>
              <w:right w:val="single" w:sz="8" w:space="0" w:color="auto"/>
            </w:tcBorders>
            <w:shd w:val="clear" w:color="auto" w:fill="auto"/>
            <w:noWrap/>
            <w:vAlign w:val="center"/>
            <w:hideMark/>
          </w:tcPr>
          <w:p w14:paraId="1DC2090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1 600 000</w:t>
            </w:r>
          </w:p>
        </w:tc>
        <w:tc>
          <w:tcPr>
            <w:tcW w:w="1843" w:type="dxa"/>
            <w:tcBorders>
              <w:top w:val="nil"/>
              <w:left w:val="nil"/>
              <w:bottom w:val="single" w:sz="8" w:space="0" w:color="auto"/>
              <w:right w:val="single" w:sz="8" w:space="0" w:color="auto"/>
            </w:tcBorders>
            <w:shd w:val="clear" w:color="auto" w:fill="auto"/>
            <w:noWrap/>
            <w:vAlign w:val="center"/>
            <w:hideMark/>
          </w:tcPr>
          <w:p w14:paraId="37E0279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-50 000</w:t>
            </w:r>
          </w:p>
        </w:tc>
      </w:tr>
      <w:tr w:rsidR="0017127D" w:rsidRPr="0017127D" w14:paraId="4181160C"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4728E3E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18</w:t>
            </w:r>
          </w:p>
        </w:tc>
        <w:tc>
          <w:tcPr>
            <w:tcW w:w="7093" w:type="dxa"/>
            <w:tcBorders>
              <w:top w:val="nil"/>
              <w:left w:val="nil"/>
              <w:bottom w:val="single" w:sz="8" w:space="0" w:color="auto"/>
              <w:right w:val="single" w:sz="8" w:space="0" w:color="auto"/>
            </w:tcBorders>
            <w:shd w:val="clear" w:color="auto" w:fill="auto"/>
            <w:noWrap/>
            <w:vAlign w:val="center"/>
            <w:hideMark/>
          </w:tcPr>
          <w:p w14:paraId="06BB7587"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Leļļu teātris"</w:t>
            </w:r>
          </w:p>
        </w:tc>
        <w:tc>
          <w:tcPr>
            <w:tcW w:w="1984" w:type="dxa"/>
            <w:tcBorders>
              <w:top w:val="nil"/>
              <w:left w:val="nil"/>
              <w:bottom w:val="single" w:sz="8" w:space="0" w:color="auto"/>
              <w:right w:val="single" w:sz="8" w:space="0" w:color="auto"/>
            </w:tcBorders>
            <w:shd w:val="clear" w:color="auto" w:fill="auto"/>
            <w:noWrap/>
            <w:vAlign w:val="center"/>
            <w:hideMark/>
          </w:tcPr>
          <w:p w14:paraId="60986B6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162 500</w:t>
            </w:r>
          </w:p>
        </w:tc>
        <w:tc>
          <w:tcPr>
            <w:tcW w:w="1985" w:type="dxa"/>
            <w:tcBorders>
              <w:top w:val="nil"/>
              <w:left w:val="nil"/>
              <w:bottom w:val="single" w:sz="8" w:space="0" w:color="auto"/>
              <w:right w:val="single" w:sz="8" w:space="0" w:color="auto"/>
            </w:tcBorders>
            <w:shd w:val="clear" w:color="auto" w:fill="auto"/>
            <w:noWrap/>
            <w:vAlign w:val="center"/>
            <w:hideMark/>
          </w:tcPr>
          <w:p w14:paraId="525CFA1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1 718 418</w:t>
            </w:r>
          </w:p>
        </w:tc>
        <w:tc>
          <w:tcPr>
            <w:tcW w:w="1843" w:type="dxa"/>
            <w:tcBorders>
              <w:top w:val="nil"/>
              <w:left w:val="nil"/>
              <w:bottom w:val="single" w:sz="8" w:space="0" w:color="auto"/>
              <w:right w:val="single" w:sz="8" w:space="0" w:color="auto"/>
            </w:tcBorders>
            <w:shd w:val="clear" w:color="auto" w:fill="auto"/>
            <w:noWrap/>
            <w:vAlign w:val="center"/>
            <w:hideMark/>
          </w:tcPr>
          <w:p w14:paraId="53F38D5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-1 555 918</w:t>
            </w:r>
          </w:p>
        </w:tc>
      </w:tr>
      <w:tr w:rsidR="0017127D" w:rsidRPr="0017127D" w14:paraId="3204B257"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03797F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w:t>
            </w:r>
          </w:p>
        </w:tc>
        <w:tc>
          <w:tcPr>
            <w:tcW w:w="7093" w:type="dxa"/>
            <w:tcBorders>
              <w:top w:val="nil"/>
              <w:left w:val="nil"/>
              <w:bottom w:val="single" w:sz="8" w:space="0" w:color="auto"/>
              <w:right w:val="single" w:sz="8" w:space="0" w:color="auto"/>
            </w:tcBorders>
            <w:shd w:val="clear" w:color="auto" w:fill="auto"/>
            <w:noWrap/>
            <w:vAlign w:val="center"/>
            <w:hideMark/>
          </w:tcPr>
          <w:p w14:paraId="3FCE7F4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VAS "Tiesu namu aģentūra"</w:t>
            </w:r>
          </w:p>
        </w:tc>
        <w:tc>
          <w:tcPr>
            <w:tcW w:w="1984" w:type="dxa"/>
            <w:tcBorders>
              <w:top w:val="nil"/>
              <w:left w:val="nil"/>
              <w:bottom w:val="single" w:sz="8" w:space="0" w:color="auto"/>
              <w:right w:val="single" w:sz="8" w:space="0" w:color="auto"/>
            </w:tcBorders>
            <w:shd w:val="clear" w:color="auto" w:fill="auto"/>
            <w:noWrap/>
            <w:vAlign w:val="center"/>
            <w:hideMark/>
          </w:tcPr>
          <w:p w14:paraId="6FF5B3B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7 870 000</w:t>
            </w:r>
          </w:p>
        </w:tc>
        <w:tc>
          <w:tcPr>
            <w:tcW w:w="1985" w:type="dxa"/>
            <w:tcBorders>
              <w:top w:val="nil"/>
              <w:left w:val="nil"/>
              <w:bottom w:val="single" w:sz="8" w:space="0" w:color="auto"/>
              <w:right w:val="single" w:sz="8" w:space="0" w:color="auto"/>
            </w:tcBorders>
            <w:shd w:val="clear" w:color="auto" w:fill="auto"/>
            <w:noWrap/>
            <w:vAlign w:val="center"/>
            <w:hideMark/>
          </w:tcPr>
          <w:p w14:paraId="3FFD378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6 158 000</w:t>
            </w:r>
          </w:p>
        </w:tc>
        <w:tc>
          <w:tcPr>
            <w:tcW w:w="1843" w:type="dxa"/>
            <w:tcBorders>
              <w:top w:val="nil"/>
              <w:left w:val="nil"/>
              <w:bottom w:val="single" w:sz="8" w:space="0" w:color="auto"/>
              <w:right w:val="single" w:sz="8" w:space="0" w:color="auto"/>
            </w:tcBorders>
            <w:shd w:val="clear" w:color="auto" w:fill="auto"/>
            <w:noWrap/>
            <w:vAlign w:val="center"/>
            <w:hideMark/>
          </w:tcPr>
          <w:p w14:paraId="7048C04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1 712 000</w:t>
            </w:r>
          </w:p>
        </w:tc>
      </w:tr>
      <w:tr w:rsidR="0017127D" w:rsidRPr="0017127D" w14:paraId="2C7CEE56"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793A91F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20</w:t>
            </w:r>
          </w:p>
        </w:tc>
        <w:tc>
          <w:tcPr>
            <w:tcW w:w="7093" w:type="dxa"/>
            <w:tcBorders>
              <w:top w:val="nil"/>
              <w:left w:val="nil"/>
              <w:bottom w:val="single" w:sz="8" w:space="0" w:color="auto"/>
              <w:right w:val="single" w:sz="8" w:space="0" w:color="auto"/>
            </w:tcBorders>
            <w:shd w:val="clear" w:color="auto" w:fill="auto"/>
            <w:noWrap/>
            <w:vAlign w:val="center"/>
            <w:hideMark/>
          </w:tcPr>
          <w:p w14:paraId="56FD985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VAS "Valsts nekustamie īpašumi"</w:t>
            </w:r>
          </w:p>
        </w:tc>
        <w:tc>
          <w:tcPr>
            <w:tcW w:w="1984" w:type="dxa"/>
            <w:tcBorders>
              <w:top w:val="nil"/>
              <w:left w:val="nil"/>
              <w:bottom w:val="single" w:sz="8" w:space="0" w:color="auto"/>
              <w:right w:val="single" w:sz="8" w:space="0" w:color="auto"/>
            </w:tcBorders>
            <w:shd w:val="clear" w:color="auto" w:fill="auto"/>
            <w:noWrap/>
            <w:vAlign w:val="center"/>
            <w:hideMark/>
          </w:tcPr>
          <w:p w14:paraId="59C996F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42 185 596</w:t>
            </w:r>
          </w:p>
        </w:tc>
        <w:tc>
          <w:tcPr>
            <w:tcW w:w="1985" w:type="dxa"/>
            <w:tcBorders>
              <w:top w:val="nil"/>
              <w:left w:val="nil"/>
              <w:bottom w:val="single" w:sz="8" w:space="0" w:color="auto"/>
              <w:right w:val="single" w:sz="8" w:space="0" w:color="auto"/>
            </w:tcBorders>
            <w:shd w:val="clear" w:color="auto" w:fill="auto"/>
            <w:noWrap/>
            <w:vAlign w:val="center"/>
            <w:hideMark/>
          </w:tcPr>
          <w:p w14:paraId="25B19AB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45 817 029</w:t>
            </w:r>
          </w:p>
        </w:tc>
        <w:tc>
          <w:tcPr>
            <w:tcW w:w="1843" w:type="dxa"/>
            <w:tcBorders>
              <w:top w:val="nil"/>
              <w:left w:val="nil"/>
              <w:bottom w:val="single" w:sz="8" w:space="0" w:color="auto"/>
              <w:right w:val="single" w:sz="8" w:space="0" w:color="auto"/>
            </w:tcBorders>
            <w:shd w:val="clear" w:color="auto" w:fill="auto"/>
            <w:noWrap/>
            <w:vAlign w:val="center"/>
            <w:hideMark/>
          </w:tcPr>
          <w:p w14:paraId="2989F4B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-3 631 433</w:t>
            </w:r>
          </w:p>
        </w:tc>
      </w:tr>
      <w:tr w:rsidR="0017127D" w:rsidRPr="0017127D" w14:paraId="073B0F08"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4FD0306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21</w:t>
            </w:r>
          </w:p>
        </w:tc>
        <w:tc>
          <w:tcPr>
            <w:tcW w:w="7093" w:type="dxa"/>
            <w:tcBorders>
              <w:top w:val="nil"/>
              <w:left w:val="nil"/>
              <w:bottom w:val="single" w:sz="8" w:space="0" w:color="auto"/>
              <w:right w:val="single" w:sz="8" w:space="0" w:color="auto"/>
            </w:tcBorders>
            <w:shd w:val="clear" w:color="auto" w:fill="auto"/>
            <w:noWrap/>
            <w:vAlign w:val="center"/>
            <w:hideMark/>
          </w:tcPr>
          <w:p w14:paraId="00DD02F6"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"Vides investīciju fonds”</w:t>
            </w:r>
          </w:p>
        </w:tc>
        <w:tc>
          <w:tcPr>
            <w:tcW w:w="1984" w:type="dxa"/>
            <w:tcBorders>
              <w:top w:val="nil"/>
              <w:left w:val="nil"/>
              <w:bottom w:val="single" w:sz="8" w:space="0" w:color="auto"/>
              <w:right w:val="single" w:sz="8" w:space="0" w:color="auto"/>
            </w:tcBorders>
            <w:shd w:val="clear" w:color="auto" w:fill="auto"/>
            <w:noWrap/>
            <w:vAlign w:val="center"/>
            <w:hideMark/>
          </w:tcPr>
          <w:p w14:paraId="39C7454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597 830</w:t>
            </w:r>
          </w:p>
        </w:tc>
        <w:tc>
          <w:tcPr>
            <w:tcW w:w="1985" w:type="dxa"/>
            <w:tcBorders>
              <w:top w:val="nil"/>
              <w:left w:val="nil"/>
              <w:bottom w:val="single" w:sz="8" w:space="0" w:color="auto"/>
              <w:right w:val="single" w:sz="8" w:space="0" w:color="auto"/>
            </w:tcBorders>
            <w:shd w:val="clear" w:color="auto" w:fill="auto"/>
            <w:noWrap/>
            <w:vAlign w:val="center"/>
            <w:hideMark/>
          </w:tcPr>
          <w:p w14:paraId="2CBA5BB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491 653</w:t>
            </w:r>
          </w:p>
        </w:tc>
        <w:tc>
          <w:tcPr>
            <w:tcW w:w="1843" w:type="dxa"/>
            <w:tcBorders>
              <w:top w:val="nil"/>
              <w:left w:val="nil"/>
              <w:bottom w:val="single" w:sz="8" w:space="0" w:color="auto"/>
              <w:right w:val="single" w:sz="8" w:space="0" w:color="auto"/>
            </w:tcBorders>
            <w:shd w:val="clear" w:color="auto" w:fill="auto"/>
            <w:noWrap/>
            <w:vAlign w:val="center"/>
            <w:hideMark/>
          </w:tcPr>
          <w:p w14:paraId="045D380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106 177</w:t>
            </w:r>
          </w:p>
        </w:tc>
      </w:tr>
      <w:tr w:rsidR="0017127D" w:rsidRPr="0017127D" w14:paraId="1A8E184C"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7FBC590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lastRenderedPageBreak/>
              <w:t>22</w:t>
            </w:r>
          </w:p>
        </w:tc>
        <w:tc>
          <w:tcPr>
            <w:tcW w:w="7093" w:type="dxa"/>
            <w:tcBorders>
              <w:top w:val="nil"/>
              <w:left w:val="nil"/>
              <w:bottom w:val="single" w:sz="8" w:space="0" w:color="auto"/>
              <w:right w:val="single" w:sz="8" w:space="0" w:color="auto"/>
            </w:tcBorders>
            <w:shd w:val="clear" w:color="auto" w:fill="auto"/>
            <w:noWrap/>
            <w:vAlign w:val="center"/>
            <w:hideMark/>
          </w:tcPr>
          <w:p w14:paraId="77AF76E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Vides, ģeoloģijas un meteoroloģijas centrs"</w:t>
            </w:r>
          </w:p>
        </w:tc>
        <w:tc>
          <w:tcPr>
            <w:tcW w:w="1984" w:type="dxa"/>
            <w:tcBorders>
              <w:top w:val="nil"/>
              <w:left w:val="nil"/>
              <w:bottom w:val="single" w:sz="8" w:space="0" w:color="auto"/>
              <w:right w:val="single" w:sz="8" w:space="0" w:color="auto"/>
            </w:tcBorders>
            <w:shd w:val="clear" w:color="auto" w:fill="auto"/>
            <w:noWrap/>
            <w:vAlign w:val="center"/>
            <w:hideMark/>
          </w:tcPr>
          <w:p w14:paraId="2172037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2 487 711</w:t>
            </w:r>
          </w:p>
        </w:tc>
        <w:tc>
          <w:tcPr>
            <w:tcW w:w="1985" w:type="dxa"/>
            <w:tcBorders>
              <w:top w:val="nil"/>
              <w:left w:val="nil"/>
              <w:bottom w:val="single" w:sz="8" w:space="0" w:color="auto"/>
              <w:right w:val="single" w:sz="8" w:space="0" w:color="auto"/>
            </w:tcBorders>
            <w:shd w:val="clear" w:color="auto" w:fill="auto"/>
            <w:noWrap/>
            <w:vAlign w:val="center"/>
            <w:hideMark/>
          </w:tcPr>
          <w:p w14:paraId="2DFAD97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2 724 727</w:t>
            </w:r>
          </w:p>
        </w:tc>
        <w:tc>
          <w:tcPr>
            <w:tcW w:w="1843" w:type="dxa"/>
            <w:tcBorders>
              <w:top w:val="nil"/>
              <w:left w:val="nil"/>
              <w:bottom w:val="single" w:sz="8" w:space="0" w:color="auto"/>
              <w:right w:val="single" w:sz="8" w:space="0" w:color="auto"/>
            </w:tcBorders>
            <w:shd w:val="clear" w:color="auto" w:fill="auto"/>
            <w:noWrap/>
            <w:vAlign w:val="center"/>
            <w:hideMark/>
          </w:tcPr>
          <w:p w14:paraId="0B74CAA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-237 016</w:t>
            </w:r>
          </w:p>
        </w:tc>
      </w:tr>
      <w:tr w:rsidR="0017127D" w:rsidRPr="0017127D" w14:paraId="48C8C034"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5846C99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23</w:t>
            </w:r>
          </w:p>
        </w:tc>
        <w:tc>
          <w:tcPr>
            <w:tcW w:w="7093" w:type="dxa"/>
            <w:tcBorders>
              <w:top w:val="nil"/>
              <w:left w:val="nil"/>
              <w:bottom w:val="single" w:sz="8" w:space="0" w:color="auto"/>
              <w:right w:val="single" w:sz="8" w:space="0" w:color="auto"/>
            </w:tcBorders>
            <w:shd w:val="clear" w:color="auto" w:fill="auto"/>
            <w:noWrap/>
            <w:vAlign w:val="center"/>
            <w:hideMark/>
          </w:tcPr>
          <w:p w14:paraId="2EB17A1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Televīzija"</w:t>
            </w:r>
          </w:p>
        </w:tc>
        <w:tc>
          <w:tcPr>
            <w:tcW w:w="1984" w:type="dxa"/>
            <w:tcBorders>
              <w:top w:val="nil"/>
              <w:left w:val="nil"/>
              <w:bottom w:val="single" w:sz="8" w:space="0" w:color="auto"/>
              <w:right w:val="single" w:sz="8" w:space="0" w:color="auto"/>
            </w:tcBorders>
            <w:shd w:val="clear" w:color="auto" w:fill="auto"/>
            <w:noWrap/>
            <w:vAlign w:val="center"/>
            <w:hideMark/>
          </w:tcPr>
          <w:p w14:paraId="69A6312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675 000</w:t>
            </w:r>
          </w:p>
        </w:tc>
        <w:tc>
          <w:tcPr>
            <w:tcW w:w="1985" w:type="dxa"/>
            <w:tcBorders>
              <w:top w:val="nil"/>
              <w:left w:val="nil"/>
              <w:bottom w:val="single" w:sz="8" w:space="0" w:color="auto"/>
              <w:right w:val="single" w:sz="8" w:space="0" w:color="auto"/>
            </w:tcBorders>
            <w:shd w:val="clear" w:color="auto" w:fill="auto"/>
            <w:noWrap/>
            <w:vAlign w:val="center"/>
            <w:hideMark/>
          </w:tcPr>
          <w:p w14:paraId="27B7983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86 667</w:t>
            </w:r>
          </w:p>
        </w:tc>
        <w:tc>
          <w:tcPr>
            <w:tcW w:w="1843" w:type="dxa"/>
            <w:tcBorders>
              <w:top w:val="nil"/>
              <w:left w:val="nil"/>
              <w:bottom w:val="single" w:sz="8" w:space="0" w:color="auto"/>
              <w:right w:val="single" w:sz="8" w:space="0" w:color="auto"/>
            </w:tcBorders>
            <w:shd w:val="clear" w:color="auto" w:fill="auto"/>
            <w:noWrap/>
            <w:vAlign w:val="center"/>
            <w:hideMark/>
          </w:tcPr>
          <w:p w14:paraId="4957CFB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588 333</w:t>
            </w:r>
          </w:p>
        </w:tc>
      </w:tr>
      <w:tr w:rsidR="0017127D" w:rsidRPr="0017127D" w14:paraId="5C41935E"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5882561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24</w:t>
            </w:r>
          </w:p>
        </w:tc>
        <w:tc>
          <w:tcPr>
            <w:tcW w:w="7093" w:type="dxa"/>
            <w:tcBorders>
              <w:top w:val="nil"/>
              <w:left w:val="nil"/>
              <w:bottom w:val="single" w:sz="8" w:space="0" w:color="auto"/>
              <w:right w:val="single" w:sz="8" w:space="0" w:color="auto"/>
            </w:tcBorders>
            <w:shd w:val="clear" w:color="auto" w:fill="auto"/>
            <w:noWrap/>
            <w:vAlign w:val="center"/>
            <w:hideMark/>
          </w:tcPr>
          <w:p w14:paraId="1B2EA4D4"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"LatRailNet"</w:t>
            </w:r>
          </w:p>
        </w:tc>
        <w:tc>
          <w:tcPr>
            <w:tcW w:w="1984" w:type="dxa"/>
            <w:tcBorders>
              <w:top w:val="nil"/>
              <w:left w:val="nil"/>
              <w:bottom w:val="single" w:sz="8" w:space="0" w:color="auto"/>
              <w:right w:val="single" w:sz="8" w:space="0" w:color="auto"/>
            </w:tcBorders>
            <w:shd w:val="clear" w:color="auto" w:fill="auto"/>
            <w:noWrap/>
            <w:vAlign w:val="center"/>
            <w:hideMark/>
          </w:tcPr>
          <w:p w14:paraId="67760A0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1 321 000</w:t>
            </w:r>
          </w:p>
        </w:tc>
        <w:tc>
          <w:tcPr>
            <w:tcW w:w="1985" w:type="dxa"/>
            <w:tcBorders>
              <w:top w:val="nil"/>
              <w:left w:val="nil"/>
              <w:bottom w:val="single" w:sz="8" w:space="0" w:color="auto"/>
              <w:right w:val="single" w:sz="8" w:space="0" w:color="auto"/>
            </w:tcBorders>
            <w:shd w:val="clear" w:color="auto" w:fill="auto"/>
            <w:noWrap/>
            <w:vAlign w:val="center"/>
            <w:hideMark/>
          </w:tcPr>
          <w:p w14:paraId="366B33B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1 345 375</w:t>
            </w:r>
          </w:p>
        </w:tc>
        <w:tc>
          <w:tcPr>
            <w:tcW w:w="1843" w:type="dxa"/>
            <w:tcBorders>
              <w:top w:val="nil"/>
              <w:left w:val="nil"/>
              <w:bottom w:val="single" w:sz="8" w:space="0" w:color="auto"/>
              <w:right w:val="single" w:sz="8" w:space="0" w:color="auto"/>
            </w:tcBorders>
            <w:shd w:val="clear" w:color="auto" w:fill="auto"/>
            <w:noWrap/>
            <w:vAlign w:val="center"/>
            <w:hideMark/>
          </w:tcPr>
          <w:p w14:paraId="49ABBB6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-24 375</w:t>
            </w:r>
          </w:p>
        </w:tc>
      </w:tr>
      <w:tr w:rsidR="0017127D" w:rsidRPr="0017127D" w14:paraId="20C1E283"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5ABF706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25</w:t>
            </w:r>
          </w:p>
        </w:tc>
        <w:tc>
          <w:tcPr>
            <w:tcW w:w="7093" w:type="dxa"/>
            <w:tcBorders>
              <w:top w:val="nil"/>
              <w:left w:val="nil"/>
              <w:bottom w:val="single" w:sz="8" w:space="0" w:color="auto"/>
              <w:right w:val="single" w:sz="8" w:space="0" w:color="auto"/>
            </w:tcBorders>
            <w:shd w:val="clear" w:color="auto" w:fill="auto"/>
            <w:noWrap/>
            <w:vAlign w:val="center"/>
            <w:hideMark/>
          </w:tcPr>
          <w:p w14:paraId="7D476DBD"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VAS "Latvijas Valsts ceļi"</w:t>
            </w:r>
          </w:p>
        </w:tc>
        <w:tc>
          <w:tcPr>
            <w:tcW w:w="1984" w:type="dxa"/>
            <w:tcBorders>
              <w:top w:val="nil"/>
              <w:left w:val="nil"/>
              <w:bottom w:val="single" w:sz="8" w:space="0" w:color="auto"/>
              <w:right w:val="single" w:sz="8" w:space="0" w:color="auto"/>
            </w:tcBorders>
            <w:shd w:val="clear" w:color="auto" w:fill="auto"/>
            <w:noWrap/>
            <w:vAlign w:val="center"/>
            <w:hideMark/>
          </w:tcPr>
          <w:p w14:paraId="3849DB7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17 325 000</w:t>
            </w:r>
          </w:p>
        </w:tc>
        <w:tc>
          <w:tcPr>
            <w:tcW w:w="1985" w:type="dxa"/>
            <w:tcBorders>
              <w:top w:val="nil"/>
              <w:left w:val="nil"/>
              <w:bottom w:val="single" w:sz="8" w:space="0" w:color="auto"/>
              <w:right w:val="single" w:sz="8" w:space="0" w:color="auto"/>
            </w:tcBorders>
            <w:shd w:val="clear" w:color="auto" w:fill="auto"/>
            <w:noWrap/>
            <w:vAlign w:val="center"/>
            <w:hideMark/>
          </w:tcPr>
          <w:p w14:paraId="0474CB4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17 264 000</w:t>
            </w:r>
          </w:p>
        </w:tc>
        <w:tc>
          <w:tcPr>
            <w:tcW w:w="1843" w:type="dxa"/>
            <w:tcBorders>
              <w:top w:val="nil"/>
              <w:left w:val="nil"/>
              <w:bottom w:val="single" w:sz="8" w:space="0" w:color="auto"/>
              <w:right w:val="single" w:sz="8" w:space="0" w:color="auto"/>
            </w:tcBorders>
            <w:shd w:val="clear" w:color="auto" w:fill="auto"/>
            <w:noWrap/>
            <w:vAlign w:val="center"/>
            <w:hideMark/>
          </w:tcPr>
          <w:p w14:paraId="0FA7505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61 000</w:t>
            </w:r>
          </w:p>
        </w:tc>
      </w:tr>
      <w:tr w:rsidR="0017127D" w:rsidRPr="0017127D" w14:paraId="1E78CB79"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491B8B5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26</w:t>
            </w:r>
          </w:p>
        </w:tc>
        <w:tc>
          <w:tcPr>
            <w:tcW w:w="7093" w:type="dxa"/>
            <w:tcBorders>
              <w:top w:val="nil"/>
              <w:left w:val="nil"/>
              <w:bottom w:val="single" w:sz="8" w:space="0" w:color="auto"/>
              <w:right w:val="single" w:sz="8" w:space="0" w:color="auto"/>
            </w:tcBorders>
            <w:shd w:val="clear" w:color="auto" w:fill="auto"/>
            <w:noWrap/>
            <w:vAlign w:val="center"/>
            <w:hideMark/>
          </w:tcPr>
          <w:p w14:paraId="40BC601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"Autotransporta direkcija"</w:t>
            </w:r>
          </w:p>
        </w:tc>
        <w:tc>
          <w:tcPr>
            <w:tcW w:w="1984" w:type="dxa"/>
            <w:tcBorders>
              <w:top w:val="nil"/>
              <w:left w:val="nil"/>
              <w:bottom w:val="single" w:sz="8" w:space="0" w:color="auto"/>
              <w:right w:val="single" w:sz="8" w:space="0" w:color="auto"/>
            </w:tcBorders>
            <w:shd w:val="clear" w:color="auto" w:fill="auto"/>
            <w:noWrap/>
            <w:vAlign w:val="center"/>
            <w:hideMark/>
          </w:tcPr>
          <w:p w14:paraId="15BF3F0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3 728 917</w:t>
            </w:r>
          </w:p>
        </w:tc>
        <w:tc>
          <w:tcPr>
            <w:tcW w:w="1985" w:type="dxa"/>
            <w:tcBorders>
              <w:top w:val="nil"/>
              <w:left w:val="nil"/>
              <w:bottom w:val="single" w:sz="8" w:space="0" w:color="auto"/>
              <w:right w:val="single" w:sz="8" w:space="0" w:color="auto"/>
            </w:tcBorders>
            <w:shd w:val="clear" w:color="auto" w:fill="auto"/>
            <w:noWrap/>
            <w:vAlign w:val="center"/>
            <w:hideMark/>
          </w:tcPr>
          <w:p w14:paraId="64E0CB6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3 221 080</w:t>
            </w:r>
          </w:p>
        </w:tc>
        <w:tc>
          <w:tcPr>
            <w:tcW w:w="1843" w:type="dxa"/>
            <w:tcBorders>
              <w:top w:val="nil"/>
              <w:left w:val="nil"/>
              <w:bottom w:val="single" w:sz="8" w:space="0" w:color="auto"/>
              <w:right w:val="single" w:sz="8" w:space="0" w:color="auto"/>
            </w:tcBorders>
            <w:shd w:val="clear" w:color="auto" w:fill="auto"/>
            <w:noWrap/>
            <w:vAlign w:val="center"/>
            <w:hideMark/>
          </w:tcPr>
          <w:p w14:paraId="1EE6FCB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507 837</w:t>
            </w:r>
          </w:p>
        </w:tc>
      </w:tr>
      <w:tr w:rsidR="0017127D" w:rsidRPr="0017127D" w14:paraId="24DC146B"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B22AB2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27</w:t>
            </w:r>
          </w:p>
        </w:tc>
        <w:tc>
          <w:tcPr>
            <w:tcW w:w="7093" w:type="dxa"/>
            <w:tcBorders>
              <w:top w:val="nil"/>
              <w:left w:val="nil"/>
              <w:bottom w:val="single" w:sz="8" w:space="0" w:color="auto"/>
              <w:right w:val="single" w:sz="8" w:space="0" w:color="auto"/>
            </w:tcBorders>
            <w:shd w:val="clear" w:color="auto" w:fill="auto"/>
            <w:noWrap/>
            <w:vAlign w:val="center"/>
            <w:hideMark/>
          </w:tcPr>
          <w:p w14:paraId="1C0C30D0"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VAS "Latvijas autoceļu uzturētājs"</w:t>
            </w:r>
          </w:p>
        </w:tc>
        <w:tc>
          <w:tcPr>
            <w:tcW w:w="1984" w:type="dxa"/>
            <w:tcBorders>
              <w:top w:val="nil"/>
              <w:left w:val="nil"/>
              <w:bottom w:val="single" w:sz="8" w:space="0" w:color="auto"/>
              <w:right w:val="single" w:sz="8" w:space="0" w:color="auto"/>
            </w:tcBorders>
            <w:shd w:val="clear" w:color="auto" w:fill="auto"/>
            <w:noWrap/>
            <w:vAlign w:val="center"/>
            <w:hideMark/>
          </w:tcPr>
          <w:p w14:paraId="1AB95FE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84 047 450</w:t>
            </w:r>
          </w:p>
        </w:tc>
        <w:tc>
          <w:tcPr>
            <w:tcW w:w="1985" w:type="dxa"/>
            <w:tcBorders>
              <w:top w:val="nil"/>
              <w:left w:val="nil"/>
              <w:bottom w:val="single" w:sz="8" w:space="0" w:color="auto"/>
              <w:right w:val="single" w:sz="8" w:space="0" w:color="auto"/>
            </w:tcBorders>
            <w:shd w:val="clear" w:color="auto" w:fill="auto"/>
            <w:noWrap/>
            <w:vAlign w:val="center"/>
            <w:hideMark/>
          </w:tcPr>
          <w:p w14:paraId="54A0C73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81 743 760</w:t>
            </w:r>
          </w:p>
        </w:tc>
        <w:tc>
          <w:tcPr>
            <w:tcW w:w="1843" w:type="dxa"/>
            <w:tcBorders>
              <w:top w:val="nil"/>
              <w:left w:val="nil"/>
              <w:bottom w:val="single" w:sz="8" w:space="0" w:color="auto"/>
              <w:right w:val="single" w:sz="8" w:space="0" w:color="auto"/>
            </w:tcBorders>
            <w:shd w:val="clear" w:color="auto" w:fill="auto"/>
            <w:noWrap/>
            <w:vAlign w:val="center"/>
            <w:hideMark/>
          </w:tcPr>
          <w:p w14:paraId="37070F2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2 303 690</w:t>
            </w:r>
          </w:p>
        </w:tc>
      </w:tr>
      <w:tr w:rsidR="0017127D" w:rsidRPr="0017127D" w14:paraId="2CA49387"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2A0825E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28</w:t>
            </w:r>
          </w:p>
        </w:tc>
        <w:tc>
          <w:tcPr>
            <w:tcW w:w="7093" w:type="dxa"/>
            <w:tcBorders>
              <w:top w:val="nil"/>
              <w:left w:val="nil"/>
              <w:bottom w:val="single" w:sz="8" w:space="0" w:color="auto"/>
              <w:right w:val="single" w:sz="8" w:space="0" w:color="auto"/>
            </w:tcBorders>
            <w:shd w:val="clear" w:color="auto" w:fill="auto"/>
            <w:noWrap/>
            <w:vAlign w:val="center"/>
            <w:hideMark/>
          </w:tcPr>
          <w:p w14:paraId="15A24737"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xml:space="preserve">SIA “Eiropas dzelzceļa līnijas” </w:t>
            </w:r>
          </w:p>
        </w:tc>
        <w:tc>
          <w:tcPr>
            <w:tcW w:w="1984" w:type="dxa"/>
            <w:tcBorders>
              <w:top w:val="nil"/>
              <w:left w:val="nil"/>
              <w:bottom w:val="single" w:sz="8" w:space="0" w:color="auto"/>
              <w:right w:val="single" w:sz="8" w:space="0" w:color="auto"/>
            </w:tcBorders>
            <w:shd w:val="clear" w:color="auto" w:fill="auto"/>
            <w:noWrap/>
            <w:vAlign w:val="center"/>
            <w:hideMark/>
          </w:tcPr>
          <w:p w14:paraId="0D92C2F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985" w:type="dxa"/>
            <w:tcBorders>
              <w:top w:val="nil"/>
              <w:left w:val="nil"/>
              <w:bottom w:val="single" w:sz="8" w:space="0" w:color="auto"/>
              <w:right w:val="single" w:sz="8" w:space="0" w:color="auto"/>
            </w:tcBorders>
            <w:shd w:val="clear" w:color="auto" w:fill="auto"/>
            <w:noWrap/>
            <w:vAlign w:val="center"/>
            <w:hideMark/>
          </w:tcPr>
          <w:p w14:paraId="524EBAE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843" w:type="dxa"/>
            <w:tcBorders>
              <w:top w:val="nil"/>
              <w:left w:val="nil"/>
              <w:bottom w:val="single" w:sz="8" w:space="0" w:color="auto"/>
              <w:right w:val="single" w:sz="8" w:space="0" w:color="auto"/>
            </w:tcBorders>
            <w:shd w:val="clear" w:color="auto" w:fill="auto"/>
            <w:noWrap/>
            <w:vAlign w:val="center"/>
            <w:hideMark/>
          </w:tcPr>
          <w:p w14:paraId="3165E23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1C234F2B"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40BC6E5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29</w:t>
            </w:r>
          </w:p>
        </w:tc>
        <w:tc>
          <w:tcPr>
            <w:tcW w:w="7093" w:type="dxa"/>
            <w:tcBorders>
              <w:top w:val="nil"/>
              <w:left w:val="nil"/>
              <w:bottom w:val="single" w:sz="8" w:space="0" w:color="auto"/>
              <w:right w:val="single" w:sz="8" w:space="0" w:color="auto"/>
            </w:tcBorders>
            <w:shd w:val="clear" w:color="auto" w:fill="auto"/>
            <w:noWrap/>
            <w:vAlign w:val="center"/>
            <w:hideMark/>
          </w:tcPr>
          <w:p w14:paraId="17E1162F"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“Zemkopības ministrijas nekustamie īpašumi”</w:t>
            </w:r>
          </w:p>
        </w:tc>
        <w:tc>
          <w:tcPr>
            <w:tcW w:w="1984" w:type="dxa"/>
            <w:tcBorders>
              <w:top w:val="nil"/>
              <w:left w:val="nil"/>
              <w:bottom w:val="single" w:sz="8" w:space="0" w:color="auto"/>
              <w:right w:val="single" w:sz="8" w:space="0" w:color="auto"/>
            </w:tcBorders>
            <w:shd w:val="clear" w:color="auto" w:fill="auto"/>
            <w:noWrap/>
            <w:vAlign w:val="center"/>
            <w:hideMark/>
          </w:tcPr>
          <w:p w14:paraId="311CCD1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2 177 000</w:t>
            </w:r>
          </w:p>
        </w:tc>
        <w:tc>
          <w:tcPr>
            <w:tcW w:w="1985" w:type="dxa"/>
            <w:tcBorders>
              <w:top w:val="nil"/>
              <w:left w:val="nil"/>
              <w:bottom w:val="single" w:sz="8" w:space="0" w:color="auto"/>
              <w:right w:val="single" w:sz="8" w:space="0" w:color="auto"/>
            </w:tcBorders>
            <w:shd w:val="clear" w:color="auto" w:fill="auto"/>
            <w:noWrap/>
            <w:vAlign w:val="center"/>
            <w:hideMark/>
          </w:tcPr>
          <w:p w14:paraId="38F5825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2 120 000</w:t>
            </w:r>
          </w:p>
        </w:tc>
        <w:tc>
          <w:tcPr>
            <w:tcW w:w="1843" w:type="dxa"/>
            <w:tcBorders>
              <w:top w:val="nil"/>
              <w:left w:val="nil"/>
              <w:bottom w:val="single" w:sz="8" w:space="0" w:color="auto"/>
              <w:right w:val="single" w:sz="8" w:space="0" w:color="auto"/>
            </w:tcBorders>
            <w:shd w:val="clear" w:color="auto" w:fill="auto"/>
            <w:noWrap/>
            <w:vAlign w:val="center"/>
            <w:hideMark/>
          </w:tcPr>
          <w:p w14:paraId="3D951A6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57 000</w:t>
            </w:r>
          </w:p>
        </w:tc>
      </w:tr>
      <w:tr w:rsidR="0017127D" w:rsidRPr="0017127D" w14:paraId="16A8A298"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1A0E55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30</w:t>
            </w:r>
          </w:p>
        </w:tc>
        <w:tc>
          <w:tcPr>
            <w:tcW w:w="7093" w:type="dxa"/>
            <w:tcBorders>
              <w:top w:val="nil"/>
              <w:left w:val="nil"/>
              <w:bottom w:val="single" w:sz="8" w:space="0" w:color="auto"/>
              <w:right w:val="single" w:sz="8" w:space="0" w:color="auto"/>
            </w:tcBorders>
            <w:shd w:val="clear" w:color="auto" w:fill="auto"/>
            <w:noWrap/>
            <w:vAlign w:val="center"/>
            <w:hideMark/>
          </w:tcPr>
          <w:p w14:paraId="648BD1D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Proves birojs”</w:t>
            </w:r>
          </w:p>
        </w:tc>
        <w:tc>
          <w:tcPr>
            <w:tcW w:w="1984" w:type="dxa"/>
            <w:tcBorders>
              <w:top w:val="nil"/>
              <w:left w:val="nil"/>
              <w:bottom w:val="single" w:sz="8" w:space="0" w:color="auto"/>
              <w:right w:val="single" w:sz="8" w:space="0" w:color="auto"/>
            </w:tcBorders>
            <w:shd w:val="clear" w:color="auto" w:fill="auto"/>
            <w:noWrap/>
            <w:vAlign w:val="center"/>
            <w:hideMark/>
          </w:tcPr>
          <w:p w14:paraId="62FEE42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565 722</w:t>
            </w:r>
          </w:p>
        </w:tc>
        <w:tc>
          <w:tcPr>
            <w:tcW w:w="1985" w:type="dxa"/>
            <w:tcBorders>
              <w:top w:val="nil"/>
              <w:left w:val="nil"/>
              <w:bottom w:val="single" w:sz="8" w:space="0" w:color="auto"/>
              <w:right w:val="single" w:sz="8" w:space="0" w:color="auto"/>
            </w:tcBorders>
            <w:shd w:val="clear" w:color="auto" w:fill="auto"/>
            <w:noWrap/>
            <w:vAlign w:val="center"/>
            <w:hideMark/>
          </w:tcPr>
          <w:p w14:paraId="67836FF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530 793</w:t>
            </w:r>
          </w:p>
        </w:tc>
        <w:tc>
          <w:tcPr>
            <w:tcW w:w="1843" w:type="dxa"/>
            <w:tcBorders>
              <w:top w:val="nil"/>
              <w:left w:val="nil"/>
              <w:bottom w:val="single" w:sz="8" w:space="0" w:color="auto"/>
              <w:right w:val="single" w:sz="8" w:space="0" w:color="auto"/>
            </w:tcBorders>
            <w:shd w:val="clear" w:color="auto" w:fill="auto"/>
            <w:noWrap/>
            <w:vAlign w:val="center"/>
            <w:hideMark/>
          </w:tcPr>
          <w:p w14:paraId="386BB26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34 929</w:t>
            </w:r>
          </w:p>
        </w:tc>
      </w:tr>
      <w:tr w:rsidR="0017127D" w:rsidRPr="0017127D" w14:paraId="5AD5D31F"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5E724E0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31</w:t>
            </w:r>
          </w:p>
        </w:tc>
        <w:tc>
          <w:tcPr>
            <w:tcW w:w="7093" w:type="dxa"/>
            <w:tcBorders>
              <w:top w:val="nil"/>
              <w:left w:val="nil"/>
              <w:bottom w:val="single" w:sz="8" w:space="0" w:color="auto"/>
              <w:right w:val="single" w:sz="8" w:space="0" w:color="auto"/>
            </w:tcBorders>
            <w:shd w:val="clear" w:color="auto" w:fill="auto"/>
            <w:noWrap/>
            <w:vAlign w:val="center"/>
            <w:hideMark/>
          </w:tcPr>
          <w:p w14:paraId="62282DD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"Latvijas standarts"</w:t>
            </w:r>
          </w:p>
        </w:tc>
        <w:tc>
          <w:tcPr>
            <w:tcW w:w="1984" w:type="dxa"/>
            <w:tcBorders>
              <w:top w:val="nil"/>
              <w:left w:val="nil"/>
              <w:bottom w:val="single" w:sz="8" w:space="0" w:color="auto"/>
              <w:right w:val="single" w:sz="8" w:space="0" w:color="auto"/>
            </w:tcBorders>
            <w:shd w:val="clear" w:color="auto" w:fill="auto"/>
            <w:noWrap/>
            <w:vAlign w:val="center"/>
            <w:hideMark/>
          </w:tcPr>
          <w:p w14:paraId="3A73A65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336 551</w:t>
            </w:r>
          </w:p>
        </w:tc>
        <w:tc>
          <w:tcPr>
            <w:tcW w:w="1985" w:type="dxa"/>
            <w:tcBorders>
              <w:top w:val="nil"/>
              <w:left w:val="nil"/>
              <w:bottom w:val="single" w:sz="8" w:space="0" w:color="auto"/>
              <w:right w:val="single" w:sz="8" w:space="0" w:color="auto"/>
            </w:tcBorders>
            <w:shd w:val="clear" w:color="auto" w:fill="auto"/>
            <w:noWrap/>
            <w:vAlign w:val="center"/>
            <w:hideMark/>
          </w:tcPr>
          <w:p w14:paraId="01C2110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329 761</w:t>
            </w:r>
          </w:p>
        </w:tc>
        <w:tc>
          <w:tcPr>
            <w:tcW w:w="1843" w:type="dxa"/>
            <w:tcBorders>
              <w:top w:val="nil"/>
              <w:left w:val="nil"/>
              <w:bottom w:val="single" w:sz="8" w:space="0" w:color="auto"/>
              <w:right w:val="single" w:sz="8" w:space="0" w:color="auto"/>
            </w:tcBorders>
            <w:shd w:val="clear" w:color="auto" w:fill="auto"/>
            <w:noWrap/>
            <w:vAlign w:val="center"/>
            <w:hideMark/>
          </w:tcPr>
          <w:p w14:paraId="0D14322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6 790</w:t>
            </w:r>
          </w:p>
        </w:tc>
      </w:tr>
      <w:tr w:rsidR="0017127D" w:rsidRPr="0017127D" w14:paraId="0AD4C512"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581136E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32</w:t>
            </w:r>
          </w:p>
        </w:tc>
        <w:tc>
          <w:tcPr>
            <w:tcW w:w="7093" w:type="dxa"/>
            <w:tcBorders>
              <w:top w:val="nil"/>
              <w:left w:val="nil"/>
              <w:bottom w:val="single" w:sz="8" w:space="0" w:color="auto"/>
              <w:right w:val="single" w:sz="8" w:space="0" w:color="auto"/>
            </w:tcBorders>
            <w:shd w:val="clear" w:color="auto" w:fill="auto"/>
            <w:noWrap/>
            <w:vAlign w:val="center"/>
            <w:hideMark/>
          </w:tcPr>
          <w:p w14:paraId="27730C2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"Hiponia"</w:t>
            </w:r>
          </w:p>
        </w:tc>
        <w:tc>
          <w:tcPr>
            <w:tcW w:w="1984" w:type="dxa"/>
            <w:tcBorders>
              <w:top w:val="nil"/>
              <w:left w:val="nil"/>
              <w:bottom w:val="single" w:sz="8" w:space="0" w:color="auto"/>
              <w:right w:val="single" w:sz="8" w:space="0" w:color="auto"/>
            </w:tcBorders>
            <w:shd w:val="clear" w:color="auto" w:fill="auto"/>
            <w:noWrap/>
            <w:vAlign w:val="center"/>
            <w:hideMark/>
          </w:tcPr>
          <w:p w14:paraId="03A56F9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985" w:type="dxa"/>
            <w:tcBorders>
              <w:top w:val="nil"/>
              <w:left w:val="nil"/>
              <w:bottom w:val="single" w:sz="8" w:space="0" w:color="auto"/>
              <w:right w:val="single" w:sz="8" w:space="0" w:color="auto"/>
            </w:tcBorders>
            <w:shd w:val="clear" w:color="auto" w:fill="auto"/>
            <w:noWrap/>
            <w:vAlign w:val="center"/>
            <w:hideMark/>
          </w:tcPr>
          <w:p w14:paraId="7CB785C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843" w:type="dxa"/>
            <w:tcBorders>
              <w:top w:val="nil"/>
              <w:left w:val="nil"/>
              <w:bottom w:val="single" w:sz="8" w:space="0" w:color="auto"/>
              <w:right w:val="single" w:sz="8" w:space="0" w:color="auto"/>
            </w:tcBorders>
            <w:shd w:val="clear" w:color="auto" w:fill="auto"/>
            <w:noWrap/>
            <w:vAlign w:val="center"/>
            <w:hideMark/>
          </w:tcPr>
          <w:p w14:paraId="2794999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7A2376A8"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F98F22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33</w:t>
            </w:r>
          </w:p>
        </w:tc>
        <w:tc>
          <w:tcPr>
            <w:tcW w:w="7093" w:type="dxa"/>
            <w:tcBorders>
              <w:top w:val="nil"/>
              <w:left w:val="nil"/>
              <w:bottom w:val="single" w:sz="8" w:space="0" w:color="auto"/>
              <w:right w:val="single" w:sz="8" w:space="0" w:color="auto"/>
            </w:tcBorders>
            <w:shd w:val="clear" w:color="auto" w:fill="auto"/>
            <w:noWrap/>
            <w:vAlign w:val="center"/>
            <w:hideMark/>
          </w:tcPr>
          <w:p w14:paraId="498E4E8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"Reverta"</w:t>
            </w:r>
          </w:p>
        </w:tc>
        <w:tc>
          <w:tcPr>
            <w:tcW w:w="1984" w:type="dxa"/>
            <w:tcBorders>
              <w:top w:val="nil"/>
              <w:left w:val="nil"/>
              <w:bottom w:val="single" w:sz="8" w:space="0" w:color="auto"/>
              <w:right w:val="single" w:sz="8" w:space="0" w:color="auto"/>
            </w:tcBorders>
            <w:shd w:val="clear" w:color="auto" w:fill="auto"/>
            <w:noWrap/>
            <w:vAlign w:val="center"/>
            <w:hideMark/>
          </w:tcPr>
          <w:p w14:paraId="7367901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985" w:type="dxa"/>
            <w:tcBorders>
              <w:top w:val="nil"/>
              <w:left w:val="nil"/>
              <w:bottom w:val="single" w:sz="8" w:space="0" w:color="auto"/>
              <w:right w:val="single" w:sz="8" w:space="0" w:color="auto"/>
            </w:tcBorders>
            <w:shd w:val="clear" w:color="auto" w:fill="auto"/>
            <w:noWrap/>
            <w:vAlign w:val="center"/>
            <w:hideMark/>
          </w:tcPr>
          <w:p w14:paraId="6710D17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843" w:type="dxa"/>
            <w:tcBorders>
              <w:top w:val="nil"/>
              <w:left w:val="nil"/>
              <w:bottom w:val="single" w:sz="8" w:space="0" w:color="auto"/>
              <w:right w:val="single" w:sz="8" w:space="0" w:color="auto"/>
            </w:tcBorders>
            <w:shd w:val="clear" w:color="auto" w:fill="auto"/>
            <w:noWrap/>
            <w:vAlign w:val="center"/>
            <w:hideMark/>
          </w:tcPr>
          <w:p w14:paraId="0B41E60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71B23199"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3D8C077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34</w:t>
            </w:r>
          </w:p>
        </w:tc>
        <w:tc>
          <w:tcPr>
            <w:tcW w:w="7093" w:type="dxa"/>
            <w:tcBorders>
              <w:top w:val="nil"/>
              <w:left w:val="nil"/>
              <w:bottom w:val="single" w:sz="8" w:space="0" w:color="auto"/>
              <w:right w:val="single" w:sz="8" w:space="0" w:color="auto"/>
            </w:tcBorders>
            <w:shd w:val="clear" w:color="auto" w:fill="auto"/>
            <w:noWrap/>
            <w:vAlign w:val="center"/>
            <w:hideMark/>
          </w:tcPr>
          <w:p w14:paraId="4008150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"FeLM"</w:t>
            </w:r>
          </w:p>
        </w:tc>
        <w:tc>
          <w:tcPr>
            <w:tcW w:w="1984" w:type="dxa"/>
            <w:tcBorders>
              <w:top w:val="nil"/>
              <w:left w:val="nil"/>
              <w:bottom w:val="single" w:sz="8" w:space="0" w:color="auto"/>
              <w:right w:val="single" w:sz="8" w:space="0" w:color="auto"/>
            </w:tcBorders>
            <w:shd w:val="clear" w:color="auto" w:fill="auto"/>
            <w:noWrap/>
            <w:vAlign w:val="center"/>
            <w:hideMark/>
          </w:tcPr>
          <w:p w14:paraId="111ADC5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985" w:type="dxa"/>
            <w:tcBorders>
              <w:top w:val="nil"/>
              <w:left w:val="nil"/>
              <w:bottom w:val="single" w:sz="8" w:space="0" w:color="auto"/>
              <w:right w:val="single" w:sz="8" w:space="0" w:color="auto"/>
            </w:tcBorders>
            <w:shd w:val="clear" w:color="auto" w:fill="auto"/>
            <w:noWrap/>
            <w:vAlign w:val="center"/>
            <w:hideMark/>
          </w:tcPr>
          <w:p w14:paraId="4E83138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39300</w:t>
            </w:r>
          </w:p>
        </w:tc>
        <w:tc>
          <w:tcPr>
            <w:tcW w:w="1843" w:type="dxa"/>
            <w:tcBorders>
              <w:top w:val="nil"/>
              <w:left w:val="nil"/>
              <w:bottom w:val="single" w:sz="8" w:space="0" w:color="auto"/>
              <w:right w:val="single" w:sz="8" w:space="0" w:color="auto"/>
            </w:tcBorders>
            <w:shd w:val="clear" w:color="auto" w:fill="auto"/>
            <w:noWrap/>
            <w:vAlign w:val="center"/>
            <w:hideMark/>
          </w:tcPr>
          <w:p w14:paraId="1590DE7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-39300</w:t>
            </w:r>
          </w:p>
        </w:tc>
      </w:tr>
      <w:tr w:rsidR="0017127D" w:rsidRPr="0017127D" w14:paraId="447F29A1"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5C259C4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35</w:t>
            </w:r>
          </w:p>
        </w:tc>
        <w:tc>
          <w:tcPr>
            <w:tcW w:w="7093" w:type="dxa"/>
            <w:tcBorders>
              <w:top w:val="nil"/>
              <w:left w:val="nil"/>
              <w:bottom w:val="single" w:sz="8" w:space="0" w:color="auto"/>
              <w:right w:val="single" w:sz="8" w:space="0" w:color="auto"/>
            </w:tcBorders>
            <w:shd w:val="clear" w:color="auto" w:fill="auto"/>
            <w:noWrap/>
            <w:vAlign w:val="center"/>
            <w:hideMark/>
          </w:tcPr>
          <w:p w14:paraId="29E99754"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“Publisko aktīvu pārvaldītājs Possessor”</w:t>
            </w:r>
          </w:p>
        </w:tc>
        <w:tc>
          <w:tcPr>
            <w:tcW w:w="1984" w:type="dxa"/>
            <w:tcBorders>
              <w:top w:val="nil"/>
              <w:left w:val="nil"/>
              <w:bottom w:val="single" w:sz="8" w:space="0" w:color="auto"/>
              <w:right w:val="single" w:sz="8" w:space="0" w:color="auto"/>
            </w:tcBorders>
            <w:shd w:val="clear" w:color="auto" w:fill="auto"/>
            <w:noWrap/>
            <w:vAlign w:val="center"/>
            <w:hideMark/>
          </w:tcPr>
          <w:p w14:paraId="015F403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2 252 018</w:t>
            </w:r>
          </w:p>
        </w:tc>
        <w:tc>
          <w:tcPr>
            <w:tcW w:w="1985" w:type="dxa"/>
            <w:tcBorders>
              <w:top w:val="nil"/>
              <w:left w:val="nil"/>
              <w:bottom w:val="single" w:sz="8" w:space="0" w:color="auto"/>
              <w:right w:val="single" w:sz="8" w:space="0" w:color="auto"/>
            </w:tcBorders>
            <w:shd w:val="clear" w:color="auto" w:fill="auto"/>
            <w:noWrap/>
            <w:vAlign w:val="center"/>
            <w:hideMark/>
          </w:tcPr>
          <w:p w14:paraId="3E2E670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2 230 594</w:t>
            </w:r>
          </w:p>
        </w:tc>
        <w:tc>
          <w:tcPr>
            <w:tcW w:w="1843" w:type="dxa"/>
            <w:tcBorders>
              <w:top w:val="nil"/>
              <w:left w:val="nil"/>
              <w:bottom w:val="single" w:sz="8" w:space="0" w:color="auto"/>
              <w:right w:val="single" w:sz="8" w:space="0" w:color="auto"/>
            </w:tcBorders>
            <w:shd w:val="clear" w:color="auto" w:fill="auto"/>
            <w:noWrap/>
            <w:vAlign w:val="center"/>
            <w:hideMark/>
          </w:tcPr>
          <w:p w14:paraId="1532449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21 424</w:t>
            </w:r>
          </w:p>
        </w:tc>
      </w:tr>
      <w:tr w:rsidR="0017127D" w:rsidRPr="0017127D" w14:paraId="2305FCE8"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5D6CE33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36</w:t>
            </w:r>
          </w:p>
        </w:tc>
        <w:tc>
          <w:tcPr>
            <w:tcW w:w="7093" w:type="dxa"/>
            <w:tcBorders>
              <w:top w:val="nil"/>
              <w:left w:val="nil"/>
              <w:bottom w:val="single" w:sz="8" w:space="0" w:color="auto"/>
              <w:right w:val="single" w:sz="8" w:space="0" w:color="auto"/>
            </w:tcBorders>
            <w:shd w:val="clear" w:color="auto" w:fill="auto"/>
            <w:noWrap/>
            <w:vAlign w:val="center"/>
            <w:hideMark/>
          </w:tcPr>
          <w:p w14:paraId="3555E477"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"REAP"</w:t>
            </w:r>
          </w:p>
        </w:tc>
        <w:tc>
          <w:tcPr>
            <w:tcW w:w="1984" w:type="dxa"/>
            <w:tcBorders>
              <w:top w:val="nil"/>
              <w:left w:val="nil"/>
              <w:bottom w:val="single" w:sz="8" w:space="0" w:color="auto"/>
              <w:right w:val="single" w:sz="8" w:space="0" w:color="auto"/>
            </w:tcBorders>
            <w:shd w:val="clear" w:color="auto" w:fill="auto"/>
            <w:noWrap/>
            <w:vAlign w:val="center"/>
            <w:hideMark/>
          </w:tcPr>
          <w:p w14:paraId="3B2A6C2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985" w:type="dxa"/>
            <w:tcBorders>
              <w:top w:val="nil"/>
              <w:left w:val="nil"/>
              <w:bottom w:val="single" w:sz="8" w:space="0" w:color="auto"/>
              <w:right w:val="single" w:sz="8" w:space="0" w:color="auto"/>
            </w:tcBorders>
            <w:shd w:val="clear" w:color="auto" w:fill="auto"/>
            <w:noWrap/>
            <w:vAlign w:val="center"/>
            <w:hideMark/>
          </w:tcPr>
          <w:p w14:paraId="658382C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195 200</w:t>
            </w:r>
          </w:p>
        </w:tc>
        <w:tc>
          <w:tcPr>
            <w:tcW w:w="1843" w:type="dxa"/>
            <w:tcBorders>
              <w:top w:val="nil"/>
              <w:left w:val="nil"/>
              <w:bottom w:val="single" w:sz="8" w:space="0" w:color="auto"/>
              <w:right w:val="single" w:sz="8" w:space="0" w:color="auto"/>
            </w:tcBorders>
            <w:shd w:val="clear" w:color="auto" w:fill="auto"/>
            <w:noWrap/>
            <w:vAlign w:val="center"/>
            <w:hideMark/>
          </w:tcPr>
          <w:p w14:paraId="013D2D7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-195200</w:t>
            </w:r>
          </w:p>
        </w:tc>
      </w:tr>
      <w:tr w:rsidR="0017127D" w:rsidRPr="0017127D" w14:paraId="789669CF"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37C41F7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37</w:t>
            </w:r>
          </w:p>
        </w:tc>
        <w:tc>
          <w:tcPr>
            <w:tcW w:w="7093" w:type="dxa"/>
            <w:tcBorders>
              <w:top w:val="nil"/>
              <w:left w:val="nil"/>
              <w:bottom w:val="single" w:sz="8" w:space="0" w:color="auto"/>
              <w:right w:val="single" w:sz="8" w:space="0" w:color="auto"/>
            </w:tcBorders>
            <w:shd w:val="clear" w:color="auto" w:fill="auto"/>
            <w:noWrap/>
            <w:vAlign w:val="center"/>
            <w:hideMark/>
          </w:tcPr>
          <w:p w14:paraId="79F896C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„Enerģijas publiskais tirgotājs”</w:t>
            </w:r>
          </w:p>
        </w:tc>
        <w:tc>
          <w:tcPr>
            <w:tcW w:w="1984" w:type="dxa"/>
            <w:tcBorders>
              <w:top w:val="nil"/>
              <w:left w:val="nil"/>
              <w:bottom w:val="single" w:sz="8" w:space="0" w:color="auto"/>
              <w:right w:val="single" w:sz="8" w:space="0" w:color="auto"/>
            </w:tcBorders>
            <w:shd w:val="clear" w:color="auto" w:fill="auto"/>
            <w:noWrap/>
            <w:vAlign w:val="center"/>
            <w:hideMark/>
          </w:tcPr>
          <w:p w14:paraId="50BE01D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109 746 464</w:t>
            </w:r>
          </w:p>
        </w:tc>
        <w:tc>
          <w:tcPr>
            <w:tcW w:w="1985" w:type="dxa"/>
            <w:tcBorders>
              <w:top w:val="nil"/>
              <w:left w:val="nil"/>
              <w:bottom w:val="single" w:sz="8" w:space="0" w:color="auto"/>
              <w:right w:val="single" w:sz="8" w:space="0" w:color="auto"/>
            </w:tcBorders>
            <w:shd w:val="clear" w:color="auto" w:fill="auto"/>
            <w:noWrap/>
            <w:vAlign w:val="center"/>
            <w:hideMark/>
          </w:tcPr>
          <w:p w14:paraId="2459D7D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101 130 700</w:t>
            </w:r>
          </w:p>
        </w:tc>
        <w:tc>
          <w:tcPr>
            <w:tcW w:w="1843" w:type="dxa"/>
            <w:tcBorders>
              <w:top w:val="nil"/>
              <w:left w:val="nil"/>
              <w:bottom w:val="single" w:sz="8" w:space="0" w:color="auto"/>
              <w:right w:val="single" w:sz="8" w:space="0" w:color="auto"/>
            </w:tcBorders>
            <w:shd w:val="clear" w:color="auto" w:fill="auto"/>
            <w:noWrap/>
            <w:vAlign w:val="center"/>
            <w:hideMark/>
          </w:tcPr>
          <w:p w14:paraId="25BA568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8 615 764</w:t>
            </w:r>
          </w:p>
        </w:tc>
      </w:tr>
      <w:tr w:rsidR="0017127D" w:rsidRPr="0017127D" w14:paraId="5C134F86"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3D66123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38</w:t>
            </w:r>
          </w:p>
        </w:tc>
        <w:tc>
          <w:tcPr>
            <w:tcW w:w="7093" w:type="dxa"/>
            <w:tcBorders>
              <w:top w:val="nil"/>
              <w:left w:val="nil"/>
              <w:bottom w:val="single" w:sz="8" w:space="0" w:color="auto"/>
              <w:right w:val="single" w:sz="8" w:space="0" w:color="auto"/>
            </w:tcBorders>
            <w:shd w:val="clear" w:color="auto" w:fill="auto"/>
            <w:noWrap/>
            <w:vAlign w:val="center"/>
            <w:hideMark/>
          </w:tcPr>
          <w:p w14:paraId="0FD50CDE"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“Bobsleja un kamaniņu trase”</w:t>
            </w:r>
          </w:p>
        </w:tc>
        <w:tc>
          <w:tcPr>
            <w:tcW w:w="1984" w:type="dxa"/>
            <w:tcBorders>
              <w:top w:val="nil"/>
              <w:left w:val="nil"/>
              <w:bottom w:val="single" w:sz="8" w:space="0" w:color="auto"/>
              <w:right w:val="single" w:sz="8" w:space="0" w:color="auto"/>
            </w:tcBorders>
            <w:shd w:val="clear" w:color="auto" w:fill="auto"/>
            <w:noWrap/>
            <w:vAlign w:val="center"/>
            <w:hideMark/>
          </w:tcPr>
          <w:p w14:paraId="7B5B480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572 000</w:t>
            </w:r>
          </w:p>
        </w:tc>
        <w:tc>
          <w:tcPr>
            <w:tcW w:w="1985" w:type="dxa"/>
            <w:tcBorders>
              <w:top w:val="nil"/>
              <w:left w:val="nil"/>
              <w:bottom w:val="single" w:sz="8" w:space="0" w:color="auto"/>
              <w:right w:val="single" w:sz="8" w:space="0" w:color="auto"/>
            </w:tcBorders>
            <w:shd w:val="clear" w:color="auto" w:fill="auto"/>
            <w:noWrap/>
            <w:vAlign w:val="center"/>
            <w:hideMark/>
          </w:tcPr>
          <w:p w14:paraId="77E8561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798 700</w:t>
            </w:r>
          </w:p>
        </w:tc>
        <w:tc>
          <w:tcPr>
            <w:tcW w:w="1843" w:type="dxa"/>
            <w:tcBorders>
              <w:top w:val="nil"/>
              <w:left w:val="nil"/>
              <w:bottom w:val="single" w:sz="8" w:space="0" w:color="auto"/>
              <w:right w:val="single" w:sz="8" w:space="0" w:color="auto"/>
            </w:tcBorders>
            <w:shd w:val="clear" w:color="auto" w:fill="auto"/>
            <w:noWrap/>
            <w:vAlign w:val="center"/>
            <w:hideMark/>
          </w:tcPr>
          <w:p w14:paraId="273CA1A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-226 700</w:t>
            </w:r>
          </w:p>
        </w:tc>
      </w:tr>
      <w:tr w:rsidR="0017127D" w:rsidRPr="0017127D" w14:paraId="353E8D1E"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6BDEB42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39</w:t>
            </w:r>
          </w:p>
        </w:tc>
        <w:tc>
          <w:tcPr>
            <w:tcW w:w="7093" w:type="dxa"/>
            <w:tcBorders>
              <w:top w:val="nil"/>
              <w:left w:val="nil"/>
              <w:bottom w:val="single" w:sz="8" w:space="0" w:color="auto"/>
              <w:right w:val="single" w:sz="8" w:space="0" w:color="auto"/>
            </w:tcBorders>
            <w:shd w:val="clear" w:color="auto" w:fill="auto"/>
            <w:noWrap/>
            <w:vAlign w:val="center"/>
            <w:hideMark/>
          </w:tcPr>
          <w:p w14:paraId="59B2FCC9"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"Rīgas Tūrisma un radošās industrijas tehnikums"</w:t>
            </w:r>
          </w:p>
        </w:tc>
        <w:tc>
          <w:tcPr>
            <w:tcW w:w="1984" w:type="dxa"/>
            <w:tcBorders>
              <w:top w:val="nil"/>
              <w:left w:val="nil"/>
              <w:bottom w:val="single" w:sz="8" w:space="0" w:color="auto"/>
              <w:right w:val="single" w:sz="8" w:space="0" w:color="auto"/>
            </w:tcBorders>
            <w:shd w:val="clear" w:color="auto" w:fill="auto"/>
            <w:noWrap/>
            <w:vAlign w:val="center"/>
            <w:hideMark/>
          </w:tcPr>
          <w:p w14:paraId="42988E2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750 000</w:t>
            </w:r>
          </w:p>
        </w:tc>
        <w:tc>
          <w:tcPr>
            <w:tcW w:w="1985" w:type="dxa"/>
            <w:tcBorders>
              <w:top w:val="nil"/>
              <w:left w:val="nil"/>
              <w:bottom w:val="single" w:sz="8" w:space="0" w:color="auto"/>
              <w:right w:val="single" w:sz="8" w:space="0" w:color="auto"/>
            </w:tcBorders>
            <w:shd w:val="clear" w:color="auto" w:fill="auto"/>
            <w:noWrap/>
            <w:vAlign w:val="center"/>
            <w:hideMark/>
          </w:tcPr>
          <w:p w14:paraId="71922D8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718 000</w:t>
            </w:r>
          </w:p>
        </w:tc>
        <w:tc>
          <w:tcPr>
            <w:tcW w:w="1843" w:type="dxa"/>
            <w:tcBorders>
              <w:top w:val="nil"/>
              <w:left w:val="nil"/>
              <w:bottom w:val="single" w:sz="8" w:space="0" w:color="auto"/>
              <w:right w:val="single" w:sz="8" w:space="0" w:color="auto"/>
            </w:tcBorders>
            <w:shd w:val="clear" w:color="auto" w:fill="auto"/>
            <w:noWrap/>
            <w:vAlign w:val="center"/>
            <w:hideMark/>
          </w:tcPr>
          <w:p w14:paraId="0FEA940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32 000</w:t>
            </w:r>
          </w:p>
        </w:tc>
      </w:tr>
      <w:tr w:rsidR="0017127D" w:rsidRPr="0017127D" w14:paraId="71799F33"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3BB87BE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40</w:t>
            </w:r>
          </w:p>
        </w:tc>
        <w:tc>
          <w:tcPr>
            <w:tcW w:w="7093" w:type="dxa"/>
            <w:tcBorders>
              <w:top w:val="nil"/>
              <w:left w:val="nil"/>
              <w:bottom w:val="single" w:sz="8" w:space="0" w:color="auto"/>
              <w:right w:val="single" w:sz="8" w:space="0" w:color="auto"/>
            </w:tcBorders>
            <w:shd w:val="clear" w:color="auto" w:fill="auto"/>
            <w:noWrap/>
            <w:vAlign w:val="center"/>
            <w:hideMark/>
          </w:tcPr>
          <w:p w14:paraId="2F7756F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"Kultūras un sporta centrs "Daugavas stadions""</w:t>
            </w:r>
          </w:p>
        </w:tc>
        <w:tc>
          <w:tcPr>
            <w:tcW w:w="1984" w:type="dxa"/>
            <w:tcBorders>
              <w:top w:val="nil"/>
              <w:left w:val="nil"/>
              <w:bottom w:val="single" w:sz="8" w:space="0" w:color="auto"/>
              <w:right w:val="single" w:sz="8" w:space="0" w:color="auto"/>
            </w:tcBorders>
            <w:shd w:val="clear" w:color="auto" w:fill="auto"/>
            <w:noWrap/>
            <w:vAlign w:val="center"/>
            <w:hideMark/>
          </w:tcPr>
          <w:p w14:paraId="1050251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2 127 820</w:t>
            </w:r>
          </w:p>
        </w:tc>
        <w:tc>
          <w:tcPr>
            <w:tcW w:w="1985" w:type="dxa"/>
            <w:tcBorders>
              <w:top w:val="nil"/>
              <w:left w:val="nil"/>
              <w:bottom w:val="single" w:sz="8" w:space="0" w:color="auto"/>
              <w:right w:val="single" w:sz="8" w:space="0" w:color="auto"/>
            </w:tcBorders>
            <w:shd w:val="clear" w:color="auto" w:fill="auto"/>
            <w:noWrap/>
            <w:vAlign w:val="center"/>
            <w:hideMark/>
          </w:tcPr>
          <w:p w14:paraId="6DAB914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1 120 175</w:t>
            </w:r>
          </w:p>
        </w:tc>
        <w:tc>
          <w:tcPr>
            <w:tcW w:w="1843" w:type="dxa"/>
            <w:tcBorders>
              <w:top w:val="nil"/>
              <w:left w:val="nil"/>
              <w:bottom w:val="single" w:sz="8" w:space="0" w:color="auto"/>
              <w:right w:val="single" w:sz="8" w:space="0" w:color="auto"/>
            </w:tcBorders>
            <w:shd w:val="clear" w:color="auto" w:fill="auto"/>
            <w:noWrap/>
            <w:vAlign w:val="center"/>
            <w:hideMark/>
          </w:tcPr>
          <w:p w14:paraId="69F1849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1 007 646</w:t>
            </w:r>
          </w:p>
        </w:tc>
      </w:tr>
      <w:tr w:rsidR="0017127D" w:rsidRPr="0017127D" w14:paraId="6BAC9A14"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61DD66C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41</w:t>
            </w:r>
          </w:p>
        </w:tc>
        <w:tc>
          <w:tcPr>
            <w:tcW w:w="7093" w:type="dxa"/>
            <w:tcBorders>
              <w:top w:val="nil"/>
              <w:left w:val="nil"/>
              <w:bottom w:val="single" w:sz="8" w:space="0" w:color="auto"/>
              <w:right w:val="single" w:sz="8" w:space="0" w:color="auto"/>
            </w:tcBorders>
            <w:shd w:val="clear" w:color="auto" w:fill="auto"/>
            <w:noWrap/>
            <w:vAlign w:val="center"/>
            <w:hideMark/>
          </w:tcPr>
          <w:p w14:paraId="05BBE47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xml:space="preserve">SIA "Lielstraupes pils" </w:t>
            </w:r>
          </w:p>
        </w:tc>
        <w:tc>
          <w:tcPr>
            <w:tcW w:w="1984" w:type="dxa"/>
            <w:tcBorders>
              <w:top w:val="nil"/>
              <w:left w:val="nil"/>
              <w:bottom w:val="single" w:sz="8" w:space="0" w:color="auto"/>
              <w:right w:val="single" w:sz="8" w:space="0" w:color="auto"/>
            </w:tcBorders>
            <w:shd w:val="clear" w:color="auto" w:fill="auto"/>
            <w:noWrap/>
            <w:vAlign w:val="center"/>
            <w:hideMark/>
          </w:tcPr>
          <w:p w14:paraId="14376CD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985" w:type="dxa"/>
            <w:tcBorders>
              <w:top w:val="nil"/>
              <w:left w:val="nil"/>
              <w:bottom w:val="single" w:sz="8" w:space="0" w:color="auto"/>
              <w:right w:val="single" w:sz="8" w:space="0" w:color="auto"/>
            </w:tcBorders>
            <w:shd w:val="clear" w:color="auto" w:fill="auto"/>
            <w:noWrap/>
            <w:vAlign w:val="center"/>
            <w:hideMark/>
          </w:tcPr>
          <w:p w14:paraId="2D581B6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843" w:type="dxa"/>
            <w:tcBorders>
              <w:top w:val="nil"/>
              <w:left w:val="nil"/>
              <w:bottom w:val="single" w:sz="8" w:space="0" w:color="auto"/>
              <w:right w:val="single" w:sz="8" w:space="0" w:color="auto"/>
            </w:tcBorders>
            <w:shd w:val="clear" w:color="auto" w:fill="auto"/>
            <w:noWrap/>
            <w:vAlign w:val="center"/>
            <w:hideMark/>
          </w:tcPr>
          <w:p w14:paraId="281FEBF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03200202"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579FDD5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42</w:t>
            </w:r>
          </w:p>
        </w:tc>
        <w:tc>
          <w:tcPr>
            <w:tcW w:w="7093" w:type="dxa"/>
            <w:tcBorders>
              <w:top w:val="nil"/>
              <w:left w:val="nil"/>
              <w:bottom w:val="single" w:sz="8" w:space="0" w:color="auto"/>
              <w:right w:val="single" w:sz="8" w:space="0" w:color="auto"/>
            </w:tcBorders>
            <w:shd w:val="clear" w:color="auto" w:fill="auto"/>
            <w:noWrap/>
            <w:vAlign w:val="center"/>
            <w:hideMark/>
          </w:tcPr>
          <w:p w14:paraId="2AFA1D35"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"Veselības centra "Biķernieki""</w:t>
            </w:r>
          </w:p>
        </w:tc>
        <w:tc>
          <w:tcPr>
            <w:tcW w:w="1984" w:type="dxa"/>
            <w:tcBorders>
              <w:top w:val="nil"/>
              <w:left w:val="nil"/>
              <w:bottom w:val="single" w:sz="8" w:space="0" w:color="auto"/>
              <w:right w:val="single" w:sz="8" w:space="0" w:color="auto"/>
            </w:tcBorders>
            <w:shd w:val="clear" w:color="auto" w:fill="auto"/>
            <w:noWrap/>
            <w:vAlign w:val="center"/>
            <w:hideMark/>
          </w:tcPr>
          <w:p w14:paraId="583F373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2 400 480</w:t>
            </w:r>
          </w:p>
        </w:tc>
        <w:tc>
          <w:tcPr>
            <w:tcW w:w="1985" w:type="dxa"/>
            <w:tcBorders>
              <w:top w:val="nil"/>
              <w:left w:val="nil"/>
              <w:bottom w:val="single" w:sz="8" w:space="0" w:color="auto"/>
              <w:right w:val="single" w:sz="8" w:space="0" w:color="auto"/>
            </w:tcBorders>
            <w:shd w:val="clear" w:color="auto" w:fill="auto"/>
            <w:noWrap/>
            <w:vAlign w:val="center"/>
            <w:hideMark/>
          </w:tcPr>
          <w:p w14:paraId="0C37402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2 396 966</w:t>
            </w:r>
          </w:p>
        </w:tc>
        <w:tc>
          <w:tcPr>
            <w:tcW w:w="1843" w:type="dxa"/>
            <w:tcBorders>
              <w:top w:val="nil"/>
              <w:left w:val="nil"/>
              <w:bottom w:val="single" w:sz="8" w:space="0" w:color="auto"/>
              <w:right w:val="single" w:sz="8" w:space="0" w:color="auto"/>
            </w:tcBorders>
            <w:shd w:val="clear" w:color="auto" w:fill="auto"/>
            <w:noWrap/>
            <w:vAlign w:val="center"/>
            <w:hideMark/>
          </w:tcPr>
          <w:p w14:paraId="3EA60BD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3 514</w:t>
            </w:r>
          </w:p>
        </w:tc>
      </w:tr>
      <w:tr w:rsidR="0017127D" w:rsidRPr="0017127D" w14:paraId="5B3F995F"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7DF9B93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43</w:t>
            </w:r>
          </w:p>
        </w:tc>
        <w:tc>
          <w:tcPr>
            <w:tcW w:w="7093" w:type="dxa"/>
            <w:tcBorders>
              <w:top w:val="nil"/>
              <w:left w:val="nil"/>
              <w:bottom w:val="single" w:sz="8" w:space="0" w:color="auto"/>
              <w:right w:val="single" w:sz="8" w:space="0" w:color="auto"/>
            </w:tcBorders>
            <w:shd w:val="clear" w:color="auto" w:fill="auto"/>
            <w:noWrap/>
            <w:vAlign w:val="center"/>
            <w:hideMark/>
          </w:tcPr>
          <w:p w14:paraId="7043D03E"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"Ludzas medicīnas centrs"</w:t>
            </w:r>
          </w:p>
        </w:tc>
        <w:tc>
          <w:tcPr>
            <w:tcW w:w="1984" w:type="dxa"/>
            <w:tcBorders>
              <w:top w:val="nil"/>
              <w:left w:val="nil"/>
              <w:bottom w:val="single" w:sz="8" w:space="0" w:color="auto"/>
              <w:right w:val="single" w:sz="8" w:space="0" w:color="auto"/>
            </w:tcBorders>
            <w:shd w:val="clear" w:color="auto" w:fill="auto"/>
            <w:noWrap/>
            <w:vAlign w:val="center"/>
            <w:hideMark/>
          </w:tcPr>
          <w:p w14:paraId="7498DA2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3 500 000</w:t>
            </w:r>
          </w:p>
        </w:tc>
        <w:tc>
          <w:tcPr>
            <w:tcW w:w="1985" w:type="dxa"/>
            <w:tcBorders>
              <w:top w:val="nil"/>
              <w:left w:val="nil"/>
              <w:bottom w:val="single" w:sz="8" w:space="0" w:color="auto"/>
              <w:right w:val="single" w:sz="8" w:space="0" w:color="auto"/>
            </w:tcBorders>
            <w:shd w:val="clear" w:color="auto" w:fill="auto"/>
            <w:noWrap/>
            <w:vAlign w:val="center"/>
            <w:hideMark/>
          </w:tcPr>
          <w:p w14:paraId="26F4E45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3 310 000</w:t>
            </w:r>
          </w:p>
        </w:tc>
        <w:tc>
          <w:tcPr>
            <w:tcW w:w="1843" w:type="dxa"/>
            <w:tcBorders>
              <w:top w:val="nil"/>
              <w:left w:val="nil"/>
              <w:bottom w:val="single" w:sz="8" w:space="0" w:color="auto"/>
              <w:right w:val="single" w:sz="8" w:space="0" w:color="auto"/>
            </w:tcBorders>
            <w:shd w:val="clear" w:color="auto" w:fill="auto"/>
            <w:noWrap/>
            <w:vAlign w:val="center"/>
            <w:hideMark/>
          </w:tcPr>
          <w:p w14:paraId="1BE92BB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190 000</w:t>
            </w:r>
          </w:p>
        </w:tc>
      </w:tr>
      <w:tr w:rsidR="0017127D" w:rsidRPr="0017127D" w14:paraId="7EABC069"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31EBB5B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44</w:t>
            </w:r>
          </w:p>
        </w:tc>
        <w:tc>
          <w:tcPr>
            <w:tcW w:w="7093" w:type="dxa"/>
            <w:tcBorders>
              <w:top w:val="nil"/>
              <w:left w:val="nil"/>
              <w:bottom w:val="single" w:sz="8" w:space="0" w:color="auto"/>
              <w:right w:val="single" w:sz="8" w:space="0" w:color="auto"/>
            </w:tcBorders>
            <w:shd w:val="clear" w:color="auto" w:fill="auto"/>
            <w:noWrap/>
            <w:vAlign w:val="center"/>
            <w:hideMark/>
          </w:tcPr>
          <w:p w14:paraId="3AA61B85"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Bērnu psihoneiroloģiskā slimnīcā "Ainaži"</w:t>
            </w:r>
          </w:p>
        </w:tc>
        <w:tc>
          <w:tcPr>
            <w:tcW w:w="1984" w:type="dxa"/>
            <w:tcBorders>
              <w:top w:val="nil"/>
              <w:left w:val="nil"/>
              <w:bottom w:val="single" w:sz="8" w:space="0" w:color="auto"/>
              <w:right w:val="single" w:sz="8" w:space="0" w:color="auto"/>
            </w:tcBorders>
            <w:shd w:val="clear" w:color="auto" w:fill="auto"/>
            <w:noWrap/>
            <w:vAlign w:val="center"/>
            <w:hideMark/>
          </w:tcPr>
          <w:p w14:paraId="117A9D7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1 850 000</w:t>
            </w:r>
          </w:p>
        </w:tc>
        <w:tc>
          <w:tcPr>
            <w:tcW w:w="1985" w:type="dxa"/>
            <w:tcBorders>
              <w:top w:val="nil"/>
              <w:left w:val="nil"/>
              <w:bottom w:val="single" w:sz="8" w:space="0" w:color="auto"/>
              <w:right w:val="single" w:sz="8" w:space="0" w:color="auto"/>
            </w:tcBorders>
            <w:shd w:val="clear" w:color="auto" w:fill="auto"/>
            <w:noWrap/>
            <w:vAlign w:val="center"/>
            <w:hideMark/>
          </w:tcPr>
          <w:p w14:paraId="27F7205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1 788 971</w:t>
            </w:r>
          </w:p>
        </w:tc>
        <w:tc>
          <w:tcPr>
            <w:tcW w:w="1843" w:type="dxa"/>
            <w:tcBorders>
              <w:top w:val="nil"/>
              <w:left w:val="nil"/>
              <w:bottom w:val="single" w:sz="8" w:space="0" w:color="auto"/>
              <w:right w:val="single" w:sz="8" w:space="0" w:color="auto"/>
            </w:tcBorders>
            <w:shd w:val="clear" w:color="auto" w:fill="auto"/>
            <w:noWrap/>
            <w:vAlign w:val="center"/>
            <w:hideMark/>
          </w:tcPr>
          <w:p w14:paraId="4EA0821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61 029</w:t>
            </w:r>
          </w:p>
        </w:tc>
      </w:tr>
      <w:tr w:rsidR="0017127D" w:rsidRPr="0017127D" w14:paraId="1031D284"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E01795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45</w:t>
            </w:r>
          </w:p>
        </w:tc>
        <w:tc>
          <w:tcPr>
            <w:tcW w:w="7093" w:type="dxa"/>
            <w:tcBorders>
              <w:top w:val="nil"/>
              <w:left w:val="nil"/>
              <w:bottom w:val="single" w:sz="8" w:space="0" w:color="auto"/>
              <w:right w:val="single" w:sz="8" w:space="0" w:color="auto"/>
            </w:tcBorders>
            <w:shd w:val="clear" w:color="auto" w:fill="auto"/>
            <w:noWrap/>
            <w:vAlign w:val="center"/>
            <w:hideMark/>
          </w:tcPr>
          <w:p w14:paraId="3999394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"Aknīstes psihoneiroloģiskā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463637F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985" w:type="dxa"/>
            <w:tcBorders>
              <w:top w:val="nil"/>
              <w:left w:val="nil"/>
              <w:bottom w:val="single" w:sz="8" w:space="0" w:color="auto"/>
              <w:right w:val="single" w:sz="8" w:space="0" w:color="auto"/>
            </w:tcBorders>
            <w:shd w:val="clear" w:color="auto" w:fill="auto"/>
            <w:noWrap/>
            <w:vAlign w:val="center"/>
            <w:hideMark/>
          </w:tcPr>
          <w:p w14:paraId="290F131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843" w:type="dxa"/>
            <w:tcBorders>
              <w:top w:val="nil"/>
              <w:left w:val="nil"/>
              <w:bottom w:val="single" w:sz="8" w:space="0" w:color="auto"/>
              <w:right w:val="single" w:sz="8" w:space="0" w:color="auto"/>
            </w:tcBorders>
            <w:shd w:val="clear" w:color="auto" w:fill="auto"/>
            <w:noWrap/>
            <w:vAlign w:val="center"/>
            <w:hideMark/>
          </w:tcPr>
          <w:p w14:paraId="425D4BC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6A9D7B87"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6265B9A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46</w:t>
            </w:r>
          </w:p>
        </w:tc>
        <w:tc>
          <w:tcPr>
            <w:tcW w:w="7093" w:type="dxa"/>
            <w:tcBorders>
              <w:top w:val="nil"/>
              <w:left w:val="nil"/>
              <w:bottom w:val="single" w:sz="8" w:space="0" w:color="auto"/>
              <w:right w:val="single" w:sz="8" w:space="0" w:color="auto"/>
            </w:tcBorders>
            <w:shd w:val="clear" w:color="auto" w:fill="auto"/>
            <w:noWrap/>
            <w:vAlign w:val="center"/>
            <w:hideMark/>
          </w:tcPr>
          <w:p w14:paraId="739092EF"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"Piejūras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0C61D56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4 899 000</w:t>
            </w:r>
          </w:p>
        </w:tc>
        <w:tc>
          <w:tcPr>
            <w:tcW w:w="1985" w:type="dxa"/>
            <w:tcBorders>
              <w:top w:val="nil"/>
              <w:left w:val="nil"/>
              <w:bottom w:val="single" w:sz="8" w:space="0" w:color="auto"/>
              <w:right w:val="single" w:sz="8" w:space="0" w:color="auto"/>
            </w:tcBorders>
            <w:shd w:val="clear" w:color="auto" w:fill="auto"/>
            <w:noWrap/>
            <w:vAlign w:val="center"/>
            <w:hideMark/>
          </w:tcPr>
          <w:p w14:paraId="2044D6E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4 830 532</w:t>
            </w:r>
          </w:p>
        </w:tc>
        <w:tc>
          <w:tcPr>
            <w:tcW w:w="1843" w:type="dxa"/>
            <w:tcBorders>
              <w:top w:val="nil"/>
              <w:left w:val="nil"/>
              <w:bottom w:val="single" w:sz="8" w:space="0" w:color="auto"/>
              <w:right w:val="single" w:sz="8" w:space="0" w:color="auto"/>
            </w:tcBorders>
            <w:shd w:val="clear" w:color="auto" w:fill="auto"/>
            <w:noWrap/>
            <w:vAlign w:val="center"/>
            <w:hideMark/>
          </w:tcPr>
          <w:p w14:paraId="0BF5AA9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68 468</w:t>
            </w:r>
          </w:p>
        </w:tc>
      </w:tr>
      <w:tr w:rsidR="0017127D" w:rsidRPr="0017127D" w14:paraId="101A8771"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3698D7B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lastRenderedPageBreak/>
              <w:t>47</w:t>
            </w:r>
          </w:p>
        </w:tc>
        <w:tc>
          <w:tcPr>
            <w:tcW w:w="7093" w:type="dxa"/>
            <w:tcBorders>
              <w:top w:val="nil"/>
              <w:left w:val="nil"/>
              <w:bottom w:val="single" w:sz="8" w:space="0" w:color="auto"/>
              <w:right w:val="single" w:sz="8" w:space="0" w:color="auto"/>
            </w:tcBorders>
            <w:shd w:val="clear" w:color="auto" w:fill="auto"/>
            <w:noWrap/>
            <w:vAlign w:val="center"/>
            <w:hideMark/>
          </w:tcPr>
          <w:p w14:paraId="2099448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"Slimnīca "Ģintermuiža""</w:t>
            </w:r>
          </w:p>
        </w:tc>
        <w:tc>
          <w:tcPr>
            <w:tcW w:w="1984" w:type="dxa"/>
            <w:tcBorders>
              <w:top w:val="nil"/>
              <w:left w:val="nil"/>
              <w:bottom w:val="single" w:sz="8" w:space="0" w:color="auto"/>
              <w:right w:val="single" w:sz="8" w:space="0" w:color="auto"/>
            </w:tcBorders>
            <w:shd w:val="clear" w:color="auto" w:fill="auto"/>
            <w:noWrap/>
            <w:vAlign w:val="center"/>
            <w:hideMark/>
          </w:tcPr>
          <w:p w14:paraId="32E5D05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11 809 091</w:t>
            </w:r>
          </w:p>
        </w:tc>
        <w:tc>
          <w:tcPr>
            <w:tcW w:w="1985" w:type="dxa"/>
            <w:tcBorders>
              <w:top w:val="nil"/>
              <w:left w:val="nil"/>
              <w:bottom w:val="single" w:sz="8" w:space="0" w:color="auto"/>
              <w:right w:val="single" w:sz="8" w:space="0" w:color="auto"/>
            </w:tcBorders>
            <w:shd w:val="clear" w:color="auto" w:fill="auto"/>
            <w:noWrap/>
            <w:vAlign w:val="center"/>
            <w:hideMark/>
          </w:tcPr>
          <w:p w14:paraId="3576A4C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11 779 706</w:t>
            </w:r>
          </w:p>
        </w:tc>
        <w:tc>
          <w:tcPr>
            <w:tcW w:w="1843" w:type="dxa"/>
            <w:tcBorders>
              <w:top w:val="nil"/>
              <w:left w:val="nil"/>
              <w:bottom w:val="single" w:sz="8" w:space="0" w:color="auto"/>
              <w:right w:val="single" w:sz="8" w:space="0" w:color="auto"/>
            </w:tcBorders>
            <w:shd w:val="clear" w:color="auto" w:fill="auto"/>
            <w:noWrap/>
            <w:vAlign w:val="center"/>
            <w:hideMark/>
          </w:tcPr>
          <w:p w14:paraId="239B18F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29 385</w:t>
            </w:r>
          </w:p>
        </w:tc>
      </w:tr>
      <w:tr w:rsidR="0017127D" w:rsidRPr="0017127D" w14:paraId="0E5A3618"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64CAB23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48</w:t>
            </w:r>
          </w:p>
        </w:tc>
        <w:tc>
          <w:tcPr>
            <w:tcW w:w="7093" w:type="dxa"/>
            <w:tcBorders>
              <w:top w:val="nil"/>
              <w:left w:val="nil"/>
              <w:bottom w:val="single" w:sz="8" w:space="0" w:color="auto"/>
              <w:right w:val="single" w:sz="8" w:space="0" w:color="auto"/>
            </w:tcBorders>
            <w:shd w:val="clear" w:color="auto" w:fill="auto"/>
            <w:noWrap/>
            <w:vAlign w:val="center"/>
            <w:hideMark/>
          </w:tcPr>
          <w:p w14:paraId="4F24FD9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"Daugavpils psihoneiroloģiskā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592085F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21 451 736</w:t>
            </w:r>
          </w:p>
        </w:tc>
        <w:tc>
          <w:tcPr>
            <w:tcW w:w="1985" w:type="dxa"/>
            <w:tcBorders>
              <w:top w:val="nil"/>
              <w:left w:val="nil"/>
              <w:bottom w:val="single" w:sz="8" w:space="0" w:color="auto"/>
              <w:right w:val="single" w:sz="8" w:space="0" w:color="auto"/>
            </w:tcBorders>
            <w:shd w:val="clear" w:color="auto" w:fill="auto"/>
            <w:noWrap/>
            <w:vAlign w:val="center"/>
            <w:hideMark/>
          </w:tcPr>
          <w:p w14:paraId="4FC0D40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21 966 736</w:t>
            </w:r>
          </w:p>
        </w:tc>
        <w:tc>
          <w:tcPr>
            <w:tcW w:w="1843" w:type="dxa"/>
            <w:tcBorders>
              <w:top w:val="nil"/>
              <w:left w:val="nil"/>
              <w:bottom w:val="single" w:sz="8" w:space="0" w:color="auto"/>
              <w:right w:val="single" w:sz="8" w:space="0" w:color="auto"/>
            </w:tcBorders>
            <w:shd w:val="clear" w:color="auto" w:fill="auto"/>
            <w:noWrap/>
            <w:vAlign w:val="center"/>
            <w:hideMark/>
          </w:tcPr>
          <w:p w14:paraId="33924B2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-515 000</w:t>
            </w:r>
          </w:p>
        </w:tc>
      </w:tr>
      <w:tr w:rsidR="0017127D" w:rsidRPr="0017127D" w14:paraId="3D361FB9"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35D9F42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49</w:t>
            </w:r>
          </w:p>
        </w:tc>
        <w:tc>
          <w:tcPr>
            <w:tcW w:w="7093" w:type="dxa"/>
            <w:tcBorders>
              <w:top w:val="nil"/>
              <w:left w:val="nil"/>
              <w:bottom w:val="single" w:sz="8" w:space="0" w:color="auto"/>
              <w:right w:val="single" w:sz="8" w:space="0" w:color="auto"/>
            </w:tcBorders>
            <w:shd w:val="clear" w:color="auto" w:fill="auto"/>
            <w:noWrap/>
            <w:vAlign w:val="center"/>
            <w:hideMark/>
          </w:tcPr>
          <w:p w14:paraId="0578A0A4"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"Rīgas psihiatrijas un narkoloģijas centrs"</w:t>
            </w:r>
          </w:p>
        </w:tc>
        <w:tc>
          <w:tcPr>
            <w:tcW w:w="1984" w:type="dxa"/>
            <w:tcBorders>
              <w:top w:val="nil"/>
              <w:left w:val="nil"/>
              <w:bottom w:val="single" w:sz="8" w:space="0" w:color="auto"/>
              <w:right w:val="single" w:sz="8" w:space="0" w:color="auto"/>
            </w:tcBorders>
            <w:shd w:val="clear" w:color="auto" w:fill="auto"/>
            <w:noWrap/>
            <w:vAlign w:val="center"/>
            <w:hideMark/>
          </w:tcPr>
          <w:p w14:paraId="7FB75B9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25 559 950</w:t>
            </w:r>
          </w:p>
        </w:tc>
        <w:tc>
          <w:tcPr>
            <w:tcW w:w="1985" w:type="dxa"/>
            <w:tcBorders>
              <w:top w:val="nil"/>
              <w:left w:val="nil"/>
              <w:bottom w:val="single" w:sz="8" w:space="0" w:color="auto"/>
              <w:right w:val="single" w:sz="8" w:space="0" w:color="auto"/>
            </w:tcBorders>
            <w:shd w:val="clear" w:color="auto" w:fill="auto"/>
            <w:noWrap/>
            <w:vAlign w:val="center"/>
            <w:hideMark/>
          </w:tcPr>
          <w:p w14:paraId="3841898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25 619 950</w:t>
            </w:r>
          </w:p>
        </w:tc>
        <w:tc>
          <w:tcPr>
            <w:tcW w:w="1843" w:type="dxa"/>
            <w:tcBorders>
              <w:top w:val="nil"/>
              <w:left w:val="nil"/>
              <w:bottom w:val="single" w:sz="8" w:space="0" w:color="auto"/>
              <w:right w:val="single" w:sz="8" w:space="0" w:color="auto"/>
            </w:tcBorders>
            <w:shd w:val="clear" w:color="auto" w:fill="auto"/>
            <w:noWrap/>
            <w:vAlign w:val="center"/>
            <w:hideMark/>
          </w:tcPr>
          <w:p w14:paraId="454683A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-60 000</w:t>
            </w:r>
          </w:p>
        </w:tc>
      </w:tr>
      <w:tr w:rsidR="0017127D" w:rsidRPr="0017127D" w14:paraId="22A86EB3"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606BC58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50</w:t>
            </w:r>
          </w:p>
        </w:tc>
        <w:tc>
          <w:tcPr>
            <w:tcW w:w="7093" w:type="dxa"/>
            <w:tcBorders>
              <w:top w:val="nil"/>
              <w:left w:val="nil"/>
              <w:bottom w:val="single" w:sz="8" w:space="0" w:color="auto"/>
              <w:right w:val="single" w:sz="8" w:space="0" w:color="auto"/>
            </w:tcBorders>
            <w:shd w:val="clear" w:color="auto" w:fill="auto"/>
            <w:noWrap/>
            <w:vAlign w:val="center"/>
            <w:hideMark/>
          </w:tcPr>
          <w:p w14:paraId="2186F87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"Nacionālais rehabilitācijas centrs "Vaivari""</w:t>
            </w:r>
          </w:p>
        </w:tc>
        <w:tc>
          <w:tcPr>
            <w:tcW w:w="1984" w:type="dxa"/>
            <w:tcBorders>
              <w:top w:val="nil"/>
              <w:left w:val="nil"/>
              <w:bottom w:val="single" w:sz="8" w:space="0" w:color="auto"/>
              <w:right w:val="single" w:sz="8" w:space="0" w:color="auto"/>
            </w:tcBorders>
            <w:shd w:val="clear" w:color="auto" w:fill="auto"/>
            <w:noWrap/>
            <w:vAlign w:val="center"/>
            <w:hideMark/>
          </w:tcPr>
          <w:p w14:paraId="51F7785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16 405 254</w:t>
            </w:r>
          </w:p>
        </w:tc>
        <w:tc>
          <w:tcPr>
            <w:tcW w:w="1985" w:type="dxa"/>
            <w:tcBorders>
              <w:top w:val="nil"/>
              <w:left w:val="nil"/>
              <w:bottom w:val="single" w:sz="8" w:space="0" w:color="auto"/>
              <w:right w:val="single" w:sz="8" w:space="0" w:color="auto"/>
            </w:tcBorders>
            <w:shd w:val="clear" w:color="auto" w:fill="auto"/>
            <w:noWrap/>
            <w:vAlign w:val="center"/>
            <w:hideMark/>
          </w:tcPr>
          <w:p w14:paraId="1DD0DD3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16 511 254</w:t>
            </w:r>
          </w:p>
        </w:tc>
        <w:tc>
          <w:tcPr>
            <w:tcW w:w="1843" w:type="dxa"/>
            <w:tcBorders>
              <w:top w:val="nil"/>
              <w:left w:val="nil"/>
              <w:bottom w:val="single" w:sz="8" w:space="0" w:color="auto"/>
              <w:right w:val="single" w:sz="8" w:space="0" w:color="auto"/>
            </w:tcBorders>
            <w:shd w:val="clear" w:color="auto" w:fill="auto"/>
            <w:noWrap/>
            <w:vAlign w:val="center"/>
            <w:hideMark/>
          </w:tcPr>
          <w:p w14:paraId="70C3CD5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-106 000</w:t>
            </w:r>
          </w:p>
        </w:tc>
      </w:tr>
      <w:tr w:rsidR="0017127D" w:rsidRPr="0017127D" w14:paraId="7F94F4FC"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32AB8D9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51</w:t>
            </w:r>
          </w:p>
        </w:tc>
        <w:tc>
          <w:tcPr>
            <w:tcW w:w="7093" w:type="dxa"/>
            <w:tcBorders>
              <w:top w:val="nil"/>
              <w:left w:val="nil"/>
              <w:bottom w:val="single" w:sz="8" w:space="0" w:color="auto"/>
              <w:right w:val="single" w:sz="8" w:space="0" w:color="auto"/>
            </w:tcBorders>
            <w:shd w:val="clear" w:color="auto" w:fill="auto"/>
            <w:noWrap/>
            <w:vAlign w:val="center"/>
            <w:hideMark/>
          </w:tcPr>
          <w:p w14:paraId="7A63950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"Traumatoloģijas un ortopēdijas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5959DA3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23 710 000</w:t>
            </w:r>
          </w:p>
        </w:tc>
        <w:tc>
          <w:tcPr>
            <w:tcW w:w="1985" w:type="dxa"/>
            <w:tcBorders>
              <w:top w:val="nil"/>
              <w:left w:val="nil"/>
              <w:bottom w:val="single" w:sz="8" w:space="0" w:color="auto"/>
              <w:right w:val="single" w:sz="8" w:space="0" w:color="auto"/>
            </w:tcBorders>
            <w:shd w:val="clear" w:color="auto" w:fill="auto"/>
            <w:noWrap/>
            <w:vAlign w:val="center"/>
            <w:hideMark/>
          </w:tcPr>
          <w:p w14:paraId="6715E06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23 500 000</w:t>
            </w:r>
          </w:p>
        </w:tc>
        <w:tc>
          <w:tcPr>
            <w:tcW w:w="1843" w:type="dxa"/>
            <w:tcBorders>
              <w:top w:val="nil"/>
              <w:left w:val="nil"/>
              <w:bottom w:val="single" w:sz="8" w:space="0" w:color="auto"/>
              <w:right w:val="single" w:sz="8" w:space="0" w:color="auto"/>
            </w:tcBorders>
            <w:shd w:val="clear" w:color="auto" w:fill="auto"/>
            <w:noWrap/>
            <w:vAlign w:val="center"/>
            <w:hideMark/>
          </w:tcPr>
          <w:p w14:paraId="4D4F8B0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210 000</w:t>
            </w:r>
          </w:p>
        </w:tc>
      </w:tr>
      <w:tr w:rsidR="0017127D" w:rsidRPr="0017127D" w14:paraId="275F55DF"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087744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52</w:t>
            </w:r>
          </w:p>
        </w:tc>
        <w:tc>
          <w:tcPr>
            <w:tcW w:w="7093" w:type="dxa"/>
            <w:tcBorders>
              <w:top w:val="nil"/>
              <w:left w:val="nil"/>
              <w:bottom w:val="single" w:sz="8" w:space="0" w:color="auto"/>
              <w:right w:val="single" w:sz="8" w:space="0" w:color="auto"/>
            </w:tcBorders>
            <w:shd w:val="clear" w:color="auto" w:fill="auto"/>
            <w:noWrap/>
            <w:vAlign w:val="center"/>
            <w:hideMark/>
          </w:tcPr>
          <w:p w14:paraId="37840CF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"Paula Stradiņa klīniskā universitātes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5FF2961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147 500 032</w:t>
            </w:r>
          </w:p>
        </w:tc>
        <w:tc>
          <w:tcPr>
            <w:tcW w:w="1985" w:type="dxa"/>
            <w:tcBorders>
              <w:top w:val="nil"/>
              <w:left w:val="nil"/>
              <w:bottom w:val="single" w:sz="8" w:space="0" w:color="auto"/>
              <w:right w:val="single" w:sz="8" w:space="0" w:color="auto"/>
            </w:tcBorders>
            <w:shd w:val="clear" w:color="auto" w:fill="auto"/>
            <w:noWrap/>
            <w:vAlign w:val="center"/>
            <w:hideMark/>
          </w:tcPr>
          <w:p w14:paraId="787567F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150 124 306</w:t>
            </w:r>
          </w:p>
        </w:tc>
        <w:tc>
          <w:tcPr>
            <w:tcW w:w="1843" w:type="dxa"/>
            <w:tcBorders>
              <w:top w:val="nil"/>
              <w:left w:val="nil"/>
              <w:bottom w:val="single" w:sz="8" w:space="0" w:color="auto"/>
              <w:right w:val="single" w:sz="8" w:space="0" w:color="auto"/>
            </w:tcBorders>
            <w:shd w:val="clear" w:color="auto" w:fill="auto"/>
            <w:noWrap/>
            <w:vAlign w:val="center"/>
            <w:hideMark/>
          </w:tcPr>
          <w:p w14:paraId="4B23617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-2 624 273</w:t>
            </w:r>
          </w:p>
        </w:tc>
      </w:tr>
      <w:tr w:rsidR="0017127D" w:rsidRPr="0017127D" w14:paraId="7FB49018"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0F6E099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53</w:t>
            </w:r>
          </w:p>
        </w:tc>
        <w:tc>
          <w:tcPr>
            <w:tcW w:w="7093" w:type="dxa"/>
            <w:tcBorders>
              <w:top w:val="nil"/>
              <w:left w:val="nil"/>
              <w:bottom w:val="single" w:sz="8" w:space="0" w:color="auto"/>
              <w:right w:val="single" w:sz="8" w:space="0" w:color="auto"/>
            </w:tcBorders>
            <w:shd w:val="clear" w:color="auto" w:fill="auto"/>
            <w:noWrap/>
            <w:vAlign w:val="center"/>
            <w:hideMark/>
          </w:tcPr>
          <w:p w14:paraId="0B733EA0"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Radio"</w:t>
            </w:r>
          </w:p>
        </w:tc>
        <w:tc>
          <w:tcPr>
            <w:tcW w:w="1984" w:type="dxa"/>
            <w:tcBorders>
              <w:top w:val="nil"/>
              <w:left w:val="nil"/>
              <w:bottom w:val="single" w:sz="8" w:space="0" w:color="auto"/>
              <w:right w:val="single" w:sz="8" w:space="0" w:color="auto"/>
            </w:tcBorders>
            <w:shd w:val="clear" w:color="auto" w:fill="auto"/>
            <w:noWrap/>
            <w:vAlign w:val="center"/>
            <w:hideMark/>
          </w:tcPr>
          <w:p w14:paraId="5F36464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123 967</w:t>
            </w:r>
          </w:p>
        </w:tc>
        <w:tc>
          <w:tcPr>
            <w:tcW w:w="1985" w:type="dxa"/>
            <w:tcBorders>
              <w:top w:val="nil"/>
              <w:left w:val="nil"/>
              <w:bottom w:val="single" w:sz="8" w:space="0" w:color="auto"/>
              <w:right w:val="single" w:sz="8" w:space="0" w:color="auto"/>
            </w:tcBorders>
            <w:shd w:val="clear" w:color="auto" w:fill="auto"/>
            <w:noWrap/>
            <w:vAlign w:val="center"/>
            <w:hideMark/>
          </w:tcPr>
          <w:p w14:paraId="40322C6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50 550</w:t>
            </w:r>
          </w:p>
        </w:tc>
        <w:tc>
          <w:tcPr>
            <w:tcW w:w="1843" w:type="dxa"/>
            <w:tcBorders>
              <w:top w:val="nil"/>
              <w:left w:val="nil"/>
              <w:bottom w:val="single" w:sz="8" w:space="0" w:color="auto"/>
              <w:right w:val="single" w:sz="8" w:space="0" w:color="auto"/>
            </w:tcBorders>
            <w:shd w:val="clear" w:color="auto" w:fill="auto"/>
            <w:noWrap/>
            <w:vAlign w:val="center"/>
            <w:hideMark/>
          </w:tcPr>
          <w:p w14:paraId="5FDEC19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73 417</w:t>
            </w:r>
          </w:p>
        </w:tc>
      </w:tr>
      <w:tr w:rsidR="0017127D" w:rsidRPr="0017127D" w14:paraId="7020D93F"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4D08E04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54</w:t>
            </w:r>
          </w:p>
        </w:tc>
        <w:tc>
          <w:tcPr>
            <w:tcW w:w="7093" w:type="dxa"/>
            <w:tcBorders>
              <w:top w:val="nil"/>
              <w:left w:val="nil"/>
              <w:bottom w:val="single" w:sz="8" w:space="0" w:color="auto"/>
              <w:right w:val="single" w:sz="8" w:space="0" w:color="auto"/>
            </w:tcBorders>
            <w:shd w:val="clear" w:color="auto" w:fill="auto"/>
            <w:noWrap/>
            <w:vAlign w:val="center"/>
            <w:hideMark/>
          </w:tcPr>
          <w:p w14:paraId="6891E647"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"Rīgas Austrumu klīniskā universitātes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403C18B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185 188 101</w:t>
            </w:r>
          </w:p>
        </w:tc>
        <w:tc>
          <w:tcPr>
            <w:tcW w:w="1985" w:type="dxa"/>
            <w:tcBorders>
              <w:top w:val="nil"/>
              <w:left w:val="nil"/>
              <w:bottom w:val="single" w:sz="8" w:space="0" w:color="auto"/>
              <w:right w:val="single" w:sz="8" w:space="0" w:color="auto"/>
            </w:tcBorders>
            <w:shd w:val="clear" w:color="auto" w:fill="auto"/>
            <w:noWrap/>
            <w:vAlign w:val="center"/>
            <w:hideMark/>
          </w:tcPr>
          <w:p w14:paraId="5C8E20E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180 365 260</w:t>
            </w:r>
          </w:p>
        </w:tc>
        <w:tc>
          <w:tcPr>
            <w:tcW w:w="1843" w:type="dxa"/>
            <w:tcBorders>
              <w:top w:val="nil"/>
              <w:left w:val="nil"/>
              <w:bottom w:val="single" w:sz="8" w:space="0" w:color="auto"/>
              <w:right w:val="single" w:sz="8" w:space="0" w:color="auto"/>
            </w:tcBorders>
            <w:shd w:val="clear" w:color="auto" w:fill="auto"/>
            <w:noWrap/>
            <w:vAlign w:val="center"/>
            <w:hideMark/>
          </w:tcPr>
          <w:p w14:paraId="5390ABE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4 822 841</w:t>
            </w:r>
          </w:p>
        </w:tc>
      </w:tr>
      <w:tr w:rsidR="0017127D" w:rsidRPr="0017127D" w14:paraId="6ADD87FE"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373B358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55</w:t>
            </w:r>
          </w:p>
        </w:tc>
        <w:tc>
          <w:tcPr>
            <w:tcW w:w="7093" w:type="dxa"/>
            <w:tcBorders>
              <w:top w:val="nil"/>
              <w:left w:val="nil"/>
              <w:bottom w:val="single" w:sz="8" w:space="0" w:color="auto"/>
              <w:right w:val="single" w:sz="8" w:space="0" w:color="auto"/>
            </w:tcBorders>
            <w:shd w:val="clear" w:color="auto" w:fill="auto"/>
            <w:noWrap/>
            <w:vAlign w:val="center"/>
            <w:hideMark/>
          </w:tcPr>
          <w:p w14:paraId="75816EC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"Ceļu satiksmes drošības direkcija"</w:t>
            </w:r>
          </w:p>
        </w:tc>
        <w:tc>
          <w:tcPr>
            <w:tcW w:w="1984" w:type="dxa"/>
            <w:tcBorders>
              <w:top w:val="nil"/>
              <w:left w:val="nil"/>
              <w:bottom w:val="single" w:sz="8" w:space="0" w:color="auto"/>
              <w:right w:val="single" w:sz="8" w:space="0" w:color="auto"/>
            </w:tcBorders>
            <w:shd w:val="clear" w:color="auto" w:fill="auto"/>
            <w:noWrap/>
            <w:vAlign w:val="center"/>
            <w:hideMark/>
          </w:tcPr>
          <w:p w14:paraId="0182E5D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52 157 162</w:t>
            </w:r>
          </w:p>
        </w:tc>
        <w:tc>
          <w:tcPr>
            <w:tcW w:w="1985" w:type="dxa"/>
            <w:tcBorders>
              <w:top w:val="nil"/>
              <w:left w:val="nil"/>
              <w:bottom w:val="single" w:sz="8" w:space="0" w:color="auto"/>
              <w:right w:val="single" w:sz="8" w:space="0" w:color="auto"/>
            </w:tcBorders>
            <w:shd w:val="clear" w:color="auto" w:fill="auto"/>
            <w:noWrap/>
            <w:vAlign w:val="center"/>
            <w:hideMark/>
          </w:tcPr>
          <w:p w14:paraId="15B8292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49 191 729</w:t>
            </w:r>
          </w:p>
        </w:tc>
        <w:tc>
          <w:tcPr>
            <w:tcW w:w="1843" w:type="dxa"/>
            <w:tcBorders>
              <w:top w:val="nil"/>
              <w:left w:val="nil"/>
              <w:bottom w:val="single" w:sz="8" w:space="0" w:color="auto"/>
              <w:right w:val="single" w:sz="8" w:space="0" w:color="auto"/>
            </w:tcBorders>
            <w:shd w:val="clear" w:color="auto" w:fill="auto"/>
            <w:noWrap/>
            <w:vAlign w:val="center"/>
            <w:hideMark/>
          </w:tcPr>
          <w:p w14:paraId="55103C1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2 965 433</w:t>
            </w:r>
          </w:p>
        </w:tc>
      </w:tr>
      <w:tr w:rsidR="0017127D" w:rsidRPr="0017127D" w14:paraId="57DA9D54"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4FB710C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56</w:t>
            </w:r>
          </w:p>
        </w:tc>
        <w:tc>
          <w:tcPr>
            <w:tcW w:w="7093" w:type="dxa"/>
            <w:tcBorders>
              <w:top w:val="nil"/>
              <w:left w:val="nil"/>
              <w:bottom w:val="single" w:sz="8" w:space="0" w:color="auto"/>
              <w:right w:val="single" w:sz="8" w:space="0" w:color="auto"/>
            </w:tcBorders>
            <w:shd w:val="clear" w:color="auto" w:fill="auto"/>
            <w:noWrap/>
            <w:vAlign w:val="center"/>
            <w:hideMark/>
          </w:tcPr>
          <w:p w14:paraId="3D0ADB7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"Strenču psihoneiroloģiskā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64930B4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9 754 280</w:t>
            </w:r>
          </w:p>
        </w:tc>
        <w:tc>
          <w:tcPr>
            <w:tcW w:w="1985" w:type="dxa"/>
            <w:tcBorders>
              <w:top w:val="nil"/>
              <w:left w:val="nil"/>
              <w:bottom w:val="single" w:sz="8" w:space="0" w:color="auto"/>
              <w:right w:val="single" w:sz="8" w:space="0" w:color="auto"/>
            </w:tcBorders>
            <w:shd w:val="clear" w:color="auto" w:fill="auto"/>
            <w:noWrap/>
            <w:vAlign w:val="center"/>
            <w:hideMark/>
          </w:tcPr>
          <w:p w14:paraId="782547F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9 542 530</w:t>
            </w:r>
          </w:p>
        </w:tc>
        <w:tc>
          <w:tcPr>
            <w:tcW w:w="1843" w:type="dxa"/>
            <w:tcBorders>
              <w:top w:val="nil"/>
              <w:left w:val="nil"/>
              <w:bottom w:val="single" w:sz="8" w:space="0" w:color="auto"/>
              <w:right w:val="single" w:sz="8" w:space="0" w:color="auto"/>
            </w:tcBorders>
            <w:shd w:val="clear" w:color="auto" w:fill="auto"/>
            <w:noWrap/>
            <w:vAlign w:val="center"/>
            <w:hideMark/>
          </w:tcPr>
          <w:p w14:paraId="4947858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211 750</w:t>
            </w:r>
          </w:p>
        </w:tc>
      </w:tr>
      <w:tr w:rsidR="0017127D" w:rsidRPr="0017127D" w14:paraId="04A05DD2"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78D2811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57</w:t>
            </w:r>
          </w:p>
        </w:tc>
        <w:tc>
          <w:tcPr>
            <w:tcW w:w="7093" w:type="dxa"/>
            <w:tcBorders>
              <w:top w:val="nil"/>
              <w:left w:val="nil"/>
              <w:bottom w:val="single" w:sz="8" w:space="0" w:color="auto"/>
              <w:right w:val="single" w:sz="8" w:space="0" w:color="auto"/>
            </w:tcBorders>
            <w:shd w:val="clear" w:color="auto" w:fill="auto"/>
            <w:noWrap/>
            <w:vAlign w:val="center"/>
            <w:hideMark/>
          </w:tcPr>
          <w:p w14:paraId="3EAE7C69"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"Bērnu klīniskā universitātes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46E79F2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68 537 456</w:t>
            </w:r>
          </w:p>
        </w:tc>
        <w:tc>
          <w:tcPr>
            <w:tcW w:w="1985" w:type="dxa"/>
            <w:tcBorders>
              <w:top w:val="nil"/>
              <w:left w:val="nil"/>
              <w:bottom w:val="single" w:sz="8" w:space="0" w:color="auto"/>
              <w:right w:val="single" w:sz="8" w:space="0" w:color="auto"/>
            </w:tcBorders>
            <w:shd w:val="clear" w:color="auto" w:fill="auto"/>
            <w:noWrap/>
            <w:vAlign w:val="center"/>
            <w:hideMark/>
          </w:tcPr>
          <w:p w14:paraId="3ED0D72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68 671 064</w:t>
            </w:r>
          </w:p>
        </w:tc>
        <w:tc>
          <w:tcPr>
            <w:tcW w:w="1843" w:type="dxa"/>
            <w:tcBorders>
              <w:top w:val="nil"/>
              <w:left w:val="nil"/>
              <w:bottom w:val="single" w:sz="8" w:space="0" w:color="auto"/>
              <w:right w:val="single" w:sz="8" w:space="0" w:color="auto"/>
            </w:tcBorders>
            <w:shd w:val="clear" w:color="auto" w:fill="auto"/>
            <w:noWrap/>
            <w:vAlign w:val="center"/>
            <w:hideMark/>
          </w:tcPr>
          <w:p w14:paraId="6CDA0FE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-133 608</w:t>
            </w:r>
          </w:p>
        </w:tc>
      </w:tr>
      <w:tr w:rsidR="0017127D" w:rsidRPr="0017127D" w14:paraId="10ACA25D"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73BF99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58</w:t>
            </w:r>
          </w:p>
        </w:tc>
        <w:tc>
          <w:tcPr>
            <w:tcW w:w="7093" w:type="dxa"/>
            <w:tcBorders>
              <w:top w:val="nil"/>
              <w:left w:val="nil"/>
              <w:bottom w:val="single" w:sz="8" w:space="0" w:color="auto"/>
              <w:right w:val="single" w:sz="8" w:space="0" w:color="auto"/>
            </w:tcBorders>
            <w:shd w:val="clear" w:color="auto" w:fill="auto"/>
            <w:noWrap/>
            <w:vAlign w:val="center"/>
            <w:hideMark/>
          </w:tcPr>
          <w:p w14:paraId="72E1CC9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"Pasažieru vilciens"</w:t>
            </w:r>
          </w:p>
        </w:tc>
        <w:tc>
          <w:tcPr>
            <w:tcW w:w="1984" w:type="dxa"/>
            <w:tcBorders>
              <w:top w:val="nil"/>
              <w:left w:val="nil"/>
              <w:bottom w:val="single" w:sz="8" w:space="0" w:color="auto"/>
              <w:right w:val="single" w:sz="8" w:space="0" w:color="auto"/>
            </w:tcBorders>
            <w:shd w:val="clear" w:color="auto" w:fill="auto"/>
            <w:noWrap/>
            <w:vAlign w:val="center"/>
            <w:hideMark/>
          </w:tcPr>
          <w:p w14:paraId="5B72E7C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39 604 148</w:t>
            </w:r>
          </w:p>
        </w:tc>
        <w:tc>
          <w:tcPr>
            <w:tcW w:w="1985" w:type="dxa"/>
            <w:tcBorders>
              <w:top w:val="nil"/>
              <w:left w:val="nil"/>
              <w:bottom w:val="single" w:sz="8" w:space="0" w:color="auto"/>
              <w:right w:val="single" w:sz="8" w:space="0" w:color="auto"/>
            </w:tcBorders>
            <w:shd w:val="clear" w:color="auto" w:fill="auto"/>
            <w:noWrap/>
            <w:vAlign w:val="center"/>
            <w:hideMark/>
          </w:tcPr>
          <w:p w14:paraId="6232307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102 474 659</w:t>
            </w:r>
          </w:p>
        </w:tc>
        <w:tc>
          <w:tcPr>
            <w:tcW w:w="1843" w:type="dxa"/>
            <w:tcBorders>
              <w:top w:val="nil"/>
              <w:left w:val="nil"/>
              <w:bottom w:val="single" w:sz="8" w:space="0" w:color="auto"/>
              <w:right w:val="single" w:sz="8" w:space="0" w:color="auto"/>
            </w:tcBorders>
            <w:shd w:val="clear" w:color="auto" w:fill="auto"/>
            <w:noWrap/>
            <w:vAlign w:val="center"/>
            <w:hideMark/>
          </w:tcPr>
          <w:p w14:paraId="3A7AB63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-62 870 511</w:t>
            </w:r>
          </w:p>
        </w:tc>
      </w:tr>
      <w:tr w:rsidR="0017127D" w:rsidRPr="0017127D" w14:paraId="270CB9C9"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49DD897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59</w:t>
            </w:r>
          </w:p>
        </w:tc>
        <w:tc>
          <w:tcPr>
            <w:tcW w:w="7093" w:type="dxa"/>
            <w:tcBorders>
              <w:top w:val="nil"/>
              <w:left w:val="nil"/>
              <w:bottom w:val="single" w:sz="8" w:space="0" w:color="auto"/>
              <w:right w:val="single" w:sz="8" w:space="0" w:color="auto"/>
            </w:tcBorders>
            <w:shd w:val="clear" w:color="auto" w:fill="auto"/>
            <w:noWrap/>
            <w:vAlign w:val="center"/>
            <w:hideMark/>
          </w:tcPr>
          <w:p w14:paraId="52EFCFEE"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Nodibinājums "Akadēmiskās informācijas centrs"</w:t>
            </w:r>
          </w:p>
        </w:tc>
        <w:tc>
          <w:tcPr>
            <w:tcW w:w="1984" w:type="dxa"/>
            <w:tcBorders>
              <w:top w:val="nil"/>
              <w:left w:val="nil"/>
              <w:bottom w:val="single" w:sz="8" w:space="0" w:color="auto"/>
              <w:right w:val="single" w:sz="8" w:space="0" w:color="auto"/>
            </w:tcBorders>
            <w:shd w:val="clear" w:color="auto" w:fill="auto"/>
            <w:noWrap/>
            <w:vAlign w:val="center"/>
            <w:hideMark/>
          </w:tcPr>
          <w:p w14:paraId="5508C9A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242 000</w:t>
            </w:r>
          </w:p>
        </w:tc>
        <w:tc>
          <w:tcPr>
            <w:tcW w:w="1985" w:type="dxa"/>
            <w:tcBorders>
              <w:top w:val="nil"/>
              <w:left w:val="nil"/>
              <w:bottom w:val="single" w:sz="8" w:space="0" w:color="auto"/>
              <w:right w:val="single" w:sz="8" w:space="0" w:color="auto"/>
            </w:tcBorders>
            <w:shd w:val="clear" w:color="auto" w:fill="auto"/>
            <w:noWrap/>
            <w:vAlign w:val="center"/>
            <w:hideMark/>
          </w:tcPr>
          <w:p w14:paraId="4D2D16F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1 915 863</w:t>
            </w:r>
          </w:p>
        </w:tc>
        <w:tc>
          <w:tcPr>
            <w:tcW w:w="1843" w:type="dxa"/>
            <w:tcBorders>
              <w:top w:val="nil"/>
              <w:left w:val="nil"/>
              <w:bottom w:val="single" w:sz="8" w:space="0" w:color="auto"/>
              <w:right w:val="single" w:sz="8" w:space="0" w:color="auto"/>
            </w:tcBorders>
            <w:shd w:val="clear" w:color="auto" w:fill="auto"/>
            <w:noWrap/>
            <w:vAlign w:val="center"/>
            <w:hideMark/>
          </w:tcPr>
          <w:p w14:paraId="55D6A88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-1 673 863</w:t>
            </w:r>
          </w:p>
        </w:tc>
      </w:tr>
      <w:tr w:rsidR="0017127D" w:rsidRPr="0017127D" w14:paraId="30A21D9F" w14:textId="77777777" w:rsidTr="0017127D">
        <w:trPr>
          <w:trHeight w:val="300"/>
        </w:trPr>
        <w:tc>
          <w:tcPr>
            <w:tcW w:w="1119" w:type="dxa"/>
            <w:tcBorders>
              <w:top w:val="nil"/>
              <w:left w:val="single" w:sz="8" w:space="0" w:color="auto"/>
              <w:bottom w:val="single" w:sz="8" w:space="0" w:color="auto"/>
              <w:right w:val="single" w:sz="8" w:space="0" w:color="auto"/>
            </w:tcBorders>
            <w:shd w:val="clear" w:color="000000" w:fill="DDEBF7"/>
            <w:noWrap/>
            <w:vAlign w:val="center"/>
            <w:hideMark/>
          </w:tcPr>
          <w:p w14:paraId="2E400CF7" w14:textId="77777777" w:rsidR="0017127D" w:rsidRPr="0017127D" w:rsidRDefault="0017127D" w:rsidP="0017127D">
            <w:pPr>
              <w:spacing w:after="0"/>
              <w:ind w:firstLine="0"/>
              <w:jc w:val="center"/>
              <w:rPr>
                <w:rFonts w:eastAsia="Times New Roman" w:cs="Times New Roman"/>
                <w:color w:val="000000"/>
                <w:sz w:val="18"/>
                <w:szCs w:val="18"/>
              </w:rPr>
            </w:pPr>
            <w:r w:rsidRPr="0017127D">
              <w:rPr>
                <w:rFonts w:eastAsia="Times New Roman" w:cs="Times New Roman"/>
                <w:color w:val="000000"/>
                <w:sz w:val="18"/>
                <w:szCs w:val="18"/>
              </w:rPr>
              <w:t>S130300</w:t>
            </w:r>
          </w:p>
        </w:tc>
        <w:tc>
          <w:tcPr>
            <w:tcW w:w="7093" w:type="dxa"/>
            <w:tcBorders>
              <w:top w:val="nil"/>
              <w:left w:val="nil"/>
              <w:bottom w:val="nil"/>
              <w:right w:val="nil"/>
            </w:tcBorders>
            <w:shd w:val="clear" w:color="000000" w:fill="DDEBF7"/>
            <w:noWrap/>
            <w:vAlign w:val="center"/>
            <w:hideMark/>
          </w:tcPr>
          <w:p w14:paraId="6A3E3B5E"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Pašvaldības struktūru kontrolētas un finansētas komercsabiedrības</w:t>
            </w:r>
          </w:p>
        </w:tc>
        <w:tc>
          <w:tcPr>
            <w:tcW w:w="1984" w:type="dxa"/>
            <w:tcBorders>
              <w:top w:val="nil"/>
              <w:left w:val="single" w:sz="8" w:space="0" w:color="auto"/>
              <w:bottom w:val="single" w:sz="8" w:space="0" w:color="auto"/>
              <w:right w:val="single" w:sz="8" w:space="0" w:color="auto"/>
            </w:tcBorders>
            <w:shd w:val="clear" w:color="000000" w:fill="DDEBF7"/>
            <w:noWrap/>
            <w:vAlign w:val="center"/>
            <w:hideMark/>
          </w:tcPr>
          <w:p w14:paraId="7078649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c>
          <w:tcPr>
            <w:tcW w:w="1985" w:type="dxa"/>
            <w:tcBorders>
              <w:top w:val="nil"/>
              <w:left w:val="nil"/>
              <w:bottom w:val="single" w:sz="8" w:space="0" w:color="auto"/>
              <w:right w:val="single" w:sz="8" w:space="0" w:color="auto"/>
            </w:tcBorders>
            <w:shd w:val="clear" w:color="000000" w:fill="DDEBF7"/>
            <w:noWrap/>
            <w:vAlign w:val="center"/>
            <w:hideMark/>
          </w:tcPr>
          <w:p w14:paraId="55B877E2"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c>
          <w:tcPr>
            <w:tcW w:w="1843" w:type="dxa"/>
            <w:tcBorders>
              <w:top w:val="nil"/>
              <w:left w:val="nil"/>
              <w:bottom w:val="single" w:sz="8" w:space="0" w:color="auto"/>
              <w:right w:val="single" w:sz="8" w:space="0" w:color="auto"/>
            </w:tcBorders>
            <w:shd w:val="clear" w:color="000000" w:fill="DDEBF7"/>
            <w:noWrap/>
            <w:vAlign w:val="center"/>
            <w:hideMark/>
          </w:tcPr>
          <w:p w14:paraId="20DBF065"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r>
      <w:tr w:rsidR="0017127D" w:rsidRPr="0017127D" w14:paraId="055E82CC"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565728D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61</w:t>
            </w:r>
          </w:p>
        </w:tc>
        <w:tc>
          <w:tcPr>
            <w:tcW w:w="7093" w:type="dxa"/>
            <w:tcBorders>
              <w:top w:val="single" w:sz="8" w:space="0" w:color="auto"/>
              <w:left w:val="nil"/>
              <w:bottom w:val="single" w:sz="8" w:space="0" w:color="auto"/>
              <w:right w:val="single" w:sz="8" w:space="0" w:color="auto"/>
            </w:tcBorders>
            <w:shd w:val="clear" w:color="auto" w:fill="auto"/>
            <w:noWrap/>
            <w:vAlign w:val="center"/>
            <w:hideMark/>
          </w:tcPr>
          <w:p w14:paraId="68C59B69"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"Vidzemes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7FE801E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23 661 983</w:t>
            </w:r>
          </w:p>
        </w:tc>
        <w:tc>
          <w:tcPr>
            <w:tcW w:w="1985" w:type="dxa"/>
            <w:tcBorders>
              <w:top w:val="nil"/>
              <w:left w:val="nil"/>
              <w:bottom w:val="single" w:sz="8" w:space="0" w:color="auto"/>
              <w:right w:val="single" w:sz="8" w:space="0" w:color="auto"/>
            </w:tcBorders>
            <w:shd w:val="clear" w:color="auto" w:fill="auto"/>
            <w:noWrap/>
            <w:vAlign w:val="center"/>
            <w:hideMark/>
          </w:tcPr>
          <w:p w14:paraId="029DF74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23 581 744</w:t>
            </w:r>
          </w:p>
        </w:tc>
        <w:tc>
          <w:tcPr>
            <w:tcW w:w="1843" w:type="dxa"/>
            <w:tcBorders>
              <w:top w:val="nil"/>
              <w:left w:val="nil"/>
              <w:bottom w:val="single" w:sz="8" w:space="0" w:color="auto"/>
              <w:right w:val="single" w:sz="8" w:space="0" w:color="auto"/>
            </w:tcBorders>
            <w:shd w:val="clear" w:color="auto" w:fill="auto"/>
            <w:noWrap/>
            <w:vAlign w:val="center"/>
            <w:hideMark/>
          </w:tcPr>
          <w:p w14:paraId="01250C8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80 239</w:t>
            </w:r>
          </w:p>
        </w:tc>
      </w:tr>
      <w:tr w:rsidR="0017127D" w:rsidRPr="0017127D" w14:paraId="6433701E"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5CC77D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62</w:t>
            </w:r>
          </w:p>
        </w:tc>
        <w:tc>
          <w:tcPr>
            <w:tcW w:w="7093" w:type="dxa"/>
            <w:tcBorders>
              <w:top w:val="nil"/>
              <w:left w:val="nil"/>
              <w:bottom w:val="single" w:sz="8" w:space="0" w:color="auto"/>
              <w:right w:val="single" w:sz="8" w:space="0" w:color="auto"/>
            </w:tcBorders>
            <w:shd w:val="clear" w:color="auto" w:fill="auto"/>
            <w:noWrap/>
            <w:vAlign w:val="center"/>
            <w:hideMark/>
          </w:tcPr>
          <w:p w14:paraId="601F22FF"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"Dobeles un apkārtnes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258E682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342 188</w:t>
            </w:r>
          </w:p>
        </w:tc>
        <w:tc>
          <w:tcPr>
            <w:tcW w:w="1985" w:type="dxa"/>
            <w:tcBorders>
              <w:top w:val="nil"/>
              <w:left w:val="nil"/>
              <w:bottom w:val="single" w:sz="8" w:space="0" w:color="auto"/>
              <w:right w:val="single" w:sz="8" w:space="0" w:color="auto"/>
            </w:tcBorders>
            <w:shd w:val="clear" w:color="auto" w:fill="auto"/>
            <w:noWrap/>
            <w:vAlign w:val="center"/>
            <w:hideMark/>
          </w:tcPr>
          <w:p w14:paraId="633DC80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69 432</w:t>
            </w:r>
          </w:p>
        </w:tc>
        <w:tc>
          <w:tcPr>
            <w:tcW w:w="1843" w:type="dxa"/>
            <w:tcBorders>
              <w:top w:val="nil"/>
              <w:left w:val="nil"/>
              <w:bottom w:val="single" w:sz="8" w:space="0" w:color="auto"/>
              <w:right w:val="single" w:sz="8" w:space="0" w:color="auto"/>
            </w:tcBorders>
            <w:shd w:val="clear" w:color="auto" w:fill="auto"/>
            <w:noWrap/>
            <w:vAlign w:val="center"/>
            <w:hideMark/>
          </w:tcPr>
          <w:p w14:paraId="5430838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272 756</w:t>
            </w:r>
          </w:p>
        </w:tc>
      </w:tr>
      <w:tr w:rsidR="0017127D" w:rsidRPr="0017127D" w14:paraId="322145D7"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24611C1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63</w:t>
            </w:r>
          </w:p>
        </w:tc>
        <w:tc>
          <w:tcPr>
            <w:tcW w:w="7093" w:type="dxa"/>
            <w:tcBorders>
              <w:top w:val="nil"/>
              <w:left w:val="nil"/>
              <w:bottom w:val="single" w:sz="8" w:space="0" w:color="auto"/>
              <w:right w:val="single" w:sz="8" w:space="0" w:color="auto"/>
            </w:tcBorders>
            <w:shd w:val="clear" w:color="auto" w:fill="auto"/>
            <w:noWrap/>
            <w:vAlign w:val="center"/>
            <w:hideMark/>
          </w:tcPr>
          <w:p w14:paraId="3C7EAAF7"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"Cēsu klīnika"</w:t>
            </w:r>
          </w:p>
        </w:tc>
        <w:tc>
          <w:tcPr>
            <w:tcW w:w="1984" w:type="dxa"/>
            <w:tcBorders>
              <w:top w:val="nil"/>
              <w:left w:val="nil"/>
              <w:bottom w:val="single" w:sz="8" w:space="0" w:color="auto"/>
              <w:right w:val="single" w:sz="8" w:space="0" w:color="auto"/>
            </w:tcBorders>
            <w:shd w:val="clear" w:color="auto" w:fill="auto"/>
            <w:noWrap/>
            <w:vAlign w:val="center"/>
            <w:hideMark/>
          </w:tcPr>
          <w:p w14:paraId="6271AA0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8 736 405</w:t>
            </w:r>
          </w:p>
        </w:tc>
        <w:tc>
          <w:tcPr>
            <w:tcW w:w="1985" w:type="dxa"/>
            <w:tcBorders>
              <w:top w:val="nil"/>
              <w:left w:val="nil"/>
              <w:bottom w:val="single" w:sz="8" w:space="0" w:color="auto"/>
              <w:right w:val="single" w:sz="8" w:space="0" w:color="auto"/>
            </w:tcBorders>
            <w:shd w:val="clear" w:color="auto" w:fill="auto"/>
            <w:noWrap/>
            <w:vAlign w:val="center"/>
            <w:hideMark/>
          </w:tcPr>
          <w:p w14:paraId="3D95E39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8 601 268</w:t>
            </w:r>
          </w:p>
        </w:tc>
        <w:tc>
          <w:tcPr>
            <w:tcW w:w="1843" w:type="dxa"/>
            <w:tcBorders>
              <w:top w:val="nil"/>
              <w:left w:val="nil"/>
              <w:bottom w:val="single" w:sz="8" w:space="0" w:color="auto"/>
              <w:right w:val="single" w:sz="8" w:space="0" w:color="auto"/>
            </w:tcBorders>
            <w:shd w:val="clear" w:color="auto" w:fill="auto"/>
            <w:noWrap/>
            <w:vAlign w:val="center"/>
            <w:hideMark/>
          </w:tcPr>
          <w:p w14:paraId="3A49893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135 137</w:t>
            </w:r>
          </w:p>
        </w:tc>
      </w:tr>
      <w:tr w:rsidR="0017127D" w:rsidRPr="0017127D" w14:paraId="5D51C185"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41811A8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64</w:t>
            </w:r>
          </w:p>
        </w:tc>
        <w:tc>
          <w:tcPr>
            <w:tcW w:w="7093" w:type="dxa"/>
            <w:tcBorders>
              <w:top w:val="nil"/>
              <w:left w:val="nil"/>
              <w:bottom w:val="single" w:sz="8" w:space="0" w:color="auto"/>
              <w:right w:val="single" w:sz="8" w:space="0" w:color="auto"/>
            </w:tcBorders>
            <w:shd w:val="clear" w:color="auto" w:fill="auto"/>
            <w:noWrap/>
            <w:vAlign w:val="center"/>
            <w:hideMark/>
          </w:tcPr>
          <w:p w14:paraId="10E47E1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"Madonas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28C5532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9 707 816</w:t>
            </w:r>
          </w:p>
        </w:tc>
        <w:tc>
          <w:tcPr>
            <w:tcW w:w="1985" w:type="dxa"/>
            <w:tcBorders>
              <w:top w:val="nil"/>
              <w:left w:val="nil"/>
              <w:bottom w:val="single" w:sz="8" w:space="0" w:color="auto"/>
              <w:right w:val="single" w:sz="8" w:space="0" w:color="auto"/>
            </w:tcBorders>
            <w:shd w:val="clear" w:color="auto" w:fill="auto"/>
            <w:noWrap/>
            <w:vAlign w:val="center"/>
            <w:hideMark/>
          </w:tcPr>
          <w:p w14:paraId="3512E39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9 225 710</w:t>
            </w:r>
          </w:p>
        </w:tc>
        <w:tc>
          <w:tcPr>
            <w:tcW w:w="1843" w:type="dxa"/>
            <w:tcBorders>
              <w:top w:val="nil"/>
              <w:left w:val="nil"/>
              <w:bottom w:val="single" w:sz="8" w:space="0" w:color="auto"/>
              <w:right w:val="single" w:sz="8" w:space="0" w:color="auto"/>
            </w:tcBorders>
            <w:shd w:val="clear" w:color="auto" w:fill="auto"/>
            <w:noWrap/>
            <w:vAlign w:val="center"/>
            <w:hideMark/>
          </w:tcPr>
          <w:p w14:paraId="30B2FAF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482 106</w:t>
            </w:r>
          </w:p>
        </w:tc>
      </w:tr>
      <w:tr w:rsidR="0017127D" w:rsidRPr="0017127D" w14:paraId="00288CB0"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247A009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65</w:t>
            </w:r>
          </w:p>
        </w:tc>
        <w:tc>
          <w:tcPr>
            <w:tcW w:w="7093" w:type="dxa"/>
            <w:tcBorders>
              <w:top w:val="nil"/>
              <w:left w:val="nil"/>
              <w:bottom w:val="single" w:sz="8" w:space="0" w:color="auto"/>
              <w:right w:val="single" w:sz="8" w:space="0" w:color="auto"/>
            </w:tcBorders>
            <w:shd w:val="clear" w:color="auto" w:fill="auto"/>
            <w:noWrap/>
            <w:vAlign w:val="center"/>
            <w:hideMark/>
          </w:tcPr>
          <w:p w14:paraId="777511DE"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“Ogres rajona slimnīca”</w:t>
            </w:r>
          </w:p>
        </w:tc>
        <w:tc>
          <w:tcPr>
            <w:tcW w:w="1984" w:type="dxa"/>
            <w:tcBorders>
              <w:top w:val="nil"/>
              <w:left w:val="nil"/>
              <w:bottom w:val="single" w:sz="8" w:space="0" w:color="auto"/>
              <w:right w:val="single" w:sz="8" w:space="0" w:color="auto"/>
            </w:tcBorders>
            <w:shd w:val="clear" w:color="auto" w:fill="auto"/>
            <w:noWrap/>
            <w:vAlign w:val="center"/>
            <w:hideMark/>
          </w:tcPr>
          <w:p w14:paraId="613B654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10 998 007</w:t>
            </w:r>
          </w:p>
        </w:tc>
        <w:tc>
          <w:tcPr>
            <w:tcW w:w="1985" w:type="dxa"/>
            <w:tcBorders>
              <w:top w:val="nil"/>
              <w:left w:val="nil"/>
              <w:bottom w:val="single" w:sz="8" w:space="0" w:color="auto"/>
              <w:right w:val="single" w:sz="8" w:space="0" w:color="auto"/>
            </w:tcBorders>
            <w:shd w:val="clear" w:color="auto" w:fill="auto"/>
            <w:noWrap/>
            <w:vAlign w:val="center"/>
            <w:hideMark/>
          </w:tcPr>
          <w:p w14:paraId="3EA89FA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9 223 778</w:t>
            </w:r>
          </w:p>
        </w:tc>
        <w:tc>
          <w:tcPr>
            <w:tcW w:w="1843" w:type="dxa"/>
            <w:tcBorders>
              <w:top w:val="nil"/>
              <w:left w:val="nil"/>
              <w:bottom w:val="single" w:sz="8" w:space="0" w:color="auto"/>
              <w:right w:val="single" w:sz="8" w:space="0" w:color="auto"/>
            </w:tcBorders>
            <w:shd w:val="clear" w:color="auto" w:fill="auto"/>
            <w:noWrap/>
            <w:vAlign w:val="center"/>
            <w:hideMark/>
          </w:tcPr>
          <w:p w14:paraId="6602454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1 774 229</w:t>
            </w:r>
          </w:p>
        </w:tc>
      </w:tr>
      <w:tr w:rsidR="0017127D" w:rsidRPr="0017127D" w14:paraId="4EF738FB"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2EA9F1E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66</w:t>
            </w:r>
          </w:p>
        </w:tc>
        <w:tc>
          <w:tcPr>
            <w:tcW w:w="7093" w:type="dxa"/>
            <w:tcBorders>
              <w:top w:val="nil"/>
              <w:left w:val="nil"/>
              <w:bottom w:val="single" w:sz="8" w:space="0" w:color="auto"/>
              <w:right w:val="single" w:sz="8" w:space="0" w:color="auto"/>
            </w:tcBorders>
            <w:shd w:val="clear" w:color="auto" w:fill="auto"/>
            <w:noWrap/>
            <w:vAlign w:val="center"/>
            <w:hideMark/>
          </w:tcPr>
          <w:p w14:paraId="48B162E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"Rēzeknes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582C7DE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20 000 000</w:t>
            </w:r>
          </w:p>
        </w:tc>
        <w:tc>
          <w:tcPr>
            <w:tcW w:w="1985" w:type="dxa"/>
            <w:tcBorders>
              <w:top w:val="nil"/>
              <w:left w:val="nil"/>
              <w:bottom w:val="single" w:sz="8" w:space="0" w:color="auto"/>
              <w:right w:val="single" w:sz="8" w:space="0" w:color="auto"/>
            </w:tcBorders>
            <w:shd w:val="clear" w:color="auto" w:fill="auto"/>
            <w:noWrap/>
            <w:vAlign w:val="center"/>
            <w:hideMark/>
          </w:tcPr>
          <w:p w14:paraId="3DE5F68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19 932 000</w:t>
            </w:r>
          </w:p>
        </w:tc>
        <w:tc>
          <w:tcPr>
            <w:tcW w:w="1843" w:type="dxa"/>
            <w:tcBorders>
              <w:top w:val="nil"/>
              <w:left w:val="nil"/>
              <w:bottom w:val="single" w:sz="8" w:space="0" w:color="auto"/>
              <w:right w:val="single" w:sz="8" w:space="0" w:color="auto"/>
            </w:tcBorders>
            <w:shd w:val="clear" w:color="auto" w:fill="auto"/>
            <w:noWrap/>
            <w:vAlign w:val="center"/>
            <w:hideMark/>
          </w:tcPr>
          <w:p w14:paraId="3A2F986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68 000</w:t>
            </w:r>
          </w:p>
        </w:tc>
      </w:tr>
      <w:tr w:rsidR="0017127D" w:rsidRPr="0017127D" w14:paraId="5042129F"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7D51D58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67</w:t>
            </w:r>
          </w:p>
        </w:tc>
        <w:tc>
          <w:tcPr>
            <w:tcW w:w="7093" w:type="dxa"/>
            <w:tcBorders>
              <w:top w:val="nil"/>
              <w:left w:val="nil"/>
              <w:bottom w:val="single" w:sz="8" w:space="0" w:color="auto"/>
              <w:right w:val="single" w:sz="8" w:space="0" w:color="auto"/>
            </w:tcBorders>
            <w:shd w:val="clear" w:color="auto" w:fill="auto"/>
            <w:noWrap/>
            <w:vAlign w:val="center"/>
            <w:hideMark/>
          </w:tcPr>
          <w:p w14:paraId="4779FF9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"Rēzeknes Satiksme"</w:t>
            </w:r>
          </w:p>
        </w:tc>
        <w:tc>
          <w:tcPr>
            <w:tcW w:w="1984" w:type="dxa"/>
            <w:tcBorders>
              <w:top w:val="nil"/>
              <w:left w:val="nil"/>
              <w:bottom w:val="single" w:sz="8" w:space="0" w:color="auto"/>
              <w:right w:val="single" w:sz="8" w:space="0" w:color="auto"/>
            </w:tcBorders>
            <w:shd w:val="clear" w:color="auto" w:fill="auto"/>
            <w:noWrap/>
            <w:vAlign w:val="center"/>
            <w:hideMark/>
          </w:tcPr>
          <w:p w14:paraId="2E4F832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2 296 743</w:t>
            </w:r>
          </w:p>
        </w:tc>
        <w:tc>
          <w:tcPr>
            <w:tcW w:w="1985" w:type="dxa"/>
            <w:tcBorders>
              <w:top w:val="nil"/>
              <w:left w:val="nil"/>
              <w:bottom w:val="single" w:sz="8" w:space="0" w:color="auto"/>
              <w:right w:val="single" w:sz="8" w:space="0" w:color="auto"/>
            </w:tcBorders>
            <w:shd w:val="clear" w:color="auto" w:fill="auto"/>
            <w:noWrap/>
            <w:vAlign w:val="center"/>
            <w:hideMark/>
          </w:tcPr>
          <w:p w14:paraId="3B67183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1 836 476</w:t>
            </w:r>
          </w:p>
        </w:tc>
        <w:tc>
          <w:tcPr>
            <w:tcW w:w="1843" w:type="dxa"/>
            <w:tcBorders>
              <w:top w:val="nil"/>
              <w:left w:val="nil"/>
              <w:bottom w:val="single" w:sz="8" w:space="0" w:color="auto"/>
              <w:right w:val="single" w:sz="8" w:space="0" w:color="auto"/>
            </w:tcBorders>
            <w:shd w:val="clear" w:color="auto" w:fill="auto"/>
            <w:noWrap/>
            <w:vAlign w:val="center"/>
            <w:hideMark/>
          </w:tcPr>
          <w:p w14:paraId="7D19579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460 267</w:t>
            </w:r>
          </w:p>
        </w:tc>
      </w:tr>
      <w:tr w:rsidR="0017127D" w:rsidRPr="0017127D" w14:paraId="2BDB862F"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1D144C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68</w:t>
            </w:r>
          </w:p>
        </w:tc>
        <w:tc>
          <w:tcPr>
            <w:tcW w:w="7093" w:type="dxa"/>
            <w:tcBorders>
              <w:top w:val="nil"/>
              <w:left w:val="nil"/>
              <w:bottom w:val="single" w:sz="8" w:space="0" w:color="auto"/>
              <w:right w:val="single" w:sz="8" w:space="0" w:color="auto"/>
            </w:tcBorders>
            <w:shd w:val="clear" w:color="auto" w:fill="auto"/>
            <w:noWrap/>
            <w:vAlign w:val="center"/>
            <w:hideMark/>
          </w:tcPr>
          <w:p w14:paraId="2448C9D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"Ziemeļkurzemes reģionālā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1774B38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17 913 858</w:t>
            </w:r>
          </w:p>
        </w:tc>
        <w:tc>
          <w:tcPr>
            <w:tcW w:w="1985" w:type="dxa"/>
            <w:tcBorders>
              <w:top w:val="nil"/>
              <w:left w:val="nil"/>
              <w:bottom w:val="single" w:sz="8" w:space="0" w:color="auto"/>
              <w:right w:val="single" w:sz="8" w:space="0" w:color="auto"/>
            </w:tcBorders>
            <w:shd w:val="clear" w:color="auto" w:fill="auto"/>
            <w:noWrap/>
            <w:vAlign w:val="center"/>
            <w:hideMark/>
          </w:tcPr>
          <w:p w14:paraId="7318C54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17 719 993</w:t>
            </w:r>
          </w:p>
        </w:tc>
        <w:tc>
          <w:tcPr>
            <w:tcW w:w="1843" w:type="dxa"/>
            <w:tcBorders>
              <w:top w:val="nil"/>
              <w:left w:val="nil"/>
              <w:bottom w:val="single" w:sz="8" w:space="0" w:color="auto"/>
              <w:right w:val="single" w:sz="8" w:space="0" w:color="auto"/>
            </w:tcBorders>
            <w:shd w:val="clear" w:color="auto" w:fill="auto"/>
            <w:noWrap/>
            <w:vAlign w:val="center"/>
            <w:hideMark/>
          </w:tcPr>
          <w:p w14:paraId="1855BA5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193 865</w:t>
            </w:r>
          </w:p>
        </w:tc>
      </w:tr>
      <w:tr w:rsidR="0017127D" w:rsidRPr="0017127D" w14:paraId="5EDB529A"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FB7915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69</w:t>
            </w:r>
          </w:p>
        </w:tc>
        <w:tc>
          <w:tcPr>
            <w:tcW w:w="7093" w:type="dxa"/>
            <w:tcBorders>
              <w:top w:val="nil"/>
              <w:left w:val="nil"/>
              <w:bottom w:val="single" w:sz="8" w:space="0" w:color="auto"/>
              <w:right w:val="single" w:sz="8" w:space="0" w:color="auto"/>
            </w:tcBorders>
            <w:shd w:val="clear" w:color="auto" w:fill="auto"/>
            <w:noWrap/>
            <w:vAlign w:val="center"/>
            <w:hideMark/>
          </w:tcPr>
          <w:p w14:paraId="604F8F65"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"Olimpiskais centrs "Ventspils""</w:t>
            </w:r>
          </w:p>
        </w:tc>
        <w:tc>
          <w:tcPr>
            <w:tcW w:w="1984" w:type="dxa"/>
            <w:tcBorders>
              <w:top w:val="nil"/>
              <w:left w:val="nil"/>
              <w:bottom w:val="single" w:sz="8" w:space="0" w:color="auto"/>
              <w:right w:val="single" w:sz="8" w:space="0" w:color="auto"/>
            </w:tcBorders>
            <w:shd w:val="clear" w:color="auto" w:fill="auto"/>
            <w:noWrap/>
            <w:vAlign w:val="center"/>
            <w:hideMark/>
          </w:tcPr>
          <w:p w14:paraId="673CF8E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2 096 192</w:t>
            </w:r>
          </w:p>
        </w:tc>
        <w:tc>
          <w:tcPr>
            <w:tcW w:w="1985" w:type="dxa"/>
            <w:tcBorders>
              <w:top w:val="nil"/>
              <w:left w:val="nil"/>
              <w:bottom w:val="single" w:sz="8" w:space="0" w:color="auto"/>
              <w:right w:val="single" w:sz="8" w:space="0" w:color="auto"/>
            </w:tcBorders>
            <w:shd w:val="clear" w:color="auto" w:fill="auto"/>
            <w:noWrap/>
            <w:vAlign w:val="center"/>
            <w:hideMark/>
          </w:tcPr>
          <w:p w14:paraId="292555E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2 048 376</w:t>
            </w:r>
          </w:p>
        </w:tc>
        <w:tc>
          <w:tcPr>
            <w:tcW w:w="1843" w:type="dxa"/>
            <w:tcBorders>
              <w:top w:val="nil"/>
              <w:left w:val="nil"/>
              <w:bottom w:val="single" w:sz="8" w:space="0" w:color="auto"/>
              <w:right w:val="single" w:sz="8" w:space="0" w:color="auto"/>
            </w:tcBorders>
            <w:shd w:val="clear" w:color="auto" w:fill="auto"/>
            <w:noWrap/>
            <w:vAlign w:val="center"/>
            <w:hideMark/>
          </w:tcPr>
          <w:p w14:paraId="185DBAF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47 816</w:t>
            </w:r>
          </w:p>
        </w:tc>
      </w:tr>
      <w:tr w:rsidR="0017127D" w:rsidRPr="0017127D" w14:paraId="0042E183"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EFCBDD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70</w:t>
            </w:r>
          </w:p>
        </w:tc>
        <w:tc>
          <w:tcPr>
            <w:tcW w:w="7093" w:type="dxa"/>
            <w:tcBorders>
              <w:top w:val="nil"/>
              <w:left w:val="nil"/>
              <w:bottom w:val="single" w:sz="8" w:space="0" w:color="auto"/>
              <w:right w:val="single" w:sz="8" w:space="0" w:color="auto"/>
            </w:tcBorders>
            <w:shd w:val="clear" w:color="auto" w:fill="auto"/>
            <w:noWrap/>
            <w:vAlign w:val="center"/>
            <w:hideMark/>
          </w:tcPr>
          <w:p w14:paraId="610C4137"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"Jūrmalas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2E2EBFD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9 953 571</w:t>
            </w:r>
          </w:p>
        </w:tc>
        <w:tc>
          <w:tcPr>
            <w:tcW w:w="1985" w:type="dxa"/>
            <w:tcBorders>
              <w:top w:val="nil"/>
              <w:left w:val="nil"/>
              <w:bottom w:val="single" w:sz="8" w:space="0" w:color="auto"/>
              <w:right w:val="single" w:sz="8" w:space="0" w:color="auto"/>
            </w:tcBorders>
            <w:shd w:val="clear" w:color="auto" w:fill="auto"/>
            <w:noWrap/>
            <w:vAlign w:val="center"/>
            <w:hideMark/>
          </w:tcPr>
          <w:p w14:paraId="52823AF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10 071 598</w:t>
            </w:r>
          </w:p>
        </w:tc>
        <w:tc>
          <w:tcPr>
            <w:tcW w:w="1843" w:type="dxa"/>
            <w:tcBorders>
              <w:top w:val="nil"/>
              <w:left w:val="nil"/>
              <w:bottom w:val="single" w:sz="8" w:space="0" w:color="auto"/>
              <w:right w:val="single" w:sz="8" w:space="0" w:color="auto"/>
            </w:tcBorders>
            <w:shd w:val="clear" w:color="auto" w:fill="auto"/>
            <w:noWrap/>
            <w:vAlign w:val="center"/>
            <w:hideMark/>
          </w:tcPr>
          <w:p w14:paraId="691C5DA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-118 027</w:t>
            </w:r>
          </w:p>
        </w:tc>
      </w:tr>
      <w:tr w:rsidR="0017127D" w:rsidRPr="0017127D" w14:paraId="2B41E008"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20D2176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71</w:t>
            </w:r>
          </w:p>
        </w:tc>
        <w:tc>
          <w:tcPr>
            <w:tcW w:w="7093" w:type="dxa"/>
            <w:tcBorders>
              <w:top w:val="nil"/>
              <w:left w:val="nil"/>
              <w:bottom w:val="single" w:sz="8" w:space="0" w:color="auto"/>
              <w:right w:val="single" w:sz="8" w:space="0" w:color="auto"/>
            </w:tcBorders>
            <w:shd w:val="clear" w:color="auto" w:fill="auto"/>
            <w:noWrap/>
            <w:vAlign w:val="center"/>
            <w:hideMark/>
          </w:tcPr>
          <w:p w14:paraId="36D7FEA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xml:space="preserve">Nodibinājums "Rīgas Tūrisma Attīstības Birojs" </w:t>
            </w:r>
          </w:p>
        </w:tc>
        <w:tc>
          <w:tcPr>
            <w:tcW w:w="1984" w:type="dxa"/>
            <w:tcBorders>
              <w:top w:val="nil"/>
              <w:left w:val="nil"/>
              <w:bottom w:val="single" w:sz="8" w:space="0" w:color="auto"/>
              <w:right w:val="single" w:sz="8" w:space="0" w:color="auto"/>
            </w:tcBorders>
            <w:shd w:val="clear" w:color="auto" w:fill="auto"/>
            <w:noWrap/>
            <w:vAlign w:val="center"/>
            <w:hideMark/>
          </w:tcPr>
          <w:p w14:paraId="1751B5D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985" w:type="dxa"/>
            <w:tcBorders>
              <w:top w:val="nil"/>
              <w:left w:val="nil"/>
              <w:bottom w:val="single" w:sz="8" w:space="0" w:color="auto"/>
              <w:right w:val="single" w:sz="8" w:space="0" w:color="auto"/>
            </w:tcBorders>
            <w:shd w:val="clear" w:color="auto" w:fill="auto"/>
            <w:noWrap/>
            <w:vAlign w:val="center"/>
            <w:hideMark/>
          </w:tcPr>
          <w:p w14:paraId="34BA038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843" w:type="dxa"/>
            <w:tcBorders>
              <w:top w:val="nil"/>
              <w:left w:val="nil"/>
              <w:bottom w:val="single" w:sz="8" w:space="0" w:color="auto"/>
              <w:right w:val="single" w:sz="8" w:space="0" w:color="auto"/>
            </w:tcBorders>
            <w:shd w:val="clear" w:color="auto" w:fill="auto"/>
            <w:noWrap/>
            <w:vAlign w:val="center"/>
            <w:hideMark/>
          </w:tcPr>
          <w:p w14:paraId="5F250BC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302C4B9D"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193C6DB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lastRenderedPageBreak/>
              <w:t>72</w:t>
            </w:r>
          </w:p>
        </w:tc>
        <w:tc>
          <w:tcPr>
            <w:tcW w:w="7093" w:type="dxa"/>
            <w:tcBorders>
              <w:top w:val="nil"/>
              <w:left w:val="nil"/>
              <w:bottom w:val="single" w:sz="8" w:space="0" w:color="auto"/>
              <w:right w:val="single" w:sz="8" w:space="0" w:color="auto"/>
            </w:tcBorders>
            <w:shd w:val="clear" w:color="auto" w:fill="auto"/>
            <w:noWrap/>
            <w:vAlign w:val="center"/>
            <w:hideMark/>
          </w:tcPr>
          <w:p w14:paraId="3E4A0B6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xml:space="preserve">SIA "Rīgas 2. slimnīca" </w:t>
            </w:r>
          </w:p>
        </w:tc>
        <w:tc>
          <w:tcPr>
            <w:tcW w:w="1984" w:type="dxa"/>
            <w:tcBorders>
              <w:top w:val="nil"/>
              <w:left w:val="nil"/>
              <w:bottom w:val="single" w:sz="8" w:space="0" w:color="auto"/>
              <w:right w:val="single" w:sz="8" w:space="0" w:color="auto"/>
            </w:tcBorders>
            <w:shd w:val="clear" w:color="auto" w:fill="auto"/>
            <w:noWrap/>
            <w:vAlign w:val="center"/>
            <w:hideMark/>
          </w:tcPr>
          <w:p w14:paraId="39A3526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9 331 464</w:t>
            </w:r>
          </w:p>
        </w:tc>
        <w:tc>
          <w:tcPr>
            <w:tcW w:w="1985" w:type="dxa"/>
            <w:tcBorders>
              <w:top w:val="nil"/>
              <w:left w:val="nil"/>
              <w:bottom w:val="single" w:sz="8" w:space="0" w:color="auto"/>
              <w:right w:val="single" w:sz="8" w:space="0" w:color="auto"/>
            </w:tcBorders>
            <w:shd w:val="clear" w:color="auto" w:fill="auto"/>
            <w:noWrap/>
            <w:vAlign w:val="center"/>
            <w:hideMark/>
          </w:tcPr>
          <w:p w14:paraId="499DA5F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9 298 474</w:t>
            </w:r>
          </w:p>
        </w:tc>
        <w:tc>
          <w:tcPr>
            <w:tcW w:w="1843" w:type="dxa"/>
            <w:tcBorders>
              <w:top w:val="nil"/>
              <w:left w:val="nil"/>
              <w:bottom w:val="single" w:sz="8" w:space="0" w:color="auto"/>
              <w:right w:val="single" w:sz="8" w:space="0" w:color="auto"/>
            </w:tcBorders>
            <w:shd w:val="clear" w:color="auto" w:fill="auto"/>
            <w:noWrap/>
            <w:vAlign w:val="center"/>
            <w:hideMark/>
          </w:tcPr>
          <w:p w14:paraId="3FF4DF6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32990</w:t>
            </w:r>
          </w:p>
        </w:tc>
      </w:tr>
      <w:tr w:rsidR="0017127D" w:rsidRPr="0017127D" w14:paraId="488E0907"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2E5D98E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73</w:t>
            </w:r>
          </w:p>
        </w:tc>
        <w:tc>
          <w:tcPr>
            <w:tcW w:w="7093" w:type="dxa"/>
            <w:tcBorders>
              <w:top w:val="nil"/>
              <w:left w:val="nil"/>
              <w:bottom w:val="single" w:sz="8" w:space="0" w:color="auto"/>
              <w:right w:val="single" w:sz="8" w:space="0" w:color="auto"/>
            </w:tcBorders>
            <w:shd w:val="clear" w:color="auto" w:fill="auto"/>
            <w:noWrap/>
            <w:vAlign w:val="center"/>
            <w:hideMark/>
          </w:tcPr>
          <w:p w14:paraId="57BFD21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"Jelgavas pilsētas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74EAFBE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14 197 824</w:t>
            </w:r>
          </w:p>
        </w:tc>
        <w:tc>
          <w:tcPr>
            <w:tcW w:w="1985" w:type="dxa"/>
            <w:tcBorders>
              <w:top w:val="nil"/>
              <w:left w:val="nil"/>
              <w:bottom w:val="single" w:sz="8" w:space="0" w:color="auto"/>
              <w:right w:val="single" w:sz="8" w:space="0" w:color="auto"/>
            </w:tcBorders>
            <w:shd w:val="clear" w:color="auto" w:fill="auto"/>
            <w:noWrap/>
            <w:vAlign w:val="center"/>
            <w:hideMark/>
          </w:tcPr>
          <w:p w14:paraId="75CF381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13 063 943</w:t>
            </w:r>
          </w:p>
        </w:tc>
        <w:tc>
          <w:tcPr>
            <w:tcW w:w="1843" w:type="dxa"/>
            <w:tcBorders>
              <w:top w:val="nil"/>
              <w:left w:val="nil"/>
              <w:bottom w:val="single" w:sz="8" w:space="0" w:color="auto"/>
              <w:right w:val="single" w:sz="8" w:space="0" w:color="auto"/>
            </w:tcBorders>
            <w:shd w:val="clear" w:color="auto" w:fill="auto"/>
            <w:noWrap/>
            <w:vAlign w:val="center"/>
            <w:hideMark/>
          </w:tcPr>
          <w:p w14:paraId="29A8B75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1 133 881</w:t>
            </w:r>
          </w:p>
        </w:tc>
      </w:tr>
      <w:tr w:rsidR="0017127D" w:rsidRPr="0017127D" w14:paraId="3F4C112B"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0BFD208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74</w:t>
            </w:r>
          </w:p>
        </w:tc>
        <w:tc>
          <w:tcPr>
            <w:tcW w:w="7093" w:type="dxa"/>
            <w:tcBorders>
              <w:top w:val="nil"/>
              <w:left w:val="nil"/>
              <w:bottom w:val="single" w:sz="8" w:space="0" w:color="auto"/>
              <w:right w:val="single" w:sz="8" w:space="0" w:color="auto"/>
            </w:tcBorders>
            <w:shd w:val="clear" w:color="auto" w:fill="auto"/>
            <w:noWrap/>
            <w:vAlign w:val="center"/>
            <w:hideMark/>
          </w:tcPr>
          <w:p w14:paraId="08D5530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"Rīgas 1.slimnīca"</w:t>
            </w:r>
          </w:p>
        </w:tc>
        <w:tc>
          <w:tcPr>
            <w:tcW w:w="1984" w:type="dxa"/>
            <w:tcBorders>
              <w:top w:val="nil"/>
              <w:left w:val="nil"/>
              <w:bottom w:val="single" w:sz="8" w:space="0" w:color="auto"/>
              <w:right w:val="single" w:sz="8" w:space="0" w:color="auto"/>
            </w:tcBorders>
            <w:shd w:val="clear" w:color="auto" w:fill="auto"/>
            <w:noWrap/>
            <w:vAlign w:val="center"/>
            <w:hideMark/>
          </w:tcPr>
          <w:p w14:paraId="7ADEFCA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23 515 202</w:t>
            </w:r>
          </w:p>
        </w:tc>
        <w:tc>
          <w:tcPr>
            <w:tcW w:w="1985" w:type="dxa"/>
            <w:tcBorders>
              <w:top w:val="nil"/>
              <w:left w:val="nil"/>
              <w:bottom w:val="single" w:sz="8" w:space="0" w:color="auto"/>
              <w:right w:val="single" w:sz="8" w:space="0" w:color="auto"/>
            </w:tcBorders>
            <w:shd w:val="clear" w:color="auto" w:fill="auto"/>
            <w:noWrap/>
            <w:vAlign w:val="center"/>
            <w:hideMark/>
          </w:tcPr>
          <w:p w14:paraId="5790371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23 657 490</w:t>
            </w:r>
          </w:p>
        </w:tc>
        <w:tc>
          <w:tcPr>
            <w:tcW w:w="1843" w:type="dxa"/>
            <w:tcBorders>
              <w:top w:val="nil"/>
              <w:left w:val="nil"/>
              <w:bottom w:val="single" w:sz="8" w:space="0" w:color="auto"/>
              <w:right w:val="single" w:sz="8" w:space="0" w:color="auto"/>
            </w:tcBorders>
            <w:shd w:val="clear" w:color="auto" w:fill="auto"/>
            <w:noWrap/>
            <w:vAlign w:val="center"/>
            <w:hideMark/>
          </w:tcPr>
          <w:p w14:paraId="529F2B4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-142 288</w:t>
            </w:r>
          </w:p>
        </w:tc>
      </w:tr>
      <w:tr w:rsidR="0017127D" w:rsidRPr="0017127D" w14:paraId="1A489C70"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643B784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75</w:t>
            </w:r>
          </w:p>
        </w:tc>
        <w:tc>
          <w:tcPr>
            <w:tcW w:w="7093" w:type="dxa"/>
            <w:tcBorders>
              <w:top w:val="nil"/>
              <w:left w:val="nil"/>
              <w:bottom w:val="single" w:sz="8" w:space="0" w:color="auto"/>
              <w:right w:val="single" w:sz="8" w:space="0" w:color="auto"/>
            </w:tcBorders>
            <w:shd w:val="clear" w:color="auto" w:fill="auto"/>
            <w:noWrap/>
            <w:vAlign w:val="center"/>
            <w:hideMark/>
          </w:tcPr>
          <w:p w14:paraId="588358C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"Rīgas Dzemdību nams"</w:t>
            </w:r>
          </w:p>
        </w:tc>
        <w:tc>
          <w:tcPr>
            <w:tcW w:w="1984" w:type="dxa"/>
            <w:tcBorders>
              <w:top w:val="nil"/>
              <w:left w:val="nil"/>
              <w:bottom w:val="single" w:sz="8" w:space="0" w:color="auto"/>
              <w:right w:val="single" w:sz="8" w:space="0" w:color="auto"/>
            </w:tcBorders>
            <w:shd w:val="clear" w:color="auto" w:fill="auto"/>
            <w:noWrap/>
            <w:vAlign w:val="center"/>
            <w:hideMark/>
          </w:tcPr>
          <w:p w14:paraId="41F26BB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14 408 570</w:t>
            </w:r>
          </w:p>
        </w:tc>
        <w:tc>
          <w:tcPr>
            <w:tcW w:w="1985" w:type="dxa"/>
            <w:tcBorders>
              <w:top w:val="nil"/>
              <w:left w:val="nil"/>
              <w:bottom w:val="single" w:sz="8" w:space="0" w:color="auto"/>
              <w:right w:val="single" w:sz="8" w:space="0" w:color="auto"/>
            </w:tcBorders>
            <w:shd w:val="clear" w:color="auto" w:fill="auto"/>
            <w:noWrap/>
            <w:vAlign w:val="center"/>
            <w:hideMark/>
          </w:tcPr>
          <w:p w14:paraId="0C1C258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14 393 186</w:t>
            </w:r>
          </w:p>
        </w:tc>
        <w:tc>
          <w:tcPr>
            <w:tcW w:w="1843" w:type="dxa"/>
            <w:tcBorders>
              <w:top w:val="nil"/>
              <w:left w:val="nil"/>
              <w:bottom w:val="single" w:sz="8" w:space="0" w:color="auto"/>
              <w:right w:val="single" w:sz="8" w:space="0" w:color="auto"/>
            </w:tcBorders>
            <w:shd w:val="clear" w:color="auto" w:fill="auto"/>
            <w:noWrap/>
            <w:vAlign w:val="center"/>
            <w:hideMark/>
          </w:tcPr>
          <w:p w14:paraId="2ED7724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15 384</w:t>
            </w:r>
          </w:p>
        </w:tc>
      </w:tr>
      <w:tr w:rsidR="0017127D" w:rsidRPr="0017127D" w14:paraId="2FAC8638"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6EA62B7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76</w:t>
            </w:r>
          </w:p>
        </w:tc>
        <w:tc>
          <w:tcPr>
            <w:tcW w:w="7093" w:type="dxa"/>
            <w:tcBorders>
              <w:top w:val="nil"/>
              <w:left w:val="nil"/>
              <w:bottom w:val="single" w:sz="8" w:space="0" w:color="auto"/>
              <w:right w:val="single" w:sz="8" w:space="0" w:color="auto"/>
            </w:tcBorders>
            <w:shd w:val="clear" w:color="auto" w:fill="auto"/>
            <w:noWrap/>
            <w:vAlign w:val="center"/>
            <w:hideMark/>
          </w:tcPr>
          <w:p w14:paraId="77DE1F3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"Rīgas veselības centrs"</w:t>
            </w:r>
          </w:p>
        </w:tc>
        <w:tc>
          <w:tcPr>
            <w:tcW w:w="1984" w:type="dxa"/>
            <w:tcBorders>
              <w:top w:val="nil"/>
              <w:left w:val="nil"/>
              <w:bottom w:val="single" w:sz="8" w:space="0" w:color="auto"/>
              <w:right w:val="single" w:sz="8" w:space="0" w:color="auto"/>
            </w:tcBorders>
            <w:shd w:val="clear" w:color="auto" w:fill="auto"/>
            <w:noWrap/>
            <w:vAlign w:val="center"/>
            <w:hideMark/>
          </w:tcPr>
          <w:p w14:paraId="1F614B3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10 617 466</w:t>
            </w:r>
          </w:p>
        </w:tc>
        <w:tc>
          <w:tcPr>
            <w:tcW w:w="1985" w:type="dxa"/>
            <w:tcBorders>
              <w:top w:val="nil"/>
              <w:left w:val="nil"/>
              <w:bottom w:val="single" w:sz="8" w:space="0" w:color="auto"/>
              <w:right w:val="single" w:sz="8" w:space="0" w:color="auto"/>
            </w:tcBorders>
            <w:shd w:val="clear" w:color="auto" w:fill="auto"/>
            <w:noWrap/>
            <w:vAlign w:val="center"/>
            <w:hideMark/>
          </w:tcPr>
          <w:p w14:paraId="728E5D2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10 556 108</w:t>
            </w:r>
          </w:p>
        </w:tc>
        <w:tc>
          <w:tcPr>
            <w:tcW w:w="1843" w:type="dxa"/>
            <w:tcBorders>
              <w:top w:val="nil"/>
              <w:left w:val="nil"/>
              <w:bottom w:val="single" w:sz="8" w:space="0" w:color="auto"/>
              <w:right w:val="single" w:sz="8" w:space="0" w:color="auto"/>
            </w:tcBorders>
            <w:shd w:val="clear" w:color="auto" w:fill="auto"/>
            <w:noWrap/>
            <w:vAlign w:val="center"/>
            <w:hideMark/>
          </w:tcPr>
          <w:p w14:paraId="5A98B6E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61 358</w:t>
            </w:r>
          </w:p>
        </w:tc>
      </w:tr>
      <w:tr w:rsidR="0017127D" w:rsidRPr="0017127D" w14:paraId="657E1870"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08A5D9D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77</w:t>
            </w:r>
          </w:p>
        </w:tc>
        <w:tc>
          <w:tcPr>
            <w:tcW w:w="7093" w:type="dxa"/>
            <w:tcBorders>
              <w:top w:val="nil"/>
              <w:left w:val="nil"/>
              <w:bottom w:val="single" w:sz="8" w:space="0" w:color="auto"/>
              <w:right w:val="single" w:sz="8" w:space="0" w:color="auto"/>
            </w:tcBorders>
            <w:shd w:val="clear" w:color="auto" w:fill="auto"/>
            <w:noWrap/>
            <w:vAlign w:val="center"/>
            <w:hideMark/>
          </w:tcPr>
          <w:p w14:paraId="5DA2586E"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"Liepājas tramvajs"</w:t>
            </w:r>
          </w:p>
        </w:tc>
        <w:tc>
          <w:tcPr>
            <w:tcW w:w="1984" w:type="dxa"/>
            <w:tcBorders>
              <w:top w:val="nil"/>
              <w:left w:val="nil"/>
              <w:bottom w:val="single" w:sz="8" w:space="0" w:color="auto"/>
              <w:right w:val="single" w:sz="8" w:space="0" w:color="auto"/>
            </w:tcBorders>
            <w:shd w:val="clear" w:color="auto" w:fill="auto"/>
            <w:noWrap/>
            <w:vAlign w:val="center"/>
            <w:hideMark/>
          </w:tcPr>
          <w:p w14:paraId="3827599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2 148 000</w:t>
            </w:r>
          </w:p>
        </w:tc>
        <w:tc>
          <w:tcPr>
            <w:tcW w:w="1985" w:type="dxa"/>
            <w:tcBorders>
              <w:top w:val="nil"/>
              <w:left w:val="nil"/>
              <w:bottom w:val="single" w:sz="8" w:space="0" w:color="auto"/>
              <w:right w:val="single" w:sz="8" w:space="0" w:color="auto"/>
            </w:tcBorders>
            <w:shd w:val="clear" w:color="auto" w:fill="auto"/>
            <w:noWrap/>
            <w:vAlign w:val="center"/>
            <w:hideMark/>
          </w:tcPr>
          <w:p w14:paraId="58A3CED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1 777 571</w:t>
            </w:r>
          </w:p>
        </w:tc>
        <w:tc>
          <w:tcPr>
            <w:tcW w:w="1843" w:type="dxa"/>
            <w:tcBorders>
              <w:top w:val="nil"/>
              <w:left w:val="nil"/>
              <w:bottom w:val="single" w:sz="8" w:space="0" w:color="auto"/>
              <w:right w:val="single" w:sz="8" w:space="0" w:color="auto"/>
            </w:tcBorders>
            <w:shd w:val="clear" w:color="auto" w:fill="auto"/>
            <w:noWrap/>
            <w:vAlign w:val="center"/>
            <w:hideMark/>
          </w:tcPr>
          <w:p w14:paraId="1F42ECA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370 429</w:t>
            </w:r>
          </w:p>
        </w:tc>
      </w:tr>
      <w:tr w:rsidR="0017127D" w:rsidRPr="0017127D" w14:paraId="43DC706A"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317C62F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78</w:t>
            </w:r>
          </w:p>
        </w:tc>
        <w:tc>
          <w:tcPr>
            <w:tcW w:w="7093" w:type="dxa"/>
            <w:tcBorders>
              <w:top w:val="nil"/>
              <w:left w:val="nil"/>
              <w:bottom w:val="single" w:sz="8" w:space="0" w:color="auto"/>
              <w:right w:val="single" w:sz="8" w:space="0" w:color="auto"/>
            </w:tcBorders>
            <w:shd w:val="clear" w:color="auto" w:fill="auto"/>
            <w:noWrap/>
            <w:vAlign w:val="center"/>
            <w:hideMark/>
          </w:tcPr>
          <w:p w14:paraId="0BEE901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"Liepājas reģionālā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5A1B098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30 890 684</w:t>
            </w:r>
          </w:p>
        </w:tc>
        <w:tc>
          <w:tcPr>
            <w:tcW w:w="1985" w:type="dxa"/>
            <w:tcBorders>
              <w:top w:val="nil"/>
              <w:left w:val="nil"/>
              <w:bottom w:val="single" w:sz="8" w:space="0" w:color="auto"/>
              <w:right w:val="single" w:sz="8" w:space="0" w:color="auto"/>
            </w:tcBorders>
            <w:shd w:val="clear" w:color="auto" w:fill="auto"/>
            <w:noWrap/>
            <w:vAlign w:val="center"/>
            <w:hideMark/>
          </w:tcPr>
          <w:p w14:paraId="5A48DF2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28 836 077</w:t>
            </w:r>
          </w:p>
        </w:tc>
        <w:tc>
          <w:tcPr>
            <w:tcW w:w="1843" w:type="dxa"/>
            <w:tcBorders>
              <w:top w:val="nil"/>
              <w:left w:val="nil"/>
              <w:bottom w:val="single" w:sz="8" w:space="0" w:color="auto"/>
              <w:right w:val="single" w:sz="8" w:space="0" w:color="auto"/>
            </w:tcBorders>
            <w:shd w:val="clear" w:color="auto" w:fill="auto"/>
            <w:noWrap/>
            <w:vAlign w:val="center"/>
            <w:hideMark/>
          </w:tcPr>
          <w:p w14:paraId="38A5989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2 054 607</w:t>
            </w:r>
          </w:p>
        </w:tc>
      </w:tr>
      <w:tr w:rsidR="0017127D" w:rsidRPr="0017127D" w14:paraId="587AF2EA"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7AD160E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79</w:t>
            </w:r>
          </w:p>
        </w:tc>
        <w:tc>
          <w:tcPr>
            <w:tcW w:w="7093" w:type="dxa"/>
            <w:tcBorders>
              <w:top w:val="nil"/>
              <w:left w:val="nil"/>
              <w:bottom w:val="single" w:sz="8" w:space="0" w:color="auto"/>
              <w:right w:val="single" w:sz="8" w:space="0" w:color="auto"/>
            </w:tcBorders>
            <w:shd w:val="clear" w:color="auto" w:fill="auto"/>
            <w:noWrap/>
            <w:vAlign w:val="center"/>
            <w:hideMark/>
          </w:tcPr>
          <w:p w14:paraId="4D7E97CA" w14:textId="66852AD4" w:rsidR="0017127D" w:rsidRPr="0017127D" w:rsidRDefault="00D1653C" w:rsidP="0017127D">
            <w:pPr>
              <w:spacing w:after="0"/>
              <w:ind w:firstLine="0"/>
              <w:jc w:val="left"/>
              <w:rPr>
                <w:rFonts w:eastAsia="Times New Roman" w:cs="Times New Roman"/>
                <w:color w:val="000000"/>
                <w:sz w:val="18"/>
                <w:szCs w:val="18"/>
              </w:rPr>
            </w:pPr>
            <w:r>
              <w:rPr>
                <w:rFonts w:eastAsia="Times New Roman" w:cs="Times New Roman"/>
                <w:color w:val="000000"/>
                <w:sz w:val="18"/>
                <w:szCs w:val="18"/>
              </w:rPr>
              <w:t>SIA "Avios</w:t>
            </w:r>
            <w:r w:rsidR="0017127D" w:rsidRPr="0017127D">
              <w:rPr>
                <w:rFonts w:eastAsia="Times New Roman" w:cs="Times New Roman"/>
                <w:color w:val="000000"/>
                <w:sz w:val="18"/>
                <w:szCs w:val="18"/>
              </w:rPr>
              <w:t>abiedrība "Liepāja""</w:t>
            </w:r>
          </w:p>
        </w:tc>
        <w:tc>
          <w:tcPr>
            <w:tcW w:w="1984" w:type="dxa"/>
            <w:tcBorders>
              <w:top w:val="nil"/>
              <w:left w:val="nil"/>
              <w:bottom w:val="single" w:sz="8" w:space="0" w:color="auto"/>
              <w:right w:val="single" w:sz="8" w:space="0" w:color="auto"/>
            </w:tcBorders>
            <w:shd w:val="clear" w:color="auto" w:fill="auto"/>
            <w:noWrap/>
            <w:vAlign w:val="center"/>
            <w:hideMark/>
          </w:tcPr>
          <w:p w14:paraId="0C920A8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1760588</w:t>
            </w:r>
          </w:p>
        </w:tc>
        <w:tc>
          <w:tcPr>
            <w:tcW w:w="1985" w:type="dxa"/>
            <w:tcBorders>
              <w:top w:val="nil"/>
              <w:left w:val="nil"/>
              <w:bottom w:val="single" w:sz="8" w:space="0" w:color="auto"/>
              <w:right w:val="single" w:sz="8" w:space="0" w:color="auto"/>
            </w:tcBorders>
            <w:shd w:val="clear" w:color="auto" w:fill="auto"/>
            <w:noWrap/>
            <w:vAlign w:val="center"/>
            <w:hideMark/>
          </w:tcPr>
          <w:p w14:paraId="59ABD22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1618685</w:t>
            </w:r>
          </w:p>
        </w:tc>
        <w:tc>
          <w:tcPr>
            <w:tcW w:w="1843" w:type="dxa"/>
            <w:tcBorders>
              <w:top w:val="nil"/>
              <w:left w:val="nil"/>
              <w:bottom w:val="single" w:sz="8" w:space="0" w:color="auto"/>
              <w:right w:val="single" w:sz="8" w:space="0" w:color="auto"/>
            </w:tcBorders>
            <w:shd w:val="clear" w:color="auto" w:fill="auto"/>
            <w:noWrap/>
            <w:vAlign w:val="center"/>
            <w:hideMark/>
          </w:tcPr>
          <w:p w14:paraId="2FAB44C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141903</w:t>
            </w:r>
          </w:p>
        </w:tc>
      </w:tr>
      <w:tr w:rsidR="0017127D" w:rsidRPr="0017127D" w14:paraId="23567A26"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7FC5ECA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80</w:t>
            </w:r>
          </w:p>
        </w:tc>
        <w:tc>
          <w:tcPr>
            <w:tcW w:w="7093" w:type="dxa"/>
            <w:tcBorders>
              <w:top w:val="nil"/>
              <w:left w:val="nil"/>
              <w:bottom w:val="single" w:sz="8" w:space="0" w:color="auto"/>
              <w:right w:val="single" w:sz="8" w:space="0" w:color="auto"/>
            </w:tcBorders>
            <w:shd w:val="clear" w:color="auto" w:fill="auto"/>
            <w:noWrap/>
            <w:vAlign w:val="center"/>
            <w:hideMark/>
          </w:tcPr>
          <w:p w14:paraId="67157160"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"Daugavpils bērnu veselības centrs"</w:t>
            </w:r>
          </w:p>
        </w:tc>
        <w:tc>
          <w:tcPr>
            <w:tcW w:w="1984" w:type="dxa"/>
            <w:tcBorders>
              <w:top w:val="nil"/>
              <w:left w:val="nil"/>
              <w:bottom w:val="single" w:sz="8" w:space="0" w:color="auto"/>
              <w:right w:val="single" w:sz="8" w:space="0" w:color="auto"/>
            </w:tcBorders>
            <w:shd w:val="clear" w:color="auto" w:fill="auto"/>
            <w:noWrap/>
            <w:vAlign w:val="center"/>
            <w:hideMark/>
          </w:tcPr>
          <w:p w14:paraId="3CAB697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2 162 350</w:t>
            </w:r>
          </w:p>
        </w:tc>
        <w:tc>
          <w:tcPr>
            <w:tcW w:w="1985" w:type="dxa"/>
            <w:tcBorders>
              <w:top w:val="nil"/>
              <w:left w:val="nil"/>
              <w:bottom w:val="single" w:sz="8" w:space="0" w:color="auto"/>
              <w:right w:val="single" w:sz="8" w:space="0" w:color="auto"/>
            </w:tcBorders>
            <w:shd w:val="clear" w:color="auto" w:fill="auto"/>
            <w:noWrap/>
            <w:vAlign w:val="center"/>
            <w:hideMark/>
          </w:tcPr>
          <w:p w14:paraId="16FA8C5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2 128 380</w:t>
            </w:r>
          </w:p>
        </w:tc>
        <w:tc>
          <w:tcPr>
            <w:tcW w:w="1843" w:type="dxa"/>
            <w:tcBorders>
              <w:top w:val="nil"/>
              <w:left w:val="nil"/>
              <w:bottom w:val="single" w:sz="8" w:space="0" w:color="auto"/>
              <w:right w:val="single" w:sz="8" w:space="0" w:color="auto"/>
            </w:tcBorders>
            <w:shd w:val="clear" w:color="auto" w:fill="auto"/>
            <w:noWrap/>
            <w:vAlign w:val="center"/>
            <w:hideMark/>
          </w:tcPr>
          <w:p w14:paraId="24E5EA3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33 970</w:t>
            </w:r>
          </w:p>
        </w:tc>
      </w:tr>
      <w:tr w:rsidR="0017127D" w:rsidRPr="0017127D" w14:paraId="18ADA49C"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4798D28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81</w:t>
            </w:r>
          </w:p>
        </w:tc>
        <w:tc>
          <w:tcPr>
            <w:tcW w:w="7093" w:type="dxa"/>
            <w:tcBorders>
              <w:top w:val="nil"/>
              <w:left w:val="nil"/>
              <w:bottom w:val="single" w:sz="8" w:space="0" w:color="auto"/>
              <w:right w:val="single" w:sz="8" w:space="0" w:color="auto"/>
            </w:tcBorders>
            <w:shd w:val="clear" w:color="auto" w:fill="auto"/>
            <w:noWrap/>
            <w:vAlign w:val="center"/>
            <w:hideMark/>
          </w:tcPr>
          <w:p w14:paraId="4CD267C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"Kuldīgas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3EE32C9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8 103 810</w:t>
            </w:r>
          </w:p>
        </w:tc>
        <w:tc>
          <w:tcPr>
            <w:tcW w:w="1985" w:type="dxa"/>
            <w:tcBorders>
              <w:top w:val="nil"/>
              <w:left w:val="nil"/>
              <w:bottom w:val="single" w:sz="8" w:space="0" w:color="auto"/>
              <w:right w:val="single" w:sz="8" w:space="0" w:color="auto"/>
            </w:tcBorders>
            <w:shd w:val="clear" w:color="auto" w:fill="auto"/>
            <w:noWrap/>
            <w:vAlign w:val="center"/>
            <w:hideMark/>
          </w:tcPr>
          <w:p w14:paraId="2C3319D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7 393 644</w:t>
            </w:r>
          </w:p>
        </w:tc>
        <w:tc>
          <w:tcPr>
            <w:tcW w:w="1843" w:type="dxa"/>
            <w:tcBorders>
              <w:top w:val="nil"/>
              <w:left w:val="nil"/>
              <w:bottom w:val="single" w:sz="8" w:space="0" w:color="auto"/>
              <w:right w:val="single" w:sz="8" w:space="0" w:color="auto"/>
            </w:tcBorders>
            <w:shd w:val="clear" w:color="auto" w:fill="auto"/>
            <w:noWrap/>
            <w:vAlign w:val="center"/>
            <w:hideMark/>
          </w:tcPr>
          <w:p w14:paraId="3F7222C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710 166</w:t>
            </w:r>
          </w:p>
        </w:tc>
      </w:tr>
      <w:tr w:rsidR="0017127D" w:rsidRPr="0017127D" w14:paraId="4DCDC83E"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5890A67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82</w:t>
            </w:r>
          </w:p>
        </w:tc>
        <w:tc>
          <w:tcPr>
            <w:tcW w:w="7093" w:type="dxa"/>
            <w:tcBorders>
              <w:top w:val="nil"/>
              <w:left w:val="nil"/>
              <w:bottom w:val="single" w:sz="8" w:space="0" w:color="auto"/>
              <w:right w:val="single" w:sz="8" w:space="0" w:color="auto"/>
            </w:tcBorders>
            <w:shd w:val="clear" w:color="auto" w:fill="auto"/>
            <w:noWrap/>
            <w:vAlign w:val="center"/>
            <w:hideMark/>
          </w:tcPr>
          <w:p w14:paraId="40504E52"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"Daugavpils satiksme"</w:t>
            </w:r>
          </w:p>
        </w:tc>
        <w:tc>
          <w:tcPr>
            <w:tcW w:w="1984" w:type="dxa"/>
            <w:tcBorders>
              <w:top w:val="nil"/>
              <w:left w:val="nil"/>
              <w:bottom w:val="single" w:sz="8" w:space="0" w:color="auto"/>
              <w:right w:val="single" w:sz="8" w:space="0" w:color="auto"/>
            </w:tcBorders>
            <w:shd w:val="clear" w:color="auto" w:fill="auto"/>
            <w:noWrap/>
            <w:vAlign w:val="center"/>
            <w:hideMark/>
          </w:tcPr>
          <w:p w14:paraId="63D9871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8 832 224</w:t>
            </w:r>
          </w:p>
        </w:tc>
        <w:tc>
          <w:tcPr>
            <w:tcW w:w="1985" w:type="dxa"/>
            <w:tcBorders>
              <w:top w:val="nil"/>
              <w:left w:val="nil"/>
              <w:bottom w:val="single" w:sz="8" w:space="0" w:color="auto"/>
              <w:right w:val="single" w:sz="8" w:space="0" w:color="auto"/>
            </w:tcBorders>
            <w:shd w:val="clear" w:color="auto" w:fill="auto"/>
            <w:noWrap/>
            <w:vAlign w:val="center"/>
            <w:hideMark/>
          </w:tcPr>
          <w:p w14:paraId="2B214FE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8 006 063</w:t>
            </w:r>
          </w:p>
        </w:tc>
        <w:tc>
          <w:tcPr>
            <w:tcW w:w="1843" w:type="dxa"/>
            <w:tcBorders>
              <w:top w:val="nil"/>
              <w:left w:val="nil"/>
              <w:bottom w:val="single" w:sz="8" w:space="0" w:color="auto"/>
              <w:right w:val="single" w:sz="8" w:space="0" w:color="auto"/>
            </w:tcBorders>
            <w:shd w:val="clear" w:color="auto" w:fill="auto"/>
            <w:noWrap/>
            <w:vAlign w:val="center"/>
            <w:hideMark/>
          </w:tcPr>
          <w:p w14:paraId="38025D9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826 161</w:t>
            </w:r>
          </w:p>
        </w:tc>
      </w:tr>
      <w:tr w:rsidR="0017127D" w:rsidRPr="0017127D" w14:paraId="00037FC2"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6A87D08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83</w:t>
            </w:r>
          </w:p>
        </w:tc>
        <w:tc>
          <w:tcPr>
            <w:tcW w:w="7093" w:type="dxa"/>
            <w:tcBorders>
              <w:top w:val="nil"/>
              <w:left w:val="nil"/>
              <w:bottom w:val="single" w:sz="8" w:space="0" w:color="auto"/>
              <w:right w:val="single" w:sz="8" w:space="0" w:color="auto"/>
            </w:tcBorders>
            <w:shd w:val="clear" w:color="auto" w:fill="auto"/>
            <w:noWrap/>
            <w:vAlign w:val="center"/>
            <w:hideMark/>
          </w:tcPr>
          <w:p w14:paraId="7758D636"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"Rīgas satiksme"</w:t>
            </w:r>
          </w:p>
        </w:tc>
        <w:tc>
          <w:tcPr>
            <w:tcW w:w="1984" w:type="dxa"/>
            <w:tcBorders>
              <w:top w:val="nil"/>
              <w:left w:val="nil"/>
              <w:bottom w:val="single" w:sz="8" w:space="0" w:color="auto"/>
              <w:right w:val="single" w:sz="8" w:space="0" w:color="auto"/>
            </w:tcBorders>
            <w:shd w:val="clear" w:color="auto" w:fill="auto"/>
            <w:noWrap/>
            <w:vAlign w:val="center"/>
            <w:hideMark/>
          </w:tcPr>
          <w:p w14:paraId="261ED4C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193 120 157</w:t>
            </w:r>
          </w:p>
        </w:tc>
        <w:tc>
          <w:tcPr>
            <w:tcW w:w="1985" w:type="dxa"/>
            <w:tcBorders>
              <w:top w:val="nil"/>
              <w:left w:val="nil"/>
              <w:bottom w:val="single" w:sz="8" w:space="0" w:color="auto"/>
              <w:right w:val="single" w:sz="8" w:space="0" w:color="auto"/>
            </w:tcBorders>
            <w:shd w:val="clear" w:color="auto" w:fill="auto"/>
            <w:noWrap/>
            <w:vAlign w:val="center"/>
            <w:hideMark/>
          </w:tcPr>
          <w:p w14:paraId="07D56CD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190 477 014</w:t>
            </w:r>
          </w:p>
        </w:tc>
        <w:tc>
          <w:tcPr>
            <w:tcW w:w="1843" w:type="dxa"/>
            <w:tcBorders>
              <w:top w:val="nil"/>
              <w:left w:val="nil"/>
              <w:bottom w:val="single" w:sz="8" w:space="0" w:color="auto"/>
              <w:right w:val="single" w:sz="8" w:space="0" w:color="auto"/>
            </w:tcBorders>
            <w:shd w:val="clear" w:color="auto" w:fill="auto"/>
            <w:noWrap/>
            <w:vAlign w:val="center"/>
            <w:hideMark/>
          </w:tcPr>
          <w:p w14:paraId="21BD8E2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2 643 143</w:t>
            </w:r>
          </w:p>
        </w:tc>
      </w:tr>
      <w:tr w:rsidR="0017127D" w:rsidRPr="0017127D" w14:paraId="2C8060C7"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2148E62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84</w:t>
            </w:r>
          </w:p>
        </w:tc>
        <w:tc>
          <w:tcPr>
            <w:tcW w:w="7093" w:type="dxa"/>
            <w:tcBorders>
              <w:top w:val="nil"/>
              <w:left w:val="nil"/>
              <w:bottom w:val="single" w:sz="8" w:space="0" w:color="auto"/>
              <w:right w:val="single" w:sz="8" w:space="0" w:color="auto"/>
            </w:tcBorders>
            <w:shd w:val="clear" w:color="auto" w:fill="auto"/>
            <w:noWrap/>
            <w:vAlign w:val="center"/>
            <w:hideMark/>
          </w:tcPr>
          <w:p w14:paraId="04B34F1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"Daugavpils reģionālā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6DEE585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55 793 235</w:t>
            </w:r>
          </w:p>
        </w:tc>
        <w:tc>
          <w:tcPr>
            <w:tcW w:w="1985" w:type="dxa"/>
            <w:tcBorders>
              <w:top w:val="nil"/>
              <w:left w:val="nil"/>
              <w:bottom w:val="single" w:sz="8" w:space="0" w:color="auto"/>
              <w:right w:val="single" w:sz="8" w:space="0" w:color="auto"/>
            </w:tcBorders>
            <w:shd w:val="clear" w:color="auto" w:fill="auto"/>
            <w:noWrap/>
            <w:vAlign w:val="center"/>
            <w:hideMark/>
          </w:tcPr>
          <w:p w14:paraId="6BBF290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54 419 736</w:t>
            </w:r>
          </w:p>
        </w:tc>
        <w:tc>
          <w:tcPr>
            <w:tcW w:w="1843" w:type="dxa"/>
            <w:tcBorders>
              <w:top w:val="nil"/>
              <w:left w:val="nil"/>
              <w:bottom w:val="single" w:sz="8" w:space="0" w:color="auto"/>
              <w:right w:val="single" w:sz="8" w:space="0" w:color="auto"/>
            </w:tcBorders>
            <w:shd w:val="clear" w:color="auto" w:fill="auto"/>
            <w:noWrap/>
            <w:vAlign w:val="center"/>
            <w:hideMark/>
          </w:tcPr>
          <w:p w14:paraId="1F94DA1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1373499</w:t>
            </w:r>
          </w:p>
        </w:tc>
      </w:tr>
      <w:tr w:rsidR="0017127D" w:rsidRPr="0017127D" w14:paraId="67E6CE34" w14:textId="77777777" w:rsidTr="0017127D">
        <w:trPr>
          <w:trHeight w:val="300"/>
        </w:trPr>
        <w:tc>
          <w:tcPr>
            <w:tcW w:w="1119" w:type="dxa"/>
            <w:tcBorders>
              <w:top w:val="nil"/>
              <w:left w:val="single" w:sz="8" w:space="0" w:color="auto"/>
              <w:bottom w:val="single" w:sz="8" w:space="0" w:color="auto"/>
              <w:right w:val="single" w:sz="8" w:space="0" w:color="auto"/>
            </w:tcBorders>
            <w:shd w:val="clear" w:color="auto" w:fill="auto"/>
            <w:noWrap/>
            <w:vAlign w:val="center"/>
            <w:hideMark/>
          </w:tcPr>
          <w:p w14:paraId="540D8EC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85</w:t>
            </w:r>
          </w:p>
        </w:tc>
        <w:tc>
          <w:tcPr>
            <w:tcW w:w="7093" w:type="dxa"/>
            <w:tcBorders>
              <w:top w:val="nil"/>
              <w:left w:val="nil"/>
              <w:bottom w:val="single" w:sz="8" w:space="0" w:color="auto"/>
              <w:right w:val="single" w:sz="8" w:space="0" w:color="auto"/>
            </w:tcBorders>
            <w:shd w:val="clear" w:color="auto" w:fill="auto"/>
            <w:noWrap/>
            <w:vAlign w:val="center"/>
            <w:hideMark/>
          </w:tcPr>
          <w:p w14:paraId="272A6180"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"Jēkabpils reģionālā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1FEB27B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16 999 588</w:t>
            </w:r>
          </w:p>
        </w:tc>
        <w:tc>
          <w:tcPr>
            <w:tcW w:w="1985" w:type="dxa"/>
            <w:tcBorders>
              <w:top w:val="nil"/>
              <w:left w:val="nil"/>
              <w:bottom w:val="single" w:sz="8" w:space="0" w:color="auto"/>
              <w:right w:val="single" w:sz="8" w:space="0" w:color="auto"/>
            </w:tcBorders>
            <w:shd w:val="clear" w:color="auto" w:fill="auto"/>
            <w:noWrap/>
            <w:vAlign w:val="center"/>
            <w:hideMark/>
          </w:tcPr>
          <w:p w14:paraId="1B607F5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16 659 688</w:t>
            </w:r>
          </w:p>
        </w:tc>
        <w:tc>
          <w:tcPr>
            <w:tcW w:w="1843" w:type="dxa"/>
            <w:tcBorders>
              <w:top w:val="nil"/>
              <w:left w:val="nil"/>
              <w:bottom w:val="single" w:sz="8" w:space="0" w:color="auto"/>
              <w:right w:val="single" w:sz="8" w:space="0" w:color="auto"/>
            </w:tcBorders>
            <w:shd w:val="clear" w:color="auto" w:fill="auto"/>
            <w:noWrap/>
            <w:vAlign w:val="center"/>
            <w:hideMark/>
          </w:tcPr>
          <w:p w14:paraId="6002D65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339 900</w:t>
            </w:r>
          </w:p>
        </w:tc>
      </w:tr>
      <w:tr w:rsidR="0017127D" w:rsidRPr="0017127D" w14:paraId="336FCE81" w14:textId="77777777" w:rsidTr="0017127D">
        <w:trPr>
          <w:trHeight w:val="630"/>
        </w:trPr>
        <w:tc>
          <w:tcPr>
            <w:tcW w:w="14024" w:type="dxa"/>
            <w:gridSpan w:val="5"/>
            <w:tcBorders>
              <w:top w:val="nil"/>
              <w:left w:val="single" w:sz="8" w:space="0" w:color="auto"/>
              <w:bottom w:val="nil"/>
              <w:right w:val="single" w:sz="8" w:space="0" w:color="000000"/>
            </w:tcBorders>
            <w:shd w:val="clear" w:color="auto" w:fill="auto"/>
            <w:noWrap/>
            <w:vAlign w:val="center"/>
            <w:hideMark/>
          </w:tcPr>
          <w:p w14:paraId="1C819CF9" w14:textId="77777777" w:rsidR="0017127D" w:rsidRPr="0017127D" w:rsidRDefault="0017127D" w:rsidP="0017127D">
            <w:pPr>
              <w:spacing w:after="0"/>
              <w:ind w:firstLine="0"/>
              <w:rPr>
                <w:rFonts w:eastAsia="Times New Roman" w:cs="Times New Roman"/>
                <w:color w:val="000000"/>
                <w:sz w:val="18"/>
                <w:szCs w:val="18"/>
              </w:rPr>
            </w:pPr>
            <w:r w:rsidRPr="0017127D">
              <w:rPr>
                <w:rFonts w:eastAsia="Times New Roman" w:cs="Times New Roman"/>
                <w:color w:val="000000"/>
                <w:sz w:val="18"/>
                <w:szCs w:val="18"/>
              </w:rPr>
              <w:t>Tabulā ir norādīti vispārējās valdības pieklasificēto kapitālsabiedrību ieņēmumi, izdevumi un ietekme uz B.9 neto aizdevumiem (+)/neto aizņēmumiem (-), atbilstoši kapitālsabiedrību atsūtītajām saimnieciskās darbības anketām.</w:t>
            </w:r>
          </w:p>
        </w:tc>
      </w:tr>
      <w:tr w:rsidR="0017127D" w:rsidRPr="0017127D" w14:paraId="5BF2E5EA" w14:textId="77777777" w:rsidTr="0017127D">
        <w:trPr>
          <w:trHeight w:val="630"/>
        </w:trPr>
        <w:tc>
          <w:tcPr>
            <w:tcW w:w="14024" w:type="dxa"/>
            <w:gridSpan w:val="5"/>
            <w:tcBorders>
              <w:top w:val="nil"/>
              <w:left w:val="single" w:sz="8" w:space="0" w:color="auto"/>
              <w:bottom w:val="single" w:sz="8" w:space="0" w:color="auto"/>
              <w:right w:val="single" w:sz="8" w:space="0" w:color="000000"/>
            </w:tcBorders>
            <w:shd w:val="clear" w:color="auto" w:fill="auto"/>
            <w:noWrap/>
            <w:vAlign w:val="center"/>
            <w:hideMark/>
          </w:tcPr>
          <w:p w14:paraId="635200BB" w14:textId="77777777" w:rsidR="0017127D" w:rsidRPr="0017127D" w:rsidRDefault="0017127D" w:rsidP="0017127D">
            <w:pPr>
              <w:spacing w:after="0"/>
              <w:ind w:firstLine="0"/>
              <w:rPr>
                <w:rFonts w:eastAsia="Times New Roman" w:cs="Times New Roman"/>
                <w:color w:val="000000"/>
                <w:sz w:val="18"/>
                <w:szCs w:val="18"/>
              </w:rPr>
            </w:pPr>
            <w:r w:rsidRPr="0017127D">
              <w:rPr>
                <w:rFonts w:eastAsia="Times New Roman" w:cs="Times New Roman"/>
                <w:color w:val="000000"/>
                <w:sz w:val="18"/>
                <w:szCs w:val="18"/>
              </w:rPr>
              <w:t xml:space="preserve">Vispārējās valdības budžeta pieklasificēto kapitālsabiedrību ietekme uz B.9 neto aizdevumiem (+)/neto aizņēmumiem (-), kas iekļauta vispārējās valdības budžeta prognozēs 2023. gadā ir -39 069 573 </w:t>
            </w:r>
            <w:r w:rsidRPr="0017127D">
              <w:rPr>
                <w:rFonts w:eastAsia="Times New Roman" w:cs="Times New Roman"/>
                <w:i/>
                <w:iCs/>
                <w:color w:val="000000"/>
                <w:sz w:val="18"/>
                <w:szCs w:val="18"/>
              </w:rPr>
              <w:t>euro.</w:t>
            </w:r>
          </w:p>
        </w:tc>
      </w:tr>
    </w:tbl>
    <w:p w14:paraId="6170A83C" w14:textId="4AD962FB" w:rsidR="00E862CD" w:rsidRDefault="00E862CD" w:rsidP="0017127D">
      <w:pPr>
        <w:widowControl w:val="0"/>
        <w:ind w:firstLine="0"/>
        <w:jc w:val="right"/>
        <w:rPr>
          <w:b/>
          <w:sz w:val="28"/>
          <w:szCs w:val="24"/>
        </w:rPr>
      </w:pPr>
    </w:p>
    <w:p w14:paraId="10B713E0" w14:textId="2AE270CB" w:rsidR="00E862CD" w:rsidRDefault="00E862CD" w:rsidP="00401A5B">
      <w:pPr>
        <w:widowControl w:val="0"/>
        <w:jc w:val="right"/>
        <w:rPr>
          <w:b/>
          <w:sz w:val="28"/>
          <w:szCs w:val="24"/>
        </w:rPr>
      </w:pPr>
    </w:p>
    <w:p w14:paraId="4C0DF4E9" w14:textId="541656A3" w:rsidR="00E862CD" w:rsidRDefault="00E862CD" w:rsidP="00401A5B">
      <w:pPr>
        <w:widowControl w:val="0"/>
        <w:jc w:val="right"/>
        <w:rPr>
          <w:b/>
          <w:sz w:val="28"/>
          <w:szCs w:val="24"/>
        </w:rPr>
      </w:pPr>
    </w:p>
    <w:p w14:paraId="78069A08" w14:textId="64697966" w:rsidR="00E862CD" w:rsidRDefault="00E862CD" w:rsidP="00401A5B">
      <w:pPr>
        <w:widowControl w:val="0"/>
        <w:jc w:val="right"/>
        <w:rPr>
          <w:b/>
          <w:sz w:val="28"/>
          <w:szCs w:val="24"/>
        </w:rPr>
      </w:pPr>
    </w:p>
    <w:p w14:paraId="74B71228" w14:textId="262CA1CE" w:rsidR="00E862CD" w:rsidRDefault="00E862CD" w:rsidP="0017127D">
      <w:pPr>
        <w:widowControl w:val="0"/>
        <w:ind w:firstLine="0"/>
        <w:rPr>
          <w:b/>
          <w:sz w:val="28"/>
          <w:szCs w:val="24"/>
        </w:rPr>
      </w:pPr>
    </w:p>
    <w:tbl>
      <w:tblPr>
        <w:tblW w:w="14024" w:type="dxa"/>
        <w:tblLook w:val="04A0" w:firstRow="1" w:lastRow="0" w:firstColumn="1" w:lastColumn="0" w:noHBand="0" w:noVBand="1"/>
      </w:tblPr>
      <w:tblGrid>
        <w:gridCol w:w="1136"/>
        <w:gridCol w:w="7076"/>
        <w:gridCol w:w="1984"/>
        <w:gridCol w:w="2127"/>
        <w:gridCol w:w="1701"/>
      </w:tblGrid>
      <w:tr w:rsidR="0017127D" w:rsidRPr="0017127D" w14:paraId="5DB5ABFD" w14:textId="77777777" w:rsidTr="0017127D">
        <w:trPr>
          <w:trHeight w:val="300"/>
        </w:trPr>
        <w:tc>
          <w:tcPr>
            <w:tcW w:w="14024" w:type="dxa"/>
            <w:gridSpan w:val="5"/>
            <w:tcBorders>
              <w:top w:val="single" w:sz="8" w:space="0" w:color="auto"/>
              <w:left w:val="single" w:sz="8" w:space="0" w:color="auto"/>
              <w:bottom w:val="single" w:sz="8" w:space="0" w:color="auto"/>
              <w:right w:val="single" w:sz="8" w:space="0" w:color="000000"/>
            </w:tcBorders>
            <w:shd w:val="clear" w:color="000000" w:fill="9BC2E6"/>
            <w:noWrap/>
            <w:vAlign w:val="center"/>
            <w:hideMark/>
          </w:tcPr>
          <w:p w14:paraId="7ED5734F" w14:textId="77777777" w:rsidR="0017127D" w:rsidRPr="0017127D" w:rsidRDefault="0017127D" w:rsidP="0017127D">
            <w:pPr>
              <w:spacing w:after="0"/>
              <w:ind w:firstLine="0"/>
              <w:jc w:val="center"/>
              <w:rPr>
                <w:rFonts w:eastAsia="Times New Roman" w:cs="Times New Roman"/>
                <w:b/>
                <w:bCs/>
                <w:color w:val="000000"/>
                <w:sz w:val="18"/>
                <w:szCs w:val="18"/>
              </w:rPr>
            </w:pPr>
            <w:r w:rsidRPr="0017127D">
              <w:rPr>
                <w:rFonts w:eastAsia="Times New Roman" w:cs="Times New Roman"/>
                <w:b/>
                <w:bCs/>
                <w:color w:val="000000"/>
                <w:sz w:val="18"/>
                <w:szCs w:val="18"/>
              </w:rPr>
              <w:lastRenderedPageBreak/>
              <w:t>2024</w:t>
            </w:r>
          </w:p>
        </w:tc>
      </w:tr>
      <w:tr w:rsidR="0017127D" w:rsidRPr="0017127D" w14:paraId="2B8183D3" w14:textId="77777777" w:rsidTr="0017127D">
        <w:trPr>
          <w:trHeight w:val="732"/>
        </w:trPr>
        <w:tc>
          <w:tcPr>
            <w:tcW w:w="1136" w:type="dxa"/>
            <w:tcBorders>
              <w:top w:val="nil"/>
              <w:left w:val="single" w:sz="8" w:space="0" w:color="auto"/>
              <w:bottom w:val="single" w:sz="8" w:space="0" w:color="auto"/>
              <w:right w:val="single" w:sz="8" w:space="0" w:color="auto"/>
            </w:tcBorders>
            <w:shd w:val="clear" w:color="000000" w:fill="BDD7EE"/>
            <w:noWrap/>
            <w:vAlign w:val="center"/>
            <w:hideMark/>
          </w:tcPr>
          <w:p w14:paraId="1D93E05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N.p.k.</w:t>
            </w:r>
          </w:p>
        </w:tc>
        <w:tc>
          <w:tcPr>
            <w:tcW w:w="7076" w:type="dxa"/>
            <w:tcBorders>
              <w:top w:val="nil"/>
              <w:left w:val="nil"/>
              <w:bottom w:val="single" w:sz="8" w:space="0" w:color="auto"/>
              <w:right w:val="single" w:sz="8" w:space="0" w:color="auto"/>
            </w:tcBorders>
            <w:shd w:val="clear" w:color="000000" w:fill="BDD7EE"/>
            <w:noWrap/>
            <w:vAlign w:val="center"/>
            <w:hideMark/>
          </w:tcPr>
          <w:p w14:paraId="4D12B58F"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c>
          <w:tcPr>
            <w:tcW w:w="1984" w:type="dxa"/>
            <w:tcBorders>
              <w:top w:val="nil"/>
              <w:left w:val="nil"/>
              <w:bottom w:val="single" w:sz="8" w:space="0" w:color="auto"/>
              <w:right w:val="single" w:sz="8" w:space="0" w:color="auto"/>
            </w:tcBorders>
            <w:shd w:val="clear" w:color="000000" w:fill="BDD7EE"/>
            <w:vAlign w:val="center"/>
            <w:hideMark/>
          </w:tcPr>
          <w:p w14:paraId="61CC191F" w14:textId="77777777" w:rsidR="0017127D" w:rsidRPr="0017127D" w:rsidRDefault="0017127D" w:rsidP="0017127D">
            <w:pPr>
              <w:spacing w:after="0"/>
              <w:ind w:firstLine="0"/>
              <w:jc w:val="center"/>
              <w:rPr>
                <w:rFonts w:eastAsia="Times New Roman" w:cs="Times New Roman"/>
                <w:color w:val="000000"/>
                <w:sz w:val="18"/>
                <w:szCs w:val="18"/>
              </w:rPr>
            </w:pPr>
            <w:r w:rsidRPr="0017127D">
              <w:rPr>
                <w:rFonts w:eastAsia="Times New Roman" w:cs="Times New Roman"/>
                <w:color w:val="000000"/>
                <w:sz w:val="18"/>
                <w:szCs w:val="18"/>
              </w:rPr>
              <w:t>Ieņēmumi</w:t>
            </w:r>
          </w:p>
        </w:tc>
        <w:tc>
          <w:tcPr>
            <w:tcW w:w="2127" w:type="dxa"/>
            <w:tcBorders>
              <w:top w:val="nil"/>
              <w:left w:val="nil"/>
              <w:bottom w:val="single" w:sz="8" w:space="0" w:color="auto"/>
              <w:right w:val="single" w:sz="8" w:space="0" w:color="auto"/>
            </w:tcBorders>
            <w:shd w:val="clear" w:color="000000" w:fill="BDD7EE"/>
            <w:vAlign w:val="center"/>
            <w:hideMark/>
          </w:tcPr>
          <w:p w14:paraId="6DECA2DC" w14:textId="77777777" w:rsidR="0017127D" w:rsidRPr="0017127D" w:rsidRDefault="0017127D" w:rsidP="0017127D">
            <w:pPr>
              <w:spacing w:after="0"/>
              <w:ind w:firstLine="0"/>
              <w:jc w:val="center"/>
              <w:rPr>
                <w:rFonts w:eastAsia="Times New Roman" w:cs="Times New Roman"/>
                <w:color w:val="000000"/>
                <w:sz w:val="18"/>
                <w:szCs w:val="18"/>
              </w:rPr>
            </w:pPr>
            <w:r w:rsidRPr="0017127D">
              <w:rPr>
                <w:rFonts w:eastAsia="Times New Roman" w:cs="Times New Roman"/>
                <w:color w:val="000000"/>
                <w:sz w:val="18"/>
                <w:szCs w:val="18"/>
              </w:rPr>
              <w:t>Izdevumi</w:t>
            </w:r>
          </w:p>
        </w:tc>
        <w:tc>
          <w:tcPr>
            <w:tcW w:w="1701" w:type="dxa"/>
            <w:tcBorders>
              <w:top w:val="nil"/>
              <w:left w:val="nil"/>
              <w:bottom w:val="single" w:sz="8" w:space="0" w:color="auto"/>
              <w:right w:val="single" w:sz="8" w:space="0" w:color="auto"/>
            </w:tcBorders>
            <w:shd w:val="clear" w:color="000000" w:fill="BDD7EE"/>
            <w:vAlign w:val="center"/>
            <w:hideMark/>
          </w:tcPr>
          <w:p w14:paraId="2A30C1A4" w14:textId="77777777" w:rsidR="0017127D" w:rsidRPr="0017127D" w:rsidRDefault="0017127D" w:rsidP="0017127D">
            <w:pPr>
              <w:spacing w:after="0"/>
              <w:ind w:firstLine="0"/>
              <w:jc w:val="center"/>
              <w:rPr>
                <w:rFonts w:eastAsia="Times New Roman" w:cs="Times New Roman"/>
                <w:color w:val="000000"/>
                <w:sz w:val="18"/>
                <w:szCs w:val="18"/>
              </w:rPr>
            </w:pPr>
            <w:r w:rsidRPr="0017127D">
              <w:rPr>
                <w:rFonts w:eastAsia="Times New Roman" w:cs="Times New Roman"/>
                <w:color w:val="000000"/>
                <w:sz w:val="18"/>
                <w:szCs w:val="18"/>
              </w:rPr>
              <w:t>Ietekme uz B.9 neto aizdevumiem (+)/neto aizņēmumiem (-)</w:t>
            </w:r>
          </w:p>
        </w:tc>
      </w:tr>
      <w:tr w:rsidR="0017127D" w:rsidRPr="0017127D" w14:paraId="0A656F1B" w14:textId="77777777" w:rsidTr="0017127D">
        <w:trPr>
          <w:trHeight w:val="300"/>
        </w:trPr>
        <w:tc>
          <w:tcPr>
            <w:tcW w:w="1136" w:type="dxa"/>
            <w:tcBorders>
              <w:top w:val="nil"/>
              <w:left w:val="single" w:sz="8" w:space="0" w:color="auto"/>
              <w:bottom w:val="single" w:sz="8" w:space="0" w:color="auto"/>
              <w:right w:val="single" w:sz="8" w:space="0" w:color="auto"/>
            </w:tcBorders>
            <w:shd w:val="clear" w:color="000000" w:fill="DDEBF7"/>
            <w:noWrap/>
            <w:vAlign w:val="center"/>
            <w:hideMark/>
          </w:tcPr>
          <w:p w14:paraId="22AB07ED"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S130100</w:t>
            </w:r>
          </w:p>
        </w:tc>
        <w:tc>
          <w:tcPr>
            <w:tcW w:w="7076" w:type="dxa"/>
            <w:tcBorders>
              <w:top w:val="nil"/>
              <w:left w:val="nil"/>
              <w:bottom w:val="single" w:sz="8" w:space="0" w:color="auto"/>
              <w:right w:val="single" w:sz="8" w:space="0" w:color="auto"/>
            </w:tcBorders>
            <w:shd w:val="clear" w:color="000000" w:fill="DDEBF7"/>
            <w:noWrap/>
            <w:vAlign w:val="center"/>
            <w:hideMark/>
          </w:tcPr>
          <w:p w14:paraId="165BD38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Valsts struktūru kontrolētas un finansētas komercsabiedrības</w:t>
            </w:r>
          </w:p>
        </w:tc>
        <w:tc>
          <w:tcPr>
            <w:tcW w:w="1984" w:type="dxa"/>
            <w:tcBorders>
              <w:top w:val="nil"/>
              <w:left w:val="nil"/>
              <w:bottom w:val="single" w:sz="8" w:space="0" w:color="auto"/>
              <w:right w:val="single" w:sz="8" w:space="0" w:color="auto"/>
            </w:tcBorders>
            <w:shd w:val="clear" w:color="000000" w:fill="DDEBF7"/>
            <w:noWrap/>
            <w:vAlign w:val="center"/>
            <w:hideMark/>
          </w:tcPr>
          <w:p w14:paraId="5BCDF5D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c>
          <w:tcPr>
            <w:tcW w:w="2127" w:type="dxa"/>
            <w:tcBorders>
              <w:top w:val="nil"/>
              <w:left w:val="nil"/>
              <w:bottom w:val="single" w:sz="8" w:space="0" w:color="auto"/>
              <w:right w:val="single" w:sz="8" w:space="0" w:color="auto"/>
            </w:tcBorders>
            <w:shd w:val="clear" w:color="000000" w:fill="DDEBF7"/>
            <w:noWrap/>
            <w:vAlign w:val="center"/>
            <w:hideMark/>
          </w:tcPr>
          <w:p w14:paraId="075D5496"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c>
          <w:tcPr>
            <w:tcW w:w="1701" w:type="dxa"/>
            <w:tcBorders>
              <w:top w:val="nil"/>
              <w:left w:val="nil"/>
              <w:bottom w:val="single" w:sz="8" w:space="0" w:color="auto"/>
              <w:right w:val="single" w:sz="8" w:space="0" w:color="auto"/>
            </w:tcBorders>
            <w:shd w:val="clear" w:color="000000" w:fill="DDEBF7"/>
            <w:noWrap/>
            <w:vAlign w:val="center"/>
            <w:hideMark/>
          </w:tcPr>
          <w:p w14:paraId="2282AE4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r>
      <w:tr w:rsidR="0017127D" w:rsidRPr="0017127D" w14:paraId="5CE085B8"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70641BF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w:t>
            </w:r>
          </w:p>
        </w:tc>
        <w:tc>
          <w:tcPr>
            <w:tcW w:w="7076" w:type="dxa"/>
            <w:tcBorders>
              <w:top w:val="nil"/>
              <w:left w:val="nil"/>
              <w:bottom w:val="single" w:sz="8" w:space="0" w:color="auto"/>
              <w:right w:val="single" w:sz="8" w:space="0" w:color="auto"/>
            </w:tcBorders>
            <w:shd w:val="clear" w:color="auto" w:fill="auto"/>
            <w:noWrap/>
            <w:vAlign w:val="center"/>
            <w:hideMark/>
          </w:tcPr>
          <w:p w14:paraId="4B911B82"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"Iekšlietu ministrijas poliklīnika"</w:t>
            </w:r>
          </w:p>
        </w:tc>
        <w:tc>
          <w:tcPr>
            <w:tcW w:w="1984" w:type="dxa"/>
            <w:tcBorders>
              <w:top w:val="nil"/>
              <w:left w:val="nil"/>
              <w:bottom w:val="single" w:sz="8" w:space="0" w:color="auto"/>
              <w:right w:val="single" w:sz="8" w:space="0" w:color="auto"/>
            </w:tcBorders>
            <w:shd w:val="clear" w:color="auto" w:fill="auto"/>
            <w:noWrap/>
            <w:vAlign w:val="center"/>
            <w:hideMark/>
          </w:tcPr>
          <w:p w14:paraId="18D9292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2 407 400</w:t>
            </w:r>
          </w:p>
        </w:tc>
        <w:tc>
          <w:tcPr>
            <w:tcW w:w="2127" w:type="dxa"/>
            <w:tcBorders>
              <w:top w:val="nil"/>
              <w:left w:val="nil"/>
              <w:bottom w:val="single" w:sz="8" w:space="0" w:color="auto"/>
              <w:right w:val="single" w:sz="8" w:space="0" w:color="auto"/>
            </w:tcBorders>
            <w:shd w:val="clear" w:color="auto" w:fill="auto"/>
            <w:noWrap/>
            <w:vAlign w:val="center"/>
            <w:hideMark/>
          </w:tcPr>
          <w:p w14:paraId="5E0CE90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2 417 600</w:t>
            </w:r>
          </w:p>
        </w:tc>
        <w:tc>
          <w:tcPr>
            <w:tcW w:w="1701" w:type="dxa"/>
            <w:tcBorders>
              <w:top w:val="nil"/>
              <w:left w:val="nil"/>
              <w:bottom w:val="single" w:sz="8" w:space="0" w:color="auto"/>
              <w:right w:val="single" w:sz="8" w:space="0" w:color="auto"/>
            </w:tcBorders>
            <w:shd w:val="clear" w:color="auto" w:fill="auto"/>
            <w:noWrap/>
            <w:vAlign w:val="center"/>
            <w:hideMark/>
          </w:tcPr>
          <w:p w14:paraId="30558BC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-10 200</w:t>
            </w:r>
          </w:p>
        </w:tc>
      </w:tr>
      <w:tr w:rsidR="0017127D" w:rsidRPr="0017127D" w14:paraId="266C64CF"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2C76CCA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w:t>
            </w:r>
          </w:p>
        </w:tc>
        <w:tc>
          <w:tcPr>
            <w:tcW w:w="7076" w:type="dxa"/>
            <w:tcBorders>
              <w:top w:val="nil"/>
              <w:left w:val="nil"/>
              <w:bottom w:val="single" w:sz="8" w:space="0" w:color="auto"/>
              <w:right w:val="single" w:sz="8" w:space="0" w:color="auto"/>
            </w:tcBorders>
            <w:shd w:val="clear" w:color="auto" w:fill="auto"/>
            <w:noWrap/>
            <w:vAlign w:val="center"/>
            <w:hideMark/>
          </w:tcPr>
          <w:p w14:paraId="64969A6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"RTU Inženierzinātņu vidusskola"</w:t>
            </w:r>
          </w:p>
        </w:tc>
        <w:tc>
          <w:tcPr>
            <w:tcW w:w="1984" w:type="dxa"/>
            <w:tcBorders>
              <w:top w:val="nil"/>
              <w:left w:val="nil"/>
              <w:bottom w:val="single" w:sz="8" w:space="0" w:color="auto"/>
              <w:right w:val="single" w:sz="8" w:space="0" w:color="auto"/>
            </w:tcBorders>
            <w:shd w:val="clear" w:color="auto" w:fill="auto"/>
            <w:noWrap/>
            <w:vAlign w:val="center"/>
            <w:hideMark/>
          </w:tcPr>
          <w:p w14:paraId="00AD686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500 000</w:t>
            </w:r>
          </w:p>
        </w:tc>
        <w:tc>
          <w:tcPr>
            <w:tcW w:w="2127" w:type="dxa"/>
            <w:tcBorders>
              <w:top w:val="nil"/>
              <w:left w:val="nil"/>
              <w:bottom w:val="single" w:sz="8" w:space="0" w:color="auto"/>
              <w:right w:val="single" w:sz="8" w:space="0" w:color="auto"/>
            </w:tcBorders>
            <w:shd w:val="clear" w:color="auto" w:fill="auto"/>
            <w:noWrap/>
            <w:vAlign w:val="center"/>
            <w:hideMark/>
          </w:tcPr>
          <w:p w14:paraId="178B509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470 000</w:t>
            </w:r>
          </w:p>
        </w:tc>
        <w:tc>
          <w:tcPr>
            <w:tcW w:w="1701" w:type="dxa"/>
            <w:tcBorders>
              <w:top w:val="nil"/>
              <w:left w:val="nil"/>
              <w:bottom w:val="single" w:sz="8" w:space="0" w:color="auto"/>
              <w:right w:val="single" w:sz="8" w:space="0" w:color="auto"/>
            </w:tcBorders>
            <w:shd w:val="clear" w:color="auto" w:fill="auto"/>
            <w:noWrap/>
            <w:vAlign w:val="center"/>
            <w:hideMark/>
          </w:tcPr>
          <w:p w14:paraId="569ED55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30000</w:t>
            </w:r>
          </w:p>
        </w:tc>
      </w:tr>
      <w:tr w:rsidR="0017127D" w:rsidRPr="0017127D" w14:paraId="2462E85B"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2764195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w:t>
            </w:r>
          </w:p>
        </w:tc>
        <w:tc>
          <w:tcPr>
            <w:tcW w:w="7076" w:type="dxa"/>
            <w:tcBorders>
              <w:top w:val="nil"/>
              <w:left w:val="nil"/>
              <w:bottom w:val="single" w:sz="8" w:space="0" w:color="auto"/>
              <w:right w:val="single" w:sz="8" w:space="0" w:color="auto"/>
            </w:tcBorders>
            <w:shd w:val="clear" w:color="auto" w:fill="auto"/>
            <w:noWrap/>
            <w:vAlign w:val="center"/>
            <w:hideMark/>
          </w:tcPr>
          <w:p w14:paraId="462CE4A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"Latvijas Universitātes nekustamā īpašuma aģentūra"</w:t>
            </w:r>
          </w:p>
        </w:tc>
        <w:tc>
          <w:tcPr>
            <w:tcW w:w="1984" w:type="dxa"/>
            <w:tcBorders>
              <w:top w:val="nil"/>
              <w:left w:val="nil"/>
              <w:bottom w:val="single" w:sz="8" w:space="0" w:color="auto"/>
              <w:right w:val="single" w:sz="8" w:space="0" w:color="auto"/>
            </w:tcBorders>
            <w:shd w:val="clear" w:color="auto" w:fill="auto"/>
            <w:noWrap/>
            <w:vAlign w:val="center"/>
            <w:hideMark/>
          </w:tcPr>
          <w:p w14:paraId="434D213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2127" w:type="dxa"/>
            <w:tcBorders>
              <w:top w:val="nil"/>
              <w:left w:val="nil"/>
              <w:bottom w:val="single" w:sz="8" w:space="0" w:color="auto"/>
              <w:right w:val="single" w:sz="8" w:space="0" w:color="auto"/>
            </w:tcBorders>
            <w:shd w:val="clear" w:color="auto" w:fill="auto"/>
            <w:noWrap/>
            <w:vAlign w:val="center"/>
            <w:hideMark/>
          </w:tcPr>
          <w:p w14:paraId="0100954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701" w:type="dxa"/>
            <w:tcBorders>
              <w:top w:val="nil"/>
              <w:left w:val="nil"/>
              <w:bottom w:val="single" w:sz="8" w:space="0" w:color="auto"/>
              <w:right w:val="single" w:sz="8" w:space="0" w:color="auto"/>
            </w:tcBorders>
            <w:shd w:val="clear" w:color="auto" w:fill="auto"/>
            <w:noWrap/>
            <w:vAlign w:val="center"/>
            <w:hideMark/>
          </w:tcPr>
          <w:p w14:paraId="0E6A704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722F3A53"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0178BAC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w:t>
            </w:r>
          </w:p>
        </w:tc>
        <w:tc>
          <w:tcPr>
            <w:tcW w:w="7076" w:type="dxa"/>
            <w:tcBorders>
              <w:top w:val="nil"/>
              <w:left w:val="nil"/>
              <w:bottom w:val="single" w:sz="8" w:space="0" w:color="auto"/>
              <w:right w:val="single" w:sz="8" w:space="0" w:color="auto"/>
            </w:tcBorders>
            <w:shd w:val="clear" w:color="auto" w:fill="auto"/>
            <w:noWrap/>
            <w:vAlign w:val="center"/>
            <w:hideMark/>
          </w:tcPr>
          <w:p w14:paraId="0FA0FEC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"Bulduru Dārzkopības vidusskola"</w:t>
            </w:r>
          </w:p>
        </w:tc>
        <w:tc>
          <w:tcPr>
            <w:tcW w:w="1984" w:type="dxa"/>
            <w:tcBorders>
              <w:top w:val="nil"/>
              <w:left w:val="nil"/>
              <w:bottom w:val="single" w:sz="8" w:space="0" w:color="auto"/>
              <w:right w:val="single" w:sz="8" w:space="0" w:color="auto"/>
            </w:tcBorders>
            <w:shd w:val="clear" w:color="auto" w:fill="auto"/>
            <w:noWrap/>
            <w:vAlign w:val="center"/>
            <w:hideMark/>
          </w:tcPr>
          <w:p w14:paraId="2E59E74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665 000</w:t>
            </w:r>
          </w:p>
        </w:tc>
        <w:tc>
          <w:tcPr>
            <w:tcW w:w="2127" w:type="dxa"/>
            <w:tcBorders>
              <w:top w:val="nil"/>
              <w:left w:val="nil"/>
              <w:bottom w:val="single" w:sz="8" w:space="0" w:color="auto"/>
              <w:right w:val="single" w:sz="8" w:space="0" w:color="auto"/>
            </w:tcBorders>
            <w:shd w:val="clear" w:color="auto" w:fill="auto"/>
            <w:noWrap/>
            <w:vAlign w:val="center"/>
            <w:hideMark/>
          </w:tcPr>
          <w:p w14:paraId="4A0A5C1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684 500</w:t>
            </w:r>
          </w:p>
        </w:tc>
        <w:tc>
          <w:tcPr>
            <w:tcW w:w="1701" w:type="dxa"/>
            <w:tcBorders>
              <w:top w:val="nil"/>
              <w:left w:val="nil"/>
              <w:bottom w:val="single" w:sz="8" w:space="0" w:color="auto"/>
              <w:right w:val="single" w:sz="8" w:space="0" w:color="auto"/>
            </w:tcBorders>
            <w:shd w:val="clear" w:color="auto" w:fill="auto"/>
            <w:noWrap/>
            <w:vAlign w:val="center"/>
            <w:hideMark/>
          </w:tcPr>
          <w:p w14:paraId="0A7CD62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-19 500</w:t>
            </w:r>
          </w:p>
        </w:tc>
      </w:tr>
      <w:tr w:rsidR="0017127D" w:rsidRPr="0017127D" w14:paraId="67383196"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18DD84E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w:t>
            </w:r>
          </w:p>
        </w:tc>
        <w:tc>
          <w:tcPr>
            <w:tcW w:w="7076" w:type="dxa"/>
            <w:tcBorders>
              <w:top w:val="nil"/>
              <w:left w:val="nil"/>
              <w:bottom w:val="single" w:sz="8" w:space="0" w:color="auto"/>
              <w:right w:val="single" w:sz="8" w:space="0" w:color="auto"/>
            </w:tcBorders>
            <w:shd w:val="clear" w:color="auto" w:fill="auto"/>
            <w:noWrap/>
            <w:vAlign w:val="center"/>
            <w:hideMark/>
          </w:tcPr>
          <w:p w14:paraId="05406A6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VAS "Latvijas Attīstības finanšu institūcija Altum"</w:t>
            </w:r>
          </w:p>
        </w:tc>
        <w:tc>
          <w:tcPr>
            <w:tcW w:w="1984" w:type="dxa"/>
            <w:tcBorders>
              <w:top w:val="nil"/>
              <w:left w:val="nil"/>
              <w:bottom w:val="single" w:sz="8" w:space="0" w:color="auto"/>
              <w:right w:val="single" w:sz="8" w:space="0" w:color="auto"/>
            </w:tcBorders>
            <w:shd w:val="clear" w:color="auto" w:fill="auto"/>
            <w:noWrap/>
            <w:vAlign w:val="center"/>
            <w:hideMark/>
          </w:tcPr>
          <w:p w14:paraId="133F057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33 392 278</w:t>
            </w:r>
          </w:p>
        </w:tc>
        <w:tc>
          <w:tcPr>
            <w:tcW w:w="2127" w:type="dxa"/>
            <w:tcBorders>
              <w:top w:val="nil"/>
              <w:left w:val="nil"/>
              <w:bottom w:val="single" w:sz="8" w:space="0" w:color="auto"/>
              <w:right w:val="single" w:sz="8" w:space="0" w:color="auto"/>
            </w:tcBorders>
            <w:shd w:val="clear" w:color="auto" w:fill="auto"/>
            <w:noWrap/>
            <w:vAlign w:val="center"/>
            <w:hideMark/>
          </w:tcPr>
          <w:p w14:paraId="73C1F02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34 249 047</w:t>
            </w:r>
          </w:p>
        </w:tc>
        <w:tc>
          <w:tcPr>
            <w:tcW w:w="1701" w:type="dxa"/>
            <w:tcBorders>
              <w:top w:val="nil"/>
              <w:left w:val="nil"/>
              <w:bottom w:val="single" w:sz="8" w:space="0" w:color="auto"/>
              <w:right w:val="single" w:sz="8" w:space="0" w:color="auto"/>
            </w:tcBorders>
            <w:shd w:val="clear" w:color="auto" w:fill="auto"/>
            <w:noWrap/>
            <w:vAlign w:val="center"/>
            <w:hideMark/>
          </w:tcPr>
          <w:p w14:paraId="722742B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-856 769</w:t>
            </w:r>
          </w:p>
        </w:tc>
      </w:tr>
      <w:tr w:rsidR="0017127D" w:rsidRPr="0017127D" w14:paraId="5714C4EB"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71D33B1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w:t>
            </w:r>
          </w:p>
        </w:tc>
        <w:tc>
          <w:tcPr>
            <w:tcW w:w="7076" w:type="dxa"/>
            <w:tcBorders>
              <w:top w:val="nil"/>
              <w:left w:val="nil"/>
              <w:bottom w:val="single" w:sz="8" w:space="0" w:color="auto"/>
              <w:right w:val="single" w:sz="8" w:space="0" w:color="auto"/>
            </w:tcBorders>
            <w:shd w:val="clear" w:color="auto" w:fill="auto"/>
            <w:noWrap/>
            <w:vAlign w:val="center"/>
            <w:hideMark/>
          </w:tcPr>
          <w:p w14:paraId="4F8F5F10"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"Šampētera nams"</w:t>
            </w:r>
          </w:p>
        </w:tc>
        <w:tc>
          <w:tcPr>
            <w:tcW w:w="1984" w:type="dxa"/>
            <w:tcBorders>
              <w:top w:val="nil"/>
              <w:left w:val="nil"/>
              <w:bottom w:val="single" w:sz="8" w:space="0" w:color="auto"/>
              <w:right w:val="single" w:sz="8" w:space="0" w:color="auto"/>
            </w:tcBorders>
            <w:shd w:val="clear" w:color="auto" w:fill="auto"/>
            <w:noWrap/>
            <w:vAlign w:val="center"/>
            <w:hideMark/>
          </w:tcPr>
          <w:p w14:paraId="4A3EC42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1 935 000</w:t>
            </w:r>
          </w:p>
        </w:tc>
        <w:tc>
          <w:tcPr>
            <w:tcW w:w="2127" w:type="dxa"/>
            <w:tcBorders>
              <w:top w:val="nil"/>
              <w:left w:val="nil"/>
              <w:bottom w:val="single" w:sz="8" w:space="0" w:color="auto"/>
              <w:right w:val="single" w:sz="8" w:space="0" w:color="auto"/>
            </w:tcBorders>
            <w:shd w:val="clear" w:color="auto" w:fill="auto"/>
            <w:noWrap/>
            <w:vAlign w:val="center"/>
            <w:hideMark/>
          </w:tcPr>
          <w:p w14:paraId="64F7CFC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1 920 540</w:t>
            </w:r>
          </w:p>
        </w:tc>
        <w:tc>
          <w:tcPr>
            <w:tcW w:w="1701" w:type="dxa"/>
            <w:tcBorders>
              <w:top w:val="nil"/>
              <w:left w:val="nil"/>
              <w:bottom w:val="single" w:sz="8" w:space="0" w:color="auto"/>
              <w:right w:val="single" w:sz="8" w:space="0" w:color="auto"/>
            </w:tcBorders>
            <w:shd w:val="clear" w:color="auto" w:fill="auto"/>
            <w:noWrap/>
            <w:vAlign w:val="center"/>
            <w:hideMark/>
          </w:tcPr>
          <w:p w14:paraId="11E9F2D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14 460</w:t>
            </w:r>
          </w:p>
        </w:tc>
      </w:tr>
      <w:tr w:rsidR="0017127D" w:rsidRPr="0017127D" w14:paraId="08EF81BB"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52D33D6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w:t>
            </w:r>
          </w:p>
        </w:tc>
        <w:tc>
          <w:tcPr>
            <w:tcW w:w="7076" w:type="dxa"/>
            <w:tcBorders>
              <w:top w:val="nil"/>
              <w:left w:val="nil"/>
              <w:bottom w:val="single" w:sz="8" w:space="0" w:color="auto"/>
              <w:right w:val="single" w:sz="8" w:space="0" w:color="auto"/>
            </w:tcBorders>
            <w:shd w:val="clear" w:color="auto" w:fill="auto"/>
            <w:noWrap/>
            <w:vAlign w:val="center"/>
            <w:hideMark/>
          </w:tcPr>
          <w:p w14:paraId="0CE807BE"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Koncerti”</w:t>
            </w:r>
          </w:p>
        </w:tc>
        <w:tc>
          <w:tcPr>
            <w:tcW w:w="1984" w:type="dxa"/>
            <w:tcBorders>
              <w:top w:val="nil"/>
              <w:left w:val="nil"/>
              <w:bottom w:val="single" w:sz="8" w:space="0" w:color="auto"/>
              <w:right w:val="single" w:sz="8" w:space="0" w:color="auto"/>
            </w:tcBorders>
            <w:shd w:val="clear" w:color="auto" w:fill="auto"/>
            <w:noWrap/>
            <w:vAlign w:val="center"/>
            <w:hideMark/>
          </w:tcPr>
          <w:p w14:paraId="3C7DBDA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950 000</w:t>
            </w:r>
          </w:p>
        </w:tc>
        <w:tc>
          <w:tcPr>
            <w:tcW w:w="2127" w:type="dxa"/>
            <w:tcBorders>
              <w:top w:val="nil"/>
              <w:left w:val="nil"/>
              <w:bottom w:val="single" w:sz="8" w:space="0" w:color="auto"/>
              <w:right w:val="single" w:sz="8" w:space="0" w:color="auto"/>
            </w:tcBorders>
            <w:shd w:val="clear" w:color="auto" w:fill="auto"/>
            <w:noWrap/>
            <w:vAlign w:val="center"/>
            <w:hideMark/>
          </w:tcPr>
          <w:p w14:paraId="3EE1309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952 000</w:t>
            </w:r>
          </w:p>
        </w:tc>
        <w:tc>
          <w:tcPr>
            <w:tcW w:w="1701" w:type="dxa"/>
            <w:tcBorders>
              <w:top w:val="nil"/>
              <w:left w:val="nil"/>
              <w:bottom w:val="single" w:sz="8" w:space="0" w:color="auto"/>
              <w:right w:val="single" w:sz="8" w:space="0" w:color="auto"/>
            </w:tcBorders>
            <w:shd w:val="clear" w:color="auto" w:fill="auto"/>
            <w:noWrap/>
            <w:vAlign w:val="center"/>
            <w:hideMark/>
          </w:tcPr>
          <w:p w14:paraId="60110B6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-2 000</w:t>
            </w:r>
          </w:p>
        </w:tc>
      </w:tr>
      <w:tr w:rsidR="0017127D" w:rsidRPr="0017127D" w14:paraId="5B622CE6"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67509A7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w:t>
            </w:r>
          </w:p>
        </w:tc>
        <w:tc>
          <w:tcPr>
            <w:tcW w:w="7076" w:type="dxa"/>
            <w:tcBorders>
              <w:top w:val="nil"/>
              <w:left w:val="nil"/>
              <w:bottom w:val="single" w:sz="8" w:space="0" w:color="auto"/>
              <w:right w:val="single" w:sz="8" w:space="0" w:color="auto"/>
            </w:tcBorders>
            <w:shd w:val="clear" w:color="auto" w:fill="auto"/>
            <w:noWrap/>
            <w:vAlign w:val="center"/>
            <w:hideMark/>
          </w:tcPr>
          <w:p w14:paraId="1A4244D6"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"Valmieras drāmas teātris"</w:t>
            </w:r>
          </w:p>
        </w:tc>
        <w:tc>
          <w:tcPr>
            <w:tcW w:w="1984" w:type="dxa"/>
            <w:tcBorders>
              <w:top w:val="nil"/>
              <w:left w:val="nil"/>
              <w:bottom w:val="single" w:sz="8" w:space="0" w:color="auto"/>
              <w:right w:val="single" w:sz="8" w:space="0" w:color="auto"/>
            </w:tcBorders>
            <w:shd w:val="clear" w:color="auto" w:fill="auto"/>
            <w:noWrap/>
            <w:vAlign w:val="center"/>
            <w:hideMark/>
          </w:tcPr>
          <w:p w14:paraId="7B57806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2 303 986</w:t>
            </w:r>
          </w:p>
        </w:tc>
        <w:tc>
          <w:tcPr>
            <w:tcW w:w="2127" w:type="dxa"/>
            <w:tcBorders>
              <w:top w:val="nil"/>
              <w:left w:val="nil"/>
              <w:bottom w:val="single" w:sz="8" w:space="0" w:color="auto"/>
              <w:right w:val="single" w:sz="8" w:space="0" w:color="auto"/>
            </w:tcBorders>
            <w:shd w:val="clear" w:color="auto" w:fill="auto"/>
            <w:noWrap/>
            <w:vAlign w:val="center"/>
            <w:hideMark/>
          </w:tcPr>
          <w:p w14:paraId="66E61E9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2 277 972</w:t>
            </w:r>
          </w:p>
        </w:tc>
        <w:tc>
          <w:tcPr>
            <w:tcW w:w="1701" w:type="dxa"/>
            <w:tcBorders>
              <w:top w:val="nil"/>
              <w:left w:val="nil"/>
              <w:bottom w:val="single" w:sz="8" w:space="0" w:color="auto"/>
              <w:right w:val="single" w:sz="8" w:space="0" w:color="auto"/>
            </w:tcBorders>
            <w:shd w:val="clear" w:color="auto" w:fill="auto"/>
            <w:noWrap/>
            <w:vAlign w:val="center"/>
            <w:hideMark/>
          </w:tcPr>
          <w:p w14:paraId="2530C78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26 013</w:t>
            </w:r>
          </w:p>
        </w:tc>
      </w:tr>
      <w:tr w:rsidR="0017127D" w:rsidRPr="0017127D" w14:paraId="77C1CC81"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6061649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w:t>
            </w:r>
          </w:p>
        </w:tc>
        <w:tc>
          <w:tcPr>
            <w:tcW w:w="7076" w:type="dxa"/>
            <w:tcBorders>
              <w:top w:val="nil"/>
              <w:left w:val="nil"/>
              <w:bottom w:val="single" w:sz="8" w:space="0" w:color="auto"/>
              <w:right w:val="single" w:sz="8" w:space="0" w:color="auto"/>
            </w:tcBorders>
            <w:shd w:val="clear" w:color="auto" w:fill="auto"/>
            <w:noWrap/>
            <w:vAlign w:val="center"/>
            <w:hideMark/>
          </w:tcPr>
          <w:p w14:paraId="135E0546"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"Daugavpils teātris"</w:t>
            </w:r>
          </w:p>
        </w:tc>
        <w:tc>
          <w:tcPr>
            <w:tcW w:w="1984" w:type="dxa"/>
            <w:tcBorders>
              <w:top w:val="nil"/>
              <w:left w:val="nil"/>
              <w:bottom w:val="single" w:sz="8" w:space="0" w:color="auto"/>
              <w:right w:val="single" w:sz="8" w:space="0" w:color="auto"/>
            </w:tcBorders>
            <w:shd w:val="clear" w:color="auto" w:fill="auto"/>
            <w:noWrap/>
            <w:vAlign w:val="center"/>
            <w:hideMark/>
          </w:tcPr>
          <w:p w14:paraId="18FD1C4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250 000</w:t>
            </w:r>
          </w:p>
        </w:tc>
        <w:tc>
          <w:tcPr>
            <w:tcW w:w="2127" w:type="dxa"/>
            <w:tcBorders>
              <w:top w:val="nil"/>
              <w:left w:val="nil"/>
              <w:bottom w:val="single" w:sz="8" w:space="0" w:color="auto"/>
              <w:right w:val="single" w:sz="8" w:space="0" w:color="auto"/>
            </w:tcBorders>
            <w:shd w:val="clear" w:color="auto" w:fill="auto"/>
            <w:noWrap/>
            <w:vAlign w:val="center"/>
            <w:hideMark/>
          </w:tcPr>
          <w:p w14:paraId="4132C56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314 200</w:t>
            </w:r>
          </w:p>
        </w:tc>
        <w:tc>
          <w:tcPr>
            <w:tcW w:w="1701" w:type="dxa"/>
            <w:tcBorders>
              <w:top w:val="nil"/>
              <w:left w:val="nil"/>
              <w:bottom w:val="single" w:sz="8" w:space="0" w:color="auto"/>
              <w:right w:val="single" w:sz="8" w:space="0" w:color="auto"/>
            </w:tcBorders>
            <w:shd w:val="clear" w:color="auto" w:fill="auto"/>
            <w:noWrap/>
            <w:vAlign w:val="center"/>
            <w:hideMark/>
          </w:tcPr>
          <w:p w14:paraId="53CCED8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-64 200</w:t>
            </w:r>
          </w:p>
        </w:tc>
      </w:tr>
      <w:tr w:rsidR="0017127D" w:rsidRPr="0017127D" w14:paraId="1A9C01AC"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60CF56F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w:t>
            </w:r>
          </w:p>
        </w:tc>
        <w:tc>
          <w:tcPr>
            <w:tcW w:w="7076" w:type="dxa"/>
            <w:tcBorders>
              <w:top w:val="nil"/>
              <w:left w:val="nil"/>
              <w:bottom w:val="single" w:sz="8" w:space="0" w:color="auto"/>
              <w:right w:val="single" w:sz="8" w:space="0" w:color="auto"/>
            </w:tcBorders>
            <w:shd w:val="clear" w:color="auto" w:fill="auto"/>
            <w:noWrap/>
            <w:vAlign w:val="center"/>
            <w:hideMark/>
          </w:tcPr>
          <w:p w14:paraId="0D4917EE"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Nacionālais teātris"</w:t>
            </w:r>
          </w:p>
        </w:tc>
        <w:tc>
          <w:tcPr>
            <w:tcW w:w="1984" w:type="dxa"/>
            <w:tcBorders>
              <w:top w:val="nil"/>
              <w:left w:val="nil"/>
              <w:bottom w:val="single" w:sz="8" w:space="0" w:color="auto"/>
              <w:right w:val="single" w:sz="8" w:space="0" w:color="auto"/>
            </w:tcBorders>
            <w:shd w:val="clear" w:color="auto" w:fill="auto"/>
            <w:noWrap/>
            <w:vAlign w:val="center"/>
            <w:hideMark/>
          </w:tcPr>
          <w:p w14:paraId="4827CE2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1 650 000</w:t>
            </w:r>
          </w:p>
        </w:tc>
        <w:tc>
          <w:tcPr>
            <w:tcW w:w="2127" w:type="dxa"/>
            <w:tcBorders>
              <w:top w:val="nil"/>
              <w:left w:val="nil"/>
              <w:bottom w:val="single" w:sz="8" w:space="0" w:color="auto"/>
              <w:right w:val="single" w:sz="8" w:space="0" w:color="auto"/>
            </w:tcBorders>
            <w:shd w:val="clear" w:color="auto" w:fill="auto"/>
            <w:noWrap/>
            <w:vAlign w:val="center"/>
            <w:hideMark/>
          </w:tcPr>
          <w:p w14:paraId="3A1C1C4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1 608 000</w:t>
            </w:r>
          </w:p>
        </w:tc>
        <w:tc>
          <w:tcPr>
            <w:tcW w:w="1701" w:type="dxa"/>
            <w:tcBorders>
              <w:top w:val="nil"/>
              <w:left w:val="nil"/>
              <w:bottom w:val="single" w:sz="8" w:space="0" w:color="auto"/>
              <w:right w:val="single" w:sz="8" w:space="0" w:color="auto"/>
            </w:tcBorders>
            <w:shd w:val="clear" w:color="auto" w:fill="auto"/>
            <w:noWrap/>
            <w:vAlign w:val="center"/>
            <w:hideMark/>
          </w:tcPr>
          <w:p w14:paraId="6375005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42 000</w:t>
            </w:r>
          </w:p>
        </w:tc>
      </w:tr>
      <w:tr w:rsidR="0017127D" w:rsidRPr="0017127D" w14:paraId="405BF4E8"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6DF8F00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11</w:t>
            </w:r>
          </w:p>
        </w:tc>
        <w:tc>
          <w:tcPr>
            <w:tcW w:w="7076" w:type="dxa"/>
            <w:tcBorders>
              <w:top w:val="nil"/>
              <w:left w:val="nil"/>
              <w:bottom w:val="single" w:sz="8" w:space="0" w:color="auto"/>
              <w:right w:val="single" w:sz="8" w:space="0" w:color="auto"/>
            </w:tcBorders>
            <w:shd w:val="clear" w:color="auto" w:fill="auto"/>
            <w:noWrap/>
            <w:vAlign w:val="center"/>
            <w:hideMark/>
          </w:tcPr>
          <w:p w14:paraId="021E61B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Nacionālais simfoniskais orķestris"</w:t>
            </w:r>
          </w:p>
        </w:tc>
        <w:tc>
          <w:tcPr>
            <w:tcW w:w="1984" w:type="dxa"/>
            <w:tcBorders>
              <w:top w:val="nil"/>
              <w:left w:val="nil"/>
              <w:bottom w:val="single" w:sz="8" w:space="0" w:color="auto"/>
              <w:right w:val="single" w:sz="8" w:space="0" w:color="auto"/>
            </w:tcBorders>
            <w:shd w:val="clear" w:color="auto" w:fill="auto"/>
            <w:noWrap/>
            <w:vAlign w:val="center"/>
            <w:hideMark/>
          </w:tcPr>
          <w:p w14:paraId="6297837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609 420</w:t>
            </w:r>
          </w:p>
        </w:tc>
        <w:tc>
          <w:tcPr>
            <w:tcW w:w="2127" w:type="dxa"/>
            <w:tcBorders>
              <w:top w:val="nil"/>
              <w:left w:val="nil"/>
              <w:bottom w:val="single" w:sz="8" w:space="0" w:color="auto"/>
              <w:right w:val="single" w:sz="8" w:space="0" w:color="auto"/>
            </w:tcBorders>
            <w:shd w:val="clear" w:color="auto" w:fill="auto"/>
            <w:noWrap/>
            <w:vAlign w:val="center"/>
            <w:hideMark/>
          </w:tcPr>
          <w:p w14:paraId="699B723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604 452</w:t>
            </w:r>
          </w:p>
        </w:tc>
        <w:tc>
          <w:tcPr>
            <w:tcW w:w="1701" w:type="dxa"/>
            <w:tcBorders>
              <w:top w:val="nil"/>
              <w:left w:val="nil"/>
              <w:bottom w:val="single" w:sz="8" w:space="0" w:color="auto"/>
              <w:right w:val="single" w:sz="8" w:space="0" w:color="auto"/>
            </w:tcBorders>
            <w:shd w:val="clear" w:color="auto" w:fill="auto"/>
            <w:noWrap/>
            <w:vAlign w:val="center"/>
            <w:hideMark/>
          </w:tcPr>
          <w:p w14:paraId="0B791D0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4 968</w:t>
            </w:r>
          </w:p>
        </w:tc>
      </w:tr>
      <w:tr w:rsidR="0017127D" w:rsidRPr="0017127D" w14:paraId="7953E845"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22CF2DD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12</w:t>
            </w:r>
          </w:p>
        </w:tc>
        <w:tc>
          <w:tcPr>
            <w:tcW w:w="7076" w:type="dxa"/>
            <w:tcBorders>
              <w:top w:val="nil"/>
              <w:left w:val="nil"/>
              <w:bottom w:val="single" w:sz="8" w:space="0" w:color="auto"/>
              <w:right w:val="single" w:sz="8" w:space="0" w:color="auto"/>
            </w:tcBorders>
            <w:shd w:val="clear" w:color="auto" w:fill="auto"/>
            <w:noWrap/>
            <w:vAlign w:val="center"/>
            <w:hideMark/>
          </w:tcPr>
          <w:p w14:paraId="011D73F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Nacionālā opera un balets”</w:t>
            </w:r>
          </w:p>
        </w:tc>
        <w:tc>
          <w:tcPr>
            <w:tcW w:w="1984" w:type="dxa"/>
            <w:tcBorders>
              <w:top w:val="nil"/>
              <w:left w:val="nil"/>
              <w:bottom w:val="single" w:sz="8" w:space="0" w:color="auto"/>
              <w:right w:val="single" w:sz="8" w:space="0" w:color="auto"/>
            </w:tcBorders>
            <w:shd w:val="clear" w:color="auto" w:fill="auto"/>
            <w:noWrap/>
            <w:vAlign w:val="center"/>
            <w:hideMark/>
          </w:tcPr>
          <w:p w14:paraId="61F741D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3 700 000</w:t>
            </w:r>
          </w:p>
        </w:tc>
        <w:tc>
          <w:tcPr>
            <w:tcW w:w="2127" w:type="dxa"/>
            <w:tcBorders>
              <w:top w:val="nil"/>
              <w:left w:val="nil"/>
              <w:bottom w:val="single" w:sz="8" w:space="0" w:color="auto"/>
              <w:right w:val="single" w:sz="8" w:space="0" w:color="auto"/>
            </w:tcBorders>
            <w:shd w:val="clear" w:color="auto" w:fill="auto"/>
            <w:noWrap/>
            <w:vAlign w:val="center"/>
            <w:hideMark/>
          </w:tcPr>
          <w:p w14:paraId="65A5D74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3 700 000</w:t>
            </w:r>
          </w:p>
        </w:tc>
        <w:tc>
          <w:tcPr>
            <w:tcW w:w="1701" w:type="dxa"/>
            <w:tcBorders>
              <w:top w:val="nil"/>
              <w:left w:val="nil"/>
              <w:bottom w:val="single" w:sz="8" w:space="0" w:color="auto"/>
              <w:right w:val="single" w:sz="8" w:space="0" w:color="auto"/>
            </w:tcBorders>
            <w:shd w:val="clear" w:color="auto" w:fill="auto"/>
            <w:noWrap/>
            <w:vAlign w:val="center"/>
            <w:hideMark/>
          </w:tcPr>
          <w:p w14:paraId="263FD17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5D361A74"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23028CB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w:t>
            </w:r>
          </w:p>
        </w:tc>
        <w:tc>
          <w:tcPr>
            <w:tcW w:w="7076" w:type="dxa"/>
            <w:tcBorders>
              <w:top w:val="nil"/>
              <w:left w:val="nil"/>
              <w:bottom w:val="single" w:sz="8" w:space="0" w:color="auto"/>
              <w:right w:val="single" w:sz="8" w:space="0" w:color="auto"/>
            </w:tcBorders>
            <w:shd w:val="clear" w:color="auto" w:fill="auto"/>
            <w:vAlign w:val="center"/>
            <w:hideMark/>
          </w:tcPr>
          <w:p w14:paraId="33DC0BE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"Valsts Akadēmiskais koris "Latvija""</w:t>
            </w:r>
          </w:p>
        </w:tc>
        <w:tc>
          <w:tcPr>
            <w:tcW w:w="1984" w:type="dxa"/>
            <w:tcBorders>
              <w:top w:val="nil"/>
              <w:left w:val="nil"/>
              <w:bottom w:val="single" w:sz="8" w:space="0" w:color="auto"/>
              <w:right w:val="single" w:sz="8" w:space="0" w:color="auto"/>
            </w:tcBorders>
            <w:shd w:val="clear" w:color="auto" w:fill="auto"/>
            <w:noWrap/>
            <w:vAlign w:val="center"/>
            <w:hideMark/>
          </w:tcPr>
          <w:p w14:paraId="1BC0D60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115 000</w:t>
            </w:r>
          </w:p>
        </w:tc>
        <w:tc>
          <w:tcPr>
            <w:tcW w:w="2127" w:type="dxa"/>
            <w:tcBorders>
              <w:top w:val="nil"/>
              <w:left w:val="nil"/>
              <w:bottom w:val="single" w:sz="8" w:space="0" w:color="auto"/>
              <w:right w:val="single" w:sz="8" w:space="0" w:color="auto"/>
            </w:tcBorders>
            <w:shd w:val="clear" w:color="auto" w:fill="auto"/>
            <w:noWrap/>
            <w:vAlign w:val="center"/>
            <w:hideMark/>
          </w:tcPr>
          <w:p w14:paraId="4FDFF78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113 000</w:t>
            </w:r>
          </w:p>
        </w:tc>
        <w:tc>
          <w:tcPr>
            <w:tcW w:w="1701" w:type="dxa"/>
            <w:tcBorders>
              <w:top w:val="nil"/>
              <w:left w:val="nil"/>
              <w:bottom w:val="single" w:sz="8" w:space="0" w:color="auto"/>
              <w:right w:val="single" w:sz="8" w:space="0" w:color="auto"/>
            </w:tcBorders>
            <w:shd w:val="clear" w:color="auto" w:fill="auto"/>
            <w:noWrap/>
            <w:vAlign w:val="center"/>
            <w:hideMark/>
          </w:tcPr>
          <w:p w14:paraId="5E28C5B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2 000</w:t>
            </w:r>
          </w:p>
        </w:tc>
      </w:tr>
      <w:tr w:rsidR="0017127D" w:rsidRPr="0017127D" w14:paraId="74D4F3BD"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7FA1C29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w:t>
            </w:r>
          </w:p>
        </w:tc>
        <w:tc>
          <w:tcPr>
            <w:tcW w:w="7076" w:type="dxa"/>
            <w:tcBorders>
              <w:top w:val="nil"/>
              <w:left w:val="nil"/>
              <w:bottom w:val="single" w:sz="8" w:space="0" w:color="auto"/>
              <w:right w:val="single" w:sz="8" w:space="0" w:color="auto"/>
            </w:tcBorders>
            <w:shd w:val="clear" w:color="auto" w:fill="auto"/>
            <w:vAlign w:val="center"/>
            <w:hideMark/>
          </w:tcPr>
          <w:p w14:paraId="7BB2C44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"Liepājas Simfoniskais orķestris"</w:t>
            </w:r>
          </w:p>
        </w:tc>
        <w:tc>
          <w:tcPr>
            <w:tcW w:w="1984" w:type="dxa"/>
            <w:tcBorders>
              <w:top w:val="nil"/>
              <w:left w:val="nil"/>
              <w:bottom w:val="single" w:sz="8" w:space="0" w:color="auto"/>
              <w:right w:val="single" w:sz="8" w:space="0" w:color="auto"/>
            </w:tcBorders>
            <w:shd w:val="clear" w:color="auto" w:fill="auto"/>
            <w:noWrap/>
            <w:vAlign w:val="center"/>
            <w:hideMark/>
          </w:tcPr>
          <w:p w14:paraId="142135F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280 000</w:t>
            </w:r>
          </w:p>
        </w:tc>
        <w:tc>
          <w:tcPr>
            <w:tcW w:w="2127" w:type="dxa"/>
            <w:tcBorders>
              <w:top w:val="nil"/>
              <w:left w:val="nil"/>
              <w:bottom w:val="single" w:sz="8" w:space="0" w:color="auto"/>
              <w:right w:val="single" w:sz="8" w:space="0" w:color="auto"/>
            </w:tcBorders>
            <w:shd w:val="clear" w:color="auto" w:fill="auto"/>
            <w:noWrap/>
            <w:vAlign w:val="center"/>
            <w:hideMark/>
          </w:tcPr>
          <w:p w14:paraId="591FC13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281 100</w:t>
            </w:r>
          </w:p>
        </w:tc>
        <w:tc>
          <w:tcPr>
            <w:tcW w:w="1701" w:type="dxa"/>
            <w:tcBorders>
              <w:top w:val="nil"/>
              <w:left w:val="nil"/>
              <w:bottom w:val="single" w:sz="8" w:space="0" w:color="auto"/>
              <w:right w:val="single" w:sz="8" w:space="0" w:color="auto"/>
            </w:tcBorders>
            <w:shd w:val="clear" w:color="auto" w:fill="auto"/>
            <w:noWrap/>
            <w:vAlign w:val="center"/>
            <w:hideMark/>
          </w:tcPr>
          <w:p w14:paraId="3243F9D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-1 100</w:t>
            </w:r>
          </w:p>
        </w:tc>
      </w:tr>
      <w:tr w:rsidR="0017127D" w:rsidRPr="0017127D" w14:paraId="5CE944C2"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289787C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15</w:t>
            </w:r>
          </w:p>
        </w:tc>
        <w:tc>
          <w:tcPr>
            <w:tcW w:w="7076" w:type="dxa"/>
            <w:tcBorders>
              <w:top w:val="nil"/>
              <w:left w:val="nil"/>
              <w:bottom w:val="single" w:sz="8" w:space="0" w:color="auto"/>
              <w:right w:val="single" w:sz="8" w:space="0" w:color="auto"/>
            </w:tcBorders>
            <w:shd w:val="clear" w:color="auto" w:fill="auto"/>
            <w:noWrap/>
            <w:vAlign w:val="center"/>
            <w:hideMark/>
          </w:tcPr>
          <w:p w14:paraId="5841C446"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"Rīgas cirks"</w:t>
            </w:r>
          </w:p>
        </w:tc>
        <w:tc>
          <w:tcPr>
            <w:tcW w:w="1984" w:type="dxa"/>
            <w:tcBorders>
              <w:top w:val="nil"/>
              <w:left w:val="nil"/>
              <w:bottom w:val="single" w:sz="8" w:space="0" w:color="auto"/>
              <w:right w:val="single" w:sz="8" w:space="0" w:color="auto"/>
            </w:tcBorders>
            <w:shd w:val="clear" w:color="auto" w:fill="auto"/>
            <w:noWrap/>
            <w:vAlign w:val="center"/>
            <w:hideMark/>
          </w:tcPr>
          <w:p w14:paraId="6E13947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209 054</w:t>
            </w:r>
          </w:p>
        </w:tc>
        <w:tc>
          <w:tcPr>
            <w:tcW w:w="2127" w:type="dxa"/>
            <w:tcBorders>
              <w:top w:val="nil"/>
              <w:left w:val="nil"/>
              <w:bottom w:val="single" w:sz="8" w:space="0" w:color="auto"/>
              <w:right w:val="single" w:sz="8" w:space="0" w:color="auto"/>
            </w:tcBorders>
            <w:shd w:val="clear" w:color="auto" w:fill="auto"/>
            <w:noWrap/>
            <w:vAlign w:val="center"/>
            <w:hideMark/>
          </w:tcPr>
          <w:p w14:paraId="003437D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911 015</w:t>
            </w:r>
          </w:p>
        </w:tc>
        <w:tc>
          <w:tcPr>
            <w:tcW w:w="1701" w:type="dxa"/>
            <w:tcBorders>
              <w:top w:val="nil"/>
              <w:left w:val="nil"/>
              <w:bottom w:val="single" w:sz="8" w:space="0" w:color="auto"/>
              <w:right w:val="single" w:sz="8" w:space="0" w:color="auto"/>
            </w:tcBorders>
            <w:shd w:val="clear" w:color="auto" w:fill="auto"/>
            <w:noWrap/>
            <w:vAlign w:val="center"/>
            <w:hideMark/>
          </w:tcPr>
          <w:p w14:paraId="6E4EB7A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-701 961</w:t>
            </w:r>
          </w:p>
        </w:tc>
      </w:tr>
      <w:tr w:rsidR="0017127D" w:rsidRPr="0017127D" w14:paraId="2E071E36"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7BFFB7B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w:t>
            </w:r>
          </w:p>
        </w:tc>
        <w:tc>
          <w:tcPr>
            <w:tcW w:w="7076" w:type="dxa"/>
            <w:tcBorders>
              <w:top w:val="nil"/>
              <w:left w:val="nil"/>
              <w:bottom w:val="single" w:sz="8" w:space="0" w:color="auto"/>
              <w:right w:val="single" w:sz="8" w:space="0" w:color="auto"/>
            </w:tcBorders>
            <w:shd w:val="clear" w:color="auto" w:fill="auto"/>
            <w:noWrap/>
            <w:vAlign w:val="center"/>
            <w:hideMark/>
          </w:tcPr>
          <w:p w14:paraId="1C36ECC0"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"Starptautiskā Rakstnieku un tulkotāju māja"</w:t>
            </w:r>
          </w:p>
        </w:tc>
        <w:tc>
          <w:tcPr>
            <w:tcW w:w="1984" w:type="dxa"/>
            <w:tcBorders>
              <w:top w:val="nil"/>
              <w:left w:val="nil"/>
              <w:bottom w:val="single" w:sz="8" w:space="0" w:color="auto"/>
              <w:right w:val="single" w:sz="8" w:space="0" w:color="auto"/>
            </w:tcBorders>
            <w:shd w:val="clear" w:color="auto" w:fill="auto"/>
            <w:noWrap/>
            <w:vAlign w:val="center"/>
            <w:hideMark/>
          </w:tcPr>
          <w:p w14:paraId="0225478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6 500</w:t>
            </w:r>
          </w:p>
        </w:tc>
        <w:tc>
          <w:tcPr>
            <w:tcW w:w="2127" w:type="dxa"/>
            <w:tcBorders>
              <w:top w:val="nil"/>
              <w:left w:val="nil"/>
              <w:bottom w:val="single" w:sz="8" w:space="0" w:color="auto"/>
              <w:right w:val="single" w:sz="8" w:space="0" w:color="auto"/>
            </w:tcBorders>
            <w:shd w:val="clear" w:color="auto" w:fill="auto"/>
            <w:noWrap/>
            <w:vAlign w:val="center"/>
            <w:hideMark/>
          </w:tcPr>
          <w:p w14:paraId="6B35242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4 500</w:t>
            </w:r>
          </w:p>
        </w:tc>
        <w:tc>
          <w:tcPr>
            <w:tcW w:w="1701" w:type="dxa"/>
            <w:tcBorders>
              <w:top w:val="nil"/>
              <w:left w:val="nil"/>
              <w:bottom w:val="single" w:sz="8" w:space="0" w:color="auto"/>
              <w:right w:val="single" w:sz="8" w:space="0" w:color="auto"/>
            </w:tcBorders>
            <w:shd w:val="clear" w:color="auto" w:fill="auto"/>
            <w:noWrap/>
            <w:vAlign w:val="center"/>
            <w:hideMark/>
          </w:tcPr>
          <w:p w14:paraId="70BA16B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2 000</w:t>
            </w:r>
          </w:p>
        </w:tc>
      </w:tr>
      <w:tr w:rsidR="0017127D" w:rsidRPr="0017127D" w14:paraId="00A95853"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621ED77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17</w:t>
            </w:r>
          </w:p>
        </w:tc>
        <w:tc>
          <w:tcPr>
            <w:tcW w:w="7076" w:type="dxa"/>
            <w:tcBorders>
              <w:top w:val="nil"/>
              <w:left w:val="nil"/>
              <w:bottom w:val="single" w:sz="8" w:space="0" w:color="auto"/>
              <w:right w:val="single" w:sz="8" w:space="0" w:color="auto"/>
            </w:tcBorders>
            <w:shd w:val="clear" w:color="auto" w:fill="auto"/>
            <w:noWrap/>
            <w:vAlign w:val="center"/>
            <w:hideMark/>
          </w:tcPr>
          <w:p w14:paraId="543C752D"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"Mihaila Čehova Rīgas Krievu teātris"</w:t>
            </w:r>
          </w:p>
        </w:tc>
        <w:tc>
          <w:tcPr>
            <w:tcW w:w="1984" w:type="dxa"/>
            <w:tcBorders>
              <w:top w:val="nil"/>
              <w:left w:val="nil"/>
              <w:bottom w:val="single" w:sz="8" w:space="0" w:color="auto"/>
              <w:right w:val="single" w:sz="8" w:space="0" w:color="auto"/>
            </w:tcBorders>
            <w:shd w:val="clear" w:color="auto" w:fill="auto"/>
            <w:noWrap/>
            <w:vAlign w:val="center"/>
            <w:hideMark/>
          </w:tcPr>
          <w:p w14:paraId="2E6818B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1 550 000</w:t>
            </w:r>
          </w:p>
        </w:tc>
        <w:tc>
          <w:tcPr>
            <w:tcW w:w="2127" w:type="dxa"/>
            <w:tcBorders>
              <w:top w:val="nil"/>
              <w:left w:val="nil"/>
              <w:bottom w:val="single" w:sz="8" w:space="0" w:color="auto"/>
              <w:right w:val="single" w:sz="8" w:space="0" w:color="auto"/>
            </w:tcBorders>
            <w:shd w:val="clear" w:color="auto" w:fill="auto"/>
            <w:noWrap/>
            <w:vAlign w:val="center"/>
            <w:hideMark/>
          </w:tcPr>
          <w:p w14:paraId="6A89D8E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1 600 000</w:t>
            </w:r>
          </w:p>
        </w:tc>
        <w:tc>
          <w:tcPr>
            <w:tcW w:w="1701" w:type="dxa"/>
            <w:tcBorders>
              <w:top w:val="nil"/>
              <w:left w:val="nil"/>
              <w:bottom w:val="single" w:sz="8" w:space="0" w:color="auto"/>
              <w:right w:val="single" w:sz="8" w:space="0" w:color="auto"/>
            </w:tcBorders>
            <w:shd w:val="clear" w:color="auto" w:fill="auto"/>
            <w:noWrap/>
            <w:vAlign w:val="center"/>
            <w:hideMark/>
          </w:tcPr>
          <w:p w14:paraId="4552483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-50 000</w:t>
            </w:r>
          </w:p>
        </w:tc>
      </w:tr>
      <w:tr w:rsidR="0017127D" w:rsidRPr="0017127D" w14:paraId="73B8957C"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7BAE22A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18</w:t>
            </w:r>
          </w:p>
        </w:tc>
        <w:tc>
          <w:tcPr>
            <w:tcW w:w="7076" w:type="dxa"/>
            <w:tcBorders>
              <w:top w:val="nil"/>
              <w:left w:val="nil"/>
              <w:bottom w:val="single" w:sz="8" w:space="0" w:color="auto"/>
              <w:right w:val="single" w:sz="8" w:space="0" w:color="auto"/>
            </w:tcBorders>
            <w:shd w:val="clear" w:color="auto" w:fill="auto"/>
            <w:noWrap/>
            <w:vAlign w:val="center"/>
            <w:hideMark/>
          </w:tcPr>
          <w:p w14:paraId="6274F50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Leļļu teātris"</w:t>
            </w:r>
          </w:p>
        </w:tc>
        <w:tc>
          <w:tcPr>
            <w:tcW w:w="1984" w:type="dxa"/>
            <w:tcBorders>
              <w:top w:val="nil"/>
              <w:left w:val="nil"/>
              <w:bottom w:val="single" w:sz="8" w:space="0" w:color="auto"/>
              <w:right w:val="single" w:sz="8" w:space="0" w:color="auto"/>
            </w:tcBorders>
            <w:shd w:val="clear" w:color="auto" w:fill="auto"/>
            <w:noWrap/>
            <w:vAlign w:val="center"/>
            <w:hideMark/>
          </w:tcPr>
          <w:p w14:paraId="3BE8088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312 000</w:t>
            </w:r>
          </w:p>
        </w:tc>
        <w:tc>
          <w:tcPr>
            <w:tcW w:w="2127" w:type="dxa"/>
            <w:tcBorders>
              <w:top w:val="nil"/>
              <w:left w:val="nil"/>
              <w:bottom w:val="single" w:sz="8" w:space="0" w:color="auto"/>
              <w:right w:val="single" w:sz="8" w:space="0" w:color="auto"/>
            </w:tcBorders>
            <w:shd w:val="clear" w:color="auto" w:fill="auto"/>
            <w:noWrap/>
            <w:vAlign w:val="center"/>
            <w:hideMark/>
          </w:tcPr>
          <w:p w14:paraId="4F9CACE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1 720 713</w:t>
            </w:r>
          </w:p>
        </w:tc>
        <w:tc>
          <w:tcPr>
            <w:tcW w:w="1701" w:type="dxa"/>
            <w:tcBorders>
              <w:top w:val="nil"/>
              <w:left w:val="nil"/>
              <w:bottom w:val="single" w:sz="8" w:space="0" w:color="auto"/>
              <w:right w:val="single" w:sz="8" w:space="0" w:color="auto"/>
            </w:tcBorders>
            <w:shd w:val="clear" w:color="auto" w:fill="auto"/>
            <w:noWrap/>
            <w:vAlign w:val="center"/>
            <w:hideMark/>
          </w:tcPr>
          <w:p w14:paraId="48A16BF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-1 408 713</w:t>
            </w:r>
          </w:p>
        </w:tc>
      </w:tr>
      <w:tr w:rsidR="0017127D" w:rsidRPr="0017127D" w14:paraId="781EE92C"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0B4BA85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w:t>
            </w:r>
          </w:p>
        </w:tc>
        <w:tc>
          <w:tcPr>
            <w:tcW w:w="7076" w:type="dxa"/>
            <w:tcBorders>
              <w:top w:val="nil"/>
              <w:left w:val="nil"/>
              <w:bottom w:val="single" w:sz="8" w:space="0" w:color="auto"/>
              <w:right w:val="single" w:sz="8" w:space="0" w:color="auto"/>
            </w:tcBorders>
            <w:shd w:val="clear" w:color="auto" w:fill="auto"/>
            <w:noWrap/>
            <w:vAlign w:val="center"/>
            <w:hideMark/>
          </w:tcPr>
          <w:p w14:paraId="7084DF0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VAS "Tiesu namu aģentūra"</w:t>
            </w:r>
          </w:p>
        </w:tc>
        <w:tc>
          <w:tcPr>
            <w:tcW w:w="1984" w:type="dxa"/>
            <w:tcBorders>
              <w:top w:val="nil"/>
              <w:left w:val="nil"/>
              <w:bottom w:val="single" w:sz="8" w:space="0" w:color="auto"/>
              <w:right w:val="single" w:sz="8" w:space="0" w:color="auto"/>
            </w:tcBorders>
            <w:shd w:val="clear" w:color="auto" w:fill="auto"/>
            <w:noWrap/>
            <w:vAlign w:val="center"/>
            <w:hideMark/>
          </w:tcPr>
          <w:p w14:paraId="346DD55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7 870 000</w:t>
            </w:r>
          </w:p>
        </w:tc>
        <w:tc>
          <w:tcPr>
            <w:tcW w:w="2127" w:type="dxa"/>
            <w:tcBorders>
              <w:top w:val="nil"/>
              <w:left w:val="nil"/>
              <w:bottom w:val="single" w:sz="8" w:space="0" w:color="auto"/>
              <w:right w:val="single" w:sz="8" w:space="0" w:color="auto"/>
            </w:tcBorders>
            <w:shd w:val="clear" w:color="auto" w:fill="auto"/>
            <w:noWrap/>
            <w:vAlign w:val="center"/>
            <w:hideMark/>
          </w:tcPr>
          <w:p w14:paraId="749DEF0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6 158 000</w:t>
            </w:r>
          </w:p>
        </w:tc>
        <w:tc>
          <w:tcPr>
            <w:tcW w:w="1701" w:type="dxa"/>
            <w:tcBorders>
              <w:top w:val="nil"/>
              <w:left w:val="nil"/>
              <w:bottom w:val="single" w:sz="8" w:space="0" w:color="auto"/>
              <w:right w:val="single" w:sz="8" w:space="0" w:color="auto"/>
            </w:tcBorders>
            <w:shd w:val="clear" w:color="auto" w:fill="auto"/>
            <w:noWrap/>
            <w:vAlign w:val="center"/>
            <w:hideMark/>
          </w:tcPr>
          <w:p w14:paraId="69E7AE8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1 712 000</w:t>
            </w:r>
          </w:p>
        </w:tc>
      </w:tr>
      <w:tr w:rsidR="0017127D" w:rsidRPr="0017127D" w14:paraId="6EB1DDA4"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54E43A6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20</w:t>
            </w:r>
          </w:p>
        </w:tc>
        <w:tc>
          <w:tcPr>
            <w:tcW w:w="7076" w:type="dxa"/>
            <w:tcBorders>
              <w:top w:val="nil"/>
              <w:left w:val="nil"/>
              <w:bottom w:val="single" w:sz="8" w:space="0" w:color="auto"/>
              <w:right w:val="single" w:sz="8" w:space="0" w:color="auto"/>
            </w:tcBorders>
            <w:shd w:val="clear" w:color="auto" w:fill="auto"/>
            <w:noWrap/>
            <w:vAlign w:val="center"/>
            <w:hideMark/>
          </w:tcPr>
          <w:p w14:paraId="52A1D10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VAS "Valsts nekustamie īpašumi"</w:t>
            </w:r>
          </w:p>
        </w:tc>
        <w:tc>
          <w:tcPr>
            <w:tcW w:w="1984" w:type="dxa"/>
            <w:tcBorders>
              <w:top w:val="nil"/>
              <w:left w:val="nil"/>
              <w:bottom w:val="single" w:sz="8" w:space="0" w:color="auto"/>
              <w:right w:val="single" w:sz="8" w:space="0" w:color="auto"/>
            </w:tcBorders>
            <w:shd w:val="clear" w:color="auto" w:fill="auto"/>
            <w:noWrap/>
            <w:vAlign w:val="center"/>
            <w:hideMark/>
          </w:tcPr>
          <w:p w14:paraId="24DD795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42 603 668</w:t>
            </w:r>
          </w:p>
        </w:tc>
        <w:tc>
          <w:tcPr>
            <w:tcW w:w="2127" w:type="dxa"/>
            <w:tcBorders>
              <w:top w:val="nil"/>
              <w:left w:val="nil"/>
              <w:bottom w:val="single" w:sz="8" w:space="0" w:color="auto"/>
              <w:right w:val="single" w:sz="8" w:space="0" w:color="auto"/>
            </w:tcBorders>
            <w:shd w:val="clear" w:color="auto" w:fill="auto"/>
            <w:noWrap/>
            <w:vAlign w:val="center"/>
            <w:hideMark/>
          </w:tcPr>
          <w:p w14:paraId="5F8529D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46 795 161</w:t>
            </w:r>
          </w:p>
        </w:tc>
        <w:tc>
          <w:tcPr>
            <w:tcW w:w="1701" w:type="dxa"/>
            <w:tcBorders>
              <w:top w:val="nil"/>
              <w:left w:val="nil"/>
              <w:bottom w:val="single" w:sz="8" w:space="0" w:color="auto"/>
              <w:right w:val="single" w:sz="8" w:space="0" w:color="auto"/>
            </w:tcBorders>
            <w:shd w:val="clear" w:color="auto" w:fill="auto"/>
            <w:noWrap/>
            <w:vAlign w:val="center"/>
            <w:hideMark/>
          </w:tcPr>
          <w:p w14:paraId="12A212A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-4 191 493</w:t>
            </w:r>
          </w:p>
        </w:tc>
      </w:tr>
      <w:tr w:rsidR="0017127D" w:rsidRPr="0017127D" w14:paraId="0C319B4E"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3890C20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lastRenderedPageBreak/>
              <w:t>21</w:t>
            </w:r>
          </w:p>
        </w:tc>
        <w:tc>
          <w:tcPr>
            <w:tcW w:w="7076" w:type="dxa"/>
            <w:tcBorders>
              <w:top w:val="nil"/>
              <w:left w:val="nil"/>
              <w:bottom w:val="single" w:sz="8" w:space="0" w:color="auto"/>
              <w:right w:val="single" w:sz="8" w:space="0" w:color="auto"/>
            </w:tcBorders>
            <w:shd w:val="clear" w:color="auto" w:fill="auto"/>
            <w:noWrap/>
            <w:vAlign w:val="center"/>
            <w:hideMark/>
          </w:tcPr>
          <w:p w14:paraId="247084A6"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"Vides investīciju fonds”</w:t>
            </w:r>
          </w:p>
        </w:tc>
        <w:tc>
          <w:tcPr>
            <w:tcW w:w="1984" w:type="dxa"/>
            <w:tcBorders>
              <w:top w:val="nil"/>
              <w:left w:val="nil"/>
              <w:bottom w:val="single" w:sz="8" w:space="0" w:color="auto"/>
              <w:right w:val="single" w:sz="8" w:space="0" w:color="auto"/>
            </w:tcBorders>
            <w:shd w:val="clear" w:color="auto" w:fill="auto"/>
            <w:noWrap/>
            <w:vAlign w:val="center"/>
            <w:hideMark/>
          </w:tcPr>
          <w:p w14:paraId="0B9DA2A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597 830</w:t>
            </w:r>
          </w:p>
        </w:tc>
        <w:tc>
          <w:tcPr>
            <w:tcW w:w="2127" w:type="dxa"/>
            <w:tcBorders>
              <w:top w:val="nil"/>
              <w:left w:val="nil"/>
              <w:bottom w:val="single" w:sz="8" w:space="0" w:color="auto"/>
              <w:right w:val="single" w:sz="8" w:space="0" w:color="auto"/>
            </w:tcBorders>
            <w:shd w:val="clear" w:color="auto" w:fill="auto"/>
            <w:noWrap/>
            <w:vAlign w:val="center"/>
            <w:hideMark/>
          </w:tcPr>
          <w:p w14:paraId="3976C6E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491 653</w:t>
            </w:r>
          </w:p>
        </w:tc>
        <w:tc>
          <w:tcPr>
            <w:tcW w:w="1701" w:type="dxa"/>
            <w:tcBorders>
              <w:top w:val="nil"/>
              <w:left w:val="nil"/>
              <w:bottom w:val="single" w:sz="8" w:space="0" w:color="auto"/>
              <w:right w:val="single" w:sz="8" w:space="0" w:color="auto"/>
            </w:tcBorders>
            <w:shd w:val="clear" w:color="auto" w:fill="auto"/>
            <w:noWrap/>
            <w:vAlign w:val="center"/>
            <w:hideMark/>
          </w:tcPr>
          <w:p w14:paraId="1CB94FA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106 177</w:t>
            </w:r>
          </w:p>
        </w:tc>
      </w:tr>
      <w:tr w:rsidR="0017127D" w:rsidRPr="0017127D" w14:paraId="5F7C2001"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661FA67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22</w:t>
            </w:r>
          </w:p>
        </w:tc>
        <w:tc>
          <w:tcPr>
            <w:tcW w:w="7076" w:type="dxa"/>
            <w:tcBorders>
              <w:top w:val="nil"/>
              <w:left w:val="nil"/>
              <w:bottom w:val="single" w:sz="8" w:space="0" w:color="auto"/>
              <w:right w:val="single" w:sz="8" w:space="0" w:color="auto"/>
            </w:tcBorders>
            <w:shd w:val="clear" w:color="auto" w:fill="auto"/>
            <w:noWrap/>
            <w:vAlign w:val="center"/>
            <w:hideMark/>
          </w:tcPr>
          <w:p w14:paraId="67415C92"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Vides, ģeoloģijas un meteoroloģijas centrs"</w:t>
            </w:r>
          </w:p>
        </w:tc>
        <w:tc>
          <w:tcPr>
            <w:tcW w:w="1984" w:type="dxa"/>
            <w:tcBorders>
              <w:top w:val="nil"/>
              <w:left w:val="nil"/>
              <w:bottom w:val="single" w:sz="8" w:space="0" w:color="auto"/>
              <w:right w:val="single" w:sz="8" w:space="0" w:color="auto"/>
            </w:tcBorders>
            <w:shd w:val="clear" w:color="auto" w:fill="auto"/>
            <w:noWrap/>
            <w:vAlign w:val="center"/>
            <w:hideMark/>
          </w:tcPr>
          <w:p w14:paraId="5189423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2 612 096</w:t>
            </w:r>
          </w:p>
        </w:tc>
        <w:tc>
          <w:tcPr>
            <w:tcW w:w="2127" w:type="dxa"/>
            <w:tcBorders>
              <w:top w:val="nil"/>
              <w:left w:val="nil"/>
              <w:bottom w:val="single" w:sz="8" w:space="0" w:color="auto"/>
              <w:right w:val="single" w:sz="8" w:space="0" w:color="auto"/>
            </w:tcBorders>
            <w:shd w:val="clear" w:color="auto" w:fill="auto"/>
            <w:noWrap/>
            <w:vAlign w:val="center"/>
            <w:hideMark/>
          </w:tcPr>
          <w:p w14:paraId="19BE883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2 750 552</w:t>
            </w:r>
          </w:p>
        </w:tc>
        <w:tc>
          <w:tcPr>
            <w:tcW w:w="1701" w:type="dxa"/>
            <w:tcBorders>
              <w:top w:val="nil"/>
              <w:left w:val="nil"/>
              <w:bottom w:val="single" w:sz="8" w:space="0" w:color="auto"/>
              <w:right w:val="single" w:sz="8" w:space="0" w:color="auto"/>
            </w:tcBorders>
            <w:shd w:val="clear" w:color="auto" w:fill="auto"/>
            <w:noWrap/>
            <w:vAlign w:val="center"/>
            <w:hideMark/>
          </w:tcPr>
          <w:p w14:paraId="3D7C2AA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-138 456</w:t>
            </w:r>
          </w:p>
        </w:tc>
      </w:tr>
      <w:tr w:rsidR="0017127D" w:rsidRPr="0017127D" w14:paraId="7AF97210"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37E4A51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23</w:t>
            </w:r>
          </w:p>
        </w:tc>
        <w:tc>
          <w:tcPr>
            <w:tcW w:w="7076" w:type="dxa"/>
            <w:tcBorders>
              <w:top w:val="nil"/>
              <w:left w:val="nil"/>
              <w:bottom w:val="single" w:sz="8" w:space="0" w:color="auto"/>
              <w:right w:val="single" w:sz="8" w:space="0" w:color="auto"/>
            </w:tcBorders>
            <w:shd w:val="clear" w:color="auto" w:fill="auto"/>
            <w:noWrap/>
            <w:vAlign w:val="center"/>
            <w:hideMark/>
          </w:tcPr>
          <w:p w14:paraId="599D942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Televīzija"</w:t>
            </w:r>
          </w:p>
        </w:tc>
        <w:tc>
          <w:tcPr>
            <w:tcW w:w="1984" w:type="dxa"/>
            <w:tcBorders>
              <w:top w:val="nil"/>
              <w:left w:val="nil"/>
              <w:bottom w:val="single" w:sz="8" w:space="0" w:color="auto"/>
              <w:right w:val="single" w:sz="8" w:space="0" w:color="auto"/>
            </w:tcBorders>
            <w:shd w:val="clear" w:color="auto" w:fill="auto"/>
            <w:noWrap/>
            <w:vAlign w:val="center"/>
            <w:hideMark/>
          </w:tcPr>
          <w:p w14:paraId="0D499C9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675 000</w:t>
            </w:r>
          </w:p>
        </w:tc>
        <w:tc>
          <w:tcPr>
            <w:tcW w:w="2127" w:type="dxa"/>
            <w:tcBorders>
              <w:top w:val="nil"/>
              <w:left w:val="nil"/>
              <w:bottom w:val="single" w:sz="8" w:space="0" w:color="auto"/>
              <w:right w:val="single" w:sz="8" w:space="0" w:color="auto"/>
            </w:tcBorders>
            <w:shd w:val="clear" w:color="auto" w:fill="auto"/>
            <w:noWrap/>
            <w:vAlign w:val="center"/>
            <w:hideMark/>
          </w:tcPr>
          <w:p w14:paraId="5C0959C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86 667</w:t>
            </w:r>
          </w:p>
        </w:tc>
        <w:tc>
          <w:tcPr>
            <w:tcW w:w="1701" w:type="dxa"/>
            <w:tcBorders>
              <w:top w:val="nil"/>
              <w:left w:val="nil"/>
              <w:bottom w:val="single" w:sz="8" w:space="0" w:color="auto"/>
              <w:right w:val="single" w:sz="8" w:space="0" w:color="auto"/>
            </w:tcBorders>
            <w:shd w:val="clear" w:color="auto" w:fill="auto"/>
            <w:noWrap/>
            <w:vAlign w:val="center"/>
            <w:hideMark/>
          </w:tcPr>
          <w:p w14:paraId="6DC6B42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588 333</w:t>
            </w:r>
          </w:p>
        </w:tc>
      </w:tr>
      <w:tr w:rsidR="0017127D" w:rsidRPr="0017127D" w14:paraId="1D646A8C"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4E99B77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24</w:t>
            </w:r>
          </w:p>
        </w:tc>
        <w:tc>
          <w:tcPr>
            <w:tcW w:w="7076" w:type="dxa"/>
            <w:tcBorders>
              <w:top w:val="nil"/>
              <w:left w:val="nil"/>
              <w:bottom w:val="single" w:sz="8" w:space="0" w:color="auto"/>
              <w:right w:val="single" w:sz="8" w:space="0" w:color="auto"/>
            </w:tcBorders>
            <w:shd w:val="clear" w:color="auto" w:fill="auto"/>
            <w:noWrap/>
            <w:vAlign w:val="center"/>
            <w:hideMark/>
          </w:tcPr>
          <w:p w14:paraId="7A1F259E"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"LatRailNet"</w:t>
            </w:r>
          </w:p>
        </w:tc>
        <w:tc>
          <w:tcPr>
            <w:tcW w:w="1984" w:type="dxa"/>
            <w:tcBorders>
              <w:top w:val="nil"/>
              <w:left w:val="nil"/>
              <w:bottom w:val="single" w:sz="8" w:space="0" w:color="auto"/>
              <w:right w:val="single" w:sz="8" w:space="0" w:color="auto"/>
            </w:tcBorders>
            <w:shd w:val="clear" w:color="auto" w:fill="auto"/>
            <w:noWrap/>
            <w:vAlign w:val="center"/>
            <w:hideMark/>
          </w:tcPr>
          <w:p w14:paraId="17F307C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1 378 000</w:t>
            </w:r>
          </w:p>
        </w:tc>
        <w:tc>
          <w:tcPr>
            <w:tcW w:w="2127" w:type="dxa"/>
            <w:tcBorders>
              <w:top w:val="nil"/>
              <w:left w:val="nil"/>
              <w:bottom w:val="single" w:sz="8" w:space="0" w:color="auto"/>
              <w:right w:val="single" w:sz="8" w:space="0" w:color="auto"/>
            </w:tcBorders>
            <w:shd w:val="clear" w:color="auto" w:fill="auto"/>
            <w:noWrap/>
            <w:vAlign w:val="center"/>
            <w:hideMark/>
          </w:tcPr>
          <w:p w14:paraId="617D133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1 400 750</w:t>
            </w:r>
          </w:p>
        </w:tc>
        <w:tc>
          <w:tcPr>
            <w:tcW w:w="1701" w:type="dxa"/>
            <w:tcBorders>
              <w:top w:val="nil"/>
              <w:left w:val="nil"/>
              <w:bottom w:val="single" w:sz="8" w:space="0" w:color="auto"/>
              <w:right w:val="single" w:sz="8" w:space="0" w:color="auto"/>
            </w:tcBorders>
            <w:shd w:val="clear" w:color="auto" w:fill="auto"/>
            <w:noWrap/>
            <w:vAlign w:val="center"/>
            <w:hideMark/>
          </w:tcPr>
          <w:p w14:paraId="1656DCE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-22 750</w:t>
            </w:r>
          </w:p>
        </w:tc>
      </w:tr>
      <w:tr w:rsidR="0017127D" w:rsidRPr="0017127D" w14:paraId="3FF8E478"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3058494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25</w:t>
            </w:r>
          </w:p>
        </w:tc>
        <w:tc>
          <w:tcPr>
            <w:tcW w:w="7076" w:type="dxa"/>
            <w:tcBorders>
              <w:top w:val="nil"/>
              <w:left w:val="nil"/>
              <w:bottom w:val="single" w:sz="8" w:space="0" w:color="auto"/>
              <w:right w:val="single" w:sz="8" w:space="0" w:color="auto"/>
            </w:tcBorders>
            <w:shd w:val="clear" w:color="auto" w:fill="auto"/>
            <w:noWrap/>
            <w:vAlign w:val="center"/>
            <w:hideMark/>
          </w:tcPr>
          <w:p w14:paraId="460059D9"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VAS "Latvijas Valsts ceļi"</w:t>
            </w:r>
          </w:p>
        </w:tc>
        <w:tc>
          <w:tcPr>
            <w:tcW w:w="1984" w:type="dxa"/>
            <w:tcBorders>
              <w:top w:val="nil"/>
              <w:left w:val="nil"/>
              <w:bottom w:val="single" w:sz="8" w:space="0" w:color="auto"/>
              <w:right w:val="single" w:sz="8" w:space="0" w:color="auto"/>
            </w:tcBorders>
            <w:shd w:val="clear" w:color="auto" w:fill="auto"/>
            <w:noWrap/>
            <w:vAlign w:val="center"/>
            <w:hideMark/>
          </w:tcPr>
          <w:p w14:paraId="1683BBF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18 200 000</w:t>
            </w:r>
          </w:p>
        </w:tc>
        <w:tc>
          <w:tcPr>
            <w:tcW w:w="2127" w:type="dxa"/>
            <w:tcBorders>
              <w:top w:val="nil"/>
              <w:left w:val="nil"/>
              <w:bottom w:val="single" w:sz="8" w:space="0" w:color="auto"/>
              <w:right w:val="single" w:sz="8" w:space="0" w:color="auto"/>
            </w:tcBorders>
            <w:shd w:val="clear" w:color="auto" w:fill="auto"/>
            <w:noWrap/>
            <w:vAlign w:val="center"/>
            <w:hideMark/>
          </w:tcPr>
          <w:p w14:paraId="56CFB0C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18 135 000</w:t>
            </w:r>
          </w:p>
        </w:tc>
        <w:tc>
          <w:tcPr>
            <w:tcW w:w="1701" w:type="dxa"/>
            <w:tcBorders>
              <w:top w:val="nil"/>
              <w:left w:val="nil"/>
              <w:bottom w:val="single" w:sz="8" w:space="0" w:color="auto"/>
              <w:right w:val="single" w:sz="8" w:space="0" w:color="auto"/>
            </w:tcBorders>
            <w:shd w:val="clear" w:color="auto" w:fill="auto"/>
            <w:noWrap/>
            <w:vAlign w:val="center"/>
            <w:hideMark/>
          </w:tcPr>
          <w:p w14:paraId="78BE84C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65 000</w:t>
            </w:r>
          </w:p>
        </w:tc>
      </w:tr>
      <w:tr w:rsidR="0017127D" w:rsidRPr="0017127D" w14:paraId="79331B56"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4A61942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26</w:t>
            </w:r>
          </w:p>
        </w:tc>
        <w:tc>
          <w:tcPr>
            <w:tcW w:w="7076" w:type="dxa"/>
            <w:tcBorders>
              <w:top w:val="nil"/>
              <w:left w:val="nil"/>
              <w:bottom w:val="single" w:sz="8" w:space="0" w:color="auto"/>
              <w:right w:val="single" w:sz="8" w:space="0" w:color="auto"/>
            </w:tcBorders>
            <w:shd w:val="clear" w:color="auto" w:fill="auto"/>
            <w:noWrap/>
            <w:vAlign w:val="center"/>
            <w:hideMark/>
          </w:tcPr>
          <w:p w14:paraId="1C7D7DB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"Autotransporta direkcija"</w:t>
            </w:r>
          </w:p>
        </w:tc>
        <w:tc>
          <w:tcPr>
            <w:tcW w:w="1984" w:type="dxa"/>
            <w:tcBorders>
              <w:top w:val="nil"/>
              <w:left w:val="nil"/>
              <w:bottom w:val="single" w:sz="8" w:space="0" w:color="auto"/>
              <w:right w:val="single" w:sz="8" w:space="0" w:color="auto"/>
            </w:tcBorders>
            <w:shd w:val="clear" w:color="auto" w:fill="auto"/>
            <w:noWrap/>
            <w:vAlign w:val="center"/>
            <w:hideMark/>
          </w:tcPr>
          <w:p w14:paraId="154D0F1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3 896 562</w:t>
            </w:r>
          </w:p>
        </w:tc>
        <w:tc>
          <w:tcPr>
            <w:tcW w:w="2127" w:type="dxa"/>
            <w:tcBorders>
              <w:top w:val="nil"/>
              <w:left w:val="nil"/>
              <w:bottom w:val="single" w:sz="8" w:space="0" w:color="auto"/>
              <w:right w:val="single" w:sz="8" w:space="0" w:color="auto"/>
            </w:tcBorders>
            <w:shd w:val="clear" w:color="auto" w:fill="auto"/>
            <w:noWrap/>
            <w:vAlign w:val="center"/>
            <w:hideMark/>
          </w:tcPr>
          <w:p w14:paraId="4848492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3 314 628</w:t>
            </w:r>
          </w:p>
        </w:tc>
        <w:tc>
          <w:tcPr>
            <w:tcW w:w="1701" w:type="dxa"/>
            <w:tcBorders>
              <w:top w:val="nil"/>
              <w:left w:val="nil"/>
              <w:bottom w:val="single" w:sz="8" w:space="0" w:color="auto"/>
              <w:right w:val="single" w:sz="8" w:space="0" w:color="auto"/>
            </w:tcBorders>
            <w:shd w:val="clear" w:color="auto" w:fill="auto"/>
            <w:noWrap/>
            <w:vAlign w:val="center"/>
            <w:hideMark/>
          </w:tcPr>
          <w:p w14:paraId="182C5E8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581 934</w:t>
            </w:r>
          </w:p>
        </w:tc>
      </w:tr>
      <w:tr w:rsidR="0017127D" w:rsidRPr="0017127D" w14:paraId="6E991E87"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38AC983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27</w:t>
            </w:r>
          </w:p>
        </w:tc>
        <w:tc>
          <w:tcPr>
            <w:tcW w:w="7076" w:type="dxa"/>
            <w:tcBorders>
              <w:top w:val="nil"/>
              <w:left w:val="nil"/>
              <w:bottom w:val="single" w:sz="8" w:space="0" w:color="auto"/>
              <w:right w:val="single" w:sz="8" w:space="0" w:color="auto"/>
            </w:tcBorders>
            <w:shd w:val="clear" w:color="auto" w:fill="auto"/>
            <w:noWrap/>
            <w:vAlign w:val="center"/>
            <w:hideMark/>
          </w:tcPr>
          <w:p w14:paraId="50587E6D"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VAS "Latvijas autoceļu uzturētājs"</w:t>
            </w:r>
          </w:p>
        </w:tc>
        <w:tc>
          <w:tcPr>
            <w:tcW w:w="1984" w:type="dxa"/>
            <w:tcBorders>
              <w:top w:val="nil"/>
              <w:left w:val="nil"/>
              <w:bottom w:val="single" w:sz="8" w:space="0" w:color="auto"/>
              <w:right w:val="single" w:sz="8" w:space="0" w:color="auto"/>
            </w:tcBorders>
            <w:shd w:val="clear" w:color="auto" w:fill="auto"/>
            <w:noWrap/>
            <w:vAlign w:val="center"/>
            <w:hideMark/>
          </w:tcPr>
          <w:p w14:paraId="6DF6EC8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86 535 590</w:t>
            </w:r>
          </w:p>
        </w:tc>
        <w:tc>
          <w:tcPr>
            <w:tcW w:w="2127" w:type="dxa"/>
            <w:tcBorders>
              <w:top w:val="nil"/>
              <w:left w:val="nil"/>
              <w:bottom w:val="single" w:sz="8" w:space="0" w:color="auto"/>
              <w:right w:val="single" w:sz="8" w:space="0" w:color="auto"/>
            </w:tcBorders>
            <w:shd w:val="clear" w:color="auto" w:fill="auto"/>
            <w:noWrap/>
            <w:vAlign w:val="center"/>
            <w:hideMark/>
          </w:tcPr>
          <w:p w14:paraId="34DC8AC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83 744 240</w:t>
            </w:r>
          </w:p>
        </w:tc>
        <w:tc>
          <w:tcPr>
            <w:tcW w:w="1701" w:type="dxa"/>
            <w:tcBorders>
              <w:top w:val="nil"/>
              <w:left w:val="nil"/>
              <w:bottom w:val="single" w:sz="8" w:space="0" w:color="auto"/>
              <w:right w:val="single" w:sz="8" w:space="0" w:color="auto"/>
            </w:tcBorders>
            <w:shd w:val="clear" w:color="auto" w:fill="auto"/>
            <w:noWrap/>
            <w:vAlign w:val="center"/>
            <w:hideMark/>
          </w:tcPr>
          <w:p w14:paraId="0BC3B8E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2 791 350</w:t>
            </w:r>
          </w:p>
        </w:tc>
      </w:tr>
      <w:tr w:rsidR="0017127D" w:rsidRPr="0017127D" w14:paraId="76342083"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03350C1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28</w:t>
            </w:r>
          </w:p>
        </w:tc>
        <w:tc>
          <w:tcPr>
            <w:tcW w:w="7076" w:type="dxa"/>
            <w:tcBorders>
              <w:top w:val="nil"/>
              <w:left w:val="nil"/>
              <w:bottom w:val="single" w:sz="8" w:space="0" w:color="auto"/>
              <w:right w:val="single" w:sz="8" w:space="0" w:color="auto"/>
            </w:tcBorders>
            <w:shd w:val="clear" w:color="auto" w:fill="auto"/>
            <w:noWrap/>
            <w:vAlign w:val="center"/>
            <w:hideMark/>
          </w:tcPr>
          <w:p w14:paraId="251EA41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xml:space="preserve">SIA “Eiropas dzelzceļa līnijas” </w:t>
            </w:r>
          </w:p>
        </w:tc>
        <w:tc>
          <w:tcPr>
            <w:tcW w:w="1984" w:type="dxa"/>
            <w:tcBorders>
              <w:top w:val="nil"/>
              <w:left w:val="nil"/>
              <w:bottom w:val="single" w:sz="8" w:space="0" w:color="auto"/>
              <w:right w:val="single" w:sz="8" w:space="0" w:color="auto"/>
            </w:tcBorders>
            <w:shd w:val="clear" w:color="auto" w:fill="auto"/>
            <w:noWrap/>
            <w:vAlign w:val="center"/>
            <w:hideMark/>
          </w:tcPr>
          <w:p w14:paraId="238A650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2127" w:type="dxa"/>
            <w:tcBorders>
              <w:top w:val="nil"/>
              <w:left w:val="nil"/>
              <w:bottom w:val="single" w:sz="8" w:space="0" w:color="auto"/>
              <w:right w:val="single" w:sz="8" w:space="0" w:color="auto"/>
            </w:tcBorders>
            <w:shd w:val="clear" w:color="auto" w:fill="auto"/>
            <w:noWrap/>
            <w:vAlign w:val="center"/>
            <w:hideMark/>
          </w:tcPr>
          <w:p w14:paraId="0F53418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701" w:type="dxa"/>
            <w:tcBorders>
              <w:top w:val="nil"/>
              <w:left w:val="nil"/>
              <w:bottom w:val="single" w:sz="8" w:space="0" w:color="auto"/>
              <w:right w:val="single" w:sz="8" w:space="0" w:color="auto"/>
            </w:tcBorders>
            <w:shd w:val="clear" w:color="auto" w:fill="auto"/>
            <w:noWrap/>
            <w:vAlign w:val="center"/>
            <w:hideMark/>
          </w:tcPr>
          <w:p w14:paraId="0806569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4310E314"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48D03CF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29</w:t>
            </w:r>
          </w:p>
        </w:tc>
        <w:tc>
          <w:tcPr>
            <w:tcW w:w="7076" w:type="dxa"/>
            <w:tcBorders>
              <w:top w:val="nil"/>
              <w:left w:val="nil"/>
              <w:bottom w:val="single" w:sz="8" w:space="0" w:color="auto"/>
              <w:right w:val="single" w:sz="8" w:space="0" w:color="auto"/>
            </w:tcBorders>
            <w:shd w:val="clear" w:color="auto" w:fill="auto"/>
            <w:noWrap/>
            <w:vAlign w:val="center"/>
            <w:hideMark/>
          </w:tcPr>
          <w:p w14:paraId="77C0E2C4"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“Zemkopības ministrijas nekustamie īpašumi”</w:t>
            </w:r>
          </w:p>
        </w:tc>
        <w:tc>
          <w:tcPr>
            <w:tcW w:w="1984" w:type="dxa"/>
            <w:tcBorders>
              <w:top w:val="nil"/>
              <w:left w:val="nil"/>
              <w:bottom w:val="single" w:sz="8" w:space="0" w:color="auto"/>
              <w:right w:val="single" w:sz="8" w:space="0" w:color="auto"/>
            </w:tcBorders>
            <w:shd w:val="clear" w:color="auto" w:fill="auto"/>
            <w:noWrap/>
            <w:vAlign w:val="center"/>
            <w:hideMark/>
          </w:tcPr>
          <w:p w14:paraId="3DC87B2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2 177 000</w:t>
            </w:r>
          </w:p>
        </w:tc>
        <w:tc>
          <w:tcPr>
            <w:tcW w:w="2127" w:type="dxa"/>
            <w:tcBorders>
              <w:top w:val="nil"/>
              <w:left w:val="nil"/>
              <w:bottom w:val="single" w:sz="8" w:space="0" w:color="auto"/>
              <w:right w:val="single" w:sz="8" w:space="0" w:color="auto"/>
            </w:tcBorders>
            <w:shd w:val="clear" w:color="auto" w:fill="auto"/>
            <w:noWrap/>
            <w:vAlign w:val="center"/>
            <w:hideMark/>
          </w:tcPr>
          <w:p w14:paraId="4F2879A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2 120 000</w:t>
            </w:r>
          </w:p>
        </w:tc>
        <w:tc>
          <w:tcPr>
            <w:tcW w:w="1701" w:type="dxa"/>
            <w:tcBorders>
              <w:top w:val="nil"/>
              <w:left w:val="nil"/>
              <w:bottom w:val="single" w:sz="8" w:space="0" w:color="auto"/>
              <w:right w:val="single" w:sz="8" w:space="0" w:color="auto"/>
            </w:tcBorders>
            <w:shd w:val="clear" w:color="auto" w:fill="auto"/>
            <w:noWrap/>
            <w:vAlign w:val="center"/>
            <w:hideMark/>
          </w:tcPr>
          <w:p w14:paraId="5ECEEAC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57 000</w:t>
            </w:r>
          </w:p>
        </w:tc>
      </w:tr>
      <w:tr w:rsidR="0017127D" w:rsidRPr="0017127D" w14:paraId="3B54D731"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79E43E7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30</w:t>
            </w:r>
          </w:p>
        </w:tc>
        <w:tc>
          <w:tcPr>
            <w:tcW w:w="7076" w:type="dxa"/>
            <w:tcBorders>
              <w:top w:val="nil"/>
              <w:left w:val="nil"/>
              <w:bottom w:val="single" w:sz="8" w:space="0" w:color="auto"/>
              <w:right w:val="single" w:sz="8" w:space="0" w:color="auto"/>
            </w:tcBorders>
            <w:shd w:val="clear" w:color="auto" w:fill="auto"/>
            <w:noWrap/>
            <w:vAlign w:val="center"/>
            <w:hideMark/>
          </w:tcPr>
          <w:p w14:paraId="443E6BDF"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Proves birojs”</w:t>
            </w:r>
          </w:p>
        </w:tc>
        <w:tc>
          <w:tcPr>
            <w:tcW w:w="1984" w:type="dxa"/>
            <w:tcBorders>
              <w:top w:val="nil"/>
              <w:left w:val="nil"/>
              <w:bottom w:val="single" w:sz="8" w:space="0" w:color="auto"/>
              <w:right w:val="single" w:sz="8" w:space="0" w:color="auto"/>
            </w:tcBorders>
            <w:shd w:val="clear" w:color="auto" w:fill="auto"/>
            <w:noWrap/>
            <w:vAlign w:val="center"/>
            <w:hideMark/>
          </w:tcPr>
          <w:p w14:paraId="29BD2CD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565 722</w:t>
            </w:r>
          </w:p>
        </w:tc>
        <w:tc>
          <w:tcPr>
            <w:tcW w:w="2127" w:type="dxa"/>
            <w:tcBorders>
              <w:top w:val="nil"/>
              <w:left w:val="nil"/>
              <w:bottom w:val="single" w:sz="8" w:space="0" w:color="auto"/>
              <w:right w:val="single" w:sz="8" w:space="0" w:color="auto"/>
            </w:tcBorders>
            <w:shd w:val="clear" w:color="auto" w:fill="auto"/>
            <w:noWrap/>
            <w:vAlign w:val="center"/>
            <w:hideMark/>
          </w:tcPr>
          <w:p w14:paraId="596E245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529 693</w:t>
            </w:r>
          </w:p>
        </w:tc>
        <w:tc>
          <w:tcPr>
            <w:tcW w:w="1701" w:type="dxa"/>
            <w:tcBorders>
              <w:top w:val="nil"/>
              <w:left w:val="nil"/>
              <w:bottom w:val="single" w:sz="8" w:space="0" w:color="auto"/>
              <w:right w:val="single" w:sz="8" w:space="0" w:color="auto"/>
            </w:tcBorders>
            <w:shd w:val="clear" w:color="auto" w:fill="auto"/>
            <w:noWrap/>
            <w:vAlign w:val="center"/>
            <w:hideMark/>
          </w:tcPr>
          <w:p w14:paraId="717547E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36 029</w:t>
            </w:r>
          </w:p>
        </w:tc>
      </w:tr>
      <w:tr w:rsidR="0017127D" w:rsidRPr="0017127D" w14:paraId="23A81F2C"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40D03DF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31</w:t>
            </w:r>
          </w:p>
        </w:tc>
        <w:tc>
          <w:tcPr>
            <w:tcW w:w="7076" w:type="dxa"/>
            <w:tcBorders>
              <w:top w:val="nil"/>
              <w:left w:val="nil"/>
              <w:bottom w:val="single" w:sz="8" w:space="0" w:color="auto"/>
              <w:right w:val="single" w:sz="8" w:space="0" w:color="auto"/>
            </w:tcBorders>
            <w:shd w:val="clear" w:color="auto" w:fill="auto"/>
            <w:noWrap/>
            <w:vAlign w:val="center"/>
            <w:hideMark/>
          </w:tcPr>
          <w:p w14:paraId="0FE59A9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"Latvijas standarts"</w:t>
            </w:r>
          </w:p>
        </w:tc>
        <w:tc>
          <w:tcPr>
            <w:tcW w:w="1984" w:type="dxa"/>
            <w:tcBorders>
              <w:top w:val="nil"/>
              <w:left w:val="nil"/>
              <w:bottom w:val="single" w:sz="8" w:space="0" w:color="auto"/>
              <w:right w:val="single" w:sz="8" w:space="0" w:color="auto"/>
            </w:tcBorders>
            <w:shd w:val="clear" w:color="auto" w:fill="auto"/>
            <w:noWrap/>
            <w:vAlign w:val="center"/>
            <w:hideMark/>
          </w:tcPr>
          <w:p w14:paraId="7668BB1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336 551</w:t>
            </w:r>
          </w:p>
        </w:tc>
        <w:tc>
          <w:tcPr>
            <w:tcW w:w="2127" w:type="dxa"/>
            <w:tcBorders>
              <w:top w:val="nil"/>
              <w:left w:val="nil"/>
              <w:bottom w:val="single" w:sz="8" w:space="0" w:color="auto"/>
              <w:right w:val="single" w:sz="8" w:space="0" w:color="auto"/>
            </w:tcBorders>
            <w:shd w:val="clear" w:color="auto" w:fill="auto"/>
            <w:noWrap/>
            <w:vAlign w:val="center"/>
            <w:hideMark/>
          </w:tcPr>
          <w:p w14:paraId="2ADD731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309 156</w:t>
            </w:r>
          </w:p>
        </w:tc>
        <w:tc>
          <w:tcPr>
            <w:tcW w:w="1701" w:type="dxa"/>
            <w:tcBorders>
              <w:top w:val="nil"/>
              <w:left w:val="nil"/>
              <w:bottom w:val="single" w:sz="8" w:space="0" w:color="auto"/>
              <w:right w:val="single" w:sz="8" w:space="0" w:color="auto"/>
            </w:tcBorders>
            <w:shd w:val="clear" w:color="auto" w:fill="auto"/>
            <w:noWrap/>
            <w:vAlign w:val="center"/>
            <w:hideMark/>
          </w:tcPr>
          <w:p w14:paraId="0C93F84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27 395</w:t>
            </w:r>
          </w:p>
        </w:tc>
      </w:tr>
      <w:tr w:rsidR="0017127D" w:rsidRPr="0017127D" w14:paraId="56E090DE"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03C0A5F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32</w:t>
            </w:r>
          </w:p>
        </w:tc>
        <w:tc>
          <w:tcPr>
            <w:tcW w:w="7076" w:type="dxa"/>
            <w:tcBorders>
              <w:top w:val="nil"/>
              <w:left w:val="nil"/>
              <w:bottom w:val="single" w:sz="8" w:space="0" w:color="auto"/>
              <w:right w:val="single" w:sz="8" w:space="0" w:color="auto"/>
            </w:tcBorders>
            <w:shd w:val="clear" w:color="auto" w:fill="auto"/>
            <w:noWrap/>
            <w:vAlign w:val="center"/>
            <w:hideMark/>
          </w:tcPr>
          <w:p w14:paraId="10ACADEF"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"Hiponia"</w:t>
            </w:r>
          </w:p>
        </w:tc>
        <w:tc>
          <w:tcPr>
            <w:tcW w:w="1984" w:type="dxa"/>
            <w:tcBorders>
              <w:top w:val="nil"/>
              <w:left w:val="nil"/>
              <w:bottom w:val="single" w:sz="8" w:space="0" w:color="auto"/>
              <w:right w:val="single" w:sz="8" w:space="0" w:color="auto"/>
            </w:tcBorders>
            <w:shd w:val="clear" w:color="auto" w:fill="auto"/>
            <w:noWrap/>
            <w:vAlign w:val="center"/>
            <w:hideMark/>
          </w:tcPr>
          <w:p w14:paraId="4B99673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2127" w:type="dxa"/>
            <w:tcBorders>
              <w:top w:val="nil"/>
              <w:left w:val="nil"/>
              <w:bottom w:val="single" w:sz="8" w:space="0" w:color="auto"/>
              <w:right w:val="single" w:sz="8" w:space="0" w:color="auto"/>
            </w:tcBorders>
            <w:shd w:val="clear" w:color="auto" w:fill="auto"/>
            <w:noWrap/>
            <w:vAlign w:val="center"/>
            <w:hideMark/>
          </w:tcPr>
          <w:p w14:paraId="5718939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701" w:type="dxa"/>
            <w:tcBorders>
              <w:top w:val="nil"/>
              <w:left w:val="nil"/>
              <w:bottom w:val="single" w:sz="8" w:space="0" w:color="auto"/>
              <w:right w:val="single" w:sz="8" w:space="0" w:color="auto"/>
            </w:tcBorders>
            <w:shd w:val="clear" w:color="auto" w:fill="auto"/>
            <w:noWrap/>
            <w:vAlign w:val="center"/>
            <w:hideMark/>
          </w:tcPr>
          <w:p w14:paraId="64E240E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7A9A7508"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0022824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33</w:t>
            </w:r>
          </w:p>
        </w:tc>
        <w:tc>
          <w:tcPr>
            <w:tcW w:w="7076" w:type="dxa"/>
            <w:tcBorders>
              <w:top w:val="nil"/>
              <w:left w:val="nil"/>
              <w:bottom w:val="single" w:sz="8" w:space="0" w:color="auto"/>
              <w:right w:val="single" w:sz="8" w:space="0" w:color="auto"/>
            </w:tcBorders>
            <w:shd w:val="clear" w:color="auto" w:fill="auto"/>
            <w:noWrap/>
            <w:vAlign w:val="center"/>
            <w:hideMark/>
          </w:tcPr>
          <w:p w14:paraId="46EC60F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"Reverta"</w:t>
            </w:r>
          </w:p>
        </w:tc>
        <w:tc>
          <w:tcPr>
            <w:tcW w:w="1984" w:type="dxa"/>
            <w:tcBorders>
              <w:top w:val="nil"/>
              <w:left w:val="nil"/>
              <w:bottom w:val="single" w:sz="8" w:space="0" w:color="auto"/>
              <w:right w:val="single" w:sz="8" w:space="0" w:color="auto"/>
            </w:tcBorders>
            <w:shd w:val="clear" w:color="auto" w:fill="auto"/>
            <w:noWrap/>
            <w:vAlign w:val="center"/>
            <w:hideMark/>
          </w:tcPr>
          <w:p w14:paraId="754FC92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2127" w:type="dxa"/>
            <w:tcBorders>
              <w:top w:val="nil"/>
              <w:left w:val="nil"/>
              <w:bottom w:val="single" w:sz="8" w:space="0" w:color="auto"/>
              <w:right w:val="single" w:sz="8" w:space="0" w:color="auto"/>
            </w:tcBorders>
            <w:shd w:val="clear" w:color="auto" w:fill="auto"/>
            <w:noWrap/>
            <w:vAlign w:val="center"/>
            <w:hideMark/>
          </w:tcPr>
          <w:p w14:paraId="10E4CFF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701" w:type="dxa"/>
            <w:tcBorders>
              <w:top w:val="nil"/>
              <w:left w:val="nil"/>
              <w:bottom w:val="single" w:sz="8" w:space="0" w:color="auto"/>
              <w:right w:val="single" w:sz="8" w:space="0" w:color="auto"/>
            </w:tcBorders>
            <w:shd w:val="clear" w:color="auto" w:fill="auto"/>
            <w:noWrap/>
            <w:vAlign w:val="center"/>
            <w:hideMark/>
          </w:tcPr>
          <w:p w14:paraId="350ACE5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1D754EBB"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1288B22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34</w:t>
            </w:r>
          </w:p>
        </w:tc>
        <w:tc>
          <w:tcPr>
            <w:tcW w:w="7076" w:type="dxa"/>
            <w:tcBorders>
              <w:top w:val="nil"/>
              <w:left w:val="nil"/>
              <w:bottom w:val="single" w:sz="8" w:space="0" w:color="auto"/>
              <w:right w:val="single" w:sz="8" w:space="0" w:color="auto"/>
            </w:tcBorders>
            <w:shd w:val="clear" w:color="auto" w:fill="auto"/>
            <w:noWrap/>
            <w:vAlign w:val="center"/>
            <w:hideMark/>
          </w:tcPr>
          <w:p w14:paraId="2127AB49"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"FeLM"</w:t>
            </w:r>
          </w:p>
        </w:tc>
        <w:tc>
          <w:tcPr>
            <w:tcW w:w="1984" w:type="dxa"/>
            <w:tcBorders>
              <w:top w:val="nil"/>
              <w:left w:val="nil"/>
              <w:bottom w:val="single" w:sz="8" w:space="0" w:color="auto"/>
              <w:right w:val="single" w:sz="8" w:space="0" w:color="auto"/>
            </w:tcBorders>
            <w:shd w:val="clear" w:color="auto" w:fill="auto"/>
            <w:noWrap/>
            <w:vAlign w:val="center"/>
            <w:hideMark/>
          </w:tcPr>
          <w:p w14:paraId="09E2C19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2127" w:type="dxa"/>
            <w:tcBorders>
              <w:top w:val="nil"/>
              <w:left w:val="nil"/>
              <w:bottom w:val="single" w:sz="8" w:space="0" w:color="auto"/>
              <w:right w:val="single" w:sz="8" w:space="0" w:color="auto"/>
            </w:tcBorders>
            <w:shd w:val="clear" w:color="auto" w:fill="auto"/>
            <w:noWrap/>
            <w:vAlign w:val="center"/>
            <w:hideMark/>
          </w:tcPr>
          <w:p w14:paraId="5B28E4C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701" w:type="dxa"/>
            <w:tcBorders>
              <w:top w:val="nil"/>
              <w:left w:val="nil"/>
              <w:bottom w:val="single" w:sz="8" w:space="0" w:color="auto"/>
              <w:right w:val="single" w:sz="8" w:space="0" w:color="auto"/>
            </w:tcBorders>
            <w:shd w:val="clear" w:color="auto" w:fill="auto"/>
            <w:noWrap/>
            <w:vAlign w:val="center"/>
            <w:hideMark/>
          </w:tcPr>
          <w:p w14:paraId="4ADD0E2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401099F0"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385A1DD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35</w:t>
            </w:r>
          </w:p>
        </w:tc>
        <w:tc>
          <w:tcPr>
            <w:tcW w:w="7076" w:type="dxa"/>
            <w:tcBorders>
              <w:top w:val="nil"/>
              <w:left w:val="nil"/>
              <w:bottom w:val="single" w:sz="8" w:space="0" w:color="auto"/>
              <w:right w:val="single" w:sz="8" w:space="0" w:color="auto"/>
            </w:tcBorders>
            <w:shd w:val="clear" w:color="auto" w:fill="auto"/>
            <w:noWrap/>
            <w:vAlign w:val="center"/>
            <w:hideMark/>
          </w:tcPr>
          <w:p w14:paraId="7438C7D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“Publisko aktīvu pārvaldītājs Possessor”</w:t>
            </w:r>
          </w:p>
        </w:tc>
        <w:tc>
          <w:tcPr>
            <w:tcW w:w="1984" w:type="dxa"/>
            <w:tcBorders>
              <w:top w:val="nil"/>
              <w:left w:val="nil"/>
              <w:bottom w:val="single" w:sz="8" w:space="0" w:color="auto"/>
              <w:right w:val="single" w:sz="8" w:space="0" w:color="auto"/>
            </w:tcBorders>
            <w:shd w:val="clear" w:color="auto" w:fill="auto"/>
            <w:noWrap/>
            <w:vAlign w:val="center"/>
            <w:hideMark/>
          </w:tcPr>
          <w:p w14:paraId="4158003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1 993 986</w:t>
            </w:r>
          </w:p>
        </w:tc>
        <w:tc>
          <w:tcPr>
            <w:tcW w:w="2127" w:type="dxa"/>
            <w:tcBorders>
              <w:top w:val="nil"/>
              <w:left w:val="nil"/>
              <w:bottom w:val="single" w:sz="8" w:space="0" w:color="auto"/>
              <w:right w:val="single" w:sz="8" w:space="0" w:color="auto"/>
            </w:tcBorders>
            <w:shd w:val="clear" w:color="auto" w:fill="auto"/>
            <w:noWrap/>
            <w:vAlign w:val="center"/>
            <w:hideMark/>
          </w:tcPr>
          <w:p w14:paraId="680D07E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1 854 653</w:t>
            </w:r>
          </w:p>
        </w:tc>
        <w:tc>
          <w:tcPr>
            <w:tcW w:w="1701" w:type="dxa"/>
            <w:tcBorders>
              <w:top w:val="nil"/>
              <w:left w:val="nil"/>
              <w:bottom w:val="single" w:sz="8" w:space="0" w:color="auto"/>
              <w:right w:val="single" w:sz="8" w:space="0" w:color="auto"/>
            </w:tcBorders>
            <w:shd w:val="clear" w:color="auto" w:fill="auto"/>
            <w:noWrap/>
            <w:vAlign w:val="center"/>
            <w:hideMark/>
          </w:tcPr>
          <w:p w14:paraId="56F6406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139 333</w:t>
            </w:r>
          </w:p>
        </w:tc>
      </w:tr>
      <w:tr w:rsidR="0017127D" w:rsidRPr="0017127D" w14:paraId="50007623"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57EE57B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36</w:t>
            </w:r>
          </w:p>
        </w:tc>
        <w:tc>
          <w:tcPr>
            <w:tcW w:w="7076" w:type="dxa"/>
            <w:tcBorders>
              <w:top w:val="nil"/>
              <w:left w:val="nil"/>
              <w:bottom w:val="single" w:sz="8" w:space="0" w:color="auto"/>
              <w:right w:val="single" w:sz="8" w:space="0" w:color="auto"/>
            </w:tcBorders>
            <w:shd w:val="clear" w:color="auto" w:fill="auto"/>
            <w:noWrap/>
            <w:vAlign w:val="center"/>
            <w:hideMark/>
          </w:tcPr>
          <w:p w14:paraId="6DA7E4E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"REAP"</w:t>
            </w:r>
          </w:p>
        </w:tc>
        <w:tc>
          <w:tcPr>
            <w:tcW w:w="1984" w:type="dxa"/>
            <w:tcBorders>
              <w:top w:val="nil"/>
              <w:left w:val="nil"/>
              <w:bottom w:val="single" w:sz="8" w:space="0" w:color="auto"/>
              <w:right w:val="single" w:sz="8" w:space="0" w:color="auto"/>
            </w:tcBorders>
            <w:shd w:val="clear" w:color="auto" w:fill="auto"/>
            <w:noWrap/>
            <w:vAlign w:val="center"/>
            <w:hideMark/>
          </w:tcPr>
          <w:p w14:paraId="5D05D24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2127" w:type="dxa"/>
            <w:tcBorders>
              <w:top w:val="nil"/>
              <w:left w:val="nil"/>
              <w:bottom w:val="single" w:sz="8" w:space="0" w:color="auto"/>
              <w:right w:val="single" w:sz="8" w:space="0" w:color="auto"/>
            </w:tcBorders>
            <w:shd w:val="clear" w:color="auto" w:fill="auto"/>
            <w:noWrap/>
            <w:vAlign w:val="center"/>
            <w:hideMark/>
          </w:tcPr>
          <w:p w14:paraId="435FDB2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701" w:type="dxa"/>
            <w:tcBorders>
              <w:top w:val="nil"/>
              <w:left w:val="nil"/>
              <w:bottom w:val="single" w:sz="8" w:space="0" w:color="auto"/>
              <w:right w:val="single" w:sz="8" w:space="0" w:color="auto"/>
            </w:tcBorders>
            <w:shd w:val="clear" w:color="auto" w:fill="auto"/>
            <w:noWrap/>
            <w:vAlign w:val="center"/>
            <w:hideMark/>
          </w:tcPr>
          <w:p w14:paraId="4F677BA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226A075D"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3CC0F1D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37</w:t>
            </w:r>
          </w:p>
        </w:tc>
        <w:tc>
          <w:tcPr>
            <w:tcW w:w="7076" w:type="dxa"/>
            <w:tcBorders>
              <w:top w:val="nil"/>
              <w:left w:val="nil"/>
              <w:bottom w:val="single" w:sz="8" w:space="0" w:color="auto"/>
              <w:right w:val="single" w:sz="8" w:space="0" w:color="auto"/>
            </w:tcBorders>
            <w:shd w:val="clear" w:color="auto" w:fill="auto"/>
            <w:noWrap/>
            <w:vAlign w:val="center"/>
            <w:hideMark/>
          </w:tcPr>
          <w:p w14:paraId="510A5F6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„Enerģijas publiskais tirgotājs”</w:t>
            </w:r>
          </w:p>
        </w:tc>
        <w:tc>
          <w:tcPr>
            <w:tcW w:w="1984" w:type="dxa"/>
            <w:tcBorders>
              <w:top w:val="nil"/>
              <w:left w:val="nil"/>
              <w:bottom w:val="single" w:sz="8" w:space="0" w:color="auto"/>
              <w:right w:val="single" w:sz="8" w:space="0" w:color="auto"/>
            </w:tcBorders>
            <w:shd w:val="clear" w:color="auto" w:fill="auto"/>
            <w:noWrap/>
            <w:vAlign w:val="center"/>
            <w:hideMark/>
          </w:tcPr>
          <w:p w14:paraId="15FAE94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77 759 274</w:t>
            </w:r>
          </w:p>
        </w:tc>
        <w:tc>
          <w:tcPr>
            <w:tcW w:w="2127" w:type="dxa"/>
            <w:tcBorders>
              <w:top w:val="nil"/>
              <w:left w:val="nil"/>
              <w:bottom w:val="single" w:sz="8" w:space="0" w:color="auto"/>
              <w:right w:val="single" w:sz="8" w:space="0" w:color="auto"/>
            </w:tcBorders>
            <w:shd w:val="clear" w:color="auto" w:fill="auto"/>
            <w:noWrap/>
            <w:vAlign w:val="center"/>
            <w:hideMark/>
          </w:tcPr>
          <w:p w14:paraId="55D33F9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94 677 291</w:t>
            </w:r>
          </w:p>
        </w:tc>
        <w:tc>
          <w:tcPr>
            <w:tcW w:w="1701" w:type="dxa"/>
            <w:tcBorders>
              <w:top w:val="nil"/>
              <w:left w:val="nil"/>
              <w:bottom w:val="single" w:sz="8" w:space="0" w:color="auto"/>
              <w:right w:val="single" w:sz="8" w:space="0" w:color="auto"/>
            </w:tcBorders>
            <w:shd w:val="clear" w:color="auto" w:fill="auto"/>
            <w:noWrap/>
            <w:vAlign w:val="center"/>
            <w:hideMark/>
          </w:tcPr>
          <w:p w14:paraId="243BBA6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-16 918 017</w:t>
            </w:r>
          </w:p>
        </w:tc>
      </w:tr>
      <w:tr w:rsidR="0017127D" w:rsidRPr="0017127D" w14:paraId="32775CE3"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58A9326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38</w:t>
            </w:r>
          </w:p>
        </w:tc>
        <w:tc>
          <w:tcPr>
            <w:tcW w:w="7076" w:type="dxa"/>
            <w:tcBorders>
              <w:top w:val="nil"/>
              <w:left w:val="nil"/>
              <w:bottom w:val="single" w:sz="8" w:space="0" w:color="auto"/>
              <w:right w:val="single" w:sz="8" w:space="0" w:color="auto"/>
            </w:tcBorders>
            <w:shd w:val="clear" w:color="auto" w:fill="auto"/>
            <w:noWrap/>
            <w:vAlign w:val="center"/>
            <w:hideMark/>
          </w:tcPr>
          <w:p w14:paraId="6DFEAAE5"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“Bobsleja un kamaniņu trase”</w:t>
            </w:r>
          </w:p>
        </w:tc>
        <w:tc>
          <w:tcPr>
            <w:tcW w:w="1984" w:type="dxa"/>
            <w:tcBorders>
              <w:top w:val="nil"/>
              <w:left w:val="nil"/>
              <w:bottom w:val="single" w:sz="8" w:space="0" w:color="auto"/>
              <w:right w:val="single" w:sz="8" w:space="0" w:color="auto"/>
            </w:tcBorders>
            <w:shd w:val="clear" w:color="auto" w:fill="auto"/>
            <w:noWrap/>
            <w:vAlign w:val="center"/>
            <w:hideMark/>
          </w:tcPr>
          <w:p w14:paraId="5DEF167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629 000</w:t>
            </w:r>
          </w:p>
        </w:tc>
        <w:tc>
          <w:tcPr>
            <w:tcW w:w="2127" w:type="dxa"/>
            <w:tcBorders>
              <w:top w:val="nil"/>
              <w:left w:val="nil"/>
              <w:bottom w:val="single" w:sz="8" w:space="0" w:color="auto"/>
              <w:right w:val="single" w:sz="8" w:space="0" w:color="auto"/>
            </w:tcBorders>
            <w:shd w:val="clear" w:color="auto" w:fill="auto"/>
            <w:noWrap/>
            <w:vAlign w:val="center"/>
            <w:hideMark/>
          </w:tcPr>
          <w:p w14:paraId="383DB61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798 600</w:t>
            </w:r>
          </w:p>
        </w:tc>
        <w:tc>
          <w:tcPr>
            <w:tcW w:w="1701" w:type="dxa"/>
            <w:tcBorders>
              <w:top w:val="nil"/>
              <w:left w:val="nil"/>
              <w:bottom w:val="single" w:sz="8" w:space="0" w:color="auto"/>
              <w:right w:val="single" w:sz="8" w:space="0" w:color="auto"/>
            </w:tcBorders>
            <w:shd w:val="clear" w:color="auto" w:fill="auto"/>
            <w:noWrap/>
            <w:vAlign w:val="center"/>
            <w:hideMark/>
          </w:tcPr>
          <w:p w14:paraId="327E4DB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-169 600</w:t>
            </w:r>
          </w:p>
        </w:tc>
      </w:tr>
      <w:tr w:rsidR="0017127D" w:rsidRPr="0017127D" w14:paraId="1BA9847D"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2833454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39</w:t>
            </w:r>
          </w:p>
        </w:tc>
        <w:tc>
          <w:tcPr>
            <w:tcW w:w="7076" w:type="dxa"/>
            <w:tcBorders>
              <w:top w:val="nil"/>
              <w:left w:val="nil"/>
              <w:bottom w:val="single" w:sz="8" w:space="0" w:color="auto"/>
              <w:right w:val="single" w:sz="8" w:space="0" w:color="auto"/>
            </w:tcBorders>
            <w:shd w:val="clear" w:color="auto" w:fill="auto"/>
            <w:noWrap/>
            <w:vAlign w:val="center"/>
            <w:hideMark/>
          </w:tcPr>
          <w:p w14:paraId="51F5CCA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"Rīgas Tūrisma un radošās industrijas tehnikums"</w:t>
            </w:r>
          </w:p>
        </w:tc>
        <w:tc>
          <w:tcPr>
            <w:tcW w:w="1984" w:type="dxa"/>
            <w:tcBorders>
              <w:top w:val="nil"/>
              <w:left w:val="nil"/>
              <w:bottom w:val="single" w:sz="8" w:space="0" w:color="auto"/>
              <w:right w:val="single" w:sz="8" w:space="0" w:color="auto"/>
            </w:tcBorders>
            <w:shd w:val="clear" w:color="auto" w:fill="auto"/>
            <w:noWrap/>
            <w:vAlign w:val="center"/>
            <w:hideMark/>
          </w:tcPr>
          <w:p w14:paraId="5DB9C37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750 000</w:t>
            </w:r>
          </w:p>
        </w:tc>
        <w:tc>
          <w:tcPr>
            <w:tcW w:w="2127" w:type="dxa"/>
            <w:tcBorders>
              <w:top w:val="nil"/>
              <w:left w:val="nil"/>
              <w:bottom w:val="single" w:sz="8" w:space="0" w:color="auto"/>
              <w:right w:val="single" w:sz="8" w:space="0" w:color="auto"/>
            </w:tcBorders>
            <w:shd w:val="clear" w:color="auto" w:fill="auto"/>
            <w:noWrap/>
            <w:vAlign w:val="center"/>
            <w:hideMark/>
          </w:tcPr>
          <w:p w14:paraId="3A8BA18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718 000</w:t>
            </w:r>
          </w:p>
        </w:tc>
        <w:tc>
          <w:tcPr>
            <w:tcW w:w="1701" w:type="dxa"/>
            <w:tcBorders>
              <w:top w:val="nil"/>
              <w:left w:val="nil"/>
              <w:bottom w:val="single" w:sz="8" w:space="0" w:color="auto"/>
              <w:right w:val="single" w:sz="8" w:space="0" w:color="auto"/>
            </w:tcBorders>
            <w:shd w:val="clear" w:color="auto" w:fill="auto"/>
            <w:noWrap/>
            <w:vAlign w:val="center"/>
            <w:hideMark/>
          </w:tcPr>
          <w:p w14:paraId="19C0FCA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32 000</w:t>
            </w:r>
          </w:p>
        </w:tc>
      </w:tr>
      <w:tr w:rsidR="0017127D" w:rsidRPr="0017127D" w14:paraId="5902725E"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514C5F8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40</w:t>
            </w:r>
          </w:p>
        </w:tc>
        <w:tc>
          <w:tcPr>
            <w:tcW w:w="7076" w:type="dxa"/>
            <w:tcBorders>
              <w:top w:val="nil"/>
              <w:left w:val="nil"/>
              <w:bottom w:val="single" w:sz="8" w:space="0" w:color="auto"/>
              <w:right w:val="single" w:sz="8" w:space="0" w:color="auto"/>
            </w:tcBorders>
            <w:shd w:val="clear" w:color="auto" w:fill="auto"/>
            <w:noWrap/>
            <w:vAlign w:val="center"/>
            <w:hideMark/>
          </w:tcPr>
          <w:p w14:paraId="79F915F4"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"Kultūras un sporta centrs "Daugavas stadions""</w:t>
            </w:r>
          </w:p>
        </w:tc>
        <w:tc>
          <w:tcPr>
            <w:tcW w:w="1984" w:type="dxa"/>
            <w:tcBorders>
              <w:top w:val="nil"/>
              <w:left w:val="nil"/>
              <w:bottom w:val="single" w:sz="8" w:space="0" w:color="auto"/>
              <w:right w:val="single" w:sz="8" w:space="0" w:color="auto"/>
            </w:tcBorders>
            <w:shd w:val="clear" w:color="auto" w:fill="auto"/>
            <w:noWrap/>
            <w:vAlign w:val="center"/>
            <w:hideMark/>
          </w:tcPr>
          <w:p w14:paraId="63CC2B0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2 072 907</w:t>
            </w:r>
          </w:p>
        </w:tc>
        <w:tc>
          <w:tcPr>
            <w:tcW w:w="2127" w:type="dxa"/>
            <w:tcBorders>
              <w:top w:val="nil"/>
              <w:left w:val="nil"/>
              <w:bottom w:val="single" w:sz="8" w:space="0" w:color="auto"/>
              <w:right w:val="single" w:sz="8" w:space="0" w:color="auto"/>
            </w:tcBorders>
            <w:shd w:val="clear" w:color="auto" w:fill="auto"/>
            <w:noWrap/>
            <w:vAlign w:val="center"/>
            <w:hideMark/>
          </w:tcPr>
          <w:p w14:paraId="2A9B68E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1 158 132</w:t>
            </w:r>
          </w:p>
        </w:tc>
        <w:tc>
          <w:tcPr>
            <w:tcW w:w="1701" w:type="dxa"/>
            <w:tcBorders>
              <w:top w:val="nil"/>
              <w:left w:val="nil"/>
              <w:bottom w:val="single" w:sz="8" w:space="0" w:color="auto"/>
              <w:right w:val="single" w:sz="8" w:space="0" w:color="auto"/>
            </w:tcBorders>
            <w:shd w:val="clear" w:color="auto" w:fill="auto"/>
            <w:noWrap/>
            <w:vAlign w:val="center"/>
            <w:hideMark/>
          </w:tcPr>
          <w:p w14:paraId="2714836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914 776</w:t>
            </w:r>
          </w:p>
        </w:tc>
      </w:tr>
      <w:tr w:rsidR="0017127D" w:rsidRPr="0017127D" w14:paraId="05913BE3"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4DEA597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41</w:t>
            </w:r>
          </w:p>
        </w:tc>
        <w:tc>
          <w:tcPr>
            <w:tcW w:w="7076" w:type="dxa"/>
            <w:tcBorders>
              <w:top w:val="nil"/>
              <w:left w:val="nil"/>
              <w:bottom w:val="single" w:sz="8" w:space="0" w:color="auto"/>
              <w:right w:val="single" w:sz="8" w:space="0" w:color="auto"/>
            </w:tcBorders>
            <w:shd w:val="clear" w:color="auto" w:fill="auto"/>
            <w:noWrap/>
            <w:vAlign w:val="center"/>
            <w:hideMark/>
          </w:tcPr>
          <w:p w14:paraId="3276F17D"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xml:space="preserve">SIA "Lielstraupes pils" </w:t>
            </w:r>
          </w:p>
        </w:tc>
        <w:tc>
          <w:tcPr>
            <w:tcW w:w="1984" w:type="dxa"/>
            <w:tcBorders>
              <w:top w:val="nil"/>
              <w:left w:val="nil"/>
              <w:bottom w:val="single" w:sz="8" w:space="0" w:color="auto"/>
              <w:right w:val="single" w:sz="8" w:space="0" w:color="auto"/>
            </w:tcBorders>
            <w:shd w:val="clear" w:color="auto" w:fill="auto"/>
            <w:noWrap/>
            <w:vAlign w:val="center"/>
            <w:hideMark/>
          </w:tcPr>
          <w:p w14:paraId="181B184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2127" w:type="dxa"/>
            <w:tcBorders>
              <w:top w:val="nil"/>
              <w:left w:val="nil"/>
              <w:bottom w:val="single" w:sz="8" w:space="0" w:color="auto"/>
              <w:right w:val="single" w:sz="8" w:space="0" w:color="auto"/>
            </w:tcBorders>
            <w:shd w:val="clear" w:color="auto" w:fill="auto"/>
            <w:noWrap/>
            <w:vAlign w:val="center"/>
            <w:hideMark/>
          </w:tcPr>
          <w:p w14:paraId="627F741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701" w:type="dxa"/>
            <w:tcBorders>
              <w:top w:val="nil"/>
              <w:left w:val="nil"/>
              <w:bottom w:val="single" w:sz="8" w:space="0" w:color="auto"/>
              <w:right w:val="single" w:sz="8" w:space="0" w:color="auto"/>
            </w:tcBorders>
            <w:shd w:val="clear" w:color="auto" w:fill="auto"/>
            <w:noWrap/>
            <w:vAlign w:val="center"/>
            <w:hideMark/>
          </w:tcPr>
          <w:p w14:paraId="4E96ADA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5745B291"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2FB320D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42</w:t>
            </w:r>
          </w:p>
        </w:tc>
        <w:tc>
          <w:tcPr>
            <w:tcW w:w="7076" w:type="dxa"/>
            <w:tcBorders>
              <w:top w:val="nil"/>
              <w:left w:val="nil"/>
              <w:bottom w:val="single" w:sz="8" w:space="0" w:color="auto"/>
              <w:right w:val="single" w:sz="8" w:space="0" w:color="auto"/>
            </w:tcBorders>
            <w:shd w:val="clear" w:color="auto" w:fill="auto"/>
            <w:noWrap/>
            <w:vAlign w:val="center"/>
            <w:hideMark/>
          </w:tcPr>
          <w:p w14:paraId="0600E7B4"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"Veselības centra "Biķernieki""</w:t>
            </w:r>
          </w:p>
        </w:tc>
        <w:tc>
          <w:tcPr>
            <w:tcW w:w="1984" w:type="dxa"/>
            <w:tcBorders>
              <w:top w:val="nil"/>
              <w:left w:val="nil"/>
              <w:bottom w:val="single" w:sz="8" w:space="0" w:color="auto"/>
              <w:right w:val="single" w:sz="8" w:space="0" w:color="auto"/>
            </w:tcBorders>
            <w:shd w:val="clear" w:color="auto" w:fill="auto"/>
            <w:noWrap/>
            <w:vAlign w:val="center"/>
            <w:hideMark/>
          </w:tcPr>
          <w:p w14:paraId="6BC58BF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2 418 550</w:t>
            </w:r>
          </w:p>
        </w:tc>
        <w:tc>
          <w:tcPr>
            <w:tcW w:w="2127" w:type="dxa"/>
            <w:tcBorders>
              <w:top w:val="nil"/>
              <w:left w:val="nil"/>
              <w:bottom w:val="single" w:sz="8" w:space="0" w:color="auto"/>
              <w:right w:val="single" w:sz="8" w:space="0" w:color="auto"/>
            </w:tcBorders>
            <w:shd w:val="clear" w:color="auto" w:fill="auto"/>
            <w:noWrap/>
            <w:vAlign w:val="center"/>
            <w:hideMark/>
          </w:tcPr>
          <w:p w14:paraId="1496E5E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2 415 490</w:t>
            </w:r>
          </w:p>
        </w:tc>
        <w:tc>
          <w:tcPr>
            <w:tcW w:w="1701" w:type="dxa"/>
            <w:tcBorders>
              <w:top w:val="nil"/>
              <w:left w:val="nil"/>
              <w:bottom w:val="single" w:sz="8" w:space="0" w:color="auto"/>
              <w:right w:val="single" w:sz="8" w:space="0" w:color="auto"/>
            </w:tcBorders>
            <w:shd w:val="clear" w:color="auto" w:fill="auto"/>
            <w:noWrap/>
            <w:vAlign w:val="center"/>
            <w:hideMark/>
          </w:tcPr>
          <w:p w14:paraId="7BFDEBA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3 060</w:t>
            </w:r>
          </w:p>
        </w:tc>
      </w:tr>
      <w:tr w:rsidR="0017127D" w:rsidRPr="0017127D" w14:paraId="11277F39"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27E0435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43</w:t>
            </w:r>
          </w:p>
        </w:tc>
        <w:tc>
          <w:tcPr>
            <w:tcW w:w="7076" w:type="dxa"/>
            <w:tcBorders>
              <w:top w:val="nil"/>
              <w:left w:val="nil"/>
              <w:bottom w:val="single" w:sz="8" w:space="0" w:color="auto"/>
              <w:right w:val="single" w:sz="8" w:space="0" w:color="auto"/>
            </w:tcBorders>
            <w:shd w:val="clear" w:color="auto" w:fill="auto"/>
            <w:noWrap/>
            <w:vAlign w:val="center"/>
            <w:hideMark/>
          </w:tcPr>
          <w:p w14:paraId="61831759"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"Ludzas medicīnas centrs"</w:t>
            </w:r>
          </w:p>
        </w:tc>
        <w:tc>
          <w:tcPr>
            <w:tcW w:w="1984" w:type="dxa"/>
            <w:tcBorders>
              <w:top w:val="nil"/>
              <w:left w:val="nil"/>
              <w:bottom w:val="single" w:sz="8" w:space="0" w:color="auto"/>
              <w:right w:val="single" w:sz="8" w:space="0" w:color="auto"/>
            </w:tcBorders>
            <w:shd w:val="clear" w:color="auto" w:fill="auto"/>
            <w:noWrap/>
            <w:vAlign w:val="center"/>
            <w:hideMark/>
          </w:tcPr>
          <w:p w14:paraId="7D238F8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3 500 000</w:t>
            </w:r>
          </w:p>
        </w:tc>
        <w:tc>
          <w:tcPr>
            <w:tcW w:w="2127" w:type="dxa"/>
            <w:tcBorders>
              <w:top w:val="nil"/>
              <w:left w:val="nil"/>
              <w:bottom w:val="single" w:sz="8" w:space="0" w:color="auto"/>
              <w:right w:val="single" w:sz="8" w:space="0" w:color="auto"/>
            </w:tcBorders>
            <w:shd w:val="clear" w:color="auto" w:fill="auto"/>
            <w:noWrap/>
            <w:vAlign w:val="center"/>
            <w:hideMark/>
          </w:tcPr>
          <w:p w14:paraId="5845A12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3 320 000</w:t>
            </w:r>
          </w:p>
        </w:tc>
        <w:tc>
          <w:tcPr>
            <w:tcW w:w="1701" w:type="dxa"/>
            <w:tcBorders>
              <w:top w:val="nil"/>
              <w:left w:val="nil"/>
              <w:bottom w:val="single" w:sz="8" w:space="0" w:color="auto"/>
              <w:right w:val="single" w:sz="8" w:space="0" w:color="auto"/>
            </w:tcBorders>
            <w:shd w:val="clear" w:color="auto" w:fill="auto"/>
            <w:noWrap/>
            <w:vAlign w:val="center"/>
            <w:hideMark/>
          </w:tcPr>
          <w:p w14:paraId="02444C1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180 000</w:t>
            </w:r>
          </w:p>
        </w:tc>
      </w:tr>
      <w:tr w:rsidR="0017127D" w:rsidRPr="0017127D" w14:paraId="7A3AD6F2"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33486D0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44</w:t>
            </w:r>
          </w:p>
        </w:tc>
        <w:tc>
          <w:tcPr>
            <w:tcW w:w="7076" w:type="dxa"/>
            <w:tcBorders>
              <w:top w:val="nil"/>
              <w:left w:val="nil"/>
              <w:bottom w:val="single" w:sz="8" w:space="0" w:color="auto"/>
              <w:right w:val="single" w:sz="8" w:space="0" w:color="auto"/>
            </w:tcBorders>
            <w:shd w:val="clear" w:color="auto" w:fill="auto"/>
            <w:noWrap/>
            <w:vAlign w:val="center"/>
            <w:hideMark/>
          </w:tcPr>
          <w:p w14:paraId="7C8B5C50"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Bērnu psihoneiroloģiskā slimnīcā "Ainaži"</w:t>
            </w:r>
          </w:p>
        </w:tc>
        <w:tc>
          <w:tcPr>
            <w:tcW w:w="1984" w:type="dxa"/>
            <w:tcBorders>
              <w:top w:val="nil"/>
              <w:left w:val="nil"/>
              <w:bottom w:val="single" w:sz="8" w:space="0" w:color="auto"/>
              <w:right w:val="single" w:sz="8" w:space="0" w:color="auto"/>
            </w:tcBorders>
            <w:shd w:val="clear" w:color="auto" w:fill="auto"/>
            <w:noWrap/>
            <w:vAlign w:val="center"/>
            <w:hideMark/>
          </w:tcPr>
          <w:p w14:paraId="096160C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1 850 000</w:t>
            </w:r>
          </w:p>
        </w:tc>
        <w:tc>
          <w:tcPr>
            <w:tcW w:w="2127" w:type="dxa"/>
            <w:tcBorders>
              <w:top w:val="nil"/>
              <w:left w:val="nil"/>
              <w:bottom w:val="single" w:sz="8" w:space="0" w:color="auto"/>
              <w:right w:val="single" w:sz="8" w:space="0" w:color="auto"/>
            </w:tcBorders>
            <w:shd w:val="clear" w:color="auto" w:fill="auto"/>
            <w:noWrap/>
            <w:vAlign w:val="center"/>
            <w:hideMark/>
          </w:tcPr>
          <w:p w14:paraId="77CB562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1 788 971</w:t>
            </w:r>
          </w:p>
        </w:tc>
        <w:tc>
          <w:tcPr>
            <w:tcW w:w="1701" w:type="dxa"/>
            <w:tcBorders>
              <w:top w:val="nil"/>
              <w:left w:val="nil"/>
              <w:bottom w:val="single" w:sz="8" w:space="0" w:color="auto"/>
              <w:right w:val="single" w:sz="8" w:space="0" w:color="auto"/>
            </w:tcBorders>
            <w:shd w:val="clear" w:color="auto" w:fill="auto"/>
            <w:noWrap/>
            <w:vAlign w:val="center"/>
            <w:hideMark/>
          </w:tcPr>
          <w:p w14:paraId="4EB4695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61 029</w:t>
            </w:r>
          </w:p>
        </w:tc>
      </w:tr>
      <w:tr w:rsidR="0017127D" w:rsidRPr="0017127D" w14:paraId="163AD3CE"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3E54EAA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45</w:t>
            </w:r>
          </w:p>
        </w:tc>
        <w:tc>
          <w:tcPr>
            <w:tcW w:w="7076" w:type="dxa"/>
            <w:tcBorders>
              <w:top w:val="nil"/>
              <w:left w:val="nil"/>
              <w:bottom w:val="single" w:sz="8" w:space="0" w:color="auto"/>
              <w:right w:val="single" w:sz="8" w:space="0" w:color="auto"/>
            </w:tcBorders>
            <w:shd w:val="clear" w:color="auto" w:fill="auto"/>
            <w:noWrap/>
            <w:vAlign w:val="center"/>
            <w:hideMark/>
          </w:tcPr>
          <w:p w14:paraId="5ABB533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"Aknīstes psihoneiroloģiskā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5F73A46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2127" w:type="dxa"/>
            <w:tcBorders>
              <w:top w:val="nil"/>
              <w:left w:val="nil"/>
              <w:bottom w:val="single" w:sz="8" w:space="0" w:color="auto"/>
              <w:right w:val="single" w:sz="8" w:space="0" w:color="auto"/>
            </w:tcBorders>
            <w:shd w:val="clear" w:color="auto" w:fill="auto"/>
            <w:noWrap/>
            <w:vAlign w:val="center"/>
            <w:hideMark/>
          </w:tcPr>
          <w:p w14:paraId="72767A8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701" w:type="dxa"/>
            <w:tcBorders>
              <w:top w:val="nil"/>
              <w:left w:val="nil"/>
              <w:bottom w:val="single" w:sz="8" w:space="0" w:color="auto"/>
              <w:right w:val="single" w:sz="8" w:space="0" w:color="auto"/>
            </w:tcBorders>
            <w:shd w:val="clear" w:color="auto" w:fill="auto"/>
            <w:noWrap/>
            <w:vAlign w:val="center"/>
            <w:hideMark/>
          </w:tcPr>
          <w:p w14:paraId="4646691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31268165"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69DC32A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lastRenderedPageBreak/>
              <w:t>46</w:t>
            </w:r>
          </w:p>
        </w:tc>
        <w:tc>
          <w:tcPr>
            <w:tcW w:w="7076" w:type="dxa"/>
            <w:tcBorders>
              <w:top w:val="nil"/>
              <w:left w:val="nil"/>
              <w:bottom w:val="single" w:sz="8" w:space="0" w:color="auto"/>
              <w:right w:val="single" w:sz="8" w:space="0" w:color="auto"/>
            </w:tcBorders>
            <w:shd w:val="clear" w:color="auto" w:fill="auto"/>
            <w:noWrap/>
            <w:vAlign w:val="center"/>
            <w:hideMark/>
          </w:tcPr>
          <w:p w14:paraId="3F8FAF3F"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"Piejūras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0642CC6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4 972 000</w:t>
            </w:r>
          </w:p>
        </w:tc>
        <w:tc>
          <w:tcPr>
            <w:tcW w:w="2127" w:type="dxa"/>
            <w:tcBorders>
              <w:top w:val="nil"/>
              <w:left w:val="nil"/>
              <w:bottom w:val="single" w:sz="8" w:space="0" w:color="auto"/>
              <w:right w:val="single" w:sz="8" w:space="0" w:color="auto"/>
            </w:tcBorders>
            <w:shd w:val="clear" w:color="auto" w:fill="auto"/>
            <w:noWrap/>
            <w:vAlign w:val="center"/>
            <w:hideMark/>
          </w:tcPr>
          <w:p w14:paraId="4BA8F81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4 958 531</w:t>
            </w:r>
          </w:p>
        </w:tc>
        <w:tc>
          <w:tcPr>
            <w:tcW w:w="1701" w:type="dxa"/>
            <w:tcBorders>
              <w:top w:val="nil"/>
              <w:left w:val="nil"/>
              <w:bottom w:val="single" w:sz="8" w:space="0" w:color="auto"/>
              <w:right w:val="single" w:sz="8" w:space="0" w:color="auto"/>
            </w:tcBorders>
            <w:shd w:val="clear" w:color="auto" w:fill="auto"/>
            <w:noWrap/>
            <w:vAlign w:val="center"/>
            <w:hideMark/>
          </w:tcPr>
          <w:p w14:paraId="2C43692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13 469</w:t>
            </w:r>
          </w:p>
        </w:tc>
      </w:tr>
      <w:tr w:rsidR="0017127D" w:rsidRPr="0017127D" w14:paraId="5196669F"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2D3ED35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47</w:t>
            </w:r>
          </w:p>
        </w:tc>
        <w:tc>
          <w:tcPr>
            <w:tcW w:w="7076" w:type="dxa"/>
            <w:tcBorders>
              <w:top w:val="nil"/>
              <w:left w:val="nil"/>
              <w:bottom w:val="single" w:sz="8" w:space="0" w:color="auto"/>
              <w:right w:val="single" w:sz="8" w:space="0" w:color="auto"/>
            </w:tcBorders>
            <w:shd w:val="clear" w:color="auto" w:fill="auto"/>
            <w:noWrap/>
            <w:vAlign w:val="center"/>
            <w:hideMark/>
          </w:tcPr>
          <w:p w14:paraId="5E3D72D0"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"Slimnīca "Ģintermuiža""</w:t>
            </w:r>
          </w:p>
        </w:tc>
        <w:tc>
          <w:tcPr>
            <w:tcW w:w="1984" w:type="dxa"/>
            <w:tcBorders>
              <w:top w:val="nil"/>
              <w:left w:val="nil"/>
              <w:bottom w:val="single" w:sz="8" w:space="0" w:color="auto"/>
              <w:right w:val="single" w:sz="8" w:space="0" w:color="auto"/>
            </w:tcBorders>
            <w:shd w:val="clear" w:color="auto" w:fill="auto"/>
            <w:noWrap/>
            <w:vAlign w:val="center"/>
            <w:hideMark/>
          </w:tcPr>
          <w:p w14:paraId="766A6BB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11 809 091</w:t>
            </w:r>
          </w:p>
        </w:tc>
        <w:tc>
          <w:tcPr>
            <w:tcW w:w="2127" w:type="dxa"/>
            <w:tcBorders>
              <w:top w:val="nil"/>
              <w:left w:val="nil"/>
              <w:bottom w:val="single" w:sz="8" w:space="0" w:color="auto"/>
              <w:right w:val="single" w:sz="8" w:space="0" w:color="auto"/>
            </w:tcBorders>
            <w:shd w:val="clear" w:color="auto" w:fill="auto"/>
            <w:noWrap/>
            <w:vAlign w:val="center"/>
            <w:hideMark/>
          </w:tcPr>
          <w:p w14:paraId="6BB3BA6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11 778 372</w:t>
            </w:r>
          </w:p>
        </w:tc>
        <w:tc>
          <w:tcPr>
            <w:tcW w:w="1701" w:type="dxa"/>
            <w:tcBorders>
              <w:top w:val="nil"/>
              <w:left w:val="nil"/>
              <w:bottom w:val="single" w:sz="8" w:space="0" w:color="auto"/>
              <w:right w:val="single" w:sz="8" w:space="0" w:color="auto"/>
            </w:tcBorders>
            <w:shd w:val="clear" w:color="auto" w:fill="auto"/>
            <w:noWrap/>
            <w:vAlign w:val="center"/>
            <w:hideMark/>
          </w:tcPr>
          <w:p w14:paraId="6903CB2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30 719</w:t>
            </w:r>
          </w:p>
        </w:tc>
      </w:tr>
      <w:tr w:rsidR="0017127D" w:rsidRPr="0017127D" w14:paraId="60FB2BC0"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11EBC37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48</w:t>
            </w:r>
          </w:p>
        </w:tc>
        <w:tc>
          <w:tcPr>
            <w:tcW w:w="7076" w:type="dxa"/>
            <w:tcBorders>
              <w:top w:val="nil"/>
              <w:left w:val="nil"/>
              <w:bottom w:val="single" w:sz="8" w:space="0" w:color="auto"/>
              <w:right w:val="single" w:sz="8" w:space="0" w:color="auto"/>
            </w:tcBorders>
            <w:shd w:val="clear" w:color="auto" w:fill="auto"/>
            <w:noWrap/>
            <w:vAlign w:val="center"/>
            <w:hideMark/>
          </w:tcPr>
          <w:p w14:paraId="1CB6A70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"Daugavpils psihoneiroloģiskā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2632F94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21 666 253</w:t>
            </w:r>
          </w:p>
        </w:tc>
        <w:tc>
          <w:tcPr>
            <w:tcW w:w="2127" w:type="dxa"/>
            <w:tcBorders>
              <w:top w:val="nil"/>
              <w:left w:val="nil"/>
              <w:bottom w:val="single" w:sz="8" w:space="0" w:color="auto"/>
              <w:right w:val="single" w:sz="8" w:space="0" w:color="auto"/>
            </w:tcBorders>
            <w:shd w:val="clear" w:color="auto" w:fill="auto"/>
            <w:noWrap/>
            <w:vAlign w:val="center"/>
            <w:hideMark/>
          </w:tcPr>
          <w:p w14:paraId="0C931AE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21 921 253</w:t>
            </w:r>
          </w:p>
        </w:tc>
        <w:tc>
          <w:tcPr>
            <w:tcW w:w="1701" w:type="dxa"/>
            <w:tcBorders>
              <w:top w:val="nil"/>
              <w:left w:val="nil"/>
              <w:bottom w:val="single" w:sz="8" w:space="0" w:color="auto"/>
              <w:right w:val="single" w:sz="8" w:space="0" w:color="auto"/>
            </w:tcBorders>
            <w:shd w:val="clear" w:color="auto" w:fill="auto"/>
            <w:noWrap/>
            <w:vAlign w:val="center"/>
            <w:hideMark/>
          </w:tcPr>
          <w:p w14:paraId="027BC32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-255 000</w:t>
            </w:r>
          </w:p>
        </w:tc>
      </w:tr>
      <w:tr w:rsidR="0017127D" w:rsidRPr="0017127D" w14:paraId="309C5EF2"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1ECA4A8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49</w:t>
            </w:r>
          </w:p>
        </w:tc>
        <w:tc>
          <w:tcPr>
            <w:tcW w:w="7076" w:type="dxa"/>
            <w:tcBorders>
              <w:top w:val="nil"/>
              <w:left w:val="nil"/>
              <w:bottom w:val="single" w:sz="8" w:space="0" w:color="auto"/>
              <w:right w:val="single" w:sz="8" w:space="0" w:color="auto"/>
            </w:tcBorders>
            <w:shd w:val="clear" w:color="auto" w:fill="auto"/>
            <w:noWrap/>
            <w:vAlign w:val="center"/>
            <w:hideMark/>
          </w:tcPr>
          <w:p w14:paraId="51991AF7"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"Rīgas psihiatrijas un narkoloģijas centrs"</w:t>
            </w:r>
          </w:p>
        </w:tc>
        <w:tc>
          <w:tcPr>
            <w:tcW w:w="1984" w:type="dxa"/>
            <w:tcBorders>
              <w:top w:val="nil"/>
              <w:left w:val="nil"/>
              <w:bottom w:val="single" w:sz="8" w:space="0" w:color="auto"/>
              <w:right w:val="single" w:sz="8" w:space="0" w:color="auto"/>
            </w:tcBorders>
            <w:shd w:val="clear" w:color="auto" w:fill="auto"/>
            <w:noWrap/>
            <w:vAlign w:val="center"/>
            <w:hideMark/>
          </w:tcPr>
          <w:p w14:paraId="79AC695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25 759 950</w:t>
            </w:r>
          </w:p>
        </w:tc>
        <w:tc>
          <w:tcPr>
            <w:tcW w:w="2127" w:type="dxa"/>
            <w:tcBorders>
              <w:top w:val="nil"/>
              <w:left w:val="nil"/>
              <w:bottom w:val="single" w:sz="8" w:space="0" w:color="auto"/>
              <w:right w:val="single" w:sz="8" w:space="0" w:color="auto"/>
            </w:tcBorders>
            <w:shd w:val="clear" w:color="auto" w:fill="auto"/>
            <w:noWrap/>
            <w:vAlign w:val="center"/>
            <w:hideMark/>
          </w:tcPr>
          <w:p w14:paraId="6652393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25 819 950</w:t>
            </w:r>
          </w:p>
        </w:tc>
        <w:tc>
          <w:tcPr>
            <w:tcW w:w="1701" w:type="dxa"/>
            <w:tcBorders>
              <w:top w:val="nil"/>
              <w:left w:val="nil"/>
              <w:bottom w:val="single" w:sz="8" w:space="0" w:color="auto"/>
              <w:right w:val="single" w:sz="8" w:space="0" w:color="auto"/>
            </w:tcBorders>
            <w:shd w:val="clear" w:color="auto" w:fill="auto"/>
            <w:noWrap/>
            <w:vAlign w:val="center"/>
            <w:hideMark/>
          </w:tcPr>
          <w:p w14:paraId="7B6A1B0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-60 000</w:t>
            </w:r>
          </w:p>
        </w:tc>
      </w:tr>
      <w:tr w:rsidR="0017127D" w:rsidRPr="0017127D" w14:paraId="5E252292"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79F33DC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50</w:t>
            </w:r>
          </w:p>
        </w:tc>
        <w:tc>
          <w:tcPr>
            <w:tcW w:w="7076" w:type="dxa"/>
            <w:tcBorders>
              <w:top w:val="nil"/>
              <w:left w:val="nil"/>
              <w:bottom w:val="single" w:sz="8" w:space="0" w:color="auto"/>
              <w:right w:val="single" w:sz="8" w:space="0" w:color="auto"/>
            </w:tcBorders>
            <w:shd w:val="clear" w:color="auto" w:fill="auto"/>
            <w:noWrap/>
            <w:vAlign w:val="center"/>
            <w:hideMark/>
          </w:tcPr>
          <w:p w14:paraId="03951F2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"Nacionālais rehabilitācijas centrs "Vaivari""</w:t>
            </w:r>
          </w:p>
        </w:tc>
        <w:tc>
          <w:tcPr>
            <w:tcW w:w="1984" w:type="dxa"/>
            <w:tcBorders>
              <w:top w:val="nil"/>
              <w:left w:val="nil"/>
              <w:bottom w:val="single" w:sz="8" w:space="0" w:color="auto"/>
              <w:right w:val="single" w:sz="8" w:space="0" w:color="auto"/>
            </w:tcBorders>
            <w:shd w:val="clear" w:color="auto" w:fill="auto"/>
            <w:noWrap/>
            <w:vAlign w:val="center"/>
            <w:hideMark/>
          </w:tcPr>
          <w:p w14:paraId="0AD8254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16 569 307</w:t>
            </w:r>
          </w:p>
        </w:tc>
        <w:tc>
          <w:tcPr>
            <w:tcW w:w="2127" w:type="dxa"/>
            <w:tcBorders>
              <w:top w:val="nil"/>
              <w:left w:val="nil"/>
              <w:bottom w:val="single" w:sz="8" w:space="0" w:color="auto"/>
              <w:right w:val="single" w:sz="8" w:space="0" w:color="auto"/>
            </w:tcBorders>
            <w:shd w:val="clear" w:color="auto" w:fill="auto"/>
            <w:noWrap/>
            <w:vAlign w:val="center"/>
            <w:hideMark/>
          </w:tcPr>
          <w:p w14:paraId="211C05E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16 618 807</w:t>
            </w:r>
          </w:p>
        </w:tc>
        <w:tc>
          <w:tcPr>
            <w:tcW w:w="1701" w:type="dxa"/>
            <w:tcBorders>
              <w:top w:val="nil"/>
              <w:left w:val="nil"/>
              <w:bottom w:val="single" w:sz="8" w:space="0" w:color="auto"/>
              <w:right w:val="single" w:sz="8" w:space="0" w:color="auto"/>
            </w:tcBorders>
            <w:shd w:val="clear" w:color="auto" w:fill="auto"/>
            <w:noWrap/>
            <w:vAlign w:val="center"/>
            <w:hideMark/>
          </w:tcPr>
          <w:p w14:paraId="4B1ACC8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-49 500</w:t>
            </w:r>
          </w:p>
        </w:tc>
      </w:tr>
      <w:tr w:rsidR="0017127D" w:rsidRPr="0017127D" w14:paraId="3E1B10D1"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51AC187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51</w:t>
            </w:r>
          </w:p>
        </w:tc>
        <w:tc>
          <w:tcPr>
            <w:tcW w:w="7076" w:type="dxa"/>
            <w:tcBorders>
              <w:top w:val="nil"/>
              <w:left w:val="nil"/>
              <w:bottom w:val="single" w:sz="8" w:space="0" w:color="auto"/>
              <w:right w:val="single" w:sz="8" w:space="0" w:color="auto"/>
            </w:tcBorders>
            <w:shd w:val="clear" w:color="auto" w:fill="auto"/>
            <w:noWrap/>
            <w:vAlign w:val="center"/>
            <w:hideMark/>
          </w:tcPr>
          <w:p w14:paraId="5233C734"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"Traumatoloģijas un ortopēdijas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276DE94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24 200 000</w:t>
            </w:r>
          </w:p>
        </w:tc>
        <w:tc>
          <w:tcPr>
            <w:tcW w:w="2127" w:type="dxa"/>
            <w:tcBorders>
              <w:top w:val="nil"/>
              <w:left w:val="nil"/>
              <w:bottom w:val="single" w:sz="8" w:space="0" w:color="auto"/>
              <w:right w:val="single" w:sz="8" w:space="0" w:color="auto"/>
            </w:tcBorders>
            <w:shd w:val="clear" w:color="auto" w:fill="auto"/>
            <w:noWrap/>
            <w:vAlign w:val="center"/>
            <w:hideMark/>
          </w:tcPr>
          <w:p w14:paraId="3E9B75B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23 970 000</w:t>
            </w:r>
          </w:p>
        </w:tc>
        <w:tc>
          <w:tcPr>
            <w:tcW w:w="1701" w:type="dxa"/>
            <w:tcBorders>
              <w:top w:val="nil"/>
              <w:left w:val="nil"/>
              <w:bottom w:val="single" w:sz="8" w:space="0" w:color="auto"/>
              <w:right w:val="single" w:sz="8" w:space="0" w:color="auto"/>
            </w:tcBorders>
            <w:shd w:val="clear" w:color="auto" w:fill="auto"/>
            <w:noWrap/>
            <w:vAlign w:val="center"/>
            <w:hideMark/>
          </w:tcPr>
          <w:p w14:paraId="6D00431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230 000</w:t>
            </w:r>
          </w:p>
        </w:tc>
      </w:tr>
      <w:tr w:rsidR="0017127D" w:rsidRPr="0017127D" w14:paraId="76623FE9"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2F60E9C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52</w:t>
            </w:r>
          </w:p>
        </w:tc>
        <w:tc>
          <w:tcPr>
            <w:tcW w:w="7076" w:type="dxa"/>
            <w:tcBorders>
              <w:top w:val="nil"/>
              <w:left w:val="nil"/>
              <w:bottom w:val="single" w:sz="8" w:space="0" w:color="auto"/>
              <w:right w:val="single" w:sz="8" w:space="0" w:color="auto"/>
            </w:tcBorders>
            <w:shd w:val="clear" w:color="auto" w:fill="auto"/>
            <w:noWrap/>
            <w:vAlign w:val="center"/>
            <w:hideMark/>
          </w:tcPr>
          <w:p w14:paraId="33F57EE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"Paula Stradiņa klīniskā universitātes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6C12A80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148 257 729</w:t>
            </w:r>
          </w:p>
        </w:tc>
        <w:tc>
          <w:tcPr>
            <w:tcW w:w="2127" w:type="dxa"/>
            <w:tcBorders>
              <w:top w:val="nil"/>
              <w:left w:val="nil"/>
              <w:bottom w:val="single" w:sz="8" w:space="0" w:color="auto"/>
              <w:right w:val="single" w:sz="8" w:space="0" w:color="auto"/>
            </w:tcBorders>
            <w:shd w:val="clear" w:color="auto" w:fill="auto"/>
            <w:noWrap/>
            <w:vAlign w:val="center"/>
            <w:hideMark/>
          </w:tcPr>
          <w:p w14:paraId="22C415C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148 401 878</w:t>
            </w:r>
          </w:p>
        </w:tc>
        <w:tc>
          <w:tcPr>
            <w:tcW w:w="1701" w:type="dxa"/>
            <w:tcBorders>
              <w:top w:val="nil"/>
              <w:left w:val="nil"/>
              <w:bottom w:val="single" w:sz="8" w:space="0" w:color="auto"/>
              <w:right w:val="single" w:sz="8" w:space="0" w:color="auto"/>
            </w:tcBorders>
            <w:shd w:val="clear" w:color="auto" w:fill="auto"/>
            <w:noWrap/>
            <w:vAlign w:val="center"/>
            <w:hideMark/>
          </w:tcPr>
          <w:p w14:paraId="5783CD2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-144 149</w:t>
            </w:r>
          </w:p>
        </w:tc>
      </w:tr>
      <w:tr w:rsidR="0017127D" w:rsidRPr="0017127D" w14:paraId="18A5FDDA"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323AB95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53</w:t>
            </w:r>
          </w:p>
        </w:tc>
        <w:tc>
          <w:tcPr>
            <w:tcW w:w="7076" w:type="dxa"/>
            <w:tcBorders>
              <w:top w:val="nil"/>
              <w:left w:val="nil"/>
              <w:bottom w:val="single" w:sz="8" w:space="0" w:color="auto"/>
              <w:right w:val="single" w:sz="8" w:space="0" w:color="auto"/>
            </w:tcBorders>
            <w:shd w:val="clear" w:color="auto" w:fill="auto"/>
            <w:noWrap/>
            <w:vAlign w:val="center"/>
            <w:hideMark/>
          </w:tcPr>
          <w:p w14:paraId="11E43304"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"Latvijas Radio"</w:t>
            </w:r>
          </w:p>
        </w:tc>
        <w:tc>
          <w:tcPr>
            <w:tcW w:w="1984" w:type="dxa"/>
            <w:tcBorders>
              <w:top w:val="nil"/>
              <w:left w:val="nil"/>
              <w:bottom w:val="single" w:sz="8" w:space="0" w:color="auto"/>
              <w:right w:val="single" w:sz="8" w:space="0" w:color="auto"/>
            </w:tcBorders>
            <w:shd w:val="clear" w:color="auto" w:fill="auto"/>
            <w:noWrap/>
            <w:vAlign w:val="center"/>
            <w:hideMark/>
          </w:tcPr>
          <w:p w14:paraId="7A85EB1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123 967</w:t>
            </w:r>
          </w:p>
        </w:tc>
        <w:tc>
          <w:tcPr>
            <w:tcW w:w="2127" w:type="dxa"/>
            <w:tcBorders>
              <w:top w:val="nil"/>
              <w:left w:val="nil"/>
              <w:bottom w:val="single" w:sz="8" w:space="0" w:color="auto"/>
              <w:right w:val="single" w:sz="8" w:space="0" w:color="auto"/>
            </w:tcBorders>
            <w:shd w:val="clear" w:color="auto" w:fill="auto"/>
            <w:noWrap/>
            <w:vAlign w:val="center"/>
            <w:hideMark/>
          </w:tcPr>
          <w:p w14:paraId="7E985B2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57 770</w:t>
            </w:r>
          </w:p>
        </w:tc>
        <w:tc>
          <w:tcPr>
            <w:tcW w:w="1701" w:type="dxa"/>
            <w:tcBorders>
              <w:top w:val="nil"/>
              <w:left w:val="nil"/>
              <w:bottom w:val="single" w:sz="8" w:space="0" w:color="auto"/>
              <w:right w:val="single" w:sz="8" w:space="0" w:color="auto"/>
            </w:tcBorders>
            <w:shd w:val="clear" w:color="auto" w:fill="auto"/>
            <w:noWrap/>
            <w:vAlign w:val="center"/>
            <w:hideMark/>
          </w:tcPr>
          <w:p w14:paraId="35EE790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66 197</w:t>
            </w:r>
          </w:p>
        </w:tc>
      </w:tr>
      <w:tr w:rsidR="0017127D" w:rsidRPr="0017127D" w14:paraId="11785BDF"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330854C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54</w:t>
            </w:r>
          </w:p>
        </w:tc>
        <w:tc>
          <w:tcPr>
            <w:tcW w:w="7076" w:type="dxa"/>
            <w:tcBorders>
              <w:top w:val="nil"/>
              <w:left w:val="nil"/>
              <w:bottom w:val="single" w:sz="8" w:space="0" w:color="auto"/>
              <w:right w:val="single" w:sz="8" w:space="0" w:color="auto"/>
            </w:tcBorders>
            <w:shd w:val="clear" w:color="auto" w:fill="auto"/>
            <w:noWrap/>
            <w:vAlign w:val="center"/>
            <w:hideMark/>
          </w:tcPr>
          <w:p w14:paraId="61A96C86"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"Rīgas Austrumu klīniskā universitātes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3BB531C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186 026 771</w:t>
            </w:r>
          </w:p>
        </w:tc>
        <w:tc>
          <w:tcPr>
            <w:tcW w:w="2127" w:type="dxa"/>
            <w:tcBorders>
              <w:top w:val="nil"/>
              <w:left w:val="nil"/>
              <w:bottom w:val="single" w:sz="8" w:space="0" w:color="auto"/>
              <w:right w:val="single" w:sz="8" w:space="0" w:color="auto"/>
            </w:tcBorders>
            <w:shd w:val="clear" w:color="auto" w:fill="auto"/>
            <w:noWrap/>
            <w:vAlign w:val="center"/>
            <w:hideMark/>
          </w:tcPr>
          <w:p w14:paraId="3143D57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180 999 330</w:t>
            </w:r>
          </w:p>
        </w:tc>
        <w:tc>
          <w:tcPr>
            <w:tcW w:w="1701" w:type="dxa"/>
            <w:tcBorders>
              <w:top w:val="nil"/>
              <w:left w:val="nil"/>
              <w:bottom w:val="single" w:sz="8" w:space="0" w:color="auto"/>
              <w:right w:val="single" w:sz="8" w:space="0" w:color="auto"/>
            </w:tcBorders>
            <w:shd w:val="clear" w:color="auto" w:fill="auto"/>
            <w:noWrap/>
            <w:vAlign w:val="center"/>
            <w:hideMark/>
          </w:tcPr>
          <w:p w14:paraId="12603FB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5 027 442</w:t>
            </w:r>
          </w:p>
        </w:tc>
      </w:tr>
      <w:tr w:rsidR="0017127D" w:rsidRPr="0017127D" w14:paraId="519289BB"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5169231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55</w:t>
            </w:r>
          </w:p>
        </w:tc>
        <w:tc>
          <w:tcPr>
            <w:tcW w:w="7076" w:type="dxa"/>
            <w:tcBorders>
              <w:top w:val="nil"/>
              <w:left w:val="nil"/>
              <w:bottom w:val="single" w:sz="8" w:space="0" w:color="auto"/>
              <w:right w:val="single" w:sz="8" w:space="0" w:color="auto"/>
            </w:tcBorders>
            <w:shd w:val="clear" w:color="auto" w:fill="auto"/>
            <w:noWrap/>
            <w:vAlign w:val="center"/>
            <w:hideMark/>
          </w:tcPr>
          <w:p w14:paraId="4973580F"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"Ceļu satiksmes drošības direkcija"</w:t>
            </w:r>
          </w:p>
        </w:tc>
        <w:tc>
          <w:tcPr>
            <w:tcW w:w="1984" w:type="dxa"/>
            <w:tcBorders>
              <w:top w:val="nil"/>
              <w:left w:val="nil"/>
              <w:bottom w:val="single" w:sz="8" w:space="0" w:color="auto"/>
              <w:right w:val="single" w:sz="8" w:space="0" w:color="auto"/>
            </w:tcBorders>
            <w:shd w:val="clear" w:color="auto" w:fill="auto"/>
            <w:noWrap/>
            <w:vAlign w:val="center"/>
            <w:hideMark/>
          </w:tcPr>
          <w:p w14:paraId="69060E3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52 872 462</w:t>
            </w:r>
          </w:p>
        </w:tc>
        <w:tc>
          <w:tcPr>
            <w:tcW w:w="2127" w:type="dxa"/>
            <w:tcBorders>
              <w:top w:val="nil"/>
              <w:left w:val="nil"/>
              <w:bottom w:val="single" w:sz="8" w:space="0" w:color="auto"/>
              <w:right w:val="single" w:sz="8" w:space="0" w:color="auto"/>
            </w:tcBorders>
            <w:shd w:val="clear" w:color="auto" w:fill="auto"/>
            <w:noWrap/>
            <w:vAlign w:val="center"/>
            <w:hideMark/>
          </w:tcPr>
          <w:p w14:paraId="285C3AD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50 313 681</w:t>
            </w:r>
          </w:p>
        </w:tc>
        <w:tc>
          <w:tcPr>
            <w:tcW w:w="1701" w:type="dxa"/>
            <w:tcBorders>
              <w:top w:val="nil"/>
              <w:left w:val="nil"/>
              <w:bottom w:val="single" w:sz="8" w:space="0" w:color="auto"/>
              <w:right w:val="single" w:sz="8" w:space="0" w:color="auto"/>
            </w:tcBorders>
            <w:shd w:val="clear" w:color="auto" w:fill="auto"/>
            <w:noWrap/>
            <w:vAlign w:val="center"/>
            <w:hideMark/>
          </w:tcPr>
          <w:p w14:paraId="754ACC7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2 558 781</w:t>
            </w:r>
          </w:p>
        </w:tc>
      </w:tr>
      <w:tr w:rsidR="0017127D" w:rsidRPr="0017127D" w14:paraId="3F184385"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7DBAB40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56</w:t>
            </w:r>
          </w:p>
        </w:tc>
        <w:tc>
          <w:tcPr>
            <w:tcW w:w="7076" w:type="dxa"/>
            <w:tcBorders>
              <w:top w:val="nil"/>
              <w:left w:val="nil"/>
              <w:bottom w:val="single" w:sz="8" w:space="0" w:color="auto"/>
              <w:right w:val="single" w:sz="8" w:space="0" w:color="auto"/>
            </w:tcBorders>
            <w:shd w:val="clear" w:color="auto" w:fill="auto"/>
            <w:noWrap/>
            <w:vAlign w:val="center"/>
            <w:hideMark/>
          </w:tcPr>
          <w:p w14:paraId="7E9A7737"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"Strenču psihoneiroloģiskā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06DC7C2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9 754 280</w:t>
            </w:r>
          </w:p>
        </w:tc>
        <w:tc>
          <w:tcPr>
            <w:tcW w:w="2127" w:type="dxa"/>
            <w:tcBorders>
              <w:top w:val="nil"/>
              <w:left w:val="nil"/>
              <w:bottom w:val="single" w:sz="8" w:space="0" w:color="auto"/>
              <w:right w:val="single" w:sz="8" w:space="0" w:color="auto"/>
            </w:tcBorders>
            <w:shd w:val="clear" w:color="auto" w:fill="auto"/>
            <w:noWrap/>
            <w:vAlign w:val="center"/>
            <w:hideMark/>
          </w:tcPr>
          <w:p w14:paraId="5394CCA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9 817 230</w:t>
            </w:r>
          </w:p>
        </w:tc>
        <w:tc>
          <w:tcPr>
            <w:tcW w:w="1701" w:type="dxa"/>
            <w:tcBorders>
              <w:top w:val="nil"/>
              <w:left w:val="nil"/>
              <w:bottom w:val="single" w:sz="8" w:space="0" w:color="auto"/>
              <w:right w:val="single" w:sz="8" w:space="0" w:color="auto"/>
            </w:tcBorders>
            <w:shd w:val="clear" w:color="auto" w:fill="auto"/>
            <w:noWrap/>
            <w:vAlign w:val="center"/>
            <w:hideMark/>
          </w:tcPr>
          <w:p w14:paraId="0E7BD14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-62 950</w:t>
            </w:r>
          </w:p>
        </w:tc>
      </w:tr>
      <w:tr w:rsidR="0017127D" w:rsidRPr="0017127D" w14:paraId="31B34171"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20E31E0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57</w:t>
            </w:r>
          </w:p>
        </w:tc>
        <w:tc>
          <w:tcPr>
            <w:tcW w:w="7076" w:type="dxa"/>
            <w:tcBorders>
              <w:top w:val="nil"/>
              <w:left w:val="nil"/>
              <w:bottom w:val="single" w:sz="8" w:space="0" w:color="auto"/>
              <w:right w:val="single" w:sz="8" w:space="0" w:color="auto"/>
            </w:tcBorders>
            <w:shd w:val="clear" w:color="auto" w:fill="auto"/>
            <w:noWrap/>
            <w:vAlign w:val="center"/>
            <w:hideMark/>
          </w:tcPr>
          <w:p w14:paraId="4403F525"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VSIA "Bērnu klīniskā universitātes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66E056E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68 537 456</w:t>
            </w:r>
          </w:p>
        </w:tc>
        <w:tc>
          <w:tcPr>
            <w:tcW w:w="2127" w:type="dxa"/>
            <w:tcBorders>
              <w:top w:val="nil"/>
              <w:left w:val="nil"/>
              <w:bottom w:val="single" w:sz="8" w:space="0" w:color="auto"/>
              <w:right w:val="single" w:sz="8" w:space="0" w:color="auto"/>
            </w:tcBorders>
            <w:shd w:val="clear" w:color="auto" w:fill="auto"/>
            <w:noWrap/>
            <w:vAlign w:val="center"/>
            <w:hideMark/>
          </w:tcPr>
          <w:p w14:paraId="4773645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68 476 692</w:t>
            </w:r>
          </w:p>
        </w:tc>
        <w:tc>
          <w:tcPr>
            <w:tcW w:w="1701" w:type="dxa"/>
            <w:tcBorders>
              <w:top w:val="nil"/>
              <w:left w:val="nil"/>
              <w:bottom w:val="single" w:sz="8" w:space="0" w:color="auto"/>
              <w:right w:val="single" w:sz="8" w:space="0" w:color="auto"/>
            </w:tcBorders>
            <w:shd w:val="clear" w:color="auto" w:fill="auto"/>
            <w:noWrap/>
            <w:vAlign w:val="center"/>
            <w:hideMark/>
          </w:tcPr>
          <w:p w14:paraId="30DD37D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60 764</w:t>
            </w:r>
          </w:p>
        </w:tc>
      </w:tr>
      <w:tr w:rsidR="0017127D" w:rsidRPr="0017127D" w14:paraId="1283283F"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44E250D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58</w:t>
            </w:r>
          </w:p>
        </w:tc>
        <w:tc>
          <w:tcPr>
            <w:tcW w:w="7076" w:type="dxa"/>
            <w:tcBorders>
              <w:top w:val="nil"/>
              <w:left w:val="nil"/>
              <w:bottom w:val="single" w:sz="8" w:space="0" w:color="auto"/>
              <w:right w:val="single" w:sz="8" w:space="0" w:color="auto"/>
            </w:tcBorders>
            <w:shd w:val="clear" w:color="auto" w:fill="auto"/>
            <w:noWrap/>
            <w:vAlign w:val="center"/>
            <w:hideMark/>
          </w:tcPr>
          <w:p w14:paraId="3943F1D7"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"Pasažieru vilciens"</w:t>
            </w:r>
          </w:p>
        </w:tc>
        <w:tc>
          <w:tcPr>
            <w:tcW w:w="1984" w:type="dxa"/>
            <w:tcBorders>
              <w:top w:val="nil"/>
              <w:left w:val="nil"/>
              <w:bottom w:val="single" w:sz="8" w:space="0" w:color="auto"/>
              <w:right w:val="single" w:sz="8" w:space="0" w:color="auto"/>
            </w:tcBorders>
            <w:shd w:val="clear" w:color="auto" w:fill="auto"/>
            <w:noWrap/>
            <w:vAlign w:val="center"/>
            <w:hideMark/>
          </w:tcPr>
          <w:p w14:paraId="7EA1A59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38 682 825</w:t>
            </w:r>
          </w:p>
        </w:tc>
        <w:tc>
          <w:tcPr>
            <w:tcW w:w="2127" w:type="dxa"/>
            <w:tcBorders>
              <w:top w:val="nil"/>
              <w:left w:val="nil"/>
              <w:bottom w:val="single" w:sz="8" w:space="0" w:color="auto"/>
              <w:right w:val="single" w:sz="8" w:space="0" w:color="auto"/>
            </w:tcBorders>
            <w:shd w:val="clear" w:color="auto" w:fill="auto"/>
            <w:noWrap/>
            <w:vAlign w:val="center"/>
            <w:hideMark/>
          </w:tcPr>
          <w:p w14:paraId="1A5B501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34 310 736</w:t>
            </w:r>
          </w:p>
        </w:tc>
        <w:tc>
          <w:tcPr>
            <w:tcW w:w="1701" w:type="dxa"/>
            <w:tcBorders>
              <w:top w:val="nil"/>
              <w:left w:val="nil"/>
              <w:bottom w:val="single" w:sz="8" w:space="0" w:color="auto"/>
              <w:right w:val="single" w:sz="8" w:space="0" w:color="auto"/>
            </w:tcBorders>
            <w:shd w:val="clear" w:color="auto" w:fill="auto"/>
            <w:noWrap/>
            <w:vAlign w:val="center"/>
            <w:hideMark/>
          </w:tcPr>
          <w:p w14:paraId="3C1BD33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4 372 089</w:t>
            </w:r>
          </w:p>
        </w:tc>
      </w:tr>
      <w:tr w:rsidR="0017127D" w:rsidRPr="0017127D" w14:paraId="160ECDF8"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4CABBA0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59</w:t>
            </w:r>
          </w:p>
        </w:tc>
        <w:tc>
          <w:tcPr>
            <w:tcW w:w="7076" w:type="dxa"/>
            <w:tcBorders>
              <w:top w:val="nil"/>
              <w:left w:val="nil"/>
              <w:bottom w:val="single" w:sz="8" w:space="0" w:color="auto"/>
              <w:right w:val="single" w:sz="8" w:space="0" w:color="auto"/>
            </w:tcBorders>
            <w:shd w:val="clear" w:color="auto" w:fill="auto"/>
            <w:noWrap/>
            <w:vAlign w:val="center"/>
            <w:hideMark/>
          </w:tcPr>
          <w:p w14:paraId="730B65E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Nodibinājums "Akadēmiskās informācijas centrs"</w:t>
            </w:r>
          </w:p>
        </w:tc>
        <w:tc>
          <w:tcPr>
            <w:tcW w:w="1984" w:type="dxa"/>
            <w:tcBorders>
              <w:top w:val="nil"/>
              <w:left w:val="nil"/>
              <w:bottom w:val="single" w:sz="8" w:space="0" w:color="auto"/>
              <w:right w:val="single" w:sz="8" w:space="0" w:color="auto"/>
            </w:tcBorders>
            <w:shd w:val="clear" w:color="auto" w:fill="auto"/>
            <w:noWrap/>
            <w:vAlign w:val="center"/>
            <w:hideMark/>
          </w:tcPr>
          <w:p w14:paraId="1751D2F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241 000</w:t>
            </w:r>
          </w:p>
        </w:tc>
        <w:tc>
          <w:tcPr>
            <w:tcW w:w="2127" w:type="dxa"/>
            <w:tcBorders>
              <w:top w:val="nil"/>
              <w:left w:val="nil"/>
              <w:bottom w:val="single" w:sz="8" w:space="0" w:color="auto"/>
              <w:right w:val="single" w:sz="8" w:space="0" w:color="auto"/>
            </w:tcBorders>
            <w:shd w:val="clear" w:color="auto" w:fill="auto"/>
            <w:noWrap/>
            <w:vAlign w:val="center"/>
            <w:hideMark/>
          </w:tcPr>
          <w:p w14:paraId="3918466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1 914 191</w:t>
            </w:r>
          </w:p>
        </w:tc>
        <w:tc>
          <w:tcPr>
            <w:tcW w:w="1701" w:type="dxa"/>
            <w:tcBorders>
              <w:top w:val="nil"/>
              <w:left w:val="nil"/>
              <w:bottom w:val="single" w:sz="8" w:space="0" w:color="auto"/>
              <w:right w:val="single" w:sz="8" w:space="0" w:color="auto"/>
            </w:tcBorders>
            <w:shd w:val="clear" w:color="auto" w:fill="auto"/>
            <w:noWrap/>
            <w:vAlign w:val="center"/>
            <w:hideMark/>
          </w:tcPr>
          <w:p w14:paraId="73516EA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-1 673 191</w:t>
            </w:r>
          </w:p>
        </w:tc>
      </w:tr>
      <w:tr w:rsidR="0017127D" w:rsidRPr="0017127D" w14:paraId="64424C50" w14:textId="77777777" w:rsidTr="0017127D">
        <w:trPr>
          <w:trHeight w:val="300"/>
        </w:trPr>
        <w:tc>
          <w:tcPr>
            <w:tcW w:w="1136" w:type="dxa"/>
            <w:tcBorders>
              <w:top w:val="nil"/>
              <w:left w:val="single" w:sz="8" w:space="0" w:color="auto"/>
              <w:bottom w:val="single" w:sz="8" w:space="0" w:color="auto"/>
              <w:right w:val="single" w:sz="8" w:space="0" w:color="auto"/>
            </w:tcBorders>
            <w:shd w:val="clear" w:color="000000" w:fill="DDEBF7"/>
            <w:noWrap/>
            <w:vAlign w:val="center"/>
            <w:hideMark/>
          </w:tcPr>
          <w:p w14:paraId="510059B7" w14:textId="77777777" w:rsidR="0017127D" w:rsidRPr="0017127D" w:rsidRDefault="0017127D" w:rsidP="0017127D">
            <w:pPr>
              <w:spacing w:after="0"/>
              <w:ind w:firstLine="0"/>
              <w:jc w:val="center"/>
              <w:rPr>
                <w:rFonts w:eastAsia="Times New Roman" w:cs="Times New Roman"/>
                <w:color w:val="000000"/>
                <w:sz w:val="18"/>
                <w:szCs w:val="18"/>
              </w:rPr>
            </w:pPr>
            <w:r w:rsidRPr="0017127D">
              <w:rPr>
                <w:rFonts w:eastAsia="Times New Roman" w:cs="Times New Roman"/>
                <w:color w:val="000000"/>
                <w:sz w:val="18"/>
                <w:szCs w:val="18"/>
              </w:rPr>
              <w:t>S130300</w:t>
            </w:r>
          </w:p>
        </w:tc>
        <w:tc>
          <w:tcPr>
            <w:tcW w:w="7076" w:type="dxa"/>
            <w:tcBorders>
              <w:top w:val="nil"/>
              <w:left w:val="nil"/>
              <w:bottom w:val="nil"/>
              <w:right w:val="nil"/>
            </w:tcBorders>
            <w:shd w:val="clear" w:color="000000" w:fill="DDEBF7"/>
            <w:noWrap/>
            <w:vAlign w:val="center"/>
            <w:hideMark/>
          </w:tcPr>
          <w:p w14:paraId="157EAB48"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Pašvaldības struktūru kontrolētas un finansētas komercsabiedrības</w:t>
            </w:r>
          </w:p>
        </w:tc>
        <w:tc>
          <w:tcPr>
            <w:tcW w:w="1984" w:type="dxa"/>
            <w:tcBorders>
              <w:top w:val="nil"/>
              <w:left w:val="single" w:sz="8" w:space="0" w:color="auto"/>
              <w:bottom w:val="single" w:sz="8" w:space="0" w:color="auto"/>
              <w:right w:val="single" w:sz="8" w:space="0" w:color="auto"/>
            </w:tcBorders>
            <w:shd w:val="clear" w:color="000000" w:fill="DDEBF7"/>
            <w:noWrap/>
            <w:vAlign w:val="center"/>
            <w:hideMark/>
          </w:tcPr>
          <w:p w14:paraId="377DAEE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c>
          <w:tcPr>
            <w:tcW w:w="2127" w:type="dxa"/>
            <w:tcBorders>
              <w:top w:val="nil"/>
              <w:left w:val="nil"/>
              <w:bottom w:val="single" w:sz="8" w:space="0" w:color="auto"/>
              <w:right w:val="single" w:sz="8" w:space="0" w:color="auto"/>
            </w:tcBorders>
            <w:shd w:val="clear" w:color="000000" w:fill="DDEBF7"/>
            <w:noWrap/>
            <w:vAlign w:val="center"/>
            <w:hideMark/>
          </w:tcPr>
          <w:p w14:paraId="6BAC24F7"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c>
          <w:tcPr>
            <w:tcW w:w="1701" w:type="dxa"/>
            <w:tcBorders>
              <w:top w:val="nil"/>
              <w:left w:val="nil"/>
              <w:bottom w:val="single" w:sz="8" w:space="0" w:color="auto"/>
              <w:right w:val="single" w:sz="8" w:space="0" w:color="auto"/>
            </w:tcBorders>
            <w:shd w:val="clear" w:color="000000" w:fill="DDEBF7"/>
            <w:noWrap/>
            <w:vAlign w:val="center"/>
            <w:hideMark/>
          </w:tcPr>
          <w:p w14:paraId="46130F64"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w:t>
            </w:r>
          </w:p>
        </w:tc>
      </w:tr>
      <w:tr w:rsidR="0017127D" w:rsidRPr="0017127D" w14:paraId="4A8083E1"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5E7682D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61</w:t>
            </w:r>
          </w:p>
        </w:tc>
        <w:tc>
          <w:tcPr>
            <w:tcW w:w="7076" w:type="dxa"/>
            <w:tcBorders>
              <w:top w:val="single" w:sz="8" w:space="0" w:color="auto"/>
              <w:left w:val="nil"/>
              <w:bottom w:val="single" w:sz="8" w:space="0" w:color="auto"/>
              <w:right w:val="single" w:sz="8" w:space="0" w:color="auto"/>
            </w:tcBorders>
            <w:shd w:val="clear" w:color="auto" w:fill="auto"/>
            <w:noWrap/>
            <w:vAlign w:val="center"/>
            <w:hideMark/>
          </w:tcPr>
          <w:p w14:paraId="03871E0C"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"Vidzemes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719869F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23 780 292</w:t>
            </w:r>
          </w:p>
        </w:tc>
        <w:tc>
          <w:tcPr>
            <w:tcW w:w="2127" w:type="dxa"/>
            <w:tcBorders>
              <w:top w:val="nil"/>
              <w:left w:val="nil"/>
              <w:bottom w:val="single" w:sz="8" w:space="0" w:color="auto"/>
              <w:right w:val="single" w:sz="8" w:space="0" w:color="auto"/>
            </w:tcBorders>
            <w:shd w:val="clear" w:color="auto" w:fill="auto"/>
            <w:noWrap/>
            <w:vAlign w:val="center"/>
            <w:hideMark/>
          </w:tcPr>
          <w:p w14:paraId="7F25AD4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23 702 203</w:t>
            </w:r>
          </w:p>
        </w:tc>
        <w:tc>
          <w:tcPr>
            <w:tcW w:w="1701" w:type="dxa"/>
            <w:tcBorders>
              <w:top w:val="nil"/>
              <w:left w:val="nil"/>
              <w:bottom w:val="single" w:sz="8" w:space="0" w:color="auto"/>
              <w:right w:val="single" w:sz="8" w:space="0" w:color="auto"/>
            </w:tcBorders>
            <w:shd w:val="clear" w:color="auto" w:fill="auto"/>
            <w:noWrap/>
            <w:vAlign w:val="center"/>
            <w:hideMark/>
          </w:tcPr>
          <w:p w14:paraId="63763FF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78 089</w:t>
            </w:r>
          </w:p>
        </w:tc>
      </w:tr>
      <w:tr w:rsidR="0017127D" w:rsidRPr="0017127D" w14:paraId="5F9B642D"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3F501B7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62</w:t>
            </w:r>
          </w:p>
        </w:tc>
        <w:tc>
          <w:tcPr>
            <w:tcW w:w="7076" w:type="dxa"/>
            <w:tcBorders>
              <w:top w:val="nil"/>
              <w:left w:val="nil"/>
              <w:bottom w:val="single" w:sz="8" w:space="0" w:color="auto"/>
              <w:right w:val="single" w:sz="8" w:space="0" w:color="auto"/>
            </w:tcBorders>
            <w:shd w:val="clear" w:color="auto" w:fill="auto"/>
            <w:noWrap/>
            <w:vAlign w:val="center"/>
            <w:hideMark/>
          </w:tcPr>
          <w:p w14:paraId="7F3A7E1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"Dobeles un apkārtnes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02034A3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289 727</w:t>
            </w:r>
          </w:p>
        </w:tc>
        <w:tc>
          <w:tcPr>
            <w:tcW w:w="2127" w:type="dxa"/>
            <w:tcBorders>
              <w:top w:val="nil"/>
              <w:left w:val="nil"/>
              <w:bottom w:val="single" w:sz="8" w:space="0" w:color="auto"/>
              <w:right w:val="single" w:sz="8" w:space="0" w:color="auto"/>
            </w:tcBorders>
            <w:shd w:val="clear" w:color="auto" w:fill="auto"/>
            <w:noWrap/>
            <w:vAlign w:val="center"/>
            <w:hideMark/>
          </w:tcPr>
          <w:p w14:paraId="5342D32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67 451</w:t>
            </w:r>
          </w:p>
        </w:tc>
        <w:tc>
          <w:tcPr>
            <w:tcW w:w="1701" w:type="dxa"/>
            <w:tcBorders>
              <w:top w:val="nil"/>
              <w:left w:val="nil"/>
              <w:bottom w:val="single" w:sz="8" w:space="0" w:color="auto"/>
              <w:right w:val="single" w:sz="8" w:space="0" w:color="auto"/>
            </w:tcBorders>
            <w:shd w:val="clear" w:color="auto" w:fill="auto"/>
            <w:noWrap/>
            <w:vAlign w:val="center"/>
            <w:hideMark/>
          </w:tcPr>
          <w:p w14:paraId="45AB81B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222 276</w:t>
            </w:r>
          </w:p>
        </w:tc>
      </w:tr>
      <w:tr w:rsidR="0017127D" w:rsidRPr="0017127D" w14:paraId="1498513C"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675EFC5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63</w:t>
            </w:r>
          </w:p>
        </w:tc>
        <w:tc>
          <w:tcPr>
            <w:tcW w:w="7076" w:type="dxa"/>
            <w:tcBorders>
              <w:top w:val="nil"/>
              <w:left w:val="nil"/>
              <w:bottom w:val="single" w:sz="8" w:space="0" w:color="auto"/>
              <w:right w:val="single" w:sz="8" w:space="0" w:color="auto"/>
            </w:tcBorders>
            <w:shd w:val="clear" w:color="auto" w:fill="auto"/>
            <w:noWrap/>
            <w:vAlign w:val="center"/>
            <w:hideMark/>
          </w:tcPr>
          <w:p w14:paraId="4204A32D"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"Cēsu klīnika"</w:t>
            </w:r>
          </w:p>
        </w:tc>
        <w:tc>
          <w:tcPr>
            <w:tcW w:w="1984" w:type="dxa"/>
            <w:tcBorders>
              <w:top w:val="nil"/>
              <w:left w:val="nil"/>
              <w:bottom w:val="single" w:sz="8" w:space="0" w:color="auto"/>
              <w:right w:val="single" w:sz="8" w:space="0" w:color="auto"/>
            </w:tcBorders>
            <w:shd w:val="clear" w:color="auto" w:fill="auto"/>
            <w:noWrap/>
            <w:vAlign w:val="center"/>
            <w:hideMark/>
          </w:tcPr>
          <w:p w14:paraId="46F4C6F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9 336 621</w:t>
            </w:r>
          </w:p>
        </w:tc>
        <w:tc>
          <w:tcPr>
            <w:tcW w:w="2127" w:type="dxa"/>
            <w:tcBorders>
              <w:top w:val="nil"/>
              <w:left w:val="nil"/>
              <w:bottom w:val="single" w:sz="8" w:space="0" w:color="auto"/>
              <w:right w:val="single" w:sz="8" w:space="0" w:color="auto"/>
            </w:tcBorders>
            <w:shd w:val="clear" w:color="auto" w:fill="auto"/>
            <w:noWrap/>
            <w:vAlign w:val="center"/>
            <w:hideMark/>
          </w:tcPr>
          <w:p w14:paraId="3781045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9 188 558</w:t>
            </w:r>
          </w:p>
        </w:tc>
        <w:tc>
          <w:tcPr>
            <w:tcW w:w="1701" w:type="dxa"/>
            <w:tcBorders>
              <w:top w:val="nil"/>
              <w:left w:val="nil"/>
              <w:bottom w:val="single" w:sz="8" w:space="0" w:color="auto"/>
              <w:right w:val="single" w:sz="8" w:space="0" w:color="auto"/>
            </w:tcBorders>
            <w:shd w:val="clear" w:color="auto" w:fill="auto"/>
            <w:noWrap/>
            <w:vAlign w:val="center"/>
            <w:hideMark/>
          </w:tcPr>
          <w:p w14:paraId="6B90299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148 063</w:t>
            </w:r>
          </w:p>
        </w:tc>
      </w:tr>
      <w:tr w:rsidR="0017127D" w:rsidRPr="0017127D" w14:paraId="5216A8A1"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32713A7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64</w:t>
            </w:r>
          </w:p>
        </w:tc>
        <w:tc>
          <w:tcPr>
            <w:tcW w:w="7076" w:type="dxa"/>
            <w:tcBorders>
              <w:top w:val="nil"/>
              <w:left w:val="nil"/>
              <w:bottom w:val="single" w:sz="8" w:space="0" w:color="auto"/>
              <w:right w:val="single" w:sz="8" w:space="0" w:color="auto"/>
            </w:tcBorders>
            <w:shd w:val="clear" w:color="auto" w:fill="auto"/>
            <w:noWrap/>
            <w:vAlign w:val="center"/>
            <w:hideMark/>
          </w:tcPr>
          <w:p w14:paraId="3CDC047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"Madonas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5FA486B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9 999 050</w:t>
            </w:r>
          </w:p>
        </w:tc>
        <w:tc>
          <w:tcPr>
            <w:tcW w:w="2127" w:type="dxa"/>
            <w:tcBorders>
              <w:top w:val="nil"/>
              <w:left w:val="nil"/>
              <w:bottom w:val="single" w:sz="8" w:space="0" w:color="auto"/>
              <w:right w:val="single" w:sz="8" w:space="0" w:color="auto"/>
            </w:tcBorders>
            <w:shd w:val="clear" w:color="auto" w:fill="auto"/>
            <w:noWrap/>
            <w:vAlign w:val="center"/>
            <w:hideMark/>
          </w:tcPr>
          <w:p w14:paraId="45D14F3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9 598 404</w:t>
            </w:r>
          </w:p>
        </w:tc>
        <w:tc>
          <w:tcPr>
            <w:tcW w:w="1701" w:type="dxa"/>
            <w:tcBorders>
              <w:top w:val="nil"/>
              <w:left w:val="nil"/>
              <w:bottom w:val="single" w:sz="8" w:space="0" w:color="auto"/>
              <w:right w:val="single" w:sz="8" w:space="0" w:color="auto"/>
            </w:tcBorders>
            <w:shd w:val="clear" w:color="auto" w:fill="auto"/>
            <w:noWrap/>
            <w:vAlign w:val="center"/>
            <w:hideMark/>
          </w:tcPr>
          <w:p w14:paraId="09D8829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400 646</w:t>
            </w:r>
          </w:p>
        </w:tc>
      </w:tr>
      <w:tr w:rsidR="0017127D" w:rsidRPr="0017127D" w14:paraId="618EDEA6"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4A50172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65</w:t>
            </w:r>
          </w:p>
        </w:tc>
        <w:tc>
          <w:tcPr>
            <w:tcW w:w="7076" w:type="dxa"/>
            <w:tcBorders>
              <w:top w:val="nil"/>
              <w:left w:val="nil"/>
              <w:bottom w:val="single" w:sz="8" w:space="0" w:color="auto"/>
              <w:right w:val="single" w:sz="8" w:space="0" w:color="auto"/>
            </w:tcBorders>
            <w:shd w:val="clear" w:color="auto" w:fill="auto"/>
            <w:noWrap/>
            <w:vAlign w:val="center"/>
            <w:hideMark/>
          </w:tcPr>
          <w:p w14:paraId="7D953E3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“Ogres rajona slimnīca”</w:t>
            </w:r>
          </w:p>
        </w:tc>
        <w:tc>
          <w:tcPr>
            <w:tcW w:w="1984" w:type="dxa"/>
            <w:tcBorders>
              <w:top w:val="nil"/>
              <w:left w:val="nil"/>
              <w:bottom w:val="single" w:sz="8" w:space="0" w:color="auto"/>
              <w:right w:val="single" w:sz="8" w:space="0" w:color="auto"/>
            </w:tcBorders>
            <w:shd w:val="clear" w:color="auto" w:fill="auto"/>
            <w:noWrap/>
            <w:vAlign w:val="center"/>
            <w:hideMark/>
          </w:tcPr>
          <w:p w14:paraId="6181626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10 998 007</w:t>
            </w:r>
          </w:p>
        </w:tc>
        <w:tc>
          <w:tcPr>
            <w:tcW w:w="2127" w:type="dxa"/>
            <w:tcBorders>
              <w:top w:val="nil"/>
              <w:left w:val="nil"/>
              <w:bottom w:val="single" w:sz="8" w:space="0" w:color="auto"/>
              <w:right w:val="single" w:sz="8" w:space="0" w:color="auto"/>
            </w:tcBorders>
            <w:shd w:val="clear" w:color="auto" w:fill="auto"/>
            <w:noWrap/>
            <w:vAlign w:val="center"/>
            <w:hideMark/>
          </w:tcPr>
          <w:p w14:paraId="3BA9FFA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9 223 778</w:t>
            </w:r>
          </w:p>
        </w:tc>
        <w:tc>
          <w:tcPr>
            <w:tcW w:w="1701" w:type="dxa"/>
            <w:tcBorders>
              <w:top w:val="nil"/>
              <w:left w:val="nil"/>
              <w:bottom w:val="single" w:sz="8" w:space="0" w:color="auto"/>
              <w:right w:val="single" w:sz="8" w:space="0" w:color="auto"/>
            </w:tcBorders>
            <w:shd w:val="clear" w:color="auto" w:fill="auto"/>
            <w:noWrap/>
            <w:vAlign w:val="center"/>
            <w:hideMark/>
          </w:tcPr>
          <w:p w14:paraId="03C2C1B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1 774 229</w:t>
            </w:r>
          </w:p>
        </w:tc>
      </w:tr>
      <w:tr w:rsidR="0017127D" w:rsidRPr="0017127D" w14:paraId="3472D97E"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41007D9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66</w:t>
            </w:r>
          </w:p>
        </w:tc>
        <w:tc>
          <w:tcPr>
            <w:tcW w:w="7076" w:type="dxa"/>
            <w:tcBorders>
              <w:top w:val="nil"/>
              <w:left w:val="nil"/>
              <w:bottom w:val="single" w:sz="8" w:space="0" w:color="auto"/>
              <w:right w:val="single" w:sz="8" w:space="0" w:color="auto"/>
            </w:tcBorders>
            <w:shd w:val="clear" w:color="auto" w:fill="auto"/>
            <w:noWrap/>
            <w:vAlign w:val="center"/>
            <w:hideMark/>
          </w:tcPr>
          <w:p w14:paraId="4ADEEA4A"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"Rēzeknes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64CEE9F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20 000 000</w:t>
            </w:r>
          </w:p>
        </w:tc>
        <w:tc>
          <w:tcPr>
            <w:tcW w:w="2127" w:type="dxa"/>
            <w:tcBorders>
              <w:top w:val="nil"/>
              <w:left w:val="nil"/>
              <w:bottom w:val="single" w:sz="8" w:space="0" w:color="auto"/>
              <w:right w:val="single" w:sz="8" w:space="0" w:color="auto"/>
            </w:tcBorders>
            <w:shd w:val="clear" w:color="auto" w:fill="auto"/>
            <w:noWrap/>
            <w:vAlign w:val="center"/>
            <w:hideMark/>
          </w:tcPr>
          <w:p w14:paraId="70F2240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19 932 000</w:t>
            </w:r>
          </w:p>
        </w:tc>
        <w:tc>
          <w:tcPr>
            <w:tcW w:w="1701" w:type="dxa"/>
            <w:tcBorders>
              <w:top w:val="nil"/>
              <w:left w:val="nil"/>
              <w:bottom w:val="single" w:sz="8" w:space="0" w:color="auto"/>
              <w:right w:val="single" w:sz="8" w:space="0" w:color="auto"/>
            </w:tcBorders>
            <w:shd w:val="clear" w:color="auto" w:fill="auto"/>
            <w:noWrap/>
            <w:vAlign w:val="center"/>
            <w:hideMark/>
          </w:tcPr>
          <w:p w14:paraId="145C4FE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68 000</w:t>
            </w:r>
          </w:p>
        </w:tc>
      </w:tr>
      <w:tr w:rsidR="0017127D" w:rsidRPr="0017127D" w14:paraId="0D8A1D42"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350E789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67</w:t>
            </w:r>
          </w:p>
        </w:tc>
        <w:tc>
          <w:tcPr>
            <w:tcW w:w="7076" w:type="dxa"/>
            <w:tcBorders>
              <w:top w:val="nil"/>
              <w:left w:val="nil"/>
              <w:bottom w:val="single" w:sz="8" w:space="0" w:color="auto"/>
              <w:right w:val="single" w:sz="8" w:space="0" w:color="auto"/>
            </w:tcBorders>
            <w:shd w:val="clear" w:color="auto" w:fill="auto"/>
            <w:noWrap/>
            <w:vAlign w:val="center"/>
            <w:hideMark/>
          </w:tcPr>
          <w:p w14:paraId="0733F239"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"Rēzeknes Satiksme"</w:t>
            </w:r>
          </w:p>
        </w:tc>
        <w:tc>
          <w:tcPr>
            <w:tcW w:w="1984" w:type="dxa"/>
            <w:tcBorders>
              <w:top w:val="nil"/>
              <w:left w:val="nil"/>
              <w:bottom w:val="single" w:sz="8" w:space="0" w:color="auto"/>
              <w:right w:val="single" w:sz="8" w:space="0" w:color="auto"/>
            </w:tcBorders>
            <w:shd w:val="clear" w:color="auto" w:fill="auto"/>
            <w:noWrap/>
            <w:vAlign w:val="center"/>
            <w:hideMark/>
          </w:tcPr>
          <w:p w14:paraId="6EE03A3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2 388 612</w:t>
            </w:r>
          </w:p>
        </w:tc>
        <w:tc>
          <w:tcPr>
            <w:tcW w:w="2127" w:type="dxa"/>
            <w:tcBorders>
              <w:top w:val="nil"/>
              <w:left w:val="nil"/>
              <w:bottom w:val="single" w:sz="8" w:space="0" w:color="auto"/>
              <w:right w:val="single" w:sz="8" w:space="0" w:color="auto"/>
            </w:tcBorders>
            <w:shd w:val="clear" w:color="auto" w:fill="auto"/>
            <w:noWrap/>
            <w:vAlign w:val="center"/>
            <w:hideMark/>
          </w:tcPr>
          <w:p w14:paraId="2B27259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1 927 729</w:t>
            </w:r>
          </w:p>
        </w:tc>
        <w:tc>
          <w:tcPr>
            <w:tcW w:w="1701" w:type="dxa"/>
            <w:tcBorders>
              <w:top w:val="nil"/>
              <w:left w:val="nil"/>
              <w:bottom w:val="single" w:sz="8" w:space="0" w:color="auto"/>
              <w:right w:val="single" w:sz="8" w:space="0" w:color="auto"/>
            </w:tcBorders>
            <w:shd w:val="clear" w:color="auto" w:fill="auto"/>
            <w:noWrap/>
            <w:vAlign w:val="center"/>
            <w:hideMark/>
          </w:tcPr>
          <w:p w14:paraId="17D97C8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460 883</w:t>
            </w:r>
          </w:p>
        </w:tc>
      </w:tr>
      <w:tr w:rsidR="0017127D" w:rsidRPr="0017127D" w14:paraId="4AAE071F"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06912FE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68</w:t>
            </w:r>
          </w:p>
        </w:tc>
        <w:tc>
          <w:tcPr>
            <w:tcW w:w="7076" w:type="dxa"/>
            <w:tcBorders>
              <w:top w:val="nil"/>
              <w:left w:val="nil"/>
              <w:bottom w:val="single" w:sz="8" w:space="0" w:color="auto"/>
              <w:right w:val="single" w:sz="8" w:space="0" w:color="auto"/>
            </w:tcBorders>
            <w:shd w:val="clear" w:color="auto" w:fill="auto"/>
            <w:noWrap/>
            <w:vAlign w:val="center"/>
            <w:hideMark/>
          </w:tcPr>
          <w:p w14:paraId="0AE6F92D"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"Ziemeļkurzemes reģionālā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59F1E16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17 913 858</w:t>
            </w:r>
          </w:p>
        </w:tc>
        <w:tc>
          <w:tcPr>
            <w:tcW w:w="2127" w:type="dxa"/>
            <w:tcBorders>
              <w:top w:val="nil"/>
              <w:left w:val="nil"/>
              <w:bottom w:val="single" w:sz="8" w:space="0" w:color="auto"/>
              <w:right w:val="single" w:sz="8" w:space="0" w:color="auto"/>
            </w:tcBorders>
            <w:shd w:val="clear" w:color="auto" w:fill="auto"/>
            <w:noWrap/>
            <w:vAlign w:val="center"/>
            <w:hideMark/>
          </w:tcPr>
          <w:p w14:paraId="2F6207A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17 691 072</w:t>
            </w:r>
          </w:p>
        </w:tc>
        <w:tc>
          <w:tcPr>
            <w:tcW w:w="1701" w:type="dxa"/>
            <w:tcBorders>
              <w:top w:val="nil"/>
              <w:left w:val="nil"/>
              <w:bottom w:val="single" w:sz="8" w:space="0" w:color="auto"/>
              <w:right w:val="single" w:sz="8" w:space="0" w:color="auto"/>
            </w:tcBorders>
            <w:shd w:val="clear" w:color="auto" w:fill="auto"/>
            <w:noWrap/>
            <w:vAlign w:val="center"/>
            <w:hideMark/>
          </w:tcPr>
          <w:p w14:paraId="5ECBC76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222 786</w:t>
            </w:r>
          </w:p>
        </w:tc>
      </w:tr>
      <w:tr w:rsidR="0017127D" w:rsidRPr="0017127D" w14:paraId="28C8CF8D"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1154136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69</w:t>
            </w:r>
          </w:p>
        </w:tc>
        <w:tc>
          <w:tcPr>
            <w:tcW w:w="7076" w:type="dxa"/>
            <w:tcBorders>
              <w:top w:val="nil"/>
              <w:left w:val="nil"/>
              <w:bottom w:val="single" w:sz="8" w:space="0" w:color="auto"/>
              <w:right w:val="single" w:sz="8" w:space="0" w:color="auto"/>
            </w:tcBorders>
            <w:shd w:val="clear" w:color="auto" w:fill="auto"/>
            <w:noWrap/>
            <w:vAlign w:val="center"/>
            <w:hideMark/>
          </w:tcPr>
          <w:p w14:paraId="6178C914"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"Olimpiskais centrs "Ventspils""</w:t>
            </w:r>
          </w:p>
        </w:tc>
        <w:tc>
          <w:tcPr>
            <w:tcW w:w="1984" w:type="dxa"/>
            <w:tcBorders>
              <w:top w:val="nil"/>
              <w:left w:val="nil"/>
              <w:bottom w:val="single" w:sz="8" w:space="0" w:color="auto"/>
              <w:right w:val="single" w:sz="8" w:space="0" w:color="auto"/>
            </w:tcBorders>
            <w:shd w:val="clear" w:color="auto" w:fill="auto"/>
            <w:noWrap/>
            <w:vAlign w:val="center"/>
            <w:hideMark/>
          </w:tcPr>
          <w:p w14:paraId="71C6F7B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2 111 513</w:t>
            </w:r>
          </w:p>
        </w:tc>
        <w:tc>
          <w:tcPr>
            <w:tcW w:w="2127" w:type="dxa"/>
            <w:tcBorders>
              <w:top w:val="nil"/>
              <w:left w:val="nil"/>
              <w:bottom w:val="single" w:sz="8" w:space="0" w:color="auto"/>
              <w:right w:val="single" w:sz="8" w:space="0" w:color="auto"/>
            </w:tcBorders>
            <w:shd w:val="clear" w:color="auto" w:fill="auto"/>
            <w:noWrap/>
            <w:vAlign w:val="center"/>
            <w:hideMark/>
          </w:tcPr>
          <w:p w14:paraId="791A973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2 045 614</w:t>
            </w:r>
          </w:p>
        </w:tc>
        <w:tc>
          <w:tcPr>
            <w:tcW w:w="1701" w:type="dxa"/>
            <w:tcBorders>
              <w:top w:val="nil"/>
              <w:left w:val="nil"/>
              <w:bottom w:val="single" w:sz="8" w:space="0" w:color="auto"/>
              <w:right w:val="single" w:sz="8" w:space="0" w:color="auto"/>
            </w:tcBorders>
            <w:shd w:val="clear" w:color="auto" w:fill="auto"/>
            <w:noWrap/>
            <w:vAlign w:val="center"/>
            <w:hideMark/>
          </w:tcPr>
          <w:p w14:paraId="0C2955A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65 899</w:t>
            </w:r>
          </w:p>
        </w:tc>
      </w:tr>
      <w:tr w:rsidR="0017127D" w:rsidRPr="0017127D" w14:paraId="5539BA9A"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3ACF17C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70</w:t>
            </w:r>
          </w:p>
        </w:tc>
        <w:tc>
          <w:tcPr>
            <w:tcW w:w="7076" w:type="dxa"/>
            <w:tcBorders>
              <w:top w:val="nil"/>
              <w:left w:val="nil"/>
              <w:bottom w:val="single" w:sz="8" w:space="0" w:color="auto"/>
              <w:right w:val="single" w:sz="8" w:space="0" w:color="auto"/>
            </w:tcBorders>
            <w:shd w:val="clear" w:color="auto" w:fill="auto"/>
            <w:noWrap/>
            <w:vAlign w:val="center"/>
            <w:hideMark/>
          </w:tcPr>
          <w:p w14:paraId="35D133E5"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"Jūrmalas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35C0ADE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10 796 834</w:t>
            </w:r>
          </w:p>
        </w:tc>
        <w:tc>
          <w:tcPr>
            <w:tcW w:w="2127" w:type="dxa"/>
            <w:tcBorders>
              <w:top w:val="nil"/>
              <w:left w:val="nil"/>
              <w:bottom w:val="single" w:sz="8" w:space="0" w:color="auto"/>
              <w:right w:val="single" w:sz="8" w:space="0" w:color="auto"/>
            </w:tcBorders>
            <w:shd w:val="clear" w:color="auto" w:fill="auto"/>
            <w:noWrap/>
            <w:vAlign w:val="center"/>
            <w:hideMark/>
          </w:tcPr>
          <w:p w14:paraId="3BDC95B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10 666 583</w:t>
            </w:r>
          </w:p>
        </w:tc>
        <w:tc>
          <w:tcPr>
            <w:tcW w:w="1701" w:type="dxa"/>
            <w:tcBorders>
              <w:top w:val="nil"/>
              <w:left w:val="nil"/>
              <w:bottom w:val="single" w:sz="8" w:space="0" w:color="auto"/>
              <w:right w:val="single" w:sz="8" w:space="0" w:color="auto"/>
            </w:tcBorders>
            <w:shd w:val="clear" w:color="auto" w:fill="auto"/>
            <w:noWrap/>
            <w:vAlign w:val="center"/>
            <w:hideMark/>
          </w:tcPr>
          <w:p w14:paraId="18677D2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130 251</w:t>
            </w:r>
          </w:p>
        </w:tc>
      </w:tr>
      <w:tr w:rsidR="0017127D" w:rsidRPr="0017127D" w14:paraId="17091470"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22B899F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lastRenderedPageBreak/>
              <w:t>71</w:t>
            </w:r>
          </w:p>
        </w:tc>
        <w:tc>
          <w:tcPr>
            <w:tcW w:w="7076" w:type="dxa"/>
            <w:tcBorders>
              <w:top w:val="nil"/>
              <w:left w:val="nil"/>
              <w:bottom w:val="single" w:sz="8" w:space="0" w:color="auto"/>
              <w:right w:val="single" w:sz="8" w:space="0" w:color="auto"/>
            </w:tcBorders>
            <w:shd w:val="clear" w:color="auto" w:fill="auto"/>
            <w:noWrap/>
            <w:vAlign w:val="center"/>
            <w:hideMark/>
          </w:tcPr>
          <w:p w14:paraId="1EF6468F"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xml:space="preserve">Nodibinājums "Rīgas Tūrisma Attīstības Birojs" </w:t>
            </w:r>
          </w:p>
        </w:tc>
        <w:tc>
          <w:tcPr>
            <w:tcW w:w="1984" w:type="dxa"/>
            <w:tcBorders>
              <w:top w:val="nil"/>
              <w:left w:val="nil"/>
              <w:bottom w:val="single" w:sz="8" w:space="0" w:color="auto"/>
              <w:right w:val="single" w:sz="8" w:space="0" w:color="auto"/>
            </w:tcBorders>
            <w:shd w:val="clear" w:color="auto" w:fill="auto"/>
            <w:noWrap/>
            <w:vAlign w:val="center"/>
            <w:hideMark/>
          </w:tcPr>
          <w:p w14:paraId="68FDA28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2127" w:type="dxa"/>
            <w:tcBorders>
              <w:top w:val="nil"/>
              <w:left w:val="nil"/>
              <w:bottom w:val="single" w:sz="8" w:space="0" w:color="auto"/>
              <w:right w:val="single" w:sz="8" w:space="0" w:color="auto"/>
            </w:tcBorders>
            <w:shd w:val="clear" w:color="auto" w:fill="auto"/>
            <w:noWrap/>
            <w:vAlign w:val="center"/>
            <w:hideMark/>
          </w:tcPr>
          <w:p w14:paraId="6551194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c>
          <w:tcPr>
            <w:tcW w:w="1701" w:type="dxa"/>
            <w:tcBorders>
              <w:top w:val="nil"/>
              <w:left w:val="nil"/>
              <w:bottom w:val="single" w:sz="8" w:space="0" w:color="auto"/>
              <w:right w:val="single" w:sz="8" w:space="0" w:color="auto"/>
            </w:tcBorders>
            <w:shd w:val="clear" w:color="auto" w:fill="auto"/>
            <w:noWrap/>
            <w:vAlign w:val="center"/>
            <w:hideMark/>
          </w:tcPr>
          <w:p w14:paraId="73441C9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0</w:t>
            </w:r>
          </w:p>
        </w:tc>
      </w:tr>
      <w:tr w:rsidR="0017127D" w:rsidRPr="0017127D" w14:paraId="7FDC0508"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5261C8D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72</w:t>
            </w:r>
          </w:p>
        </w:tc>
        <w:tc>
          <w:tcPr>
            <w:tcW w:w="7076" w:type="dxa"/>
            <w:tcBorders>
              <w:top w:val="nil"/>
              <w:left w:val="nil"/>
              <w:bottom w:val="single" w:sz="8" w:space="0" w:color="auto"/>
              <w:right w:val="single" w:sz="8" w:space="0" w:color="auto"/>
            </w:tcBorders>
            <w:shd w:val="clear" w:color="auto" w:fill="auto"/>
            <w:noWrap/>
            <w:vAlign w:val="center"/>
            <w:hideMark/>
          </w:tcPr>
          <w:p w14:paraId="0C634DEE"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xml:space="preserve">SIA "Rīgas 2. slimnīca" </w:t>
            </w:r>
          </w:p>
        </w:tc>
        <w:tc>
          <w:tcPr>
            <w:tcW w:w="1984" w:type="dxa"/>
            <w:tcBorders>
              <w:top w:val="nil"/>
              <w:left w:val="nil"/>
              <w:bottom w:val="single" w:sz="8" w:space="0" w:color="auto"/>
              <w:right w:val="single" w:sz="8" w:space="0" w:color="auto"/>
            </w:tcBorders>
            <w:shd w:val="clear" w:color="auto" w:fill="auto"/>
            <w:noWrap/>
            <w:vAlign w:val="center"/>
            <w:hideMark/>
          </w:tcPr>
          <w:p w14:paraId="58B16B2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9 331 464</w:t>
            </w:r>
          </w:p>
        </w:tc>
        <w:tc>
          <w:tcPr>
            <w:tcW w:w="2127" w:type="dxa"/>
            <w:tcBorders>
              <w:top w:val="nil"/>
              <w:left w:val="nil"/>
              <w:bottom w:val="single" w:sz="8" w:space="0" w:color="auto"/>
              <w:right w:val="single" w:sz="8" w:space="0" w:color="auto"/>
            </w:tcBorders>
            <w:shd w:val="clear" w:color="auto" w:fill="auto"/>
            <w:noWrap/>
            <w:vAlign w:val="center"/>
            <w:hideMark/>
          </w:tcPr>
          <w:p w14:paraId="296923F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9 298 474</w:t>
            </w:r>
          </w:p>
        </w:tc>
        <w:tc>
          <w:tcPr>
            <w:tcW w:w="1701" w:type="dxa"/>
            <w:tcBorders>
              <w:top w:val="nil"/>
              <w:left w:val="nil"/>
              <w:bottom w:val="single" w:sz="8" w:space="0" w:color="auto"/>
              <w:right w:val="single" w:sz="8" w:space="0" w:color="auto"/>
            </w:tcBorders>
            <w:shd w:val="clear" w:color="auto" w:fill="auto"/>
            <w:noWrap/>
            <w:vAlign w:val="center"/>
            <w:hideMark/>
          </w:tcPr>
          <w:p w14:paraId="4194ADC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32990</w:t>
            </w:r>
          </w:p>
        </w:tc>
      </w:tr>
      <w:tr w:rsidR="0017127D" w:rsidRPr="0017127D" w14:paraId="0116C799"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36B9FE4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73</w:t>
            </w:r>
          </w:p>
        </w:tc>
        <w:tc>
          <w:tcPr>
            <w:tcW w:w="7076" w:type="dxa"/>
            <w:tcBorders>
              <w:top w:val="nil"/>
              <w:left w:val="nil"/>
              <w:bottom w:val="single" w:sz="8" w:space="0" w:color="auto"/>
              <w:right w:val="single" w:sz="8" w:space="0" w:color="auto"/>
            </w:tcBorders>
            <w:shd w:val="clear" w:color="auto" w:fill="auto"/>
            <w:noWrap/>
            <w:vAlign w:val="center"/>
            <w:hideMark/>
          </w:tcPr>
          <w:p w14:paraId="185C4202"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"Jelgavas pilsētas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265D0F4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14 339 802</w:t>
            </w:r>
          </w:p>
        </w:tc>
        <w:tc>
          <w:tcPr>
            <w:tcW w:w="2127" w:type="dxa"/>
            <w:tcBorders>
              <w:top w:val="nil"/>
              <w:left w:val="nil"/>
              <w:bottom w:val="single" w:sz="8" w:space="0" w:color="auto"/>
              <w:right w:val="single" w:sz="8" w:space="0" w:color="auto"/>
            </w:tcBorders>
            <w:shd w:val="clear" w:color="auto" w:fill="auto"/>
            <w:noWrap/>
            <w:vAlign w:val="center"/>
            <w:hideMark/>
          </w:tcPr>
          <w:p w14:paraId="5B1F2A3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13 111 414</w:t>
            </w:r>
          </w:p>
        </w:tc>
        <w:tc>
          <w:tcPr>
            <w:tcW w:w="1701" w:type="dxa"/>
            <w:tcBorders>
              <w:top w:val="nil"/>
              <w:left w:val="nil"/>
              <w:bottom w:val="single" w:sz="8" w:space="0" w:color="auto"/>
              <w:right w:val="single" w:sz="8" w:space="0" w:color="auto"/>
            </w:tcBorders>
            <w:shd w:val="clear" w:color="auto" w:fill="auto"/>
            <w:noWrap/>
            <w:vAlign w:val="center"/>
            <w:hideMark/>
          </w:tcPr>
          <w:p w14:paraId="55A39EF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1 228 388</w:t>
            </w:r>
          </w:p>
        </w:tc>
      </w:tr>
      <w:tr w:rsidR="0017127D" w:rsidRPr="0017127D" w14:paraId="6E34806B"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61F3E5D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74</w:t>
            </w:r>
          </w:p>
        </w:tc>
        <w:tc>
          <w:tcPr>
            <w:tcW w:w="7076" w:type="dxa"/>
            <w:tcBorders>
              <w:top w:val="nil"/>
              <w:left w:val="nil"/>
              <w:bottom w:val="single" w:sz="8" w:space="0" w:color="auto"/>
              <w:right w:val="single" w:sz="8" w:space="0" w:color="auto"/>
            </w:tcBorders>
            <w:shd w:val="clear" w:color="auto" w:fill="auto"/>
            <w:noWrap/>
            <w:vAlign w:val="center"/>
            <w:hideMark/>
          </w:tcPr>
          <w:p w14:paraId="64C537DB"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"Rīgas 1.slimnīca"</w:t>
            </w:r>
          </w:p>
        </w:tc>
        <w:tc>
          <w:tcPr>
            <w:tcW w:w="1984" w:type="dxa"/>
            <w:tcBorders>
              <w:top w:val="nil"/>
              <w:left w:val="nil"/>
              <w:bottom w:val="single" w:sz="8" w:space="0" w:color="auto"/>
              <w:right w:val="single" w:sz="8" w:space="0" w:color="auto"/>
            </w:tcBorders>
            <w:shd w:val="clear" w:color="auto" w:fill="auto"/>
            <w:noWrap/>
            <w:vAlign w:val="center"/>
            <w:hideMark/>
          </w:tcPr>
          <w:p w14:paraId="7CFCAE3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24 501 509</w:t>
            </w:r>
          </w:p>
        </w:tc>
        <w:tc>
          <w:tcPr>
            <w:tcW w:w="2127" w:type="dxa"/>
            <w:tcBorders>
              <w:top w:val="nil"/>
              <w:left w:val="nil"/>
              <w:bottom w:val="single" w:sz="8" w:space="0" w:color="auto"/>
              <w:right w:val="single" w:sz="8" w:space="0" w:color="auto"/>
            </w:tcBorders>
            <w:shd w:val="clear" w:color="auto" w:fill="auto"/>
            <w:noWrap/>
            <w:vAlign w:val="center"/>
            <w:hideMark/>
          </w:tcPr>
          <w:p w14:paraId="04B35B4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24 711 729</w:t>
            </w:r>
          </w:p>
        </w:tc>
        <w:tc>
          <w:tcPr>
            <w:tcW w:w="1701" w:type="dxa"/>
            <w:tcBorders>
              <w:top w:val="nil"/>
              <w:left w:val="nil"/>
              <w:bottom w:val="single" w:sz="8" w:space="0" w:color="auto"/>
              <w:right w:val="single" w:sz="8" w:space="0" w:color="auto"/>
            </w:tcBorders>
            <w:shd w:val="clear" w:color="auto" w:fill="auto"/>
            <w:noWrap/>
            <w:vAlign w:val="center"/>
            <w:hideMark/>
          </w:tcPr>
          <w:p w14:paraId="6FC185B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-210 220</w:t>
            </w:r>
          </w:p>
        </w:tc>
      </w:tr>
      <w:tr w:rsidR="0017127D" w:rsidRPr="0017127D" w14:paraId="234E3D28"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6F2F844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75</w:t>
            </w:r>
          </w:p>
        </w:tc>
        <w:tc>
          <w:tcPr>
            <w:tcW w:w="7076" w:type="dxa"/>
            <w:tcBorders>
              <w:top w:val="nil"/>
              <w:left w:val="nil"/>
              <w:bottom w:val="single" w:sz="8" w:space="0" w:color="auto"/>
              <w:right w:val="single" w:sz="8" w:space="0" w:color="auto"/>
            </w:tcBorders>
            <w:shd w:val="clear" w:color="auto" w:fill="auto"/>
            <w:noWrap/>
            <w:vAlign w:val="center"/>
            <w:hideMark/>
          </w:tcPr>
          <w:p w14:paraId="0CF277EE"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"Rīgas Dzemdību nams"</w:t>
            </w:r>
          </w:p>
        </w:tc>
        <w:tc>
          <w:tcPr>
            <w:tcW w:w="1984" w:type="dxa"/>
            <w:tcBorders>
              <w:top w:val="nil"/>
              <w:left w:val="nil"/>
              <w:bottom w:val="single" w:sz="8" w:space="0" w:color="auto"/>
              <w:right w:val="single" w:sz="8" w:space="0" w:color="auto"/>
            </w:tcBorders>
            <w:shd w:val="clear" w:color="auto" w:fill="auto"/>
            <w:noWrap/>
            <w:vAlign w:val="center"/>
            <w:hideMark/>
          </w:tcPr>
          <w:p w14:paraId="4CEF9AB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14 840 701</w:t>
            </w:r>
          </w:p>
        </w:tc>
        <w:tc>
          <w:tcPr>
            <w:tcW w:w="2127" w:type="dxa"/>
            <w:tcBorders>
              <w:top w:val="nil"/>
              <w:left w:val="nil"/>
              <w:bottom w:val="single" w:sz="8" w:space="0" w:color="auto"/>
              <w:right w:val="single" w:sz="8" w:space="0" w:color="auto"/>
            </w:tcBorders>
            <w:shd w:val="clear" w:color="auto" w:fill="auto"/>
            <w:noWrap/>
            <w:vAlign w:val="center"/>
            <w:hideMark/>
          </w:tcPr>
          <w:p w14:paraId="1F0FFDC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14 803 356</w:t>
            </w:r>
          </w:p>
        </w:tc>
        <w:tc>
          <w:tcPr>
            <w:tcW w:w="1701" w:type="dxa"/>
            <w:tcBorders>
              <w:top w:val="nil"/>
              <w:left w:val="nil"/>
              <w:bottom w:val="single" w:sz="8" w:space="0" w:color="auto"/>
              <w:right w:val="single" w:sz="8" w:space="0" w:color="auto"/>
            </w:tcBorders>
            <w:shd w:val="clear" w:color="auto" w:fill="auto"/>
            <w:noWrap/>
            <w:vAlign w:val="center"/>
            <w:hideMark/>
          </w:tcPr>
          <w:p w14:paraId="4386BEB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37 345</w:t>
            </w:r>
          </w:p>
        </w:tc>
      </w:tr>
      <w:tr w:rsidR="0017127D" w:rsidRPr="0017127D" w14:paraId="14D5AD47"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0B8CEB7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76</w:t>
            </w:r>
          </w:p>
        </w:tc>
        <w:tc>
          <w:tcPr>
            <w:tcW w:w="7076" w:type="dxa"/>
            <w:tcBorders>
              <w:top w:val="nil"/>
              <w:left w:val="nil"/>
              <w:bottom w:val="single" w:sz="8" w:space="0" w:color="auto"/>
              <w:right w:val="single" w:sz="8" w:space="0" w:color="auto"/>
            </w:tcBorders>
            <w:shd w:val="clear" w:color="auto" w:fill="auto"/>
            <w:noWrap/>
            <w:vAlign w:val="center"/>
            <w:hideMark/>
          </w:tcPr>
          <w:p w14:paraId="383310F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"Rīgas veselības centrs"</w:t>
            </w:r>
          </w:p>
        </w:tc>
        <w:tc>
          <w:tcPr>
            <w:tcW w:w="1984" w:type="dxa"/>
            <w:tcBorders>
              <w:top w:val="nil"/>
              <w:left w:val="nil"/>
              <w:bottom w:val="single" w:sz="8" w:space="0" w:color="auto"/>
              <w:right w:val="single" w:sz="8" w:space="0" w:color="auto"/>
            </w:tcBorders>
            <w:shd w:val="clear" w:color="auto" w:fill="auto"/>
            <w:noWrap/>
            <w:vAlign w:val="center"/>
            <w:hideMark/>
          </w:tcPr>
          <w:p w14:paraId="1A1DFB6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10 829 814</w:t>
            </w:r>
          </w:p>
        </w:tc>
        <w:tc>
          <w:tcPr>
            <w:tcW w:w="2127" w:type="dxa"/>
            <w:tcBorders>
              <w:top w:val="nil"/>
              <w:left w:val="nil"/>
              <w:bottom w:val="single" w:sz="8" w:space="0" w:color="auto"/>
              <w:right w:val="single" w:sz="8" w:space="0" w:color="auto"/>
            </w:tcBorders>
            <w:shd w:val="clear" w:color="auto" w:fill="auto"/>
            <w:noWrap/>
            <w:vAlign w:val="center"/>
            <w:hideMark/>
          </w:tcPr>
          <w:p w14:paraId="0B41FF4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10 811 120</w:t>
            </w:r>
          </w:p>
        </w:tc>
        <w:tc>
          <w:tcPr>
            <w:tcW w:w="1701" w:type="dxa"/>
            <w:tcBorders>
              <w:top w:val="nil"/>
              <w:left w:val="nil"/>
              <w:bottom w:val="single" w:sz="8" w:space="0" w:color="auto"/>
              <w:right w:val="single" w:sz="8" w:space="0" w:color="auto"/>
            </w:tcBorders>
            <w:shd w:val="clear" w:color="auto" w:fill="auto"/>
            <w:noWrap/>
            <w:vAlign w:val="center"/>
            <w:hideMark/>
          </w:tcPr>
          <w:p w14:paraId="7DE9FE8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18 694</w:t>
            </w:r>
          </w:p>
        </w:tc>
      </w:tr>
      <w:tr w:rsidR="0017127D" w:rsidRPr="0017127D" w14:paraId="4400E840"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64652D9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77</w:t>
            </w:r>
          </w:p>
        </w:tc>
        <w:tc>
          <w:tcPr>
            <w:tcW w:w="7076" w:type="dxa"/>
            <w:tcBorders>
              <w:top w:val="nil"/>
              <w:left w:val="nil"/>
              <w:bottom w:val="single" w:sz="8" w:space="0" w:color="auto"/>
              <w:right w:val="single" w:sz="8" w:space="0" w:color="auto"/>
            </w:tcBorders>
            <w:shd w:val="clear" w:color="auto" w:fill="auto"/>
            <w:noWrap/>
            <w:vAlign w:val="center"/>
            <w:hideMark/>
          </w:tcPr>
          <w:p w14:paraId="18921D66"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"Liepājas tramvajs"</w:t>
            </w:r>
          </w:p>
        </w:tc>
        <w:tc>
          <w:tcPr>
            <w:tcW w:w="1984" w:type="dxa"/>
            <w:tcBorders>
              <w:top w:val="nil"/>
              <w:left w:val="nil"/>
              <w:bottom w:val="single" w:sz="8" w:space="0" w:color="auto"/>
              <w:right w:val="single" w:sz="8" w:space="0" w:color="auto"/>
            </w:tcBorders>
            <w:shd w:val="clear" w:color="auto" w:fill="auto"/>
            <w:noWrap/>
            <w:vAlign w:val="center"/>
            <w:hideMark/>
          </w:tcPr>
          <w:p w14:paraId="387E7FF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2 148 000</w:t>
            </w:r>
          </w:p>
        </w:tc>
        <w:tc>
          <w:tcPr>
            <w:tcW w:w="2127" w:type="dxa"/>
            <w:tcBorders>
              <w:top w:val="nil"/>
              <w:left w:val="nil"/>
              <w:bottom w:val="single" w:sz="8" w:space="0" w:color="auto"/>
              <w:right w:val="single" w:sz="8" w:space="0" w:color="auto"/>
            </w:tcBorders>
            <w:shd w:val="clear" w:color="auto" w:fill="auto"/>
            <w:noWrap/>
            <w:vAlign w:val="center"/>
            <w:hideMark/>
          </w:tcPr>
          <w:p w14:paraId="6800CDA5"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1 841 319</w:t>
            </w:r>
          </w:p>
        </w:tc>
        <w:tc>
          <w:tcPr>
            <w:tcW w:w="1701" w:type="dxa"/>
            <w:tcBorders>
              <w:top w:val="nil"/>
              <w:left w:val="nil"/>
              <w:bottom w:val="single" w:sz="8" w:space="0" w:color="auto"/>
              <w:right w:val="single" w:sz="8" w:space="0" w:color="auto"/>
            </w:tcBorders>
            <w:shd w:val="clear" w:color="auto" w:fill="auto"/>
            <w:noWrap/>
            <w:vAlign w:val="center"/>
            <w:hideMark/>
          </w:tcPr>
          <w:p w14:paraId="01DE30C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306 681</w:t>
            </w:r>
          </w:p>
        </w:tc>
      </w:tr>
      <w:tr w:rsidR="0017127D" w:rsidRPr="0017127D" w14:paraId="14F22D48"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71DAC96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78</w:t>
            </w:r>
          </w:p>
        </w:tc>
        <w:tc>
          <w:tcPr>
            <w:tcW w:w="7076" w:type="dxa"/>
            <w:tcBorders>
              <w:top w:val="nil"/>
              <w:left w:val="nil"/>
              <w:bottom w:val="single" w:sz="8" w:space="0" w:color="auto"/>
              <w:right w:val="single" w:sz="8" w:space="0" w:color="auto"/>
            </w:tcBorders>
            <w:shd w:val="clear" w:color="auto" w:fill="auto"/>
            <w:noWrap/>
            <w:vAlign w:val="center"/>
            <w:hideMark/>
          </w:tcPr>
          <w:p w14:paraId="716E33D6"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"Liepājas reģionālā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2BC77F7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31 390 684</w:t>
            </w:r>
          </w:p>
        </w:tc>
        <w:tc>
          <w:tcPr>
            <w:tcW w:w="2127" w:type="dxa"/>
            <w:tcBorders>
              <w:top w:val="nil"/>
              <w:left w:val="nil"/>
              <w:bottom w:val="single" w:sz="8" w:space="0" w:color="auto"/>
              <w:right w:val="single" w:sz="8" w:space="0" w:color="auto"/>
            </w:tcBorders>
            <w:shd w:val="clear" w:color="auto" w:fill="auto"/>
            <w:noWrap/>
            <w:vAlign w:val="center"/>
            <w:hideMark/>
          </w:tcPr>
          <w:p w14:paraId="1F71F9A2"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29 336 077</w:t>
            </w:r>
          </w:p>
        </w:tc>
        <w:tc>
          <w:tcPr>
            <w:tcW w:w="1701" w:type="dxa"/>
            <w:tcBorders>
              <w:top w:val="nil"/>
              <w:left w:val="nil"/>
              <w:bottom w:val="single" w:sz="8" w:space="0" w:color="auto"/>
              <w:right w:val="single" w:sz="8" w:space="0" w:color="auto"/>
            </w:tcBorders>
            <w:shd w:val="clear" w:color="auto" w:fill="auto"/>
            <w:noWrap/>
            <w:vAlign w:val="center"/>
            <w:hideMark/>
          </w:tcPr>
          <w:p w14:paraId="728289E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2 054 607</w:t>
            </w:r>
          </w:p>
        </w:tc>
      </w:tr>
      <w:tr w:rsidR="0017127D" w:rsidRPr="0017127D" w14:paraId="7C2149E7"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29BFD11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79</w:t>
            </w:r>
          </w:p>
        </w:tc>
        <w:tc>
          <w:tcPr>
            <w:tcW w:w="7076" w:type="dxa"/>
            <w:tcBorders>
              <w:top w:val="nil"/>
              <w:left w:val="nil"/>
              <w:bottom w:val="single" w:sz="8" w:space="0" w:color="auto"/>
              <w:right w:val="single" w:sz="8" w:space="0" w:color="auto"/>
            </w:tcBorders>
            <w:shd w:val="clear" w:color="auto" w:fill="auto"/>
            <w:noWrap/>
            <w:vAlign w:val="center"/>
            <w:hideMark/>
          </w:tcPr>
          <w:p w14:paraId="3EC52018" w14:textId="1986DF53"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 xml:space="preserve">SIA </w:t>
            </w:r>
            <w:r w:rsidR="00D1653C">
              <w:rPr>
                <w:rFonts w:eastAsia="Times New Roman" w:cs="Times New Roman"/>
                <w:color w:val="000000"/>
                <w:sz w:val="18"/>
                <w:szCs w:val="18"/>
              </w:rPr>
              <w:t>"Avio</w:t>
            </w:r>
            <w:r w:rsidRPr="0017127D">
              <w:rPr>
                <w:rFonts w:eastAsia="Times New Roman" w:cs="Times New Roman"/>
                <w:color w:val="000000"/>
                <w:sz w:val="18"/>
                <w:szCs w:val="18"/>
              </w:rPr>
              <w:t>sabiedrība "Liepāja""</w:t>
            </w:r>
          </w:p>
        </w:tc>
        <w:tc>
          <w:tcPr>
            <w:tcW w:w="1984" w:type="dxa"/>
            <w:tcBorders>
              <w:top w:val="nil"/>
              <w:left w:val="nil"/>
              <w:bottom w:val="single" w:sz="8" w:space="0" w:color="auto"/>
              <w:right w:val="single" w:sz="8" w:space="0" w:color="auto"/>
            </w:tcBorders>
            <w:shd w:val="clear" w:color="auto" w:fill="auto"/>
            <w:noWrap/>
            <w:vAlign w:val="center"/>
            <w:hideMark/>
          </w:tcPr>
          <w:p w14:paraId="2B6D102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1936647</w:t>
            </w:r>
          </w:p>
        </w:tc>
        <w:tc>
          <w:tcPr>
            <w:tcW w:w="2127" w:type="dxa"/>
            <w:tcBorders>
              <w:top w:val="nil"/>
              <w:left w:val="nil"/>
              <w:bottom w:val="single" w:sz="8" w:space="0" w:color="auto"/>
              <w:right w:val="single" w:sz="8" w:space="0" w:color="auto"/>
            </w:tcBorders>
            <w:shd w:val="clear" w:color="auto" w:fill="auto"/>
            <w:noWrap/>
            <w:vAlign w:val="center"/>
            <w:hideMark/>
          </w:tcPr>
          <w:p w14:paraId="1211CDC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1784471</w:t>
            </w:r>
          </w:p>
        </w:tc>
        <w:tc>
          <w:tcPr>
            <w:tcW w:w="1701" w:type="dxa"/>
            <w:tcBorders>
              <w:top w:val="nil"/>
              <w:left w:val="nil"/>
              <w:bottom w:val="single" w:sz="8" w:space="0" w:color="auto"/>
              <w:right w:val="single" w:sz="8" w:space="0" w:color="auto"/>
            </w:tcBorders>
            <w:shd w:val="clear" w:color="auto" w:fill="auto"/>
            <w:noWrap/>
            <w:vAlign w:val="center"/>
            <w:hideMark/>
          </w:tcPr>
          <w:p w14:paraId="500F75A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152176</w:t>
            </w:r>
          </w:p>
        </w:tc>
      </w:tr>
      <w:tr w:rsidR="0017127D" w:rsidRPr="0017127D" w14:paraId="3EF194A8"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241D12A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80</w:t>
            </w:r>
          </w:p>
        </w:tc>
        <w:tc>
          <w:tcPr>
            <w:tcW w:w="7076" w:type="dxa"/>
            <w:tcBorders>
              <w:top w:val="nil"/>
              <w:left w:val="nil"/>
              <w:bottom w:val="single" w:sz="8" w:space="0" w:color="auto"/>
              <w:right w:val="single" w:sz="8" w:space="0" w:color="auto"/>
            </w:tcBorders>
            <w:shd w:val="clear" w:color="auto" w:fill="auto"/>
            <w:noWrap/>
            <w:vAlign w:val="center"/>
            <w:hideMark/>
          </w:tcPr>
          <w:p w14:paraId="0A60CA77"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"Daugavpils bērnu veselības centrs"</w:t>
            </w:r>
          </w:p>
        </w:tc>
        <w:tc>
          <w:tcPr>
            <w:tcW w:w="1984" w:type="dxa"/>
            <w:tcBorders>
              <w:top w:val="nil"/>
              <w:left w:val="nil"/>
              <w:bottom w:val="single" w:sz="8" w:space="0" w:color="auto"/>
              <w:right w:val="single" w:sz="8" w:space="0" w:color="auto"/>
            </w:tcBorders>
            <w:shd w:val="clear" w:color="auto" w:fill="auto"/>
            <w:noWrap/>
            <w:vAlign w:val="center"/>
            <w:hideMark/>
          </w:tcPr>
          <w:p w14:paraId="3E43E32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2 335 700</w:t>
            </w:r>
          </w:p>
        </w:tc>
        <w:tc>
          <w:tcPr>
            <w:tcW w:w="2127" w:type="dxa"/>
            <w:tcBorders>
              <w:top w:val="nil"/>
              <w:left w:val="nil"/>
              <w:bottom w:val="single" w:sz="8" w:space="0" w:color="auto"/>
              <w:right w:val="single" w:sz="8" w:space="0" w:color="auto"/>
            </w:tcBorders>
            <w:shd w:val="clear" w:color="auto" w:fill="auto"/>
            <w:noWrap/>
            <w:vAlign w:val="center"/>
            <w:hideMark/>
          </w:tcPr>
          <w:p w14:paraId="4D6DA07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2 314 470</w:t>
            </w:r>
          </w:p>
        </w:tc>
        <w:tc>
          <w:tcPr>
            <w:tcW w:w="1701" w:type="dxa"/>
            <w:tcBorders>
              <w:top w:val="nil"/>
              <w:left w:val="nil"/>
              <w:bottom w:val="single" w:sz="8" w:space="0" w:color="auto"/>
              <w:right w:val="single" w:sz="8" w:space="0" w:color="auto"/>
            </w:tcBorders>
            <w:shd w:val="clear" w:color="auto" w:fill="auto"/>
            <w:noWrap/>
            <w:vAlign w:val="center"/>
            <w:hideMark/>
          </w:tcPr>
          <w:p w14:paraId="01B2AF09"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21 230</w:t>
            </w:r>
          </w:p>
        </w:tc>
      </w:tr>
      <w:tr w:rsidR="0017127D" w:rsidRPr="0017127D" w14:paraId="20550152"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54E0C73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81</w:t>
            </w:r>
          </w:p>
        </w:tc>
        <w:tc>
          <w:tcPr>
            <w:tcW w:w="7076" w:type="dxa"/>
            <w:tcBorders>
              <w:top w:val="nil"/>
              <w:left w:val="nil"/>
              <w:bottom w:val="single" w:sz="8" w:space="0" w:color="auto"/>
              <w:right w:val="single" w:sz="8" w:space="0" w:color="auto"/>
            </w:tcBorders>
            <w:shd w:val="clear" w:color="auto" w:fill="auto"/>
            <w:noWrap/>
            <w:vAlign w:val="center"/>
            <w:hideMark/>
          </w:tcPr>
          <w:p w14:paraId="4E46DC06"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"Kuldīgas slimnīca"</w:t>
            </w:r>
          </w:p>
        </w:tc>
        <w:tc>
          <w:tcPr>
            <w:tcW w:w="1984" w:type="dxa"/>
            <w:tcBorders>
              <w:top w:val="nil"/>
              <w:left w:val="nil"/>
              <w:bottom w:val="single" w:sz="8" w:space="0" w:color="auto"/>
              <w:right w:val="single" w:sz="8" w:space="0" w:color="auto"/>
            </w:tcBorders>
            <w:shd w:val="clear" w:color="auto" w:fill="auto"/>
            <w:noWrap/>
            <w:vAlign w:val="center"/>
            <w:hideMark/>
          </w:tcPr>
          <w:p w14:paraId="0F73AC9F"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8 103 810</w:t>
            </w:r>
          </w:p>
        </w:tc>
        <w:tc>
          <w:tcPr>
            <w:tcW w:w="2127" w:type="dxa"/>
            <w:tcBorders>
              <w:top w:val="nil"/>
              <w:left w:val="nil"/>
              <w:bottom w:val="single" w:sz="8" w:space="0" w:color="auto"/>
              <w:right w:val="single" w:sz="8" w:space="0" w:color="auto"/>
            </w:tcBorders>
            <w:shd w:val="clear" w:color="auto" w:fill="auto"/>
            <w:noWrap/>
            <w:vAlign w:val="center"/>
            <w:hideMark/>
          </w:tcPr>
          <w:p w14:paraId="63B20C7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7 393 644</w:t>
            </w:r>
          </w:p>
        </w:tc>
        <w:tc>
          <w:tcPr>
            <w:tcW w:w="1701" w:type="dxa"/>
            <w:tcBorders>
              <w:top w:val="nil"/>
              <w:left w:val="nil"/>
              <w:bottom w:val="single" w:sz="8" w:space="0" w:color="auto"/>
              <w:right w:val="single" w:sz="8" w:space="0" w:color="auto"/>
            </w:tcBorders>
            <w:shd w:val="clear" w:color="auto" w:fill="auto"/>
            <w:noWrap/>
            <w:vAlign w:val="center"/>
            <w:hideMark/>
          </w:tcPr>
          <w:p w14:paraId="40949CED"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710 166</w:t>
            </w:r>
          </w:p>
        </w:tc>
      </w:tr>
      <w:tr w:rsidR="0017127D" w:rsidRPr="0017127D" w14:paraId="122A4F67"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78207CB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82</w:t>
            </w:r>
          </w:p>
        </w:tc>
        <w:tc>
          <w:tcPr>
            <w:tcW w:w="7076" w:type="dxa"/>
            <w:tcBorders>
              <w:top w:val="nil"/>
              <w:left w:val="nil"/>
              <w:bottom w:val="single" w:sz="8" w:space="0" w:color="auto"/>
              <w:right w:val="single" w:sz="8" w:space="0" w:color="auto"/>
            </w:tcBorders>
            <w:shd w:val="clear" w:color="auto" w:fill="auto"/>
            <w:noWrap/>
            <w:vAlign w:val="center"/>
            <w:hideMark/>
          </w:tcPr>
          <w:p w14:paraId="115DF8E3"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AS "Daugavpils satiksme"</w:t>
            </w:r>
          </w:p>
        </w:tc>
        <w:tc>
          <w:tcPr>
            <w:tcW w:w="1984" w:type="dxa"/>
            <w:tcBorders>
              <w:top w:val="nil"/>
              <w:left w:val="nil"/>
              <w:bottom w:val="single" w:sz="8" w:space="0" w:color="auto"/>
              <w:right w:val="single" w:sz="8" w:space="0" w:color="auto"/>
            </w:tcBorders>
            <w:shd w:val="clear" w:color="auto" w:fill="auto"/>
            <w:noWrap/>
            <w:vAlign w:val="center"/>
            <w:hideMark/>
          </w:tcPr>
          <w:p w14:paraId="5D21E61E"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9 166 671</w:t>
            </w:r>
          </w:p>
        </w:tc>
        <w:tc>
          <w:tcPr>
            <w:tcW w:w="2127" w:type="dxa"/>
            <w:tcBorders>
              <w:top w:val="nil"/>
              <w:left w:val="nil"/>
              <w:bottom w:val="single" w:sz="8" w:space="0" w:color="auto"/>
              <w:right w:val="single" w:sz="8" w:space="0" w:color="auto"/>
            </w:tcBorders>
            <w:shd w:val="clear" w:color="auto" w:fill="auto"/>
            <w:noWrap/>
            <w:vAlign w:val="center"/>
            <w:hideMark/>
          </w:tcPr>
          <w:p w14:paraId="7885FBF0"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8 299 574</w:t>
            </w:r>
          </w:p>
        </w:tc>
        <w:tc>
          <w:tcPr>
            <w:tcW w:w="1701" w:type="dxa"/>
            <w:tcBorders>
              <w:top w:val="nil"/>
              <w:left w:val="nil"/>
              <w:bottom w:val="single" w:sz="8" w:space="0" w:color="auto"/>
              <w:right w:val="single" w:sz="8" w:space="0" w:color="auto"/>
            </w:tcBorders>
            <w:shd w:val="clear" w:color="auto" w:fill="auto"/>
            <w:noWrap/>
            <w:vAlign w:val="center"/>
            <w:hideMark/>
          </w:tcPr>
          <w:p w14:paraId="471F2DB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867 097</w:t>
            </w:r>
          </w:p>
        </w:tc>
      </w:tr>
      <w:tr w:rsidR="0017127D" w:rsidRPr="0017127D" w14:paraId="3CB8726E"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7C34EE8B"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83</w:t>
            </w:r>
          </w:p>
        </w:tc>
        <w:tc>
          <w:tcPr>
            <w:tcW w:w="7076" w:type="dxa"/>
            <w:tcBorders>
              <w:top w:val="nil"/>
              <w:left w:val="nil"/>
              <w:bottom w:val="single" w:sz="8" w:space="0" w:color="auto"/>
              <w:right w:val="single" w:sz="8" w:space="0" w:color="auto"/>
            </w:tcBorders>
            <w:shd w:val="clear" w:color="auto" w:fill="auto"/>
            <w:noWrap/>
            <w:vAlign w:val="center"/>
            <w:hideMark/>
          </w:tcPr>
          <w:p w14:paraId="15B03951"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"Rīgas satiksme"</w:t>
            </w:r>
          </w:p>
        </w:tc>
        <w:tc>
          <w:tcPr>
            <w:tcW w:w="1984" w:type="dxa"/>
            <w:tcBorders>
              <w:top w:val="nil"/>
              <w:left w:val="nil"/>
              <w:bottom w:val="single" w:sz="8" w:space="0" w:color="auto"/>
              <w:right w:val="single" w:sz="8" w:space="0" w:color="auto"/>
            </w:tcBorders>
            <w:shd w:val="clear" w:color="auto" w:fill="auto"/>
            <w:noWrap/>
            <w:vAlign w:val="center"/>
            <w:hideMark/>
          </w:tcPr>
          <w:p w14:paraId="2493A4C8"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198 120 157</w:t>
            </w:r>
          </w:p>
        </w:tc>
        <w:tc>
          <w:tcPr>
            <w:tcW w:w="2127" w:type="dxa"/>
            <w:tcBorders>
              <w:top w:val="nil"/>
              <w:left w:val="nil"/>
              <w:bottom w:val="single" w:sz="8" w:space="0" w:color="auto"/>
              <w:right w:val="single" w:sz="8" w:space="0" w:color="auto"/>
            </w:tcBorders>
            <w:shd w:val="clear" w:color="auto" w:fill="auto"/>
            <w:noWrap/>
            <w:vAlign w:val="center"/>
            <w:hideMark/>
          </w:tcPr>
          <w:p w14:paraId="4F2543A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175 261 701</w:t>
            </w:r>
          </w:p>
        </w:tc>
        <w:tc>
          <w:tcPr>
            <w:tcW w:w="1701" w:type="dxa"/>
            <w:tcBorders>
              <w:top w:val="nil"/>
              <w:left w:val="nil"/>
              <w:bottom w:val="single" w:sz="8" w:space="0" w:color="auto"/>
              <w:right w:val="single" w:sz="8" w:space="0" w:color="auto"/>
            </w:tcBorders>
            <w:shd w:val="clear" w:color="auto" w:fill="auto"/>
            <w:noWrap/>
            <w:vAlign w:val="center"/>
            <w:hideMark/>
          </w:tcPr>
          <w:p w14:paraId="63A143F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22 858 456</w:t>
            </w:r>
          </w:p>
        </w:tc>
      </w:tr>
      <w:tr w:rsidR="0017127D" w:rsidRPr="0017127D" w14:paraId="05751150"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0B0AC5CC"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84</w:t>
            </w:r>
          </w:p>
        </w:tc>
        <w:tc>
          <w:tcPr>
            <w:tcW w:w="7076" w:type="dxa"/>
            <w:tcBorders>
              <w:top w:val="nil"/>
              <w:left w:val="nil"/>
              <w:bottom w:val="single" w:sz="8" w:space="0" w:color="auto"/>
              <w:right w:val="single" w:sz="8" w:space="0" w:color="auto"/>
            </w:tcBorders>
            <w:shd w:val="clear" w:color="auto" w:fill="auto"/>
            <w:noWrap/>
            <w:vAlign w:val="center"/>
            <w:hideMark/>
          </w:tcPr>
          <w:p w14:paraId="3752E2CD"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"Daugavpils reģionālā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01D39517"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61 102 301</w:t>
            </w:r>
          </w:p>
        </w:tc>
        <w:tc>
          <w:tcPr>
            <w:tcW w:w="2127" w:type="dxa"/>
            <w:tcBorders>
              <w:top w:val="nil"/>
              <w:left w:val="nil"/>
              <w:bottom w:val="single" w:sz="8" w:space="0" w:color="auto"/>
              <w:right w:val="single" w:sz="8" w:space="0" w:color="auto"/>
            </w:tcBorders>
            <w:shd w:val="clear" w:color="auto" w:fill="auto"/>
            <w:noWrap/>
            <w:vAlign w:val="center"/>
            <w:hideMark/>
          </w:tcPr>
          <w:p w14:paraId="2D0B32D4"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59 763 174</w:t>
            </w:r>
          </w:p>
        </w:tc>
        <w:tc>
          <w:tcPr>
            <w:tcW w:w="1701" w:type="dxa"/>
            <w:tcBorders>
              <w:top w:val="nil"/>
              <w:left w:val="nil"/>
              <w:bottom w:val="single" w:sz="8" w:space="0" w:color="auto"/>
              <w:right w:val="single" w:sz="8" w:space="0" w:color="auto"/>
            </w:tcBorders>
            <w:shd w:val="clear" w:color="auto" w:fill="auto"/>
            <w:noWrap/>
            <w:vAlign w:val="center"/>
            <w:hideMark/>
          </w:tcPr>
          <w:p w14:paraId="21A9AD9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1 339 127</w:t>
            </w:r>
          </w:p>
        </w:tc>
      </w:tr>
      <w:tr w:rsidR="0017127D" w:rsidRPr="0017127D" w14:paraId="68B03844" w14:textId="77777777" w:rsidTr="0017127D">
        <w:trPr>
          <w:trHeight w:val="300"/>
        </w:trPr>
        <w:tc>
          <w:tcPr>
            <w:tcW w:w="1136" w:type="dxa"/>
            <w:tcBorders>
              <w:top w:val="nil"/>
              <w:left w:val="single" w:sz="8" w:space="0" w:color="auto"/>
              <w:bottom w:val="single" w:sz="8" w:space="0" w:color="auto"/>
              <w:right w:val="single" w:sz="8" w:space="0" w:color="auto"/>
            </w:tcBorders>
            <w:shd w:val="clear" w:color="auto" w:fill="auto"/>
            <w:noWrap/>
            <w:vAlign w:val="center"/>
            <w:hideMark/>
          </w:tcPr>
          <w:p w14:paraId="7725D7EA"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85</w:t>
            </w:r>
          </w:p>
        </w:tc>
        <w:tc>
          <w:tcPr>
            <w:tcW w:w="7076" w:type="dxa"/>
            <w:tcBorders>
              <w:top w:val="nil"/>
              <w:left w:val="nil"/>
              <w:bottom w:val="single" w:sz="8" w:space="0" w:color="auto"/>
              <w:right w:val="single" w:sz="8" w:space="0" w:color="auto"/>
            </w:tcBorders>
            <w:shd w:val="clear" w:color="auto" w:fill="auto"/>
            <w:noWrap/>
            <w:vAlign w:val="center"/>
            <w:hideMark/>
          </w:tcPr>
          <w:p w14:paraId="01D93282" w14:textId="77777777" w:rsidR="0017127D" w:rsidRPr="0017127D" w:rsidRDefault="0017127D" w:rsidP="0017127D">
            <w:pPr>
              <w:spacing w:after="0"/>
              <w:ind w:firstLine="0"/>
              <w:jc w:val="left"/>
              <w:rPr>
                <w:rFonts w:eastAsia="Times New Roman" w:cs="Times New Roman"/>
                <w:color w:val="000000"/>
                <w:sz w:val="18"/>
                <w:szCs w:val="18"/>
              </w:rPr>
            </w:pPr>
            <w:r w:rsidRPr="0017127D">
              <w:rPr>
                <w:rFonts w:eastAsia="Times New Roman" w:cs="Times New Roman"/>
                <w:color w:val="000000"/>
                <w:sz w:val="18"/>
                <w:szCs w:val="18"/>
              </w:rPr>
              <w:t>SIA "Jēkabpils reģionālā slimnīca"</w:t>
            </w:r>
          </w:p>
        </w:tc>
        <w:tc>
          <w:tcPr>
            <w:tcW w:w="1984" w:type="dxa"/>
            <w:tcBorders>
              <w:top w:val="nil"/>
              <w:left w:val="nil"/>
              <w:bottom w:val="single" w:sz="8" w:space="0" w:color="auto"/>
              <w:right w:val="single" w:sz="8" w:space="0" w:color="auto"/>
            </w:tcBorders>
            <w:shd w:val="clear" w:color="auto" w:fill="auto"/>
            <w:noWrap/>
            <w:vAlign w:val="center"/>
            <w:hideMark/>
          </w:tcPr>
          <w:p w14:paraId="04735A81"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17 000 000</w:t>
            </w:r>
          </w:p>
        </w:tc>
        <w:tc>
          <w:tcPr>
            <w:tcW w:w="2127" w:type="dxa"/>
            <w:tcBorders>
              <w:top w:val="nil"/>
              <w:left w:val="nil"/>
              <w:bottom w:val="single" w:sz="8" w:space="0" w:color="auto"/>
              <w:right w:val="single" w:sz="8" w:space="0" w:color="auto"/>
            </w:tcBorders>
            <w:shd w:val="clear" w:color="auto" w:fill="auto"/>
            <w:noWrap/>
            <w:vAlign w:val="center"/>
            <w:hideMark/>
          </w:tcPr>
          <w:p w14:paraId="5863BFF6"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16 704 000</w:t>
            </w:r>
          </w:p>
        </w:tc>
        <w:tc>
          <w:tcPr>
            <w:tcW w:w="1701" w:type="dxa"/>
            <w:tcBorders>
              <w:top w:val="nil"/>
              <w:left w:val="nil"/>
              <w:bottom w:val="single" w:sz="8" w:space="0" w:color="auto"/>
              <w:right w:val="single" w:sz="8" w:space="0" w:color="auto"/>
            </w:tcBorders>
            <w:shd w:val="clear" w:color="auto" w:fill="auto"/>
            <w:noWrap/>
            <w:vAlign w:val="center"/>
            <w:hideMark/>
          </w:tcPr>
          <w:p w14:paraId="05C81A93" w14:textId="77777777" w:rsidR="0017127D" w:rsidRPr="0017127D" w:rsidRDefault="0017127D" w:rsidP="0017127D">
            <w:pPr>
              <w:spacing w:after="0"/>
              <w:ind w:firstLine="0"/>
              <w:jc w:val="right"/>
              <w:rPr>
                <w:rFonts w:eastAsia="Times New Roman" w:cs="Times New Roman"/>
                <w:color w:val="000000"/>
                <w:sz w:val="18"/>
                <w:szCs w:val="18"/>
              </w:rPr>
            </w:pPr>
            <w:r w:rsidRPr="0017127D">
              <w:rPr>
                <w:rFonts w:eastAsia="Times New Roman" w:cs="Times New Roman"/>
                <w:color w:val="000000"/>
                <w:sz w:val="18"/>
                <w:szCs w:val="18"/>
              </w:rPr>
              <w:t>296 000</w:t>
            </w:r>
          </w:p>
        </w:tc>
      </w:tr>
      <w:tr w:rsidR="0017127D" w:rsidRPr="0017127D" w14:paraId="73F7C5E9" w14:textId="77777777" w:rsidTr="0017127D">
        <w:trPr>
          <w:trHeight w:val="630"/>
        </w:trPr>
        <w:tc>
          <w:tcPr>
            <w:tcW w:w="14024" w:type="dxa"/>
            <w:gridSpan w:val="5"/>
            <w:tcBorders>
              <w:top w:val="nil"/>
              <w:left w:val="single" w:sz="8" w:space="0" w:color="auto"/>
              <w:bottom w:val="nil"/>
              <w:right w:val="single" w:sz="8" w:space="0" w:color="000000"/>
            </w:tcBorders>
            <w:shd w:val="clear" w:color="auto" w:fill="auto"/>
            <w:noWrap/>
            <w:vAlign w:val="center"/>
            <w:hideMark/>
          </w:tcPr>
          <w:p w14:paraId="4B6B71C1" w14:textId="77777777" w:rsidR="0017127D" w:rsidRPr="0017127D" w:rsidRDefault="0017127D" w:rsidP="0017127D">
            <w:pPr>
              <w:spacing w:after="0"/>
              <w:ind w:firstLine="0"/>
              <w:rPr>
                <w:rFonts w:eastAsia="Times New Roman" w:cs="Times New Roman"/>
                <w:color w:val="000000"/>
                <w:sz w:val="18"/>
                <w:szCs w:val="18"/>
              </w:rPr>
            </w:pPr>
            <w:r w:rsidRPr="0017127D">
              <w:rPr>
                <w:rFonts w:eastAsia="Times New Roman" w:cs="Times New Roman"/>
                <w:color w:val="000000"/>
                <w:sz w:val="18"/>
                <w:szCs w:val="18"/>
              </w:rPr>
              <w:t>Tabulā ir norādīti vispārējās valdības pieklasificēto kapitālsabiedrību ieņēmumi, izdevumi un ietekme uz B.9 neto aizdevumiem (+)/neto aizņēmumiem (-), atbilstoši kapitālsabiedrību atsūtītajām saimnieciskās darbības anketām.</w:t>
            </w:r>
          </w:p>
        </w:tc>
      </w:tr>
      <w:tr w:rsidR="0017127D" w:rsidRPr="0017127D" w14:paraId="0E57597B" w14:textId="77777777" w:rsidTr="0017127D">
        <w:trPr>
          <w:trHeight w:val="630"/>
        </w:trPr>
        <w:tc>
          <w:tcPr>
            <w:tcW w:w="14024" w:type="dxa"/>
            <w:gridSpan w:val="5"/>
            <w:tcBorders>
              <w:top w:val="nil"/>
              <w:left w:val="single" w:sz="8" w:space="0" w:color="auto"/>
              <w:bottom w:val="single" w:sz="8" w:space="0" w:color="auto"/>
              <w:right w:val="single" w:sz="8" w:space="0" w:color="000000"/>
            </w:tcBorders>
            <w:shd w:val="clear" w:color="auto" w:fill="auto"/>
            <w:noWrap/>
            <w:vAlign w:val="center"/>
            <w:hideMark/>
          </w:tcPr>
          <w:p w14:paraId="037082D2" w14:textId="77777777" w:rsidR="0017127D" w:rsidRPr="0017127D" w:rsidRDefault="0017127D" w:rsidP="0017127D">
            <w:pPr>
              <w:spacing w:after="0"/>
              <w:ind w:firstLine="0"/>
              <w:rPr>
                <w:rFonts w:eastAsia="Times New Roman" w:cs="Times New Roman"/>
                <w:color w:val="000000"/>
                <w:sz w:val="18"/>
                <w:szCs w:val="18"/>
              </w:rPr>
            </w:pPr>
            <w:r w:rsidRPr="0017127D">
              <w:rPr>
                <w:rFonts w:eastAsia="Times New Roman" w:cs="Times New Roman"/>
                <w:color w:val="000000"/>
                <w:sz w:val="18"/>
                <w:szCs w:val="18"/>
              </w:rPr>
              <w:t xml:space="preserve">Vispārējās valdības budžeta pieklasificēto kapitālsabiedrību ietekme uz B.9 neto aizdevumiem (+)/neto aizņēmumiem (-), kas iekļauta vispārējās valdības budžeta prognozēs 2024. gadā ir 26 260 630 </w:t>
            </w:r>
            <w:r w:rsidRPr="0017127D">
              <w:rPr>
                <w:rFonts w:eastAsia="Times New Roman" w:cs="Times New Roman"/>
                <w:i/>
                <w:iCs/>
                <w:color w:val="000000"/>
                <w:sz w:val="18"/>
                <w:szCs w:val="18"/>
              </w:rPr>
              <w:t>euro.</w:t>
            </w:r>
          </w:p>
        </w:tc>
      </w:tr>
    </w:tbl>
    <w:p w14:paraId="5B997672" w14:textId="39EC9ECD" w:rsidR="00E862CD" w:rsidRDefault="00E862CD" w:rsidP="0017127D">
      <w:pPr>
        <w:widowControl w:val="0"/>
        <w:ind w:firstLine="0"/>
        <w:rPr>
          <w:b/>
          <w:sz w:val="28"/>
          <w:szCs w:val="24"/>
        </w:rPr>
      </w:pPr>
    </w:p>
    <w:p w14:paraId="37487C6E" w14:textId="73E4852B" w:rsidR="003B4DAE" w:rsidRPr="00E862CD" w:rsidRDefault="00E862CD" w:rsidP="00E862CD">
      <w:pPr>
        <w:widowControl w:val="0"/>
        <w:rPr>
          <w:i/>
          <w:sz w:val="20"/>
          <w:szCs w:val="24"/>
        </w:rPr>
      </w:pPr>
      <w:r>
        <w:rPr>
          <w:i/>
          <w:sz w:val="20"/>
          <w:szCs w:val="24"/>
        </w:rPr>
        <w:t>Datu avots: Finanšu ministrija</w:t>
      </w:r>
    </w:p>
    <w:p w14:paraId="0C574D22" w14:textId="5352E7A0" w:rsidR="009D05C2" w:rsidRDefault="009D05C2" w:rsidP="00401A5B">
      <w:pPr>
        <w:widowControl w:val="0"/>
        <w:jc w:val="right"/>
        <w:rPr>
          <w:b/>
          <w:sz w:val="28"/>
          <w:szCs w:val="24"/>
        </w:rPr>
      </w:pPr>
    </w:p>
    <w:p w14:paraId="2E8CC675" w14:textId="1C9B0EF2" w:rsidR="0017127D" w:rsidRDefault="0017127D" w:rsidP="00401A5B">
      <w:pPr>
        <w:widowControl w:val="0"/>
        <w:jc w:val="right"/>
        <w:rPr>
          <w:b/>
          <w:sz w:val="28"/>
          <w:szCs w:val="24"/>
        </w:rPr>
      </w:pPr>
    </w:p>
    <w:p w14:paraId="03990F44" w14:textId="77777777" w:rsidR="0017127D" w:rsidRDefault="0017127D" w:rsidP="00401A5B">
      <w:pPr>
        <w:widowControl w:val="0"/>
        <w:jc w:val="right"/>
        <w:rPr>
          <w:b/>
          <w:sz w:val="28"/>
          <w:szCs w:val="24"/>
        </w:rPr>
      </w:pPr>
    </w:p>
    <w:p w14:paraId="3A3419D1" w14:textId="074C38D9" w:rsidR="009D05C2" w:rsidRPr="001D773D" w:rsidRDefault="00095088" w:rsidP="00401A5B">
      <w:pPr>
        <w:widowControl w:val="0"/>
        <w:jc w:val="right"/>
        <w:rPr>
          <w:rFonts w:eastAsia="Times New Roman" w:cs="Times New Roman"/>
          <w:color w:val="000000"/>
        </w:rPr>
      </w:pPr>
      <w:r w:rsidRPr="001D773D">
        <w:rPr>
          <w:rFonts w:eastAsia="Times New Roman" w:cs="Times New Roman"/>
          <w:color w:val="000000"/>
        </w:rPr>
        <w:lastRenderedPageBreak/>
        <w:t>3</w:t>
      </w:r>
      <w:r w:rsidR="009D05C2" w:rsidRPr="001D773D">
        <w:rPr>
          <w:rFonts w:eastAsia="Times New Roman" w:cs="Times New Roman"/>
          <w:color w:val="000000"/>
        </w:rPr>
        <w:t>.</w:t>
      </w:r>
      <w:r w:rsidRPr="001D773D">
        <w:rPr>
          <w:rFonts w:eastAsia="Times New Roman" w:cs="Times New Roman"/>
          <w:color w:val="000000"/>
        </w:rPr>
        <w:t xml:space="preserve"> </w:t>
      </w:r>
      <w:r w:rsidR="009D05C2" w:rsidRPr="001D773D">
        <w:rPr>
          <w:rFonts w:eastAsia="Times New Roman" w:cs="Times New Roman"/>
          <w:color w:val="000000"/>
        </w:rPr>
        <w:t>pielikums</w:t>
      </w:r>
    </w:p>
    <w:p w14:paraId="3EDA8EBF" w14:textId="09E6BE1D" w:rsidR="009D05C2" w:rsidRPr="001D773D" w:rsidRDefault="009D05C2" w:rsidP="000F6C00">
      <w:pPr>
        <w:pStyle w:val="ListParagraph"/>
        <w:widowControl w:val="0"/>
        <w:ind w:left="675"/>
        <w:jc w:val="right"/>
        <w:rPr>
          <w:b/>
          <w:szCs w:val="24"/>
        </w:rPr>
      </w:pPr>
      <w:r w:rsidRPr="001D773D">
        <w:rPr>
          <w:b/>
          <w:szCs w:val="24"/>
        </w:rPr>
        <w:t>Vispārējās valdības sektorā iekļauto kapitālsabiedrību prognozētā ietekme uz</w:t>
      </w:r>
      <w:r w:rsidR="00095088" w:rsidRPr="001D773D">
        <w:rPr>
          <w:b/>
          <w:szCs w:val="24"/>
        </w:rPr>
        <w:t xml:space="preserve"> vispārējās valdības parādu 2022., 2023. un 2024</w:t>
      </w:r>
      <w:r w:rsidRPr="001D773D">
        <w:rPr>
          <w:b/>
          <w:szCs w:val="24"/>
        </w:rPr>
        <w:t>.</w:t>
      </w:r>
      <w:r w:rsidR="00095088" w:rsidRPr="001D773D">
        <w:rPr>
          <w:b/>
          <w:szCs w:val="24"/>
        </w:rPr>
        <w:t xml:space="preserve"> </w:t>
      </w:r>
      <w:r w:rsidRPr="001D773D">
        <w:rPr>
          <w:b/>
          <w:szCs w:val="24"/>
        </w:rPr>
        <w:t>gadā</w:t>
      </w:r>
    </w:p>
    <w:tbl>
      <w:tblPr>
        <w:tblW w:w="14121" w:type="dxa"/>
        <w:tblLook w:val="04A0" w:firstRow="1" w:lastRow="0" w:firstColumn="1" w:lastColumn="0" w:noHBand="0" w:noVBand="1"/>
      </w:tblPr>
      <w:tblGrid>
        <w:gridCol w:w="1283"/>
        <w:gridCol w:w="8212"/>
        <w:gridCol w:w="1792"/>
        <w:gridCol w:w="1417"/>
        <w:gridCol w:w="1417"/>
      </w:tblGrid>
      <w:tr w:rsidR="003A0BFD" w:rsidRPr="003A0BFD" w14:paraId="2841300C" w14:textId="77777777" w:rsidTr="003A0BFD">
        <w:trPr>
          <w:trHeight w:val="373"/>
        </w:trPr>
        <w:tc>
          <w:tcPr>
            <w:tcW w:w="1283" w:type="dxa"/>
            <w:tcBorders>
              <w:top w:val="nil"/>
              <w:left w:val="nil"/>
              <w:bottom w:val="nil"/>
              <w:right w:val="nil"/>
            </w:tcBorders>
            <w:shd w:val="clear" w:color="auto" w:fill="auto"/>
            <w:noWrap/>
            <w:vAlign w:val="bottom"/>
            <w:hideMark/>
          </w:tcPr>
          <w:p w14:paraId="15F3AC53" w14:textId="77777777" w:rsidR="003A0BFD" w:rsidRPr="003A0BFD" w:rsidRDefault="003A0BFD" w:rsidP="003A0BFD">
            <w:pPr>
              <w:spacing w:after="0"/>
              <w:ind w:firstLine="0"/>
              <w:jc w:val="left"/>
              <w:rPr>
                <w:rFonts w:eastAsia="Times New Roman" w:cs="Times New Roman"/>
                <w:sz w:val="20"/>
                <w:szCs w:val="24"/>
              </w:rPr>
            </w:pPr>
          </w:p>
        </w:tc>
        <w:tc>
          <w:tcPr>
            <w:tcW w:w="8212" w:type="dxa"/>
            <w:tcBorders>
              <w:top w:val="nil"/>
              <w:left w:val="nil"/>
              <w:bottom w:val="nil"/>
              <w:right w:val="nil"/>
            </w:tcBorders>
            <w:shd w:val="clear" w:color="auto" w:fill="auto"/>
            <w:noWrap/>
            <w:vAlign w:val="bottom"/>
            <w:hideMark/>
          </w:tcPr>
          <w:p w14:paraId="4026AED7" w14:textId="77777777" w:rsidR="003A0BFD" w:rsidRPr="003A0BFD" w:rsidRDefault="003A0BFD" w:rsidP="003A0BFD">
            <w:pPr>
              <w:spacing w:after="0"/>
              <w:ind w:firstLine="0"/>
              <w:jc w:val="center"/>
              <w:rPr>
                <w:rFonts w:eastAsia="Times New Roman" w:cs="Times New Roman"/>
                <w:sz w:val="20"/>
                <w:szCs w:val="20"/>
              </w:rPr>
            </w:pPr>
          </w:p>
        </w:tc>
        <w:tc>
          <w:tcPr>
            <w:tcW w:w="1792" w:type="dxa"/>
            <w:tcBorders>
              <w:top w:val="nil"/>
              <w:left w:val="nil"/>
              <w:bottom w:val="nil"/>
              <w:right w:val="nil"/>
            </w:tcBorders>
            <w:shd w:val="clear" w:color="auto" w:fill="auto"/>
            <w:noWrap/>
            <w:vAlign w:val="bottom"/>
            <w:hideMark/>
          </w:tcPr>
          <w:p w14:paraId="270E3AE9" w14:textId="77777777" w:rsidR="003A0BFD" w:rsidRPr="003A0BFD" w:rsidRDefault="003A0BFD" w:rsidP="003A0BFD">
            <w:pPr>
              <w:spacing w:after="0"/>
              <w:ind w:firstLine="0"/>
              <w:jc w:val="right"/>
              <w:rPr>
                <w:rFonts w:eastAsia="Times New Roman" w:cs="Times New Roman"/>
                <w:sz w:val="20"/>
                <w:szCs w:val="20"/>
              </w:rPr>
            </w:pPr>
          </w:p>
        </w:tc>
        <w:tc>
          <w:tcPr>
            <w:tcW w:w="1417" w:type="dxa"/>
            <w:tcBorders>
              <w:top w:val="nil"/>
              <w:left w:val="nil"/>
              <w:bottom w:val="nil"/>
              <w:right w:val="nil"/>
            </w:tcBorders>
            <w:shd w:val="clear" w:color="auto" w:fill="auto"/>
            <w:noWrap/>
            <w:vAlign w:val="bottom"/>
            <w:hideMark/>
          </w:tcPr>
          <w:p w14:paraId="67F6B716" w14:textId="77777777" w:rsidR="003A0BFD" w:rsidRPr="003A0BFD" w:rsidRDefault="003A0BFD" w:rsidP="003A0BFD">
            <w:pPr>
              <w:spacing w:after="0"/>
              <w:ind w:firstLine="0"/>
              <w:jc w:val="left"/>
              <w:rPr>
                <w:rFonts w:eastAsia="Times New Roman" w:cs="Times New Roman"/>
                <w:sz w:val="20"/>
                <w:szCs w:val="20"/>
              </w:rPr>
            </w:pPr>
          </w:p>
        </w:tc>
        <w:tc>
          <w:tcPr>
            <w:tcW w:w="1417" w:type="dxa"/>
            <w:tcBorders>
              <w:top w:val="nil"/>
              <w:left w:val="nil"/>
              <w:bottom w:val="nil"/>
              <w:right w:val="nil"/>
            </w:tcBorders>
            <w:shd w:val="clear" w:color="auto" w:fill="auto"/>
            <w:noWrap/>
            <w:vAlign w:val="bottom"/>
            <w:hideMark/>
          </w:tcPr>
          <w:p w14:paraId="7EDABAE7" w14:textId="68715722" w:rsidR="003A0BFD" w:rsidRPr="003A0BFD" w:rsidRDefault="003A0BFD" w:rsidP="003A0BFD">
            <w:pPr>
              <w:spacing w:after="0"/>
              <w:ind w:firstLine="0"/>
              <w:jc w:val="right"/>
              <w:rPr>
                <w:rFonts w:eastAsia="Times New Roman" w:cs="Times New Roman"/>
                <w:i/>
                <w:iCs/>
                <w:color w:val="000000"/>
                <w:sz w:val="18"/>
                <w:szCs w:val="18"/>
              </w:rPr>
            </w:pPr>
            <w:r w:rsidRPr="003A0BFD">
              <w:rPr>
                <w:rFonts w:eastAsia="Times New Roman" w:cs="Times New Roman"/>
                <w:i/>
                <w:iCs/>
                <w:color w:val="000000"/>
                <w:sz w:val="18"/>
                <w:szCs w:val="18"/>
              </w:rPr>
              <w:t>milj.</w:t>
            </w:r>
            <w:r>
              <w:rPr>
                <w:rFonts w:eastAsia="Times New Roman" w:cs="Times New Roman"/>
                <w:i/>
                <w:iCs/>
                <w:color w:val="000000"/>
                <w:sz w:val="18"/>
                <w:szCs w:val="18"/>
              </w:rPr>
              <w:t xml:space="preserve"> </w:t>
            </w:r>
            <w:r w:rsidRPr="003A0BFD">
              <w:rPr>
                <w:rFonts w:eastAsia="Times New Roman" w:cs="Times New Roman"/>
                <w:i/>
                <w:iCs/>
                <w:color w:val="000000"/>
                <w:sz w:val="18"/>
                <w:szCs w:val="18"/>
              </w:rPr>
              <w:t>euro</w:t>
            </w:r>
          </w:p>
        </w:tc>
      </w:tr>
      <w:tr w:rsidR="003A0BFD" w:rsidRPr="003A0BFD" w14:paraId="5B1CB0EE" w14:textId="77777777" w:rsidTr="003A0BFD">
        <w:trPr>
          <w:trHeight w:val="107"/>
        </w:trPr>
        <w:tc>
          <w:tcPr>
            <w:tcW w:w="128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67DD0736" w14:textId="77777777" w:rsidR="003A0BFD" w:rsidRPr="003A0BFD" w:rsidRDefault="003A0BFD" w:rsidP="003A0BFD">
            <w:pPr>
              <w:spacing w:after="0"/>
              <w:ind w:firstLine="0"/>
              <w:jc w:val="center"/>
              <w:rPr>
                <w:rFonts w:eastAsia="Times New Roman" w:cs="Times New Roman"/>
                <w:color w:val="000000"/>
                <w:sz w:val="18"/>
                <w:szCs w:val="18"/>
              </w:rPr>
            </w:pPr>
            <w:r w:rsidRPr="003A0BFD">
              <w:rPr>
                <w:rFonts w:eastAsia="Times New Roman" w:cs="Times New Roman"/>
                <w:color w:val="000000"/>
                <w:sz w:val="18"/>
                <w:szCs w:val="18"/>
              </w:rPr>
              <w:t> </w:t>
            </w:r>
          </w:p>
        </w:tc>
        <w:tc>
          <w:tcPr>
            <w:tcW w:w="8212"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256A8E11"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 </w:t>
            </w:r>
          </w:p>
        </w:tc>
        <w:tc>
          <w:tcPr>
            <w:tcW w:w="1792"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03D8E7CA" w14:textId="77777777" w:rsidR="003A0BFD" w:rsidRPr="003A0BFD" w:rsidRDefault="003A0BFD" w:rsidP="003A0BFD">
            <w:pPr>
              <w:spacing w:after="0"/>
              <w:ind w:firstLine="0"/>
              <w:jc w:val="right"/>
              <w:rPr>
                <w:rFonts w:eastAsia="Times New Roman" w:cs="Times New Roman"/>
                <w:b/>
                <w:bCs/>
                <w:color w:val="000000"/>
                <w:sz w:val="18"/>
                <w:szCs w:val="18"/>
              </w:rPr>
            </w:pPr>
            <w:r w:rsidRPr="003A0BFD">
              <w:rPr>
                <w:rFonts w:eastAsia="Times New Roman" w:cs="Times New Roman"/>
                <w:b/>
                <w:bCs/>
                <w:color w:val="000000"/>
                <w:sz w:val="18"/>
                <w:szCs w:val="18"/>
              </w:rPr>
              <w:t>2022</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3340DA0B" w14:textId="77777777" w:rsidR="003A0BFD" w:rsidRPr="003A0BFD" w:rsidRDefault="003A0BFD" w:rsidP="003A0BFD">
            <w:pPr>
              <w:spacing w:after="0"/>
              <w:ind w:firstLine="0"/>
              <w:jc w:val="right"/>
              <w:rPr>
                <w:rFonts w:eastAsia="Times New Roman" w:cs="Times New Roman"/>
                <w:b/>
                <w:color w:val="000000"/>
                <w:sz w:val="18"/>
                <w:szCs w:val="18"/>
              </w:rPr>
            </w:pPr>
            <w:r w:rsidRPr="003A0BFD">
              <w:rPr>
                <w:rFonts w:eastAsia="Times New Roman" w:cs="Times New Roman"/>
                <w:b/>
                <w:color w:val="000000"/>
                <w:sz w:val="18"/>
                <w:szCs w:val="18"/>
              </w:rPr>
              <w:t>2023</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59F9B189" w14:textId="77777777" w:rsidR="003A0BFD" w:rsidRPr="003A0BFD" w:rsidRDefault="003A0BFD" w:rsidP="003A0BFD">
            <w:pPr>
              <w:spacing w:after="0"/>
              <w:ind w:firstLine="0"/>
              <w:jc w:val="right"/>
              <w:rPr>
                <w:rFonts w:eastAsia="Times New Roman" w:cs="Times New Roman"/>
                <w:b/>
                <w:color w:val="000000"/>
                <w:sz w:val="18"/>
                <w:szCs w:val="18"/>
              </w:rPr>
            </w:pPr>
            <w:r w:rsidRPr="003A0BFD">
              <w:rPr>
                <w:rFonts w:eastAsia="Times New Roman" w:cs="Times New Roman"/>
                <w:b/>
                <w:color w:val="000000"/>
                <w:sz w:val="18"/>
                <w:szCs w:val="18"/>
              </w:rPr>
              <w:t>2024</w:t>
            </w:r>
          </w:p>
        </w:tc>
      </w:tr>
      <w:tr w:rsidR="003A0BFD" w:rsidRPr="003A0BFD" w14:paraId="4E0E1A44" w14:textId="77777777" w:rsidTr="003A0BFD">
        <w:trPr>
          <w:trHeight w:val="231"/>
        </w:trPr>
        <w:tc>
          <w:tcPr>
            <w:tcW w:w="1283"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76BC8455"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 </w:t>
            </w:r>
          </w:p>
        </w:tc>
        <w:tc>
          <w:tcPr>
            <w:tcW w:w="8212" w:type="dxa"/>
            <w:tcBorders>
              <w:top w:val="nil"/>
              <w:left w:val="nil"/>
              <w:bottom w:val="single" w:sz="4" w:space="0" w:color="auto"/>
              <w:right w:val="single" w:sz="4" w:space="0" w:color="auto"/>
            </w:tcBorders>
            <w:shd w:val="clear" w:color="auto" w:fill="DEEAF6" w:themeFill="accent1" w:themeFillTint="33"/>
            <w:vAlign w:val="center"/>
            <w:hideMark/>
          </w:tcPr>
          <w:p w14:paraId="392DA3F8" w14:textId="77777777" w:rsidR="003A0BFD" w:rsidRPr="003A0BFD" w:rsidRDefault="003A0BFD" w:rsidP="003A0BFD">
            <w:pPr>
              <w:spacing w:after="0"/>
              <w:ind w:firstLine="0"/>
              <w:jc w:val="left"/>
              <w:rPr>
                <w:rFonts w:eastAsia="Times New Roman" w:cs="Times New Roman"/>
                <w:b/>
                <w:bCs/>
                <w:color w:val="000000"/>
                <w:sz w:val="18"/>
                <w:szCs w:val="18"/>
              </w:rPr>
            </w:pPr>
            <w:r w:rsidRPr="003A0BFD">
              <w:rPr>
                <w:rFonts w:eastAsia="Times New Roman" w:cs="Times New Roman"/>
                <w:b/>
                <w:bCs/>
                <w:color w:val="000000"/>
                <w:sz w:val="18"/>
                <w:szCs w:val="18"/>
              </w:rPr>
              <w:t>Ietekme uz vispārējās valdības parādu, kopā:</w:t>
            </w:r>
          </w:p>
        </w:tc>
        <w:tc>
          <w:tcPr>
            <w:tcW w:w="1792" w:type="dxa"/>
            <w:tcBorders>
              <w:top w:val="nil"/>
              <w:left w:val="nil"/>
              <w:bottom w:val="single" w:sz="4" w:space="0" w:color="auto"/>
              <w:right w:val="single" w:sz="4" w:space="0" w:color="auto"/>
            </w:tcBorders>
            <w:shd w:val="clear" w:color="auto" w:fill="DEEAF6" w:themeFill="accent1" w:themeFillTint="33"/>
            <w:vAlign w:val="center"/>
            <w:hideMark/>
          </w:tcPr>
          <w:p w14:paraId="26F83AEF" w14:textId="77777777" w:rsidR="003A0BFD" w:rsidRPr="003A0BFD" w:rsidRDefault="003A0BFD" w:rsidP="003A0BFD">
            <w:pPr>
              <w:spacing w:after="0"/>
              <w:ind w:firstLine="0"/>
              <w:jc w:val="right"/>
              <w:rPr>
                <w:rFonts w:eastAsia="Times New Roman" w:cs="Times New Roman"/>
                <w:b/>
                <w:bCs/>
                <w:color w:val="000000"/>
                <w:sz w:val="18"/>
                <w:szCs w:val="18"/>
              </w:rPr>
            </w:pPr>
            <w:r w:rsidRPr="003A0BFD">
              <w:rPr>
                <w:rFonts w:eastAsia="Times New Roman" w:cs="Times New Roman"/>
                <w:b/>
                <w:bCs/>
                <w:color w:val="000000"/>
                <w:sz w:val="18"/>
                <w:szCs w:val="18"/>
              </w:rPr>
              <w:t>782,9</w:t>
            </w:r>
          </w:p>
        </w:tc>
        <w:tc>
          <w:tcPr>
            <w:tcW w:w="1417" w:type="dxa"/>
            <w:tcBorders>
              <w:top w:val="nil"/>
              <w:left w:val="nil"/>
              <w:bottom w:val="single" w:sz="4" w:space="0" w:color="auto"/>
              <w:right w:val="single" w:sz="4" w:space="0" w:color="auto"/>
            </w:tcBorders>
            <w:shd w:val="clear" w:color="auto" w:fill="DEEAF6" w:themeFill="accent1" w:themeFillTint="33"/>
            <w:vAlign w:val="center"/>
            <w:hideMark/>
          </w:tcPr>
          <w:p w14:paraId="1BF9B480" w14:textId="77777777" w:rsidR="003A0BFD" w:rsidRPr="003A0BFD" w:rsidRDefault="003A0BFD" w:rsidP="003A0BFD">
            <w:pPr>
              <w:spacing w:after="0"/>
              <w:ind w:firstLine="0"/>
              <w:jc w:val="right"/>
              <w:rPr>
                <w:rFonts w:eastAsia="Times New Roman" w:cs="Times New Roman"/>
                <w:b/>
                <w:bCs/>
                <w:color w:val="000000"/>
                <w:sz w:val="18"/>
                <w:szCs w:val="18"/>
              </w:rPr>
            </w:pPr>
            <w:r w:rsidRPr="003A0BFD">
              <w:rPr>
                <w:rFonts w:eastAsia="Times New Roman" w:cs="Times New Roman"/>
                <w:b/>
                <w:bCs/>
                <w:color w:val="000000"/>
                <w:sz w:val="18"/>
                <w:szCs w:val="18"/>
              </w:rPr>
              <w:t>749,6</w:t>
            </w:r>
          </w:p>
        </w:tc>
        <w:tc>
          <w:tcPr>
            <w:tcW w:w="1417" w:type="dxa"/>
            <w:tcBorders>
              <w:top w:val="nil"/>
              <w:left w:val="nil"/>
              <w:bottom w:val="single" w:sz="4" w:space="0" w:color="auto"/>
              <w:right w:val="single" w:sz="4" w:space="0" w:color="auto"/>
            </w:tcBorders>
            <w:shd w:val="clear" w:color="auto" w:fill="DEEAF6" w:themeFill="accent1" w:themeFillTint="33"/>
            <w:vAlign w:val="center"/>
            <w:hideMark/>
          </w:tcPr>
          <w:p w14:paraId="558E4586" w14:textId="77777777" w:rsidR="003A0BFD" w:rsidRPr="003A0BFD" w:rsidRDefault="003A0BFD" w:rsidP="003A0BFD">
            <w:pPr>
              <w:spacing w:after="0"/>
              <w:ind w:firstLine="0"/>
              <w:jc w:val="right"/>
              <w:rPr>
                <w:rFonts w:eastAsia="Times New Roman" w:cs="Times New Roman"/>
                <w:b/>
                <w:bCs/>
                <w:color w:val="000000"/>
                <w:sz w:val="18"/>
                <w:szCs w:val="18"/>
              </w:rPr>
            </w:pPr>
            <w:r w:rsidRPr="003A0BFD">
              <w:rPr>
                <w:rFonts w:eastAsia="Times New Roman" w:cs="Times New Roman"/>
                <w:b/>
                <w:bCs/>
                <w:color w:val="000000"/>
                <w:sz w:val="18"/>
                <w:szCs w:val="18"/>
              </w:rPr>
              <w:t>714,2</w:t>
            </w:r>
          </w:p>
        </w:tc>
      </w:tr>
      <w:tr w:rsidR="003A0BFD" w:rsidRPr="003A0BFD" w14:paraId="791C6D43" w14:textId="77777777" w:rsidTr="003A0BFD">
        <w:trPr>
          <w:trHeight w:val="97"/>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0E1294D3" w14:textId="77777777" w:rsidR="003A0BFD" w:rsidRPr="003A0BFD" w:rsidRDefault="003A0BFD" w:rsidP="003A0BFD">
            <w:pPr>
              <w:spacing w:after="0"/>
              <w:ind w:firstLine="0"/>
              <w:jc w:val="center"/>
              <w:rPr>
                <w:rFonts w:eastAsia="Times New Roman" w:cs="Times New Roman"/>
                <w:color w:val="000000"/>
                <w:sz w:val="18"/>
                <w:szCs w:val="18"/>
              </w:rPr>
            </w:pPr>
            <w:r w:rsidRPr="003A0BFD">
              <w:rPr>
                <w:rFonts w:eastAsia="Times New Roman" w:cs="Times New Roman"/>
                <w:color w:val="000000"/>
                <w:sz w:val="18"/>
                <w:szCs w:val="18"/>
              </w:rPr>
              <w:t>S130100</w:t>
            </w:r>
          </w:p>
        </w:tc>
        <w:tc>
          <w:tcPr>
            <w:tcW w:w="8212" w:type="dxa"/>
            <w:tcBorders>
              <w:top w:val="nil"/>
              <w:left w:val="nil"/>
              <w:bottom w:val="single" w:sz="4" w:space="0" w:color="auto"/>
              <w:right w:val="single" w:sz="4" w:space="0" w:color="auto"/>
            </w:tcBorders>
            <w:shd w:val="clear" w:color="auto" w:fill="auto"/>
            <w:noWrap/>
            <w:vAlign w:val="bottom"/>
            <w:hideMark/>
          </w:tcPr>
          <w:p w14:paraId="79E40843"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 </w:t>
            </w:r>
          </w:p>
        </w:tc>
        <w:tc>
          <w:tcPr>
            <w:tcW w:w="1792" w:type="dxa"/>
            <w:tcBorders>
              <w:top w:val="nil"/>
              <w:left w:val="nil"/>
              <w:bottom w:val="single" w:sz="4" w:space="0" w:color="auto"/>
              <w:right w:val="single" w:sz="4" w:space="0" w:color="auto"/>
            </w:tcBorders>
            <w:shd w:val="clear" w:color="auto" w:fill="auto"/>
            <w:noWrap/>
            <w:vAlign w:val="bottom"/>
            <w:hideMark/>
          </w:tcPr>
          <w:p w14:paraId="3C1DF996"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 </w:t>
            </w:r>
          </w:p>
        </w:tc>
        <w:tc>
          <w:tcPr>
            <w:tcW w:w="1417" w:type="dxa"/>
            <w:tcBorders>
              <w:top w:val="nil"/>
              <w:left w:val="nil"/>
              <w:bottom w:val="single" w:sz="4" w:space="0" w:color="auto"/>
              <w:right w:val="single" w:sz="4" w:space="0" w:color="auto"/>
            </w:tcBorders>
            <w:shd w:val="clear" w:color="auto" w:fill="auto"/>
            <w:noWrap/>
            <w:vAlign w:val="bottom"/>
            <w:hideMark/>
          </w:tcPr>
          <w:p w14:paraId="64FCC416"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 </w:t>
            </w:r>
          </w:p>
        </w:tc>
        <w:tc>
          <w:tcPr>
            <w:tcW w:w="1417" w:type="dxa"/>
            <w:tcBorders>
              <w:top w:val="nil"/>
              <w:left w:val="nil"/>
              <w:bottom w:val="single" w:sz="4" w:space="0" w:color="auto"/>
              <w:right w:val="single" w:sz="4" w:space="0" w:color="auto"/>
            </w:tcBorders>
            <w:shd w:val="clear" w:color="auto" w:fill="auto"/>
            <w:noWrap/>
            <w:vAlign w:val="bottom"/>
            <w:hideMark/>
          </w:tcPr>
          <w:p w14:paraId="4FFB5C9A"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 </w:t>
            </w:r>
          </w:p>
        </w:tc>
      </w:tr>
      <w:tr w:rsidR="003A0BFD" w:rsidRPr="003A0BFD" w14:paraId="684CF3C5" w14:textId="77777777" w:rsidTr="003A0BFD">
        <w:trPr>
          <w:trHeight w:val="170"/>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5298A411"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w:t>
            </w:r>
          </w:p>
        </w:tc>
        <w:tc>
          <w:tcPr>
            <w:tcW w:w="8212" w:type="dxa"/>
            <w:tcBorders>
              <w:top w:val="nil"/>
              <w:left w:val="nil"/>
              <w:bottom w:val="single" w:sz="4" w:space="0" w:color="auto"/>
              <w:right w:val="single" w:sz="4" w:space="0" w:color="auto"/>
            </w:tcBorders>
            <w:shd w:val="clear" w:color="auto" w:fill="auto"/>
            <w:noWrap/>
            <w:vAlign w:val="bottom"/>
            <w:hideMark/>
          </w:tcPr>
          <w:p w14:paraId="44DAFC6A"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AS "Attīstības finanšu institūcija Altum"</w:t>
            </w:r>
          </w:p>
        </w:tc>
        <w:tc>
          <w:tcPr>
            <w:tcW w:w="1792" w:type="dxa"/>
            <w:tcBorders>
              <w:top w:val="nil"/>
              <w:left w:val="nil"/>
              <w:bottom w:val="single" w:sz="4" w:space="0" w:color="auto"/>
              <w:right w:val="single" w:sz="4" w:space="0" w:color="auto"/>
            </w:tcBorders>
            <w:shd w:val="clear" w:color="auto" w:fill="auto"/>
            <w:noWrap/>
            <w:vAlign w:val="bottom"/>
            <w:hideMark/>
          </w:tcPr>
          <w:p w14:paraId="201238FD"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179,2</w:t>
            </w:r>
          </w:p>
        </w:tc>
        <w:tc>
          <w:tcPr>
            <w:tcW w:w="1417" w:type="dxa"/>
            <w:tcBorders>
              <w:top w:val="nil"/>
              <w:left w:val="nil"/>
              <w:bottom w:val="single" w:sz="4" w:space="0" w:color="auto"/>
              <w:right w:val="single" w:sz="4" w:space="0" w:color="auto"/>
            </w:tcBorders>
            <w:shd w:val="clear" w:color="auto" w:fill="auto"/>
            <w:noWrap/>
            <w:vAlign w:val="bottom"/>
            <w:hideMark/>
          </w:tcPr>
          <w:p w14:paraId="76210A83"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181,1</w:t>
            </w:r>
          </w:p>
        </w:tc>
        <w:tc>
          <w:tcPr>
            <w:tcW w:w="1417" w:type="dxa"/>
            <w:tcBorders>
              <w:top w:val="nil"/>
              <w:left w:val="nil"/>
              <w:bottom w:val="single" w:sz="4" w:space="0" w:color="auto"/>
              <w:right w:val="single" w:sz="4" w:space="0" w:color="auto"/>
            </w:tcBorders>
            <w:shd w:val="clear" w:color="auto" w:fill="auto"/>
            <w:noWrap/>
            <w:vAlign w:val="bottom"/>
            <w:hideMark/>
          </w:tcPr>
          <w:p w14:paraId="6C9D442A"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201,1</w:t>
            </w:r>
          </w:p>
        </w:tc>
      </w:tr>
      <w:tr w:rsidR="003A0BFD" w:rsidRPr="003A0BFD" w14:paraId="798FA60F" w14:textId="77777777" w:rsidTr="003A0BFD">
        <w:trPr>
          <w:trHeight w:val="87"/>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6B30B7C9"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2</w:t>
            </w:r>
          </w:p>
        </w:tc>
        <w:tc>
          <w:tcPr>
            <w:tcW w:w="8212" w:type="dxa"/>
            <w:tcBorders>
              <w:top w:val="nil"/>
              <w:left w:val="nil"/>
              <w:bottom w:val="single" w:sz="4" w:space="0" w:color="auto"/>
              <w:right w:val="single" w:sz="4" w:space="0" w:color="auto"/>
            </w:tcBorders>
            <w:shd w:val="clear" w:color="auto" w:fill="auto"/>
            <w:noWrap/>
            <w:vAlign w:val="bottom"/>
            <w:hideMark/>
          </w:tcPr>
          <w:p w14:paraId="47079773"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AS "Enerģijas publiskais tirgotājs"</w:t>
            </w:r>
          </w:p>
        </w:tc>
        <w:tc>
          <w:tcPr>
            <w:tcW w:w="1792" w:type="dxa"/>
            <w:tcBorders>
              <w:top w:val="nil"/>
              <w:left w:val="nil"/>
              <w:bottom w:val="single" w:sz="4" w:space="0" w:color="auto"/>
              <w:right w:val="single" w:sz="4" w:space="0" w:color="auto"/>
            </w:tcBorders>
            <w:shd w:val="clear" w:color="auto" w:fill="auto"/>
            <w:noWrap/>
            <w:vAlign w:val="bottom"/>
            <w:hideMark/>
          </w:tcPr>
          <w:p w14:paraId="0949F351"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46,3</w:t>
            </w:r>
          </w:p>
        </w:tc>
        <w:tc>
          <w:tcPr>
            <w:tcW w:w="1417" w:type="dxa"/>
            <w:tcBorders>
              <w:top w:val="nil"/>
              <w:left w:val="nil"/>
              <w:bottom w:val="single" w:sz="4" w:space="0" w:color="auto"/>
              <w:right w:val="single" w:sz="4" w:space="0" w:color="auto"/>
            </w:tcBorders>
            <w:shd w:val="clear" w:color="auto" w:fill="auto"/>
            <w:noWrap/>
            <w:vAlign w:val="bottom"/>
            <w:hideMark/>
          </w:tcPr>
          <w:p w14:paraId="75082A69"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30,3</w:t>
            </w:r>
          </w:p>
        </w:tc>
        <w:tc>
          <w:tcPr>
            <w:tcW w:w="1417" w:type="dxa"/>
            <w:tcBorders>
              <w:top w:val="nil"/>
              <w:left w:val="nil"/>
              <w:bottom w:val="single" w:sz="4" w:space="0" w:color="auto"/>
              <w:right w:val="single" w:sz="4" w:space="0" w:color="auto"/>
            </w:tcBorders>
            <w:shd w:val="clear" w:color="auto" w:fill="auto"/>
            <w:noWrap/>
            <w:vAlign w:val="bottom"/>
            <w:hideMark/>
          </w:tcPr>
          <w:p w14:paraId="555002FE"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23,2</w:t>
            </w:r>
          </w:p>
        </w:tc>
      </w:tr>
      <w:tr w:rsidR="003A0BFD" w:rsidRPr="003A0BFD" w14:paraId="1F5E2319"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16E27AD9"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3</w:t>
            </w:r>
          </w:p>
        </w:tc>
        <w:tc>
          <w:tcPr>
            <w:tcW w:w="8212" w:type="dxa"/>
            <w:tcBorders>
              <w:top w:val="nil"/>
              <w:left w:val="nil"/>
              <w:bottom w:val="single" w:sz="4" w:space="0" w:color="auto"/>
              <w:right w:val="single" w:sz="4" w:space="0" w:color="auto"/>
            </w:tcBorders>
            <w:shd w:val="clear" w:color="auto" w:fill="auto"/>
            <w:noWrap/>
            <w:vAlign w:val="bottom"/>
            <w:hideMark/>
          </w:tcPr>
          <w:p w14:paraId="098F91CE"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VAS "Valsts nekustamie īpašumi"</w:t>
            </w:r>
          </w:p>
        </w:tc>
        <w:tc>
          <w:tcPr>
            <w:tcW w:w="1792" w:type="dxa"/>
            <w:tcBorders>
              <w:top w:val="nil"/>
              <w:left w:val="nil"/>
              <w:bottom w:val="single" w:sz="4" w:space="0" w:color="auto"/>
              <w:right w:val="single" w:sz="4" w:space="0" w:color="auto"/>
            </w:tcBorders>
            <w:shd w:val="clear" w:color="auto" w:fill="auto"/>
            <w:noWrap/>
            <w:vAlign w:val="bottom"/>
            <w:hideMark/>
          </w:tcPr>
          <w:p w14:paraId="63D93D70"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75,7</w:t>
            </w:r>
          </w:p>
        </w:tc>
        <w:tc>
          <w:tcPr>
            <w:tcW w:w="1417" w:type="dxa"/>
            <w:tcBorders>
              <w:top w:val="nil"/>
              <w:left w:val="nil"/>
              <w:bottom w:val="single" w:sz="4" w:space="0" w:color="auto"/>
              <w:right w:val="single" w:sz="4" w:space="0" w:color="auto"/>
            </w:tcBorders>
            <w:shd w:val="clear" w:color="auto" w:fill="auto"/>
            <w:noWrap/>
            <w:vAlign w:val="bottom"/>
            <w:hideMark/>
          </w:tcPr>
          <w:p w14:paraId="2016D4F8"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74,8</w:t>
            </w:r>
          </w:p>
        </w:tc>
        <w:tc>
          <w:tcPr>
            <w:tcW w:w="1417" w:type="dxa"/>
            <w:tcBorders>
              <w:top w:val="nil"/>
              <w:left w:val="nil"/>
              <w:bottom w:val="single" w:sz="4" w:space="0" w:color="auto"/>
              <w:right w:val="single" w:sz="4" w:space="0" w:color="auto"/>
            </w:tcBorders>
            <w:shd w:val="clear" w:color="auto" w:fill="auto"/>
            <w:noWrap/>
            <w:vAlign w:val="bottom"/>
            <w:hideMark/>
          </w:tcPr>
          <w:p w14:paraId="26F4FB6C"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75,9</w:t>
            </w:r>
          </w:p>
        </w:tc>
      </w:tr>
      <w:tr w:rsidR="003A0BFD" w:rsidRPr="003A0BFD" w14:paraId="740F170E"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797526C8"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4</w:t>
            </w:r>
          </w:p>
        </w:tc>
        <w:tc>
          <w:tcPr>
            <w:tcW w:w="8212" w:type="dxa"/>
            <w:tcBorders>
              <w:top w:val="nil"/>
              <w:left w:val="nil"/>
              <w:bottom w:val="single" w:sz="4" w:space="0" w:color="auto"/>
              <w:right w:val="single" w:sz="4" w:space="0" w:color="auto"/>
            </w:tcBorders>
            <w:shd w:val="clear" w:color="auto" w:fill="auto"/>
            <w:noWrap/>
            <w:vAlign w:val="bottom"/>
            <w:hideMark/>
          </w:tcPr>
          <w:p w14:paraId="1E5DC969"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VSIA "Paula Stradiņa klīniskā universitātes slimnīca"</w:t>
            </w:r>
          </w:p>
        </w:tc>
        <w:tc>
          <w:tcPr>
            <w:tcW w:w="1792" w:type="dxa"/>
            <w:tcBorders>
              <w:top w:val="nil"/>
              <w:left w:val="nil"/>
              <w:bottom w:val="single" w:sz="4" w:space="0" w:color="auto"/>
              <w:right w:val="single" w:sz="4" w:space="0" w:color="auto"/>
            </w:tcBorders>
            <w:shd w:val="clear" w:color="auto" w:fill="auto"/>
            <w:noWrap/>
            <w:vAlign w:val="bottom"/>
            <w:hideMark/>
          </w:tcPr>
          <w:p w14:paraId="0F047346"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42,6</w:t>
            </w:r>
          </w:p>
        </w:tc>
        <w:tc>
          <w:tcPr>
            <w:tcW w:w="1417" w:type="dxa"/>
            <w:tcBorders>
              <w:top w:val="nil"/>
              <w:left w:val="nil"/>
              <w:bottom w:val="single" w:sz="4" w:space="0" w:color="auto"/>
              <w:right w:val="single" w:sz="4" w:space="0" w:color="auto"/>
            </w:tcBorders>
            <w:shd w:val="clear" w:color="auto" w:fill="auto"/>
            <w:noWrap/>
            <w:vAlign w:val="bottom"/>
            <w:hideMark/>
          </w:tcPr>
          <w:p w14:paraId="38C70BC3"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40,5</w:t>
            </w:r>
          </w:p>
        </w:tc>
        <w:tc>
          <w:tcPr>
            <w:tcW w:w="1417" w:type="dxa"/>
            <w:tcBorders>
              <w:top w:val="nil"/>
              <w:left w:val="nil"/>
              <w:bottom w:val="single" w:sz="4" w:space="0" w:color="auto"/>
              <w:right w:val="single" w:sz="4" w:space="0" w:color="auto"/>
            </w:tcBorders>
            <w:shd w:val="clear" w:color="auto" w:fill="auto"/>
            <w:noWrap/>
            <w:vAlign w:val="bottom"/>
            <w:hideMark/>
          </w:tcPr>
          <w:p w14:paraId="471B0EAE"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38,3</w:t>
            </w:r>
          </w:p>
        </w:tc>
      </w:tr>
      <w:tr w:rsidR="003A0BFD" w:rsidRPr="003A0BFD" w14:paraId="493C218F"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01F458DE"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5</w:t>
            </w:r>
          </w:p>
        </w:tc>
        <w:tc>
          <w:tcPr>
            <w:tcW w:w="8212" w:type="dxa"/>
            <w:tcBorders>
              <w:top w:val="nil"/>
              <w:left w:val="nil"/>
              <w:bottom w:val="single" w:sz="4" w:space="0" w:color="auto"/>
              <w:right w:val="single" w:sz="4" w:space="0" w:color="auto"/>
            </w:tcBorders>
            <w:shd w:val="clear" w:color="auto" w:fill="auto"/>
            <w:noWrap/>
            <w:vAlign w:val="bottom"/>
            <w:hideMark/>
          </w:tcPr>
          <w:p w14:paraId="1601FBF7"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SIA "Rīgas Austrumu klīniskā universitātes slimnīca "</w:t>
            </w:r>
          </w:p>
        </w:tc>
        <w:tc>
          <w:tcPr>
            <w:tcW w:w="1792" w:type="dxa"/>
            <w:tcBorders>
              <w:top w:val="nil"/>
              <w:left w:val="nil"/>
              <w:bottom w:val="single" w:sz="4" w:space="0" w:color="auto"/>
              <w:right w:val="single" w:sz="4" w:space="0" w:color="auto"/>
            </w:tcBorders>
            <w:shd w:val="clear" w:color="auto" w:fill="auto"/>
            <w:noWrap/>
            <w:vAlign w:val="bottom"/>
            <w:hideMark/>
          </w:tcPr>
          <w:p w14:paraId="652BF8DD"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42,9</w:t>
            </w:r>
          </w:p>
        </w:tc>
        <w:tc>
          <w:tcPr>
            <w:tcW w:w="1417" w:type="dxa"/>
            <w:tcBorders>
              <w:top w:val="nil"/>
              <w:left w:val="nil"/>
              <w:bottom w:val="single" w:sz="4" w:space="0" w:color="auto"/>
              <w:right w:val="single" w:sz="4" w:space="0" w:color="auto"/>
            </w:tcBorders>
            <w:shd w:val="clear" w:color="auto" w:fill="auto"/>
            <w:noWrap/>
            <w:vAlign w:val="bottom"/>
            <w:hideMark/>
          </w:tcPr>
          <w:p w14:paraId="62F727BA"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41,3</w:t>
            </w:r>
          </w:p>
        </w:tc>
        <w:tc>
          <w:tcPr>
            <w:tcW w:w="1417" w:type="dxa"/>
            <w:tcBorders>
              <w:top w:val="nil"/>
              <w:left w:val="nil"/>
              <w:bottom w:val="single" w:sz="4" w:space="0" w:color="auto"/>
              <w:right w:val="single" w:sz="4" w:space="0" w:color="auto"/>
            </w:tcBorders>
            <w:shd w:val="clear" w:color="auto" w:fill="auto"/>
            <w:noWrap/>
            <w:vAlign w:val="bottom"/>
            <w:hideMark/>
          </w:tcPr>
          <w:p w14:paraId="3EBBE48F"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39,7</w:t>
            </w:r>
          </w:p>
        </w:tc>
      </w:tr>
      <w:tr w:rsidR="003A0BFD" w:rsidRPr="003A0BFD" w14:paraId="1675AADE"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22E03C19"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6</w:t>
            </w:r>
          </w:p>
        </w:tc>
        <w:tc>
          <w:tcPr>
            <w:tcW w:w="8212" w:type="dxa"/>
            <w:tcBorders>
              <w:top w:val="nil"/>
              <w:left w:val="nil"/>
              <w:bottom w:val="single" w:sz="4" w:space="0" w:color="auto"/>
              <w:right w:val="single" w:sz="4" w:space="0" w:color="auto"/>
            </w:tcBorders>
            <w:shd w:val="clear" w:color="auto" w:fill="auto"/>
            <w:noWrap/>
            <w:vAlign w:val="bottom"/>
            <w:hideMark/>
          </w:tcPr>
          <w:p w14:paraId="0F6E5A0F" w14:textId="3BAB4992" w:rsidR="003A0BFD" w:rsidRPr="003A0BFD" w:rsidRDefault="003A0BFD" w:rsidP="003A0BFD">
            <w:pPr>
              <w:spacing w:after="0"/>
              <w:ind w:firstLine="0"/>
              <w:jc w:val="left"/>
              <w:rPr>
                <w:rFonts w:eastAsia="Times New Roman" w:cs="Times New Roman"/>
                <w:color w:val="000000"/>
                <w:sz w:val="18"/>
                <w:szCs w:val="18"/>
              </w:rPr>
            </w:pPr>
            <w:r>
              <w:rPr>
                <w:rFonts w:eastAsia="Times New Roman" w:cs="Times New Roman"/>
                <w:color w:val="000000"/>
                <w:sz w:val="18"/>
                <w:szCs w:val="18"/>
              </w:rPr>
              <w:t>VAS "Latvijas autoceļu uzturētāj</w:t>
            </w:r>
            <w:r w:rsidRPr="003A0BFD">
              <w:rPr>
                <w:rFonts w:eastAsia="Times New Roman" w:cs="Times New Roman"/>
                <w:color w:val="000000"/>
                <w:sz w:val="18"/>
                <w:szCs w:val="18"/>
              </w:rPr>
              <w:t>s"</w:t>
            </w:r>
          </w:p>
        </w:tc>
        <w:tc>
          <w:tcPr>
            <w:tcW w:w="1792" w:type="dxa"/>
            <w:tcBorders>
              <w:top w:val="nil"/>
              <w:left w:val="nil"/>
              <w:bottom w:val="single" w:sz="4" w:space="0" w:color="auto"/>
              <w:right w:val="single" w:sz="4" w:space="0" w:color="auto"/>
            </w:tcBorders>
            <w:shd w:val="clear" w:color="auto" w:fill="auto"/>
            <w:noWrap/>
            <w:vAlign w:val="bottom"/>
            <w:hideMark/>
          </w:tcPr>
          <w:p w14:paraId="1781B629"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18,0</w:t>
            </w:r>
          </w:p>
        </w:tc>
        <w:tc>
          <w:tcPr>
            <w:tcW w:w="1417" w:type="dxa"/>
            <w:tcBorders>
              <w:top w:val="nil"/>
              <w:left w:val="nil"/>
              <w:bottom w:val="single" w:sz="4" w:space="0" w:color="auto"/>
              <w:right w:val="single" w:sz="4" w:space="0" w:color="auto"/>
            </w:tcBorders>
            <w:shd w:val="clear" w:color="auto" w:fill="auto"/>
            <w:noWrap/>
            <w:vAlign w:val="bottom"/>
            <w:hideMark/>
          </w:tcPr>
          <w:p w14:paraId="66360C06"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17,9</w:t>
            </w:r>
          </w:p>
        </w:tc>
        <w:tc>
          <w:tcPr>
            <w:tcW w:w="1417" w:type="dxa"/>
            <w:tcBorders>
              <w:top w:val="nil"/>
              <w:left w:val="nil"/>
              <w:bottom w:val="single" w:sz="4" w:space="0" w:color="auto"/>
              <w:right w:val="single" w:sz="4" w:space="0" w:color="auto"/>
            </w:tcBorders>
            <w:shd w:val="clear" w:color="auto" w:fill="auto"/>
            <w:noWrap/>
            <w:vAlign w:val="bottom"/>
            <w:hideMark/>
          </w:tcPr>
          <w:p w14:paraId="427826CF"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17,9</w:t>
            </w:r>
          </w:p>
        </w:tc>
      </w:tr>
      <w:tr w:rsidR="003A0BFD" w:rsidRPr="003A0BFD" w14:paraId="66C7097B"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3B28CE0E"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7</w:t>
            </w:r>
          </w:p>
        </w:tc>
        <w:tc>
          <w:tcPr>
            <w:tcW w:w="8212" w:type="dxa"/>
            <w:tcBorders>
              <w:top w:val="nil"/>
              <w:left w:val="nil"/>
              <w:bottom w:val="single" w:sz="4" w:space="0" w:color="auto"/>
              <w:right w:val="single" w:sz="4" w:space="0" w:color="auto"/>
            </w:tcBorders>
            <w:shd w:val="clear" w:color="auto" w:fill="auto"/>
            <w:noWrap/>
            <w:vAlign w:val="bottom"/>
            <w:hideMark/>
          </w:tcPr>
          <w:p w14:paraId="2775CCE6"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VAS "Tiesu namu aģentūra"</w:t>
            </w:r>
          </w:p>
        </w:tc>
        <w:tc>
          <w:tcPr>
            <w:tcW w:w="1792" w:type="dxa"/>
            <w:tcBorders>
              <w:top w:val="nil"/>
              <w:left w:val="nil"/>
              <w:bottom w:val="single" w:sz="4" w:space="0" w:color="auto"/>
              <w:right w:val="single" w:sz="4" w:space="0" w:color="auto"/>
            </w:tcBorders>
            <w:shd w:val="clear" w:color="auto" w:fill="auto"/>
            <w:noWrap/>
            <w:vAlign w:val="bottom"/>
            <w:hideMark/>
          </w:tcPr>
          <w:p w14:paraId="6D4256EA"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16,1</w:t>
            </w:r>
          </w:p>
        </w:tc>
        <w:tc>
          <w:tcPr>
            <w:tcW w:w="1417" w:type="dxa"/>
            <w:tcBorders>
              <w:top w:val="nil"/>
              <w:left w:val="nil"/>
              <w:bottom w:val="single" w:sz="4" w:space="0" w:color="auto"/>
              <w:right w:val="single" w:sz="4" w:space="0" w:color="auto"/>
            </w:tcBorders>
            <w:shd w:val="clear" w:color="auto" w:fill="auto"/>
            <w:noWrap/>
            <w:vAlign w:val="bottom"/>
            <w:hideMark/>
          </w:tcPr>
          <w:p w14:paraId="250D342A"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14,8</w:t>
            </w:r>
          </w:p>
        </w:tc>
        <w:tc>
          <w:tcPr>
            <w:tcW w:w="1417" w:type="dxa"/>
            <w:tcBorders>
              <w:top w:val="nil"/>
              <w:left w:val="nil"/>
              <w:bottom w:val="single" w:sz="4" w:space="0" w:color="auto"/>
              <w:right w:val="single" w:sz="4" w:space="0" w:color="auto"/>
            </w:tcBorders>
            <w:shd w:val="clear" w:color="auto" w:fill="auto"/>
            <w:noWrap/>
            <w:vAlign w:val="bottom"/>
            <w:hideMark/>
          </w:tcPr>
          <w:p w14:paraId="0696EB21"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13,6</w:t>
            </w:r>
          </w:p>
        </w:tc>
      </w:tr>
      <w:tr w:rsidR="003A0BFD" w:rsidRPr="003A0BFD" w14:paraId="336DBBFA"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7CC3B23C"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8</w:t>
            </w:r>
          </w:p>
        </w:tc>
        <w:tc>
          <w:tcPr>
            <w:tcW w:w="8212" w:type="dxa"/>
            <w:tcBorders>
              <w:top w:val="nil"/>
              <w:left w:val="nil"/>
              <w:bottom w:val="single" w:sz="4" w:space="0" w:color="auto"/>
              <w:right w:val="single" w:sz="4" w:space="0" w:color="auto"/>
            </w:tcBorders>
            <w:shd w:val="clear" w:color="auto" w:fill="auto"/>
            <w:noWrap/>
            <w:vAlign w:val="bottom"/>
            <w:hideMark/>
          </w:tcPr>
          <w:p w14:paraId="7A999FFB"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VSIA "Bērnu klīniskā universitātes slimnīca"</w:t>
            </w:r>
          </w:p>
        </w:tc>
        <w:tc>
          <w:tcPr>
            <w:tcW w:w="1792" w:type="dxa"/>
            <w:tcBorders>
              <w:top w:val="nil"/>
              <w:left w:val="nil"/>
              <w:bottom w:val="single" w:sz="4" w:space="0" w:color="auto"/>
              <w:right w:val="single" w:sz="4" w:space="0" w:color="auto"/>
            </w:tcBorders>
            <w:shd w:val="clear" w:color="auto" w:fill="auto"/>
            <w:noWrap/>
            <w:vAlign w:val="bottom"/>
            <w:hideMark/>
          </w:tcPr>
          <w:p w14:paraId="729B4782"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15,7</w:t>
            </w:r>
          </w:p>
        </w:tc>
        <w:tc>
          <w:tcPr>
            <w:tcW w:w="1417" w:type="dxa"/>
            <w:tcBorders>
              <w:top w:val="nil"/>
              <w:left w:val="nil"/>
              <w:bottom w:val="single" w:sz="4" w:space="0" w:color="auto"/>
              <w:right w:val="single" w:sz="4" w:space="0" w:color="auto"/>
            </w:tcBorders>
            <w:shd w:val="clear" w:color="auto" w:fill="auto"/>
            <w:noWrap/>
            <w:vAlign w:val="bottom"/>
            <w:hideMark/>
          </w:tcPr>
          <w:p w14:paraId="4A1332A6"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14,8</w:t>
            </w:r>
          </w:p>
        </w:tc>
        <w:tc>
          <w:tcPr>
            <w:tcW w:w="1417" w:type="dxa"/>
            <w:tcBorders>
              <w:top w:val="nil"/>
              <w:left w:val="nil"/>
              <w:bottom w:val="single" w:sz="4" w:space="0" w:color="auto"/>
              <w:right w:val="single" w:sz="4" w:space="0" w:color="auto"/>
            </w:tcBorders>
            <w:shd w:val="clear" w:color="auto" w:fill="auto"/>
            <w:noWrap/>
            <w:vAlign w:val="bottom"/>
            <w:hideMark/>
          </w:tcPr>
          <w:p w14:paraId="5D8ADDD9"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13,9</w:t>
            </w:r>
          </w:p>
        </w:tc>
      </w:tr>
      <w:tr w:rsidR="003A0BFD" w:rsidRPr="003A0BFD" w14:paraId="411791E7"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13D1401D"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9</w:t>
            </w:r>
          </w:p>
        </w:tc>
        <w:tc>
          <w:tcPr>
            <w:tcW w:w="8212" w:type="dxa"/>
            <w:tcBorders>
              <w:top w:val="nil"/>
              <w:left w:val="nil"/>
              <w:bottom w:val="single" w:sz="4" w:space="0" w:color="auto"/>
              <w:right w:val="single" w:sz="4" w:space="0" w:color="auto"/>
            </w:tcBorders>
            <w:shd w:val="clear" w:color="auto" w:fill="auto"/>
            <w:noWrap/>
            <w:vAlign w:val="bottom"/>
            <w:hideMark/>
          </w:tcPr>
          <w:p w14:paraId="5D95474A"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VSIA "Daugavpils psihoneiroloģiskā slimnīca"</w:t>
            </w:r>
          </w:p>
        </w:tc>
        <w:tc>
          <w:tcPr>
            <w:tcW w:w="1792" w:type="dxa"/>
            <w:tcBorders>
              <w:top w:val="nil"/>
              <w:left w:val="nil"/>
              <w:bottom w:val="single" w:sz="4" w:space="0" w:color="auto"/>
              <w:right w:val="single" w:sz="4" w:space="0" w:color="auto"/>
            </w:tcBorders>
            <w:shd w:val="clear" w:color="auto" w:fill="auto"/>
            <w:noWrap/>
            <w:vAlign w:val="bottom"/>
            <w:hideMark/>
          </w:tcPr>
          <w:p w14:paraId="42DCC8E9"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8,8</w:t>
            </w:r>
          </w:p>
        </w:tc>
        <w:tc>
          <w:tcPr>
            <w:tcW w:w="1417" w:type="dxa"/>
            <w:tcBorders>
              <w:top w:val="nil"/>
              <w:left w:val="nil"/>
              <w:bottom w:val="single" w:sz="4" w:space="0" w:color="auto"/>
              <w:right w:val="single" w:sz="4" w:space="0" w:color="auto"/>
            </w:tcBorders>
            <w:shd w:val="clear" w:color="auto" w:fill="auto"/>
            <w:noWrap/>
            <w:vAlign w:val="bottom"/>
            <w:hideMark/>
          </w:tcPr>
          <w:p w14:paraId="2B14631E"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8,3</w:t>
            </w:r>
          </w:p>
        </w:tc>
        <w:tc>
          <w:tcPr>
            <w:tcW w:w="1417" w:type="dxa"/>
            <w:tcBorders>
              <w:top w:val="nil"/>
              <w:left w:val="nil"/>
              <w:bottom w:val="single" w:sz="4" w:space="0" w:color="auto"/>
              <w:right w:val="single" w:sz="4" w:space="0" w:color="auto"/>
            </w:tcBorders>
            <w:shd w:val="clear" w:color="auto" w:fill="auto"/>
            <w:noWrap/>
            <w:vAlign w:val="bottom"/>
            <w:hideMark/>
          </w:tcPr>
          <w:p w14:paraId="482B52E2"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7,8</w:t>
            </w:r>
          </w:p>
        </w:tc>
      </w:tr>
      <w:tr w:rsidR="003A0BFD" w:rsidRPr="003A0BFD" w14:paraId="172B69AF"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404510AD"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10</w:t>
            </w:r>
          </w:p>
        </w:tc>
        <w:tc>
          <w:tcPr>
            <w:tcW w:w="8212" w:type="dxa"/>
            <w:tcBorders>
              <w:top w:val="nil"/>
              <w:left w:val="nil"/>
              <w:bottom w:val="single" w:sz="4" w:space="0" w:color="auto"/>
              <w:right w:val="single" w:sz="4" w:space="0" w:color="auto"/>
            </w:tcBorders>
            <w:shd w:val="clear" w:color="auto" w:fill="auto"/>
            <w:noWrap/>
            <w:vAlign w:val="bottom"/>
            <w:hideMark/>
          </w:tcPr>
          <w:p w14:paraId="349D9ACF"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VSIA "Slimnīca "Ģintermuiža""</w:t>
            </w:r>
          </w:p>
        </w:tc>
        <w:tc>
          <w:tcPr>
            <w:tcW w:w="1792" w:type="dxa"/>
            <w:tcBorders>
              <w:top w:val="nil"/>
              <w:left w:val="nil"/>
              <w:bottom w:val="single" w:sz="4" w:space="0" w:color="auto"/>
              <w:right w:val="single" w:sz="4" w:space="0" w:color="auto"/>
            </w:tcBorders>
            <w:shd w:val="clear" w:color="auto" w:fill="auto"/>
            <w:noWrap/>
            <w:vAlign w:val="bottom"/>
            <w:hideMark/>
          </w:tcPr>
          <w:p w14:paraId="1D48C880"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7,8</w:t>
            </w:r>
          </w:p>
        </w:tc>
        <w:tc>
          <w:tcPr>
            <w:tcW w:w="1417" w:type="dxa"/>
            <w:tcBorders>
              <w:top w:val="nil"/>
              <w:left w:val="nil"/>
              <w:bottom w:val="single" w:sz="4" w:space="0" w:color="auto"/>
              <w:right w:val="single" w:sz="4" w:space="0" w:color="auto"/>
            </w:tcBorders>
            <w:shd w:val="clear" w:color="auto" w:fill="auto"/>
            <w:noWrap/>
            <w:vAlign w:val="bottom"/>
            <w:hideMark/>
          </w:tcPr>
          <w:p w14:paraId="0C408D0D"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7,4</w:t>
            </w:r>
          </w:p>
        </w:tc>
        <w:tc>
          <w:tcPr>
            <w:tcW w:w="1417" w:type="dxa"/>
            <w:tcBorders>
              <w:top w:val="nil"/>
              <w:left w:val="nil"/>
              <w:bottom w:val="single" w:sz="4" w:space="0" w:color="auto"/>
              <w:right w:val="single" w:sz="4" w:space="0" w:color="auto"/>
            </w:tcBorders>
            <w:shd w:val="clear" w:color="auto" w:fill="auto"/>
            <w:noWrap/>
            <w:vAlign w:val="bottom"/>
            <w:hideMark/>
          </w:tcPr>
          <w:p w14:paraId="236FE831"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7,4</w:t>
            </w:r>
          </w:p>
        </w:tc>
      </w:tr>
      <w:tr w:rsidR="003A0BFD" w:rsidRPr="003A0BFD" w14:paraId="3BDD082E"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778215CB"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11</w:t>
            </w:r>
          </w:p>
        </w:tc>
        <w:tc>
          <w:tcPr>
            <w:tcW w:w="8212" w:type="dxa"/>
            <w:tcBorders>
              <w:top w:val="nil"/>
              <w:left w:val="nil"/>
              <w:bottom w:val="single" w:sz="4" w:space="0" w:color="auto"/>
              <w:right w:val="single" w:sz="4" w:space="0" w:color="auto"/>
            </w:tcBorders>
            <w:shd w:val="clear" w:color="auto" w:fill="auto"/>
            <w:noWrap/>
            <w:vAlign w:val="bottom"/>
            <w:hideMark/>
          </w:tcPr>
          <w:p w14:paraId="548B07ED"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AS "Pasažieru vilciens"</w:t>
            </w:r>
          </w:p>
        </w:tc>
        <w:tc>
          <w:tcPr>
            <w:tcW w:w="1792" w:type="dxa"/>
            <w:tcBorders>
              <w:top w:val="nil"/>
              <w:left w:val="nil"/>
              <w:bottom w:val="single" w:sz="4" w:space="0" w:color="auto"/>
              <w:right w:val="single" w:sz="4" w:space="0" w:color="auto"/>
            </w:tcBorders>
            <w:shd w:val="clear" w:color="auto" w:fill="auto"/>
            <w:noWrap/>
            <w:vAlign w:val="bottom"/>
            <w:hideMark/>
          </w:tcPr>
          <w:p w14:paraId="74BC009C"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3,8</w:t>
            </w:r>
          </w:p>
        </w:tc>
        <w:tc>
          <w:tcPr>
            <w:tcW w:w="1417" w:type="dxa"/>
            <w:tcBorders>
              <w:top w:val="nil"/>
              <w:left w:val="nil"/>
              <w:bottom w:val="single" w:sz="4" w:space="0" w:color="auto"/>
              <w:right w:val="single" w:sz="4" w:space="0" w:color="auto"/>
            </w:tcBorders>
            <w:shd w:val="clear" w:color="auto" w:fill="auto"/>
            <w:noWrap/>
            <w:vAlign w:val="bottom"/>
            <w:hideMark/>
          </w:tcPr>
          <w:p w14:paraId="6B7067FD"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2,0</w:t>
            </w:r>
          </w:p>
        </w:tc>
        <w:tc>
          <w:tcPr>
            <w:tcW w:w="1417" w:type="dxa"/>
            <w:tcBorders>
              <w:top w:val="nil"/>
              <w:left w:val="nil"/>
              <w:bottom w:val="single" w:sz="4" w:space="0" w:color="auto"/>
              <w:right w:val="single" w:sz="4" w:space="0" w:color="auto"/>
            </w:tcBorders>
            <w:shd w:val="clear" w:color="auto" w:fill="auto"/>
            <w:noWrap/>
            <w:vAlign w:val="bottom"/>
            <w:hideMark/>
          </w:tcPr>
          <w:p w14:paraId="525256E9"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1,0</w:t>
            </w:r>
          </w:p>
        </w:tc>
      </w:tr>
      <w:tr w:rsidR="003A0BFD" w:rsidRPr="003A0BFD" w14:paraId="3B022919"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298F96E4"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12</w:t>
            </w:r>
          </w:p>
        </w:tc>
        <w:tc>
          <w:tcPr>
            <w:tcW w:w="8212" w:type="dxa"/>
            <w:tcBorders>
              <w:top w:val="nil"/>
              <w:left w:val="nil"/>
              <w:bottom w:val="single" w:sz="4" w:space="0" w:color="auto"/>
              <w:right w:val="single" w:sz="4" w:space="0" w:color="auto"/>
            </w:tcBorders>
            <w:shd w:val="clear" w:color="auto" w:fill="auto"/>
            <w:noWrap/>
            <w:vAlign w:val="bottom"/>
            <w:hideMark/>
          </w:tcPr>
          <w:p w14:paraId="049C7BED"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VSIA "Latvijas Vides, ģeoloģijas un meteoroloģijas centrs"</w:t>
            </w:r>
          </w:p>
        </w:tc>
        <w:tc>
          <w:tcPr>
            <w:tcW w:w="1792" w:type="dxa"/>
            <w:tcBorders>
              <w:top w:val="nil"/>
              <w:left w:val="nil"/>
              <w:bottom w:val="single" w:sz="4" w:space="0" w:color="auto"/>
              <w:right w:val="single" w:sz="4" w:space="0" w:color="auto"/>
            </w:tcBorders>
            <w:shd w:val="clear" w:color="auto" w:fill="auto"/>
            <w:noWrap/>
            <w:vAlign w:val="bottom"/>
            <w:hideMark/>
          </w:tcPr>
          <w:p w14:paraId="024AF770"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2,8</w:t>
            </w:r>
          </w:p>
        </w:tc>
        <w:tc>
          <w:tcPr>
            <w:tcW w:w="1417" w:type="dxa"/>
            <w:tcBorders>
              <w:top w:val="nil"/>
              <w:left w:val="nil"/>
              <w:bottom w:val="single" w:sz="4" w:space="0" w:color="auto"/>
              <w:right w:val="single" w:sz="4" w:space="0" w:color="auto"/>
            </w:tcBorders>
            <w:shd w:val="clear" w:color="auto" w:fill="auto"/>
            <w:noWrap/>
            <w:vAlign w:val="bottom"/>
            <w:hideMark/>
          </w:tcPr>
          <w:p w14:paraId="110329FB"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2,6</w:t>
            </w:r>
          </w:p>
        </w:tc>
        <w:tc>
          <w:tcPr>
            <w:tcW w:w="1417" w:type="dxa"/>
            <w:tcBorders>
              <w:top w:val="nil"/>
              <w:left w:val="nil"/>
              <w:bottom w:val="single" w:sz="4" w:space="0" w:color="auto"/>
              <w:right w:val="single" w:sz="4" w:space="0" w:color="auto"/>
            </w:tcBorders>
            <w:shd w:val="clear" w:color="auto" w:fill="auto"/>
            <w:noWrap/>
            <w:vAlign w:val="bottom"/>
            <w:hideMark/>
          </w:tcPr>
          <w:p w14:paraId="416E2EB2"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2,4</w:t>
            </w:r>
          </w:p>
        </w:tc>
      </w:tr>
      <w:tr w:rsidR="003A0BFD" w:rsidRPr="003A0BFD" w14:paraId="753A58D6"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5CEF7407"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13</w:t>
            </w:r>
          </w:p>
        </w:tc>
        <w:tc>
          <w:tcPr>
            <w:tcW w:w="8212" w:type="dxa"/>
            <w:tcBorders>
              <w:top w:val="nil"/>
              <w:left w:val="nil"/>
              <w:bottom w:val="single" w:sz="4" w:space="0" w:color="auto"/>
              <w:right w:val="single" w:sz="4" w:space="0" w:color="auto"/>
            </w:tcBorders>
            <w:shd w:val="clear" w:color="auto" w:fill="auto"/>
            <w:noWrap/>
            <w:vAlign w:val="bottom"/>
            <w:hideMark/>
          </w:tcPr>
          <w:p w14:paraId="6943297A"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VSIA "Nacionālais rehabilitācijas centrs "Vaivari""</w:t>
            </w:r>
          </w:p>
        </w:tc>
        <w:tc>
          <w:tcPr>
            <w:tcW w:w="1792" w:type="dxa"/>
            <w:tcBorders>
              <w:top w:val="nil"/>
              <w:left w:val="nil"/>
              <w:bottom w:val="single" w:sz="4" w:space="0" w:color="auto"/>
              <w:right w:val="single" w:sz="4" w:space="0" w:color="auto"/>
            </w:tcBorders>
            <w:shd w:val="clear" w:color="auto" w:fill="auto"/>
            <w:noWrap/>
            <w:vAlign w:val="bottom"/>
            <w:hideMark/>
          </w:tcPr>
          <w:p w14:paraId="509B0D9A"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0,6</w:t>
            </w:r>
          </w:p>
        </w:tc>
        <w:tc>
          <w:tcPr>
            <w:tcW w:w="1417" w:type="dxa"/>
            <w:tcBorders>
              <w:top w:val="nil"/>
              <w:left w:val="nil"/>
              <w:bottom w:val="single" w:sz="4" w:space="0" w:color="auto"/>
              <w:right w:val="single" w:sz="4" w:space="0" w:color="auto"/>
            </w:tcBorders>
            <w:shd w:val="clear" w:color="auto" w:fill="auto"/>
            <w:noWrap/>
            <w:vAlign w:val="bottom"/>
            <w:hideMark/>
          </w:tcPr>
          <w:p w14:paraId="6765B671"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0,0</w:t>
            </w:r>
          </w:p>
        </w:tc>
        <w:tc>
          <w:tcPr>
            <w:tcW w:w="1417" w:type="dxa"/>
            <w:tcBorders>
              <w:top w:val="nil"/>
              <w:left w:val="nil"/>
              <w:bottom w:val="single" w:sz="4" w:space="0" w:color="auto"/>
              <w:right w:val="single" w:sz="4" w:space="0" w:color="auto"/>
            </w:tcBorders>
            <w:shd w:val="clear" w:color="auto" w:fill="auto"/>
            <w:noWrap/>
            <w:vAlign w:val="bottom"/>
            <w:hideMark/>
          </w:tcPr>
          <w:p w14:paraId="441503AA"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0,0</w:t>
            </w:r>
          </w:p>
        </w:tc>
      </w:tr>
      <w:tr w:rsidR="003A0BFD" w:rsidRPr="003A0BFD" w14:paraId="1CAF359A"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17034F17"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S130300</w:t>
            </w:r>
          </w:p>
        </w:tc>
        <w:tc>
          <w:tcPr>
            <w:tcW w:w="8212" w:type="dxa"/>
            <w:tcBorders>
              <w:top w:val="nil"/>
              <w:left w:val="nil"/>
              <w:bottom w:val="single" w:sz="4" w:space="0" w:color="auto"/>
              <w:right w:val="single" w:sz="4" w:space="0" w:color="auto"/>
            </w:tcBorders>
            <w:shd w:val="clear" w:color="auto" w:fill="auto"/>
            <w:noWrap/>
            <w:vAlign w:val="bottom"/>
            <w:hideMark/>
          </w:tcPr>
          <w:p w14:paraId="74FDE8B7"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 </w:t>
            </w:r>
          </w:p>
        </w:tc>
        <w:tc>
          <w:tcPr>
            <w:tcW w:w="1792" w:type="dxa"/>
            <w:tcBorders>
              <w:top w:val="nil"/>
              <w:left w:val="nil"/>
              <w:bottom w:val="single" w:sz="4" w:space="0" w:color="auto"/>
              <w:right w:val="single" w:sz="4" w:space="0" w:color="auto"/>
            </w:tcBorders>
            <w:shd w:val="clear" w:color="auto" w:fill="auto"/>
            <w:noWrap/>
            <w:vAlign w:val="bottom"/>
            <w:hideMark/>
          </w:tcPr>
          <w:p w14:paraId="4BD599A2"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 </w:t>
            </w:r>
          </w:p>
        </w:tc>
        <w:tc>
          <w:tcPr>
            <w:tcW w:w="1417" w:type="dxa"/>
            <w:tcBorders>
              <w:top w:val="nil"/>
              <w:left w:val="nil"/>
              <w:bottom w:val="single" w:sz="4" w:space="0" w:color="auto"/>
              <w:right w:val="single" w:sz="4" w:space="0" w:color="auto"/>
            </w:tcBorders>
            <w:shd w:val="clear" w:color="auto" w:fill="auto"/>
            <w:noWrap/>
            <w:vAlign w:val="bottom"/>
            <w:hideMark/>
          </w:tcPr>
          <w:p w14:paraId="5C73BE15"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 </w:t>
            </w:r>
          </w:p>
        </w:tc>
        <w:tc>
          <w:tcPr>
            <w:tcW w:w="1417" w:type="dxa"/>
            <w:tcBorders>
              <w:top w:val="nil"/>
              <w:left w:val="nil"/>
              <w:bottom w:val="single" w:sz="4" w:space="0" w:color="auto"/>
              <w:right w:val="single" w:sz="4" w:space="0" w:color="auto"/>
            </w:tcBorders>
            <w:shd w:val="clear" w:color="auto" w:fill="auto"/>
            <w:noWrap/>
            <w:vAlign w:val="bottom"/>
            <w:hideMark/>
          </w:tcPr>
          <w:p w14:paraId="5F500A7D"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 </w:t>
            </w:r>
          </w:p>
        </w:tc>
      </w:tr>
      <w:tr w:rsidR="003A0BFD" w:rsidRPr="003A0BFD" w14:paraId="764AEA18"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08A826C5"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w:t>
            </w:r>
          </w:p>
        </w:tc>
        <w:tc>
          <w:tcPr>
            <w:tcW w:w="8212" w:type="dxa"/>
            <w:tcBorders>
              <w:top w:val="nil"/>
              <w:left w:val="nil"/>
              <w:bottom w:val="single" w:sz="4" w:space="0" w:color="auto"/>
              <w:right w:val="single" w:sz="4" w:space="0" w:color="auto"/>
            </w:tcBorders>
            <w:shd w:val="clear" w:color="auto" w:fill="auto"/>
            <w:noWrap/>
            <w:vAlign w:val="bottom"/>
            <w:hideMark/>
          </w:tcPr>
          <w:p w14:paraId="35E41488"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RP SIA "Rīgas Satiksme"</w:t>
            </w:r>
          </w:p>
        </w:tc>
        <w:tc>
          <w:tcPr>
            <w:tcW w:w="1792" w:type="dxa"/>
            <w:tcBorders>
              <w:top w:val="nil"/>
              <w:left w:val="nil"/>
              <w:bottom w:val="single" w:sz="4" w:space="0" w:color="auto"/>
              <w:right w:val="single" w:sz="4" w:space="0" w:color="auto"/>
            </w:tcBorders>
            <w:shd w:val="clear" w:color="auto" w:fill="auto"/>
            <w:noWrap/>
            <w:vAlign w:val="bottom"/>
            <w:hideMark/>
          </w:tcPr>
          <w:p w14:paraId="09F46B65"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316,1</w:t>
            </w:r>
          </w:p>
        </w:tc>
        <w:tc>
          <w:tcPr>
            <w:tcW w:w="1417" w:type="dxa"/>
            <w:tcBorders>
              <w:top w:val="nil"/>
              <w:left w:val="nil"/>
              <w:bottom w:val="single" w:sz="4" w:space="0" w:color="auto"/>
              <w:right w:val="single" w:sz="4" w:space="0" w:color="auto"/>
            </w:tcBorders>
            <w:shd w:val="clear" w:color="auto" w:fill="auto"/>
            <w:noWrap/>
            <w:vAlign w:val="bottom"/>
            <w:hideMark/>
          </w:tcPr>
          <w:p w14:paraId="00C8A7D6"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308,9</w:t>
            </w:r>
          </w:p>
        </w:tc>
        <w:tc>
          <w:tcPr>
            <w:tcW w:w="1417" w:type="dxa"/>
            <w:tcBorders>
              <w:top w:val="nil"/>
              <w:left w:val="nil"/>
              <w:bottom w:val="single" w:sz="4" w:space="0" w:color="auto"/>
              <w:right w:val="single" w:sz="4" w:space="0" w:color="auto"/>
            </w:tcBorders>
            <w:shd w:val="clear" w:color="auto" w:fill="auto"/>
            <w:noWrap/>
            <w:vAlign w:val="bottom"/>
            <w:hideMark/>
          </w:tcPr>
          <w:p w14:paraId="2CDB5B50"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268,8</w:t>
            </w:r>
          </w:p>
        </w:tc>
      </w:tr>
      <w:tr w:rsidR="003A0BFD" w:rsidRPr="003A0BFD" w14:paraId="721DBE46"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3303A4DA"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2</w:t>
            </w:r>
          </w:p>
        </w:tc>
        <w:tc>
          <w:tcPr>
            <w:tcW w:w="8212" w:type="dxa"/>
            <w:tcBorders>
              <w:top w:val="nil"/>
              <w:left w:val="nil"/>
              <w:bottom w:val="single" w:sz="4" w:space="0" w:color="auto"/>
              <w:right w:val="single" w:sz="4" w:space="0" w:color="auto"/>
            </w:tcBorders>
            <w:shd w:val="clear" w:color="auto" w:fill="auto"/>
            <w:noWrap/>
            <w:vAlign w:val="bottom"/>
            <w:hideMark/>
          </w:tcPr>
          <w:p w14:paraId="2DD8004F"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SIA "Cēsu klīnika"</w:t>
            </w:r>
          </w:p>
        </w:tc>
        <w:tc>
          <w:tcPr>
            <w:tcW w:w="1792" w:type="dxa"/>
            <w:tcBorders>
              <w:top w:val="nil"/>
              <w:left w:val="nil"/>
              <w:bottom w:val="single" w:sz="4" w:space="0" w:color="auto"/>
              <w:right w:val="single" w:sz="4" w:space="0" w:color="auto"/>
            </w:tcBorders>
            <w:shd w:val="clear" w:color="auto" w:fill="auto"/>
            <w:noWrap/>
            <w:vAlign w:val="bottom"/>
            <w:hideMark/>
          </w:tcPr>
          <w:p w14:paraId="5290AA9E"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2,4</w:t>
            </w:r>
          </w:p>
        </w:tc>
        <w:tc>
          <w:tcPr>
            <w:tcW w:w="1417" w:type="dxa"/>
            <w:tcBorders>
              <w:top w:val="nil"/>
              <w:left w:val="nil"/>
              <w:bottom w:val="single" w:sz="4" w:space="0" w:color="auto"/>
              <w:right w:val="single" w:sz="4" w:space="0" w:color="auto"/>
            </w:tcBorders>
            <w:shd w:val="clear" w:color="auto" w:fill="auto"/>
            <w:noWrap/>
            <w:vAlign w:val="bottom"/>
            <w:hideMark/>
          </w:tcPr>
          <w:p w14:paraId="12EE5A06"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1,8</w:t>
            </w:r>
          </w:p>
        </w:tc>
        <w:tc>
          <w:tcPr>
            <w:tcW w:w="1417" w:type="dxa"/>
            <w:tcBorders>
              <w:top w:val="nil"/>
              <w:left w:val="nil"/>
              <w:bottom w:val="single" w:sz="4" w:space="0" w:color="auto"/>
              <w:right w:val="single" w:sz="4" w:space="0" w:color="auto"/>
            </w:tcBorders>
            <w:shd w:val="clear" w:color="auto" w:fill="auto"/>
            <w:noWrap/>
            <w:vAlign w:val="bottom"/>
            <w:hideMark/>
          </w:tcPr>
          <w:p w14:paraId="5D005DDD"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1,1</w:t>
            </w:r>
          </w:p>
        </w:tc>
      </w:tr>
      <w:tr w:rsidR="003A0BFD" w:rsidRPr="003A0BFD" w14:paraId="11826E86"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7A197F35"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3</w:t>
            </w:r>
          </w:p>
        </w:tc>
        <w:tc>
          <w:tcPr>
            <w:tcW w:w="8212" w:type="dxa"/>
            <w:tcBorders>
              <w:top w:val="nil"/>
              <w:left w:val="nil"/>
              <w:bottom w:val="single" w:sz="4" w:space="0" w:color="auto"/>
              <w:right w:val="single" w:sz="4" w:space="0" w:color="auto"/>
            </w:tcBorders>
            <w:shd w:val="clear" w:color="auto" w:fill="auto"/>
            <w:noWrap/>
            <w:vAlign w:val="bottom"/>
            <w:hideMark/>
          </w:tcPr>
          <w:p w14:paraId="3F321727"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SIA "Rēzeknes satiksme"</w:t>
            </w:r>
          </w:p>
        </w:tc>
        <w:tc>
          <w:tcPr>
            <w:tcW w:w="1792" w:type="dxa"/>
            <w:tcBorders>
              <w:top w:val="nil"/>
              <w:left w:val="nil"/>
              <w:bottom w:val="single" w:sz="4" w:space="0" w:color="auto"/>
              <w:right w:val="single" w:sz="4" w:space="0" w:color="auto"/>
            </w:tcBorders>
            <w:shd w:val="clear" w:color="auto" w:fill="auto"/>
            <w:noWrap/>
            <w:vAlign w:val="bottom"/>
            <w:hideMark/>
          </w:tcPr>
          <w:p w14:paraId="7FAF1997"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1,7</w:t>
            </w:r>
          </w:p>
        </w:tc>
        <w:tc>
          <w:tcPr>
            <w:tcW w:w="1417" w:type="dxa"/>
            <w:tcBorders>
              <w:top w:val="nil"/>
              <w:left w:val="nil"/>
              <w:bottom w:val="single" w:sz="4" w:space="0" w:color="auto"/>
              <w:right w:val="single" w:sz="4" w:space="0" w:color="auto"/>
            </w:tcBorders>
            <w:shd w:val="clear" w:color="auto" w:fill="auto"/>
            <w:noWrap/>
            <w:vAlign w:val="bottom"/>
            <w:hideMark/>
          </w:tcPr>
          <w:p w14:paraId="7B75C1AB"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1,2</w:t>
            </w:r>
          </w:p>
        </w:tc>
        <w:tc>
          <w:tcPr>
            <w:tcW w:w="1417" w:type="dxa"/>
            <w:tcBorders>
              <w:top w:val="nil"/>
              <w:left w:val="nil"/>
              <w:bottom w:val="single" w:sz="4" w:space="0" w:color="auto"/>
              <w:right w:val="single" w:sz="4" w:space="0" w:color="auto"/>
            </w:tcBorders>
            <w:shd w:val="clear" w:color="auto" w:fill="auto"/>
            <w:noWrap/>
            <w:vAlign w:val="bottom"/>
            <w:hideMark/>
          </w:tcPr>
          <w:p w14:paraId="6F93BB39"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0,8</w:t>
            </w:r>
          </w:p>
        </w:tc>
      </w:tr>
      <w:tr w:rsidR="003A0BFD" w:rsidRPr="003A0BFD" w14:paraId="0908B532"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53D6C50C"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4</w:t>
            </w:r>
          </w:p>
        </w:tc>
        <w:tc>
          <w:tcPr>
            <w:tcW w:w="8212" w:type="dxa"/>
            <w:tcBorders>
              <w:top w:val="nil"/>
              <w:left w:val="nil"/>
              <w:bottom w:val="single" w:sz="4" w:space="0" w:color="auto"/>
              <w:right w:val="single" w:sz="4" w:space="0" w:color="auto"/>
            </w:tcBorders>
            <w:shd w:val="clear" w:color="auto" w:fill="auto"/>
            <w:noWrap/>
            <w:vAlign w:val="bottom"/>
            <w:hideMark/>
          </w:tcPr>
          <w:p w14:paraId="71524A4D"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SIA "Rīgas Dzemdību nams"</w:t>
            </w:r>
          </w:p>
        </w:tc>
        <w:tc>
          <w:tcPr>
            <w:tcW w:w="1792" w:type="dxa"/>
            <w:tcBorders>
              <w:top w:val="nil"/>
              <w:left w:val="nil"/>
              <w:bottom w:val="single" w:sz="4" w:space="0" w:color="auto"/>
              <w:right w:val="single" w:sz="4" w:space="0" w:color="auto"/>
            </w:tcBorders>
            <w:shd w:val="clear" w:color="auto" w:fill="auto"/>
            <w:noWrap/>
            <w:vAlign w:val="bottom"/>
            <w:hideMark/>
          </w:tcPr>
          <w:p w14:paraId="7CF97038"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0,6</w:t>
            </w:r>
          </w:p>
        </w:tc>
        <w:tc>
          <w:tcPr>
            <w:tcW w:w="1417" w:type="dxa"/>
            <w:tcBorders>
              <w:top w:val="nil"/>
              <w:left w:val="nil"/>
              <w:bottom w:val="single" w:sz="4" w:space="0" w:color="auto"/>
              <w:right w:val="single" w:sz="4" w:space="0" w:color="auto"/>
            </w:tcBorders>
            <w:shd w:val="clear" w:color="auto" w:fill="auto"/>
            <w:noWrap/>
            <w:vAlign w:val="bottom"/>
            <w:hideMark/>
          </w:tcPr>
          <w:p w14:paraId="0853051D"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0,5</w:t>
            </w:r>
          </w:p>
        </w:tc>
        <w:tc>
          <w:tcPr>
            <w:tcW w:w="1417" w:type="dxa"/>
            <w:tcBorders>
              <w:top w:val="nil"/>
              <w:left w:val="nil"/>
              <w:bottom w:val="single" w:sz="4" w:space="0" w:color="auto"/>
              <w:right w:val="single" w:sz="4" w:space="0" w:color="auto"/>
            </w:tcBorders>
            <w:shd w:val="clear" w:color="auto" w:fill="auto"/>
            <w:noWrap/>
            <w:vAlign w:val="bottom"/>
            <w:hideMark/>
          </w:tcPr>
          <w:p w14:paraId="73F7EB3F"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0,3</w:t>
            </w:r>
          </w:p>
        </w:tc>
      </w:tr>
      <w:tr w:rsidR="003A0BFD" w:rsidRPr="003A0BFD" w14:paraId="7AE1FCEE"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2E1BE275"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5</w:t>
            </w:r>
          </w:p>
        </w:tc>
        <w:tc>
          <w:tcPr>
            <w:tcW w:w="8212" w:type="dxa"/>
            <w:tcBorders>
              <w:top w:val="nil"/>
              <w:left w:val="nil"/>
              <w:bottom w:val="single" w:sz="4" w:space="0" w:color="auto"/>
              <w:right w:val="single" w:sz="4" w:space="0" w:color="auto"/>
            </w:tcBorders>
            <w:shd w:val="clear" w:color="auto" w:fill="auto"/>
            <w:noWrap/>
            <w:vAlign w:val="bottom"/>
            <w:hideMark/>
          </w:tcPr>
          <w:p w14:paraId="7ECB6B2E"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SIA "Jūrmalas slimnīca"</w:t>
            </w:r>
          </w:p>
        </w:tc>
        <w:tc>
          <w:tcPr>
            <w:tcW w:w="1792" w:type="dxa"/>
            <w:tcBorders>
              <w:top w:val="nil"/>
              <w:left w:val="nil"/>
              <w:bottom w:val="single" w:sz="4" w:space="0" w:color="auto"/>
              <w:right w:val="single" w:sz="4" w:space="0" w:color="auto"/>
            </w:tcBorders>
            <w:shd w:val="clear" w:color="auto" w:fill="auto"/>
            <w:noWrap/>
            <w:vAlign w:val="bottom"/>
            <w:hideMark/>
          </w:tcPr>
          <w:p w14:paraId="5CDBCB41"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1,0</w:t>
            </w:r>
          </w:p>
        </w:tc>
        <w:tc>
          <w:tcPr>
            <w:tcW w:w="1417" w:type="dxa"/>
            <w:tcBorders>
              <w:top w:val="nil"/>
              <w:left w:val="nil"/>
              <w:bottom w:val="single" w:sz="4" w:space="0" w:color="auto"/>
              <w:right w:val="single" w:sz="4" w:space="0" w:color="auto"/>
            </w:tcBorders>
            <w:shd w:val="clear" w:color="auto" w:fill="auto"/>
            <w:noWrap/>
            <w:vAlign w:val="bottom"/>
            <w:hideMark/>
          </w:tcPr>
          <w:p w14:paraId="77116D14"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0,8</w:t>
            </w:r>
          </w:p>
        </w:tc>
        <w:tc>
          <w:tcPr>
            <w:tcW w:w="1417" w:type="dxa"/>
            <w:tcBorders>
              <w:top w:val="nil"/>
              <w:left w:val="nil"/>
              <w:bottom w:val="single" w:sz="4" w:space="0" w:color="auto"/>
              <w:right w:val="single" w:sz="4" w:space="0" w:color="auto"/>
            </w:tcBorders>
            <w:shd w:val="clear" w:color="auto" w:fill="auto"/>
            <w:noWrap/>
            <w:vAlign w:val="bottom"/>
            <w:hideMark/>
          </w:tcPr>
          <w:p w14:paraId="72928AC1"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0,6</w:t>
            </w:r>
          </w:p>
        </w:tc>
      </w:tr>
      <w:tr w:rsidR="003A0BFD" w:rsidRPr="003A0BFD" w14:paraId="17D6349A"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4AB1292D"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6</w:t>
            </w:r>
          </w:p>
        </w:tc>
        <w:tc>
          <w:tcPr>
            <w:tcW w:w="8212" w:type="dxa"/>
            <w:tcBorders>
              <w:top w:val="nil"/>
              <w:left w:val="nil"/>
              <w:bottom w:val="single" w:sz="4" w:space="0" w:color="auto"/>
              <w:right w:val="single" w:sz="4" w:space="0" w:color="auto"/>
            </w:tcBorders>
            <w:shd w:val="clear" w:color="auto" w:fill="auto"/>
            <w:noWrap/>
            <w:vAlign w:val="bottom"/>
            <w:hideMark/>
          </w:tcPr>
          <w:p w14:paraId="098580C9"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SIA "Kuldīgas slimnīca"</w:t>
            </w:r>
          </w:p>
        </w:tc>
        <w:tc>
          <w:tcPr>
            <w:tcW w:w="1792" w:type="dxa"/>
            <w:tcBorders>
              <w:top w:val="nil"/>
              <w:left w:val="nil"/>
              <w:bottom w:val="single" w:sz="4" w:space="0" w:color="auto"/>
              <w:right w:val="single" w:sz="4" w:space="0" w:color="auto"/>
            </w:tcBorders>
            <w:shd w:val="clear" w:color="auto" w:fill="auto"/>
            <w:noWrap/>
            <w:vAlign w:val="bottom"/>
            <w:hideMark/>
          </w:tcPr>
          <w:p w14:paraId="61AA65E6"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0,4</w:t>
            </w:r>
          </w:p>
        </w:tc>
        <w:tc>
          <w:tcPr>
            <w:tcW w:w="1417" w:type="dxa"/>
            <w:tcBorders>
              <w:top w:val="nil"/>
              <w:left w:val="nil"/>
              <w:bottom w:val="single" w:sz="4" w:space="0" w:color="auto"/>
              <w:right w:val="single" w:sz="4" w:space="0" w:color="auto"/>
            </w:tcBorders>
            <w:shd w:val="clear" w:color="auto" w:fill="auto"/>
            <w:noWrap/>
            <w:vAlign w:val="bottom"/>
            <w:hideMark/>
          </w:tcPr>
          <w:p w14:paraId="61142250"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0,4</w:t>
            </w:r>
          </w:p>
        </w:tc>
        <w:tc>
          <w:tcPr>
            <w:tcW w:w="1417" w:type="dxa"/>
            <w:tcBorders>
              <w:top w:val="nil"/>
              <w:left w:val="nil"/>
              <w:bottom w:val="single" w:sz="4" w:space="0" w:color="auto"/>
              <w:right w:val="single" w:sz="4" w:space="0" w:color="auto"/>
            </w:tcBorders>
            <w:shd w:val="clear" w:color="auto" w:fill="auto"/>
            <w:noWrap/>
            <w:vAlign w:val="bottom"/>
            <w:hideMark/>
          </w:tcPr>
          <w:p w14:paraId="5C753745"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0,3</w:t>
            </w:r>
          </w:p>
        </w:tc>
      </w:tr>
      <w:tr w:rsidR="003A0BFD" w:rsidRPr="003A0BFD" w14:paraId="7858E3F7"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0FACA5F4"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7</w:t>
            </w:r>
          </w:p>
        </w:tc>
        <w:tc>
          <w:tcPr>
            <w:tcW w:w="8212" w:type="dxa"/>
            <w:tcBorders>
              <w:top w:val="nil"/>
              <w:left w:val="nil"/>
              <w:bottom w:val="single" w:sz="4" w:space="0" w:color="auto"/>
              <w:right w:val="single" w:sz="4" w:space="0" w:color="auto"/>
            </w:tcBorders>
            <w:shd w:val="clear" w:color="auto" w:fill="auto"/>
            <w:noWrap/>
            <w:vAlign w:val="bottom"/>
            <w:hideMark/>
          </w:tcPr>
          <w:p w14:paraId="6D674958"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SIA "Jēkabpils reģionālā slimnīca"</w:t>
            </w:r>
          </w:p>
        </w:tc>
        <w:tc>
          <w:tcPr>
            <w:tcW w:w="1792" w:type="dxa"/>
            <w:tcBorders>
              <w:top w:val="nil"/>
              <w:left w:val="nil"/>
              <w:bottom w:val="single" w:sz="4" w:space="0" w:color="auto"/>
              <w:right w:val="single" w:sz="4" w:space="0" w:color="auto"/>
            </w:tcBorders>
            <w:shd w:val="clear" w:color="auto" w:fill="auto"/>
            <w:noWrap/>
            <w:vAlign w:val="bottom"/>
            <w:hideMark/>
          </w:tcPr>
          <w:p w14:paraId="2E75AEA7"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0,3</w:t>
            </w:r>
          </w:p>
        </w:tc>
        <w:tc>
          <w:tcPr>
            <w:tcW w:w="1417" w:type="dxa"/>
            <w:tcBorders>
              <w:top w:val="nil"/>
              <w:left w:val="nil"/>
              <w:bottom w:val="single" w:sz="4" w:space="0" w:color="auto"/>
              <w:right w:val="single" w:sz="4" w:space="0" w:color="auto"/>
            </w:tcBorders>
            <w:shd w:val="clear" w:color="auto" w:fill="auto"/>
            <w:noWrap/>
            <w:vAlign w:val="bottom"/>
            <w:hideMark/>
          </w:tcPr>
          <w:p w14:paraId="73BA15E8"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0,1</w:t>
            </w:r>
          </w:p>
        </w:tc>
        <w:tc>
          <w:tcPr>
            <w:tcW w:w="1417" w:type="dxa"/>
            <w:tcBorders>
              <w:top w:val="nil"/>
              <w:left w:val="nil"/>
              <w:bottom w:val="single" w:sz="4" w:space="0" w:color="auto"/>
              <w:right w:val="single" w:sz="4" w:space="0" w:color="auto"/>
            </w:tcBorders>
            <w:shd w:val="clear" w:color="auto" w:fill="auto"/>
            <w:noWrap/>
            <w:vAlign w:val="bottom"/>
            <w:hideMark/>
          </w:tcPr>
          <w:p w14:paraId="44E74BEF"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0,0</w:t>
            </w:r>
          </w:p>
        </w:tc>
      </w:tr>
      <w:tr w:rsidR="003A0BFD" w:rsidRPr="003A0BFD" w14:paraId="0AC69CDA"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052E7A43"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8</w:t>
            </w:r>
          </w:p>
        </w:tc>
        <w:tc>
          <w:tcPr>
            <w:tcW w:w="8212" w:type="dxa"/>
            <w:tcBorders>
              <w:top w:val="nil"/>
              <w:left w:val="nil"/>
              <w:bottom w:val="single" w:sz="4" w:space="0" w:color="auto"/>
              <w:right w:val="single" w:sz="4" w:space="0" w:color="auto"/>
            </w:tcBorders>
            <w:shd w:val="clear" w:color="auto" w:fill="auto"/>
            <w:noWrap/>
            <w:vAlign w:val="bottom"/>
            <w:hideMark/>
          </w:tcPr>
          <w:p w14:paraId="631515CF"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AS "Daugavpils satiksme"</w:t>
            </w:r>
          </w:p>
        </w:tc>
        <w:tc>
          <w:tcPr>
            <w:tcW w:w="1792" w:type="dxa"/>
            <w:tcBorders>
              <w:top w:val="nil"/>
              <w:left w:val="nil"/>
              <w:bottom w:val="single" w:sz="4" w:space="0" w:color="auto"/>
              <w:right w:val="single" w:sz="4" w:space="0" w:color="auto"/>
            </w:tcBorders>
            <w:shd w:val="clear" w:color="auto" w:fill="auto"/>
            <w:noWrap/>
            <w:vAlign w:val="bottom"/>
            <w:hideMark/>
          </w:tcPr>
          <w:p w14:paraId="3AF28C41"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0,2</w:t>
            </w:r>
          </w:p>
        </w:tc>
        <w:tc>
          <w:tcPr>
            <w:tcW w:w="1417" w:type="dxa"/>
            <w:tcBorders>
              <w:top w:val="nil"/>
              <w:left w:val="nil"/>
              <w:bottom w:val="single" w:sz="4" w:space="0" w:color="auto"/>
              <w:right w:val="single" w:sz="4" w:space="0" w:color="auto"/>
            </w:tcBorders>
            <w:shd w:val="clear" w:color="auto" w:fill="auto"/>
            <w:noWrap/>
            <w:vAlign w:val="bottom"/>
            <w:hideMark/>
          </w:tcPr>
          <w:p w14:paraId="05FB5C3A"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0,1</w:t>
            </w:r>
          </w:p>
        </w:tc>
        <w:tc>
          <w:tcPr>
            <w:tcW w:w="1417" w:type="dxa"/>
            <w:tcBorders>
              <w:top w:val="nil"/>
              <w:left w:val="nil"/>
              <w:bottom w:val="single" w:sz="4" w:space="0" w:color="auto"/>
              <w:right w:val="single" w:sz="4" w:space="0" w:color="auto"/>
            </w:tcBorders>
            <w:shd w:val="clear" w:color="auto" w:fill="auto"/>
            <w:noWrap/>
            <w:vAlign w:val="bottom"/>
            <w:hideMark/>
          </w:tcPr>
          <w:p w14:paraId="170DE2E8"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0,1</w:t>
            </w:r>
          </w:p>
        </w:tc>
      </w:tr>
      <w:tr w:rsidR="003A0BFD" w:rsidRPr="003A0BFD" w14:paraId="28A7E95B"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007BFE03"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9</w:t>
            </w:r>
          </w:p>
        </w:tc>
        <w:tc>
          <w:tcPr>
            <w:tcW w:w="8212" w:type="dxa"/>
            <w:tcBorders>
              <w:top w:val="nil"/>
              <w:left w:val="nil"/>
              <w:bottom w:val="single" w:sz="4" w:space="0" w:color="auto"/>
              <w:right w:val="single" w:sz="4" w:space="0" w:color="auto"/>
            </w:tcBorders>
            <w:shd w:val="clear" w:color="auto" w:fill="auto"/>
            <w:noWrap/>
            <w:vAlign w:val="bottom"/>
            <w:hideMark/>
          </w:tcPr>
          <w:p w14:paraId="2FCC7003"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SIA "Liepājas Tramvajs"</w:t>
            </w:r>
          </w:p>
        </w:tc>
        <w:tc>
          <w:tcPr>
            <w:tcW w:w="1792" w:type="dxa"/>
            <w:tcBorders>
              <w:top w:val="nil"/>
              <w:left w:val="nil"/>
              <w:bottom w:val="single" w:sz="4" w:space="0" w:color="auto"/>
              <w:right w:val="single" w:sz="4" w:space="0" w:color="auto"/>
            </w:tcBorders>
            <w:shd w:val="clear" w:color="auto" w:fill="auto"/>
            <w:noWrap/>
            <w:vAlign w:val="bottom"/>
            <w:hideMark/>
          </w:tcPr>
          <w:p w14:paraId="50F20266"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0,0</w:t>
            </w:r>
          </w:p>
        </w:tc>
        <w:tc>
          <w:tcPr>
            <w:tcW w:w="1417" w:type="dxa"/>
            <w:tcBorders>
              <w:top w:val="nil"/>
              <w:left w:val="nil"/>
              <w:bottom w:val="single" w:sz="4" w:space="0" w:color="auto"/>
              <w:right w:val="single" w:sz="4" w:space="0" w:color="auto"/>
            </w:tcBorders>
            <w:shd w:val="clear" w:color="auto" w:fill="auto"/>
            <w:noWrap/>
            <w:vAlign w:val="bottom"/>
            <w:hideMark/>
          </w:tcPr>
          <w:p w14:paraId="6F52EA31"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0,0</w:t>
            </w:r>
          </w:p>
        </w:tc>
        <w:tc>
          <w:tcPr>
            <w:tcW w:w="1417" w:type="dxa"/>
            <w:tcBorders>
              <w:top w:val="nil"/>
              <w:left w:val="nil"/>
              <w:bottom w:val="single" w:sz="4" w:space="0" w:color="auto"/>
              <w:right w:val="single" w:sz="4" w:space="0" w:color="auto"/>
            </w:tcBorders>
            <w:shd w:val="clear" w:color="auto" w:fill="auto"/>
            <w:noWrap/>
            <w:vAlign w:val="bottom"/>
            <w:hideMark/>
          </w:tcPr>
          <w:p w14:paraId="5AEF47F2"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0,0</w:t>
            </w:r>
          </w:p>
        </w:tc>
      </w:tr>
      <w:tr w:rsidR="003A0BFD" w:rsidRPr="003A0BFD" w14:paraId="22409455" w14:textId="77777777" w:rsidTr="003A0BFD">
        <w:trPr>
          <w:trHeight w:val="69"/>
        </w:trPr>
        <w:tc>
          <w:tcPr>
            <w:tcW w:w="1283" w:type="dxa"/>
            <w:tcBorders>
              <w:top w:val="nil"/>
              <w:left w:val="single" w:sz="4" w:space="0" w:color="auto"/>
              <w:bottom w:val="single" w:sz="4" w:space="0" w:color="auto"/>
              <w:right w:val="single" w:sz="4" w:space="0" w:color="auto"/>
            </w:tcBorders>
            <w:shd w:val="clear" w:color="auto" w:fill="auto"/>
            <w:noWrap/>
            <w:vAlign w:val="bottom"/>
            <w:hideMark/>
          </w:tcPr>
          <w:p w14:paraId="4CB004C0"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10</w:t>
            </w:r>
          </w:p>
        </w:tc>
        <w:tc>
          <w:tcPr>
            <w:tcW w:w="8212" w:type="dxa"/>
            <w:tcBorders>
              <w:top w:val="nil"/>
              <w:left w:val="nil"/>
              <w:bottom w:val="single" w:sz="4" w:space="0" w:color="auto"/>
              <w:right w:val="single" w:sz="4" w:space="0" w:color="auto"/>
            </w:tcBorders>
            <w:shd w:val="clear" w:color="auto" w:fill="auto"/>
            <w:noWrap/>
            <w:vAlign w:val="bottom"/>
            <w:hideMark/>
          </w:tcPr>
          <w:p w14:paraId="17B31889" w14:textId="77777777" w:rsidR="003A0BFD" w:rsidRPr="003A0BFD" w:rsidRDefault="003A0BFD" w:rsidP="003A0BFD">
            <w:pPr>
              <w:spacing w:after="0"/>
              <w:ind w:firstLine="0"/>
              <w:jc w:val="left"/>
              <w:rPr>
                <w:rFonts w:eastAsia="Times New Roman" w:cs="Times New Roman"/>
                <w:color w:val="000000"/>
                <w:sz w:val="18"/>
                <w:szCs w:val="18"/>
              </w:rPr>
            </w:pPr>
            <w:r w:rsidRPr="003A0BFD">
              <w:rPr>
                <w:rFonts w:eastAsia="Times New Roman" w:cs="Times New Roman"/>
                <w:color w:val="000000"/>
                <w:sz w:val="18"/>
                <w:szCs w:val="18"/>
              </w:rPr>
              <w:t>SIA "Olimpiskais centrs "Ventspils"</w:t>
            </w:r>
          </w:p>
        </w:tc>
        <w:tc>
          <w:tcPr>
            <w:tcW w:w="1792" w:type="dxa"/>
            <w:tcBorders>
              <w:top w:val="nil"/>
              <w:left w:val="nil"/>
              <w:bottom w:val="single" w:sz="4" w:space="0" w:color="auto"/>
              <w:right w:val="single" w:sz="4" w:space="0" w:color="auto"/>
            </w:tcBorders>
            <w:shd w:val="clear" w:color="auto" w:fill="auto"/>
            <w:noWrap/>
            <w:vAlign w:val="bottom"/>
            <w:hideMark/>
          </w:tcPr>
          <w:p w14:paraId="4CC110FE"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0,0</w:t>
            </w:r>
          </w:p>
        </w:tc>
        <w:tc>
          <w:tcPr>
            <w:tcW w:w="1417" w:type="dxa"/>
            <w:tcBorders>
              <w:top w:val="nil"/>
              <w:left w:val="nil"/>
              <w:bottom w:val="single" w:sz="4" w:space="0" w:color="auto"/>
              <w:right w:val="single" w:sz="4" w:space="0" w:color="auto"/>
            </w:tcBorders>
            <w:shd w:val="clear" w:color="auto" w:fill="auto"/>
            <w:noWrap/>
            <w:vAlign w:val="bottom"/>
            <w:hideMark/>
          </w:tcPr>
          <w:p w14:paraId="25B5B638"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0,0</w:t>
            </w:r>
          </w:p>
        </w:tc>
        <w:tc>
          <w:tcPr>
            <w:tcW w:w="1417" w:type="dxa"/>
            <w:tcBorders>
              <w:top w:val="nil"/>
              <w:left w:val="nil"/>
              <w:bottom w:val="single" w:sz="4" w:space="0" w:color="auto"/>
              <w:right w:val="single" w:sz="4" w:space="0" w:color="auto"/>
            </w:tcBorders>
            <w:shd w:val="clear" w:color="auto" w:fill="auto"/>
            <w:noWrap/>
            <w:vAlign w:val="bottom"/>
            <w:hideMark/>
          </w:tcPr>
          <w:p w14:paraId="471C42EF" w14:textId="77777777" w:rsidR="003A0BFD" w:rsidRPr="003A0BFD" w:rsidRDefault="003A0BFD" w:rsidP="003A0BFD">
            <w:pPr>
              <w:spacing w:after="0"/>
              <w:ind w:firstLine="0"/>
              <w:jc w:val="right"/>
              <w:rPr>
                <w:rFonts w:eastAsia="Times New Roman" w:cs="Times New Roman"/>
                <w:color w:val="000000"/>
                <w:sz w:val="18"/>
                <w:szCs w:val="18"/>
              </w:rPr>
            </w:pPr>
            <w:r w:rsidRPr="003A0BFD">
              <w:rPr>
                <w:rFonts w:eastAsia="Times New Roman" w:cs="Times New Roman"/>
                <w:color w:val="000000"/>
                <w:sz w:val="18"/>
                <w:szCs w:val="18"/>
              </w:rPr>
              <w:t>0,0</w:t>
            </w:r>
          </w:p>
        </w:tc>
      </w:tr>
    </w:tbl>
    <w:p w14:paraId="7061657F" w14:textId="5CBE3083" w:rsidR="003A0BFD" w:rsidRPr="003A0BFD" w:rsidRDefault="00C404D5" w:rsidP="003A0BFD">
      <w:pPr>
        <w:widowControl w:val="0"/>
        <w:spacing w:before="120"/>
        <w:ind w:firstLine="0"/>
        <w:rPr>
          <w:i/>
          <w:sz w:val="20"/>
          <w:szCs w:val="24"/>
        </w:rPr>
      </w:pPr>
      <w:r>
        <w:rPr>
          <w:i/>
          <w:sz w:val="20"/>
          <w:szCs w:val="24"/>
        </w:rPr>
        <w:t>Datu avots: Valsts kase</w:t>
      </w:r>
    </w:p>
    <w:p w14:paraId="1784F738" w14:textId="77777777" w:rsidR="00635652" w:rsidRDefault="00635652" w:rsidP="00B85700">
      <w:pPr>
        <w:widowControl w:val="0"/>
        <w:ind w:left="12240" w:firstLine="0"/>
        <w:jc w:val="right"/>
        <w:rPr>
          <w:rFonts w:eastAsia="Times New Roman" w:cs="Times New Roman"/>
          <w:color w:val="000000"/>
        </w:rPr>
      </w:pPr>
    </w:p>
    <w:p w14:paraId="27D7820B" w14:textId="4E57C09C" w:rsidR="003F3FCD" w:rsidRPr="00B85700" w:rsidRDefault="00095088" w:rsidP="00B85700">
      <w:pPr>
        <w:widowControl w:val="0"/>
        <w:ind w:left="12240" w:firstLine="0"/>
        <w:jc w:val="right"/>
        <w:rPr>
          <w:rFonts w:eastAsia="Times New Roman" w:cs="Times New Roman"/>
          <w:color w:val="000000"/>
        </w:rPr>
      </w:pPr>
      <w:r w:rsidRPr="00B85700">
        <w:rPr>
          <w:rFonts w:eastAsia="Times New Roman" w:cs="Times New Roman"/>
          <w:color w:val="000000"/>
        </w:rPr>
        <w:lastRenderedPageBreak/>
        <w:t>4</w:t>
      </w:r>
      <w:r w:rsidR="000F6C00" w:rsidRPr="00B85700">
        <w:rPr>
          <w:rFonts w:eastAsia="Times New Roman" w:cs="Times New Roman"/>
          <w:color w:val="000000"/>
        </w:rPr>
        <w:t>.</w:t>
      </w:r>
      <w:r w:rsidRPr="00B85700">
        <w:rPr>
          <w:rFonts w:eastAsia="Times New Roman" w:cs="Times New Roman"/>
          <w:color w:val="000000"/>
        </w:rPr>
        <w:t xml:space="preserve"> </w:t>
      </w:r>
      <w:r w:rsidR="000F6C00" w:rsidRPr="00B85700">
        <w:rPr>
          <w:rFonts w:eastAsia="Times New Roman" w:cs="Times New Roman"/>
          <w:color w:val="000000"/>
        </w:rPr>
        <w:t>pielikums</w:t>
      </w:r>
    </w:p>
    <w:p w14:paraId="11A4A7B5" w14:textId="13E527CD" w:rsidR="003F3FCD" w:rsidRPr="001D773D" w:rsidRDefault="000548A5" w:rsidP="000F6C00">
      <w:pPr>
        <w:widowControl w:val="0"/>
        <w:jc w:val="right"/>
        <w:rPr>
          <w:rFonts w:eastAsia="Times New Roman" w:cs="Times New Roman"/>
          <w:b/>
          <w:color w:val="000000"/>
        </w:rPr>
      </w:pPr>
      <w:r w:rsidRPr="001D773D">
        <w:rPr>
          <w:rFonts w:eastAsia="Times New Roman" w:cs="Times New Roman"/>
          <w:b/>
          <w:color w:val="000000"/>
        </w:rPr>
        <w:t>Aizsardzības ministrijas pamatbudžeta programma 31.00.00. "Militārpersonu pensiju fonds"</w:t>
      </w:r>
    </w:p>
    <w:tbl>
      <w:tblPr>
        <w:tblW w:w="14175" w:type="dxa"/>
        <w:tblInd w:w="-10" w:type="dxa"/>
        <w:tblCellMar>
          <w:left w:w="0" w:type="dxa"/>
          <w:right w:w="0" w:type="dxa"/>
        </w:tblCellMar>
        <w:tblLook w:val="04A0" w:firstRow="1" w:lastRow="0" w:firstColumn="1" w:lastColumn="0" w:noHBand="0" w:noVBand="1"/>
      </w:tblPr>
      <w:tblGrid>
        <w:gridCol w:w="2376"/>
        <w:gridCol w:w="1199"/>
        <w:gridCol w:w="1204"/>
        <w:gridCol w:w="1399"/>
        <w:gridCol w:w="1526"/>
        <w:gridCol w:w="1204"/>
        <w:gridCol w:w="1318"/>
        <w:gridCol w:w="1526"/>
        <w:gridCol w:w="1179"/>
        <w:gridCol w:w="1244"/>
      </w:tblGrid>
      <w:tr w:rsidR="00D84B9C" w:rsidRPr="00D84B9C" w14:paraId="6D5BA097" w14:textId="77777777" w:rsidTr="003A0BFD">
        <w:tc>
          <w:tcPr>
            <w:tcW w:w="2376" w:type="dxa"/>
            <w:vMerge w:val="restart"/>
            <w:tcBorders>
              <w:top w:val="single" w:sz="8" w:space="0" w:color="000000"/>
              <w:left w:val="single" w:sz="8" w:space="0" w:color="000000"/>
              <w:bottom w:val="single" w:sz="8" w:space="0" w:color="000000"/>
              <w:right w:val="single" w:sz="8" w:space="0" w:color="000000"/>
            </w:tcBorders>
            <w:shd w:val="clear" w:color="auto" w:fill="BDD6EE"/>
            <w:tcMar>
              <w:top w:w="0" w:type="dxa"/>
              <w:left w:w="108" w:type="dxa"/>
              <w:bottom w:w="0" w:type="dxa"/>
              <w:right w:w="108" w:type="dxa"/>
            </w:tcMar>
            <w:vAlign w:val="center"/>
            <w:hideMark/>
          </w:tcPr>
          <w:p w14:paraId="499D86CB" w14:textId="77777777" w:rsidR="00D84B9C" w:rsidRPr="00D84B9C" w:rsidRDefault="00D84B9C" w:rsidP="00D84B9C">
            <w:pPr>
              <w:ind w:firstLine="22"/>
              <w:jc w:val="center"/>
              <w:rPr>
                <w:rFonts w:cs="Times New Roman"/>
                <w:sz w:val="18"/>
                <w:szCs w:val="18"/>
              </w:rPr>
            </w:pPr>
            <w:r w:rsidRPr="00D84B9C">
              <w:rPr>
                <w:rFonts w:cs="Times New Roman"/>
                <w:b/>
                <w:bCs/>
                <w:color w:val="000000"/>
                <w:sz w:val="18"/>
                <w:szCs w:val="18"/>
              </w:rPr>
              <w:t>Programma/pensijas, pabalsta veids</w:t>
            </w:r>
          </w:p>
        </w:tc>
        <w:tc>
          <w:tcPr>
            <w:tcW w:w="3802" w:type="dxa"/>
            <w:gridSpan w:val="3"/>
            <w:tcBorders>
              <w:top w:val="single" w:sz="8" w:space="0" w:color="000000"/>
              <w:left w:val="nil"/>
              <w:bottom w:val="single" w:sz="8" w:space="0" w:color="000000"/>
              <w:right w:val="single" w:sz="8" w:space="0" w:color="000000"/>
            </w:tcBorders>
            <w:shd w:val="clear" w:color="auto" w:fill="BDD6EE"/>
            <w:tcMar>
              <w:top w:w="0" w:type="dxa"/>
              <w:left w:w="108" w:type="dxa"/>
              <w:bottom w:w="0" w:type="dxa"/>
              <w:right w:w="108" w:type="dxa"/>
            </w:tcMar>
            <w:vAlign w:val="center"/>
            <w:hideMark/>
          </w:tcPr>
          <w:p w14:paraId="3B48E2F4" w14:textId="77777777" w:rsidR="00D84B9C" w:rsidRPr="00D84B9C" w:rsidRDefault="00D84B9C" w:rsidP="00D84B9C">
            <w:pPr>
              <w:ind w:firstLine="22"/>
              <w:jc w:val="center"/>
              <w:rPr>
                <w:rFonts w:cs="Times New Roman"/>
                <w:sz w:val="18"/>
                <w:szCs w:val="18"/>
              </w:rPr>
            </w:pPr>
            <w:r w:rsidRPr="00D84B9C">
              <w:rPr>
                <w:rFonts w:cs="Times New Roman"/>
                <w:b/>
                <w:bCs/>
                <w:color w:val="000000"/>
                <w:sz w:val="18"/>
                <w:szCs w:val="18"/>
              </w:rPr>
              <w:t>2022. gada plāns</w:t>
            </w:r>
          </w:p>
        </w:tc>
        <w:tc>
          <w:tcPr>
            <w:tcW w:w="4048" w:type="dxa"/>
            <w:gridSpan w:val="3"/>
            <w:tcBorders>
              <w:top w:val="single" w:sz="8" w:space="0" w:color="000000"/>
              <w:left w:val="nil"/>
              <w:bottom w:val="single" w:sz="8" w:space="0" w:color="000000"/>
              <w:right w:val="single" w:sz="8" w:space="0" w:color="000000"/>
            </w:tcBorders>
            <w:shd w:val="clear" w:color="auto" w:fill="BDD6EE"/>
            <w:tcMar>
              <w:top w:w="0" w:type="dxa"/>
              <w:left w:w="108" w:type="dxa"/>
              <w:bottom w:w="0" w:type="dxa"/>
              <w:right w:w="108" w:type="dxa"/>
            </w:tcMar>
            <w:vAlign w:val="center"/>
            <w:hideMark/>
          </w:tcPr>
          <w:p w14:paraId="76376FDF" w14:textId="77777777" w:rsidR="00D84B9C" w:rsidRPr="00D84B9C" w:rsidRDefault="00D84B9C" w:rsidP="00D84B9C">
            <w:pPr>
              <w:ind w:firstLine="22"/>
              <w:jc w:val="center"/>
              <w:rPr>
                <w:rFonts w:cs="Times New Roman"/>
                <w:sz w:val="18"/>
                <w:szCs w:val="18"/>
              </w:rPr>
            </w:pPr>
            <w:r w:rsidRPr="00D84B9C">
              <w:rPr>
                <w:rFonts w:cs="Times New Roman"/>
                <w:b/>
                <w:bCs/>
                <w:color w:val="000000"/>
                <w:sz w:val="18"/>
                <w:szCs w:val="18"/>
              </w:rPr>
              <w:t>2023. gada plāns</w:t>
            </w:r>
          </w:p>
        </w:tc>
        <w:tc>
          <w:tcPr>
            <w:tcW w:w="3949" w:type="dxa"/>
            <w:gridSpan w:val="3"/>
            <w:tcBorders>
              <w:top w:val="single" w:sz="8" w:space="0" w:color="000000"/>
              <w:left w:val="nil"/>
              <w:bottom w:val="single" w:sz="8" w:space="0" w:color="000000"/>
              <w:right w:val="single" w:sz="8" w:space="0" w:color="000000"/>
            </w:tcBorders>
            <w:shd w:val="clear" w:color="auto" w:fill="BDD6EE"/>
            <w:tcMar>
              <w:top w:w="0" w:type="dxa"/>
              <w:left w:w="108" w:type="dxa"/>
              <w:bottom w:w="0" w:type="dxa"/>
              <w:right w:w="108" w:type="dxa"/>
            </w:tcMar>
            <w:vAlign w:val="center"/>
            <w:hideMark/>
          </w:tcPr>
          <w:p w14:paraId="47CBB7EB" w14:textId="77777777" w:rsidR="00D84B9C" w:rsidRPr="00D84B9C" w:rsidRDefault="00D84B9C" w:rsidP="00D84B9C">
            <w:pPr>
              <w:ind w:firstLine="22"/>
              <w:jc w:val="center"/>
              <w:rPr>
                <w:rFonts w:cs="Times New Roman"/>
                <w:sz w:val="18"/>
                <w:szCs w:val="18"/>
              </w:rPr>
            </w:pPr>
            <w:r w:rsidRPr="00D84B9C">
              <w:rPr>
                <w:rFonts w:cs="Times New Roman"/>
                <w:b/>
                <w:bCs/>
                <w:color w:val="000000"/>
                <w:sz w:val="18"/>
                <w:szCs w:val="18"/>
              </w:rPr>
              <w:t>2024. gada plāns</w:t>
            </w:r>
          </w:p>
        </w:tc>
      </w:tr>
      <w:tr w:rsidR="00D84B9C" w:rsidRPr="00D84B9C" w14:paraId="13B9806A" w14:textId="77777777" w:rsidTr="003A0BFD">
        <w:tc>
          <w:tcPr>
            <w:tcW w:w="2376" w:type="dxa"/>
            <w:vMerge/>
            <w:tcBorders>
              <w:top w:val="single" w:sz="8" w:space="0" w:color="000000"/>
              <w:left w:val="single" w:sz="8" w:space="0" w:color="000000"/>
              <w:bottom w:val="single" w:sz="8" w:space="0" w:color="000000"/>
              <w:right w:val="single" w:sz="8" w:space="0" w:color="000000"/>
            </w:tcBorders>
            <w:vAlign w:val="center"/>
            <w:hideMark/>
          </w:tcPr>
          <w:p w14:paraId="6F2CA21C" w14:textId="77777777" w:rsidR="00D84B9C" w:rsidRPr="00D84B9C" w:rsidRDefault="00D84B9C" w:rsidP="00D84B9C">
            <w:pPr>
              <w:ind w:firstLine="22"/>
              <w:rPr>
                <w:rFonts w:cs="Times New Roman"/>
                <w:sz w:val="18"/>
                <w:szCs w:val="18"/>
              </w:rPr>
            </w:pPr>
          </w:p>
        </w:tc>
        <w:tc>
          <w:tcPr>
            <w:tcW w:w="1199" w:type="dxa"/>
            <w:tcBorders>
              <w:top w:val="nil"/>
              <w:left w:val="nil"/>
              <w:bottom w:val="single" w:sz="8" w:space="0" w:color="000000"/>
              <w:right w:val="single" w:sz="8" w:space="0" w:color="000000"/>
            </w:tcBorders>
            <w:shd w:val="clear" w:color="auto" w:fill="BDD6EE"/>
            <w:tcMar>
              <w:top w:w="0" w:type="dxa"/>
              <w:left w:w="108" w:type="dxa"/>
              <w:bottom w:w="0" w:type="dxa"/>
              <w:right w:w="108" w:type="dxa"/>
            </w:tcMar>
            <w:vAlign w:val="center"/>
            <w:hideMark/>
          </w:tcPr>
          <w:p w14:paraId="1E5403AF" w14:textId="77777777" w:rsidR="00D84B9C" w:rsidRPr="00D84B9C" w:rsidRDefault="00D84B9C" w:rsidP="00D84B9C">
            <w:pPr>
              <w:ind w:firstLine="22"/>
              <w:jc w:val="center"/>
              <w:rPr>
                <w:rFonts w:cs="Times New Roman"/>
                <w:sz w:val="18"/>
                <w:szCs w:val="18"/>
              </w:rPr>
            </w:pPr>
            <w:r w:rsidRPr="00D84B9C">
              <w:rPr>
                <w:rFonts w:cs="Times New Roman"/>
                <w:b/>
                <w:bCs/>
                <w:color w:val="000000"/>
                <w:sz w:val="18"/>
                <w:szCs w:val="18"/>
              </w:rPr>
              <w:t>pensijas/ pabalsta/ atlīdzības apmērs vidēji mēnesī (</w:t>
            </w:r>
            <w:r w:rsidRPr="00D84B9C">
              <w:rPr>
                <w:rFonts w:cs="Times New Roman"/>
                <w:b/>
                <w:bCs/>
                <w:i/>
                <w:iCs/>
                <w:color w:val="000000"/>
                <w:sz w:val="18"/>
                <w:szCs w:val="18"/>
              </w:rPr>
              <w:t>euro</w:t>
            </w:r>
            <w:r w:rsidRPr="00D84B9C">
              <w:rPr>
                <w:rFonts w:cs="Times New Roman"/>
                <w:b/>
                <w:bCs/>
                <w:color w:val="000000"/>
                <w:sz w:val="18"/>
                <w:szCs w:val="18"/>
              </w:rPr>
              <w:t>)</w:t>
            </w:r>
          </w:p>
        </w:tc>
        <w:tc>
          <w:tcPr>
            <w:tcW w:w="1204" w:type="dxa"/>
            <w:tcBorders>
              <w:top w:val="nil"/>
              <w:left w:val="nil"/>
              <w:bottom w:val="single" w:sz="8" w:space="0" w:color="000000"/>
              <w:right w:val="single" w:sz="8" w:space="0" w:color="000000"/>
            </w:tcBorders>
            <w:shd w:val="clear" w:color="auto" w:fill="BDD6EE"/>
            <w:tcMar>
              <w:top w:w="0" w:type="dxa"/>
              <w:left w:w="108" w:type="dxa"/>
              <w:bottom w:w="0" w:type="dxa"/>
              <w:right w:w="108" w:type="dxa"/>
            </w:tcMar>
            <w:vAlign w:val="center"/>
            <w:hideMark/>
          </w:tcPr>
          <w:p w14:paraId="181E1FA0" w14:textId="77777777" w:rsidR="00D84B9C" w:rsidRPr="00D84B9C" w:rsidRDefault="00D84B9C" w:rsidP="00D84B9C">
            <w:pPr>
              <w:ind w:firstLine="22"/>
              <w:jc w:val="center"/>
              <w:rPr>
                <w:rFonts w:cs="Times New Roman"/>
                <w:b/>
                <w:bCs/>
                <w:color w:val="000000"/>
                <w:sz w:val="18"/>
                <w:szCs w:val="18"/>
              </w:rPr>
            </w:pPr>
            <w:r w:rsidRPr="00D84B9C">
              <w:rPr>
                <w:rFonts w:cs="Times New Roman"/>
                <w:b/>
                <w:bCs/>
                <w:color w:val="000000"/>
                <w:sz w:val="18"/>
                <w:szCs w:val="18"/>
              </w:rPr>
              <w:t>Kontingents</w:t>
            </w:r>
          </w:p>
          <w:p w14:paraId="56B008CD" w14:textId="77777777" w:rsidR="00D84B9C" w:rsidRPr="00D84B9C" w:rsidRDefault="00D84B9C" w:rsidP="00D84B9C">
            <w:pPr>
              <w:ind w:firstLine="22"/>
              <w:jc w:val="center"/>
              <w:rPr>
                <w:rFonts w:cs="Times New Roman"/>
                <w:sz w:val="18"/>
                <w:szCs w:val="18"/>
              </w:rPr>
            </w:pPr>
            <w:r w:rsidRPr="00D84B9C">
              <w:rPr>
                <w:rFonts w:cs="Times New Roman"/>
                <w:b/>
                <w:bCs/>
                <w:color w:val="000000"/>
                <w:sz w:val="18"/>
                <w:szCs w:val="18"/>
              </w:rPr>
              <w:t>(vidēji mēnesī)</w:t>
            </w:r>
          </w:p>
        </w:tc>
        <w:tc>
          <w:tcPr>
            <w:tcW w:w="1399" w:type="dxa"/>
            <w:tcBorders>
              <w:top w:val="nil"/>
              <w:left w:val="nil"/>
              <w:bottom w:val="single" w:sz="8" w:space="0" w:color="000000"/>
              <w:right w:val="single" w:sz="8" w:space="0" w:color="000000"/>
            </w:tcBorders>
            <w:shd w:val="clear" w:color="auto" w:fill="BDD6EE"/>
            <w:tcMar>
              <w:top w:w="0" w:type="dxa"/>
              <w:left w:w="108" w:type="dxa"/>
              <w:bottom w:w="0" w:type="dxa"/>
              <w:right w:w="108" w:type="dxa"/>
            </w:tcMar>
            <w:vAlign w:val="center"/>
            <w:hideMark/>
          </w:tcPr>
          <w:p w14:paraId="3A4E8BD8" w14:textId="77777777" w:rsidR="00D84B9C" w:rsidRPr="00D84B9C" w:rsidRDefault="00D84B9C" w:rsidP="00D84B9C">
            <w:pPr>
              <w:ind w:firstLine="22"/>
              <w:jc w:val="center"/>
              <w:rPr>
                <w:rFonts w:cs="Times New Roman"/>
                <w:b/>
                <w:bCs/>
                <w:color w:val="000000"/>
                <w:sz w:val="18"/>
                <w:szCs w:val="18"/>
              </w:rPr>
            </w:pPr>
            <w:r w:rsidRPr="00D84B9C">
              <w:rPr>
                <w:rFonts w:cs="Times New Roman"/>
                <w:b/>
                <w:bCs/>
                <w:color w:val="000000"/>
                <w:sz w:val="18"/>
                <w:szCs w:val="18"/>
              </w:rPr>
              <w:t>izdevumi kopā</w:t>
            </w:r>
          </w:p>
          <w:p w14:paraId="7257C278" w14:textId="77777777" w:rsidR="00D84B9C" w:rsidRPr="00D84B9C" w:rsidRDefault="00D84B9C" w:rsidP="00D84B9C">
            <w:pPr>
              <w:ind w:firstLine="22"/>
              <w:jc w:val="center"/>
              <w:rPr>
                <w:rFonts w:cs="Times New Roman"/>
                <w:sz w:val="18"/>
                <w:szCs w:val="18"/>
              </w:rPr>
            </w:pPr>
            <w:r w:rsidRPr="00D84B9C">
              <w:rPr>
                <w:rFonts w:cs="Times New Roman"/>
                <w:b/>
                <w:bCs/>
                <w:color w:val="000000"/>
                <w:sz w:val="18"/>
                <w:szCs w:val="18"/>
              </w:rPr>
              <w:t>(</w:t>
            </w:r>
            <w:r w:rsidRPr="00D84B9C">
              <w:rPr>
                <w:rFonts w:cs="Times New Roman"/>
                <w:b/>
                <w:bCs/>
                <w:i/>
                <w:iCs/>
                <w:color w:val="000000"/>
                <w:sz w:val="18"/>
                <w:szCs w:val="18"/>
              </w:rPr>
              <w:t>euro</w:t>
            </w:r>
            <w:r w:rsidRPr="00D84B9C">
              <w:rPr>
                <w:rFonts w:cs="Times New Roman"/>
                <w:b/>
                <w:bCs/>
                <w:color w:val="000000"/>
                <w:sz w:val="18"/>
                <w:szCs w:val="18"/>
              </w:rPr>
              <w:t>)</w:t>
            </w:r>
          </w:p>
        </w:tc>
        <w:tc>
          <w:tcPr>
            <w:tcW w:w="1526" w:type="dxa"/>
            <w:tcBorders>
              <w:top w:val="nil"/>
              <w:left w:val="nil"/>
              <w:bottom w:val="single" w:sz="8" w:space="0" w:color="000000"/>
              <w:right w:val="single" w:sz="8" w:space="0" w:color="000000"/>
            </w:tcBorders>
            <w:shd w:val="clear" w:color="auto" w:fill="BDD6EE"/>
            <w:tcMar>
              <w:top w:w="0" w:type="dxa"/>
              <w:left w:w="108" w:type="dxa"/>
              <w:bottom w:w="0" w:type="dxa"/>
              <w:right w:w="108" w:type="dxa"/>
            </w:tcMar>
            <w:vAlign w:val="center"/>
            <w:hideMark/>
          </w:tcPr>
          <w:p w14:paraId="2BCC701A" w14:textId="77777777" w:rsidR="00D84B9C" w:rsidRPr="00D84B9C" w:rsidRDefault="00D84B9C" w:rsidP="00D84B9C">
            <w:pPr>
              <w:ind w:firstLine="22"/>
              <w:jc w:val="center"/>
              <w:rPr>
                <w:rFonts w:cs="Times New Roman"/>
                <w:sz w:val="18"/>
                <w:szCs w:val="18"/>
              </w:rPr>
            </w:pPr>
            <w:r w:rsidRPr="00D84B9C">
              <w:rPr>
                <w:rFonts w:cs="Times New Roman"/>
                <w:b/>
                <w:bCs/>
                <w:color w:val="000000"/>
                <w:sz w:val="18"/>
                <w:szCs w:val="18"/>
              </w:rPr>
              <w:t>pensijas/ pabalsta/ atlīdzības apmērs vidēji mēnesī (</w:t>
            </w:r>
            <w:r w:rsidRPr="00D84B9C">
              <w:rPr>
                <w:rFonts w:cs="Times New Roman"/>
                <w:b/>
                <w:bCs/>
                <w:i/>
                <w:iCs/>
                <w:color w:val="000000"/>
                <w:sz w:val="18"/>
                <w:szCs w:val="18"/>
              </w:rPr>
              <w:t>euro</w:t>
            </w:r>
            <w:r w:rsidRPr="00D84B9C">
              <w:rPr>
                <w:rFonts w:cs="Times New Roman"/>
                <w:b/>
                <w:bCs/>
                <w:color w:val="000000"/>
                <w:sz w:val="18"/>
                <w:szCs w:val="18"/>
              </w:rPr>
              <w:t>)</w:t>
            </w:r>
          </w:p>
        </w:tc>
        <w:tc>
          <w:tcPr>
            <w:tcW w:w="1204" w:type="dxa"/>
            <w:tcBorders>
              <w:top w:val="nil"/>
              <w:left w:val="nil"/>
              <w:bottom w:val="single" w:sz="8" w:space="0" w:color="000000"/>
              <w:right w:val="single" w:sz="8" w:space="0" w:color="000000"/>
            </w:tcBorders>
            <w:shd w:val="clear" w:color="auto" w:fill="BDD6EE"/>
            <w:tcMar>
              <w:top w:w="0" w:type="dxa"/>
              <w:left w:w="108" w:type="dxa"/>
              <w:bottom w:w="0" w:type="dxa"/>
              <w:right w:w="108" w:type="dxa"/>
            </w:tcMar>
            <w:vAlign w:val="center"/>
            <w:hideMark/>
          </w:tcPr>
          <w:p w14:paraId="5CF56EAF" w14:textId="77777777" w:rsidR="00D84B9C" w:rsidRPr="00D84B9C" w:rsidRDefault="00D84B9C" w:rsidP="00D84B9C">
            <w:pPr>
              <w:ind w:firstLine="22"/>
              <w:jc w:val="center"/>
              <w:rPr>
                <w:rFonts w:cs="Times New Roman"/>
                <w:sz w:val="18"/>
                <w:szCs w:val="18"/>
              </w:rPr>
            </w:pPr>
            <w:r w:rsidRPr="00D84B9C">
              <w:rPr>
                <w:rFonts w:cs="Times New Roman"/>
                <w:b/>
                <w:bCs/>
                <w:color w:val="000000"/>
                <w:sz w:val="18"/>
                <w:szCs w:val="18"/>
              </w:rPr>
              <w:t>Kontingents (vidēji mēnesī)</w:t>
            </w:r>
          </w:p>
        </w:tc>
        <w:tc>
          <w:tcPr>
            <w:tcW w:w="1318" w:type="dxa"/>
            <w:tcBorders>
              <w:top w:val="nil"/>
              <w:left w:val="nil"/>
              <w:bottom w:val="single" w:sz="8" w:space="0" w:color="000000"/>
              <w:right w:val="single" w:sz="8" w:space="0" w:color="000000"/>
            </w:tcBorders>
            <w:shd w:val="clear" w:color="auto" w:fill="BDD6EE"/>
            <w:tcMar>
              <w:top w:w="0" w:type="dxa"/>
              <w:left w:w="108" w:type="dxa"/>
              <w:bottom w:w="0" w:type="dxa"/>
              <w:right w:w="108" w:type="dxa"/>
            </w:tcMar>
            <w:vAlign w:val="center"/>
            <w:hideMark/>
          </w:tcPr>
          <w:p w14:paraId="4EA4163A" w14:textId="77777777" w:rsidR="00D84B9C" w:rsidRPr="00D84B9C" w:rsidRDefault="00D84B9C" w:rsidP="00D84B9C">
            <w:pPr>
              <w:ind w:firstLine="22"/>
              <w:jc w:val="center"/>
              <w:rPr>
                <w:rFonts w:cs="Times New Roman"/>
                <w:sz w:val="18"/>
                <w:szCs w:val="18"/>
              </w:rPr>
            </w:pPr>
            <w:r w:rsidRPr="00D84B9C">
              <w:rPr>
                <w:rFonts w:cs="Times New Roman"/>
                <w:b/>
                <w:bCs/>
                <w:color w:val="000000"/>
                <w:sz w:val="18"/>
                <w:szCs w:val="18"/>
              </w:rPr>
              <w:t>izdevumi kopā (</w:t>
            </w:r>
            <w:r w:rsidRPr="00D84B9C">
              <w:rPr>
                <w:rFonts w:cs="Times New Roman"/>
                <w:b/>
                <w:bCs/>
                <w:i/>
                <w:iCs/>
                <w:color w:val="000000"/>
                <w:sz w:val="18"/>
                <w:szCs w:val="18"/>
              </w:rPr>
              <w:t>euro</w:t>
            </w:r>
            <w:r w:rsidRPr="00D84B9C">
              <w:rPr>
                <w:rFonts w:cs="Times New Roman"/>
                <w:b/>
                <w:bCs/>
                <w:color w:val="000000"/>
                <w:sz w:val="18"/>
                <w:szCs w:val="18"/>
              </w:rPr>
              <w:t>)</w:t>
            </w:r>
          </w:p>
        </w:tc>
        <w:tc>
          <w:tcPr>
            <w:tcW w:w="1526" w:type="dxa"/>
            <w:tcBorders>
              <w:top w:val="nil"/>
              <w:left w:val="nil"/>
              <w:bottom w:val="single" w:sz="8" w:space="0" w:color="000000"/>
              <w:right w:val="single" w:sz="8" w:space="0" w:color="000000"/>
            </w:tcBorders>
            <w:shd w:val="clear" w:color="auto" w:fill="BDD6EE"/>
            <w:tcMar>
              <w:top w:w="0" w:type="dxa"/>
              <w:left w:w="108" w:type="dxa"/>
              <w:bottom w:w="0" w:type="dxa"/>
              <w:right w:w="108" w:type="dxa"/>
            </w:tcMar>
            <w:vAlign w:val="center"/>
            <w:hideMark/>
          </w:tcPr>
          <w:p w14:paraId="07F58312" w14:textId="77777777" w:rsidR="00D84B9C" w:rsidRPr="00D84B9C" w:rsidRDefault="00D84B9C" w:rsidP="00D84B9C">
            <w:pPr>
              <w:ind w:firstLine="22"/>
              <w:jc w:val="center"/>
              <w:rPr>
                <w:rFonts w:cs="Times New Roman"/>
                <w:sz w:val="18"/>
                <w:szCs w:val="18"/>
              </w:rPr>
            </w:pPr>
            <w:r w:rsidRPr="00D84B9C">
              <w:rPr>
                <w:rFonts w:cs="Times New Roman"/>
                <w:b/>
                <w:bCs/>
                <w:color w:val="000000"/>
                <w:sz w:val="18"/>
                <w:szCs w:val="18"/>
              </w:rPr>
              <w:t>pensijas/ pabalsta/ atlīdzības apmērs vidēji mēnesī (</w:t>
            </w:r>
            <w:r w:rsidRPr="00D84B9C">
              <w:rPr>
                <w:rFonts w:cs="Times New Roman"/>
                <w:b/>
                <w:bCs/>
                <w:i/>
                <w:iCs/>
                <w:color w:val="000000"/>
                <w:sz w:val="18"/>
                <w:szCs w:val="18"/>
              </w:rPr>
              <w:t>euro</w:t>
            </w:r>
            <w:r w:rsidRPr="00D84B9C">
              <w:rPr>
                <w:rFonts w:cs="Times New Roman"/>
                <w:b/>
                <w:bCs/>
                <w:color w:val="000000"/>
                <w:sz w:val="18"/>
                <w:szCs w:val="18"/>
              </w:rPr>
              <w:t>)</w:t>
            </w:r>
          </w:p>
        </w:tc>
        <w:tc>
          <w:tcPr>
            <w:tcW w:w="1179" w:type="dxa"/>
            <w:tcBorders>
              <w:top w:val="nil"/>
              <w:left w:val="nil"/>
              <w:bottom w:val="single" w:sz="8" w:space="0" w:color="000000"/>
              <w:right w:val="single" w:sz="8" w:space="0" w:color="000000"/>
            </w:tcBorders>
            <w:shd w:val="clear" w:color="auto" w:fill="BDD6EE"/>
            <w:tcMar>
              <w:top w:w="0" w:type="dxa"/>
              <w:left w:w="108" w:type="dxa"/>
              <w:bottom w:w="0" w:type="dxa"/>
              <w:right w:w="108" w:type="dxa"/>
            </w:tcMar>
            <w:vAlign w:val="center"/>
            <w:hideMark/>
          </w:tcPr>
          <w:p w14:paraId="70B1EE67" w14:textId="77777777" w:rsidR="00D84B9C" w:rsidRPr="00D84B9C" w:rsidRDefault="00D84B9C" w:rsidP="00D84B9C">
            <w:pPr>
              <w:ind w:firstLine="22"/>
              <w:jc w:val="center"/>
              <w:rPr>
                <w:rFonts w:cs="Times New Roman"/>
                <w:sz w:val="18"/>
                <w:szCs w:val="18"/>
              </w:rPr>
            </w:pPr>
            <w:r w:rsidRPr="00D84B9C">
              <w:rPr>
                <w:rFonts w:cs="Times New Roman"/>
                <w:b/>
                <w:bCs/>
                <w:color w:val="000000"/>
                <w:sz w:val="18"/>
                <w:szCs w:val="18"/>
              </w:rPr>
              <w:t>Kontingents (vidēji mēnesī)</w:t>
            </w:r>
          </w:p>
        </w:tc>
        <w:tc>
          <w:tcPr>
            <w:tcW w:w="1244" w:type="dxa"/>
            <w:tcBorders>
              <w:top w:val="nil"/>
              <w:left w:val="nil"/>
              <w:bottom w:val="single" w:sz="8" w:space="0" w:color="000000"/>
              <w:right w:val="single" w:sz="8" w:space="0" w:color="000000"/>
            </w:tcBorders>
            <w:shd w:val="clear" w:color="auto" w:fill="BDD6EE"/>
            <w:tcMar>
              <w:top w:w="0" w:type="dxa"/>
              <w:left w:w="108" w:type="dxa"/>
              <w:bottom w:w="0" w:type="dxa"/>
              <w:right w:w="108" w:type="dxa"/>
            </w:tcMar>
            <w:vAlign w:val="center"/>
            <w:hideMark/>
          </w:tcPr>
          <w:p w14:paraId="7513CD57" w14:textId="77777777" w:rsidR="00D84B9C" w:rsidRPr="00D84B9C" w:rsidRDefault="00D84B9C" w:rsidP="00D84B9C">
            <w:pPr>
              <w:ind w:firstLine="22"/>
              <w:jc w:val="center"/>
              <w:rPr>
                <w:rFonts w:cs="Times New Roman"/>
                <w:sz w:val="18"/>
                <w:szCs w:val="18"/>
              </w:rPr>
            </w:pPr>
            <w:r w:rsidRPr="00D84B9C">
              <w:rPr>
                <w:rFonts w:cs="Times New Roman"/>
                <w:b/>
                <w:bCs/>
                <w:color w:val="000000"/>
                <w:sz w:val="18"/>
                <w:szCs w:val="18"/>
              </w:rPr>
              <w:t>izdevumi kopā (</w:t>
            </w:r>
            <w:r w:rsidRPr="00D84B9C">
              <w:rPr>
                <w:rFonts w:cs="Times New Roman"/>
                <w:b/>
                <w:bCs/>
                <w:i/>
                <w:iCs/>
                <w:color w:val="000000"/>
                <w:sz w:val="18"/>
                <w:szCs w:val="18"/>
              </w:rPr>
              <w:t>euro</w:t>
            </w:r>
            <w:r w:rsidRPr="00D84B9C">
              <w:rPr>
                <w:rFonts w:cs="Times New Roman"/>
                <w:b/>
                <w:bCs/>
                <w:color w:val="000000"/>
                <w:sz w:val="18"/>
                <w:szCs w:val="18"/>
              </w:rPr>
              <w:t>)</w:t>
            </w:r>
          </w:p>
        </w:tc>
      </w:tr>
      <w:tr w:rsidR="00D84B9C" w:rsidRPr="00D84B9C" w14:paraId="7F42571E" w14:textId="77777777" w:rsidTr="003A0BFD">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E801515" w14:textId="77777777" w:rsidR="00D84B9C" w:rsidRPr="00D84B9C" w:rsidRDefault="00D84B9C" w:rsidP="00D84B9C">
            <w:pPr>
              <w:spacing w:after="0"/>
              <w:ind w:firstLine="0"/>
              <w:rPr>
                <w:rFonts w:cs="Times New Roman"/>
                <w:sz w:val="18"/>
                <w:szCs w:val="18"/>
              </w:rPr>
            </w:pPr>
            <w:r w:rsidRPr="00D84B9C">
              <w:rPr>
                <w:rFonts w:cs="Times New Roman"/>
                <w:b/>
                <w:bCs/>
                <w:color w:val="000000"/>
                <w:sz w:val="18"/>
                <w:szCs w:val="18"/>
              </w:rPr>
              <w:t xml:space="preserve">Izdevumi kopā </w:t>
            </w:r>
          </w:p>
        </w:tc>
        <w:tc>
          <w:tcPr>
            <w:tcW w:w="1199"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2B5B7C6" w14:textId="77777777" w:rsidR="00D84B9C" w:rsidRPr="00D84B9C" w:rsidRDefault="00D84B9C" w:rsidP="00D84B9C">
            <w:pPr>
              <w:spacing w:after="0"/>
              <w:ind w:firstLine="0"/>
              <w:jc w:val="center"/>
              <w:rPr>
                <w:rFonts w:cs="Times New Roman"/>
                <w:sz w:val="18"/>
                <w:szCs w:val="18"/>
              </w:rPr>
            </w:pPr>
            <w:r w:rsidRPr="00D84B9C">
              <w:rPr>
                <w:rFonts w:cs="Times New Roman"/>
                <w:sz w:val="18"/>
                <w:szCs w:val="18"/>
              </w:rPr>
              <w:t> </w:t>
            </w:r>
          </w:p>
        </w:tc>
        <w:tc>
          <w:tcPr>
            <w:tcW w:w="120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057E50C" w14:textId="77777777" w:rsidR="00D84B9C" w:rsidRPr="00D84B9C" w:rsidRDefault="00D84B9C" w:rsidP="00D84B9C">
            <w:pPr>
              <w:spacing w:after="0"/>
              <w:ind w:firstLine="0"/>
              <w:jc w:val="center"/>
              <w:rPr>
                <w:rFonts w:cs="Times New Roman"/>
                <w:sz w:val="18"/>
                <w:szCs w:val="18"/>
              </w:rPr>
            </w:pPr>
            <w:r w:rsidRPr="00D84B9C">
              <w:rPr>
                <w:rFonts w:cs="Times New Roman"/>
                <w:sz w:val="18"/>
                <w:szCs w:val="18"/>
              </w:rPr>
              <w:t> </w:t>
            </w:r>
          </w:p>
        </w:tc>
        <w:tc>
          <w:tcPr>
            <w:tcW w:w="1399"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FAC717" w14:textId="77777777" w:rsidR="00D84B9C" w:rsidRPr="00D84B9C" w:rsidRDefault="00D84B9C" w:rsidP="00D84B9C">
            <w:pPr>
              <w:spacing w:after="0"/>
              <w:ind w:firstLine="0"/>
              <w:jc w:val="right"/>
              <w:rPr>
                <w:rFonts w:cs="Times New Roman"/>
                <w:sz w:val="18"/>
                <w:szCs w:val="18"/>
              </w:rPr>
            </w:pPr>
            <w:r w:rsidRPr="00D84B9C">
              <w:rPr>
                <w:rFonts w:cs="Times New Roman"/>
                <w:b/>
                <w:bCs/>
                <w:sz w:val="18"/>
                <w:szCs w:val="18"/>
              </w:rPr>
              <w:t>16 269 120</w:t>
            </w:r>
          </w:p>
        </w:tc>
        <w:tc>
          <w:tcPr>
            <w:tcW w:w="152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DB48D01" w14:textId="77777777" w:rsidR="00D84B9C" w:rsidRPr="00D84B9C" w:rsidRDefault="00D84B9C" w:rsidP="00D84B9C">
            <w:pPr>
              <w:spacing w:after="0"/>
              <w:ind w:firstLine="0"/>
              <w:rPr>
                <w:rFonts w:cs="Times New Roman"/>
                <w:sz w:val="18"/>
                <w:szCs w:val="18"/>
              </w:rPr>
            </w:pPr>
            <w:r w:rsidRPr="00D84B9C">
              <w:rPr>
                <w:rFonts w:cs="Times New Roman"/>
                <w:sz w:val="18"/>
                <w:szCs w:val="18"/>
              </w:rPr>
              <w:t> </w:t>
            </w:r>
          </w:p>
        </w:tc>
        <w:tc>
          <w:tcPr>
            <w:tcW w:w="120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2923C6D" w14:textId="77777777" w:rsidR="00D84B9C" w:rsidRPr="00D84B9C" w:rsidRDefault="00D84B9C" w:rsidP="00D84B9C">
            <w:pPr>
              <w:spacing w:after="0"/>
              <w:ind w:firstLine="0"/>
              <w:rPr>
                <w:rFonts w:cs="Times New Roman"/>
                <w:sz w:val="18"/>
                <w:szCs w:val="18"/>
              </w:rPr>
            </w:pPr>
            <w:r w:rsidRPr="00D84B9C">
              <w:rPr>
                <w:rFonts w:cs="Times New Roman"/>
                <w:sz w:val="18"/>
                <w:szCs w:val="18"/>
              </w:rPr>
              <w:t> </w:t>
            </w:r>
          </w:p>
        </w:tc>
        <w:tc>
          <w:tcPr>
            <w:tcW w:w="1318"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F24EC00" w14:textId="77777777" w:rsidR="00D84B9C" w:rsidRPr="00D84B9C" w:rsidRDefault="00D84B9C" w:rsidP="00D84B9C">
            <w:pPr>
              <w:spacing w:after="0"/>
              <w:ind w:left="-87" w:firstLine="0"/>
              <w:jc w:val="right"/>
              <w:rPr>
                <w:rFonts w:cs="Times New Roman"/>
                <w:sz w:val="18"/>
                <w:szCs w:val="18"/>
              </w:rPr>
            </w:pPr>
            <w:r w:rsidRPr="00D84B9C">
              <w:rPr>
                <w:rFonts w:cs="Times New Roman"/>
                <w:b/>
                <w:bCs/>
                <w:sz w:val="18"/>
                <w:szCs w:val="18"/>
              </w:rPr>
              <w:t>16 269 120</w:t>
            </w:r>
          </w:p>
        </w:tc>
        <w:tc>
          <w:tcPr>
            <w:tcW w:w="152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67EA401" w14:textId="77777777" w:rsidR="00D84B9C" w:rsidRPr="00D84B9C" w:rsidRDefault="00D84B9C" w:rsidP="00D84B9C">
            <w:pPr>
              <w:spacing w:after="0"/>
              <w:ind w:firstLine="0"/>
              <w:rPr>
                <w:rFonts w:cs="Times New Roman"/>
                <w:sz w:val="18"/>
                <w:szCs w:val="18"/>
              </w:rPr>
            </w:pPr>
            <w:r w:rsidRPr="00D84B9C">
              <w:rPr>
                <w:rFonts w:cs="Times New Roman"/>
                <w:sz w:val="18"/>
                <w:szCs w:val="18"/>
              </w:rPr>
              <w:t> </w:t>
            </w:r>
          </w:p>
        </w:tc>
        <w:tc>
          <w:tcPr>
            <w:tcW w:w="1179"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3667255" w14:textId="77777777" w:rsidR="00D84B9C" w:rsidRPr="00D84B9C" w:rsidRDefault="00D84B9C" w:rsidP="00D84B9C">
            <w:pPr>
              <w:spacing w:after="0"/>
              <w:ind w:firstLine="0"/>
              <w:rPr>
                <w:rFonts w:cs="Times New Roman"/>
                <w:sz w:val="18"/>
                <w:szCs w:val="18"/>
              </w:rPr>
            </w:pPr>
            <w:r w:rsidRPr="00D84B9C">
              <w:rPr>
                <w:rFonts w:cs="Times New Roman"/>
                <w:sz w:val="18"/>
                <w:szCs w:val="18"/>
              </w:rPr>
              <w:t> </w:t>
            </w:r>
          </w:p>
        </w:tc>
        <w:tc>
          <w:tcPr>
            <w:tcW w:w="12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C3D1B04" w14:textId="77777777" w:rsidR="00D84B9C" w:rsidRPr="00D84B9C" w:rsidRDefault="00D84B9C" w:rsidP="00D84B9C">
            <w:pPr>
              <w:spacing w:after="0"/>
              <w:ind w:left="-42" w:firstLine="0"/>
              <w:jc w:val="right"/>
              <w:rPr>
                <w:rFonts w:cs="Times New Roman"/>
                <w:sz w:val="18"/>
                <w:szCs w:val="18"/>
              </w:rPr>
            </w:pPr>
            <w:r w:rsidRPr="00D84B9C">
              <w:rPr>
                <w:rFonts w:cs="Times New Roman"/>
                <w:b/>
                <w:bCs/>
                <w:sz w:val="18"/>
                <w:szCs w:val="18"/>
              </w:rPr>
              <w:t>16 269 120</w:t>
            </w:r>
          </w:p>
        </w:tc>
      </w:tr>
      <w:tr w:rsidR="00D84B9C" w:rsidRPr="00D84B9C" w14:paraId="48A63CDF" w14:textId="77777777" w:rsidTr="003A0BFD">
        <w:trPr>
          <w:trHeight w:val="353"/>
        </w:trPr>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F15250B" w14:textId="77777777" w:rsidR="00D84B9C" w:rsidRPr="00D84B9C" w:rsidRDefault="00D84B9C" w:rsidP="00D84B9C">
            <w:pPr>
              <w:spacing w:after="0"/>
              <w:ind w:firstLine="0"/>
              <w:rPr>
                <w:rFonts w:cs="Times New Roman"/>
                <w:sz w:val="18"/>
                <w:szCs w:val="18"/>
              </w:rPr>
            </w:pPr>
            <w:r w:rsidRPr="00D84B9C">
              <w:rPr>
                <w:rFonts w:cs="Times New Roman"/>
                <w:color w:val="000000"/>
                <w:sz w:val="18"/>
                <w:szCs w:val="18"/>
              </w:rPr>
              <w:t>(EKK 6000 Sociālie pabalsti)</w:t>
            </w:r>
          </w:p>
        </w:tc>
        <w:tc>
          <w:tcPr>
            <w:tcW w:w="1199" w:type="dxa"/>
            <w:vMerge/>
            <w:tcBorders>
              <w:top w:val="nil"/>
              <w:left w:val="nil"/>
              <w:bottom w:val="single" w:sz="8" w:space="0" w:color="000000"/>
              <w:right w:val="single" w:sz="8" w:space="0" w:color="000000"/>
            </w:tcBorders>
            <w:vAlign w:val="center"/>
            <w:hideMark/>
          </w:tcPr>
          <w:p w14:paraId="593AD64F" w14:textId="77777777" w:rsidR="00D84B9C" w:rsidRPr="00D84B9C" w:rsidRDefault="00D84B9C" w:rsidP="00D84B9C">
            <w:pPr>
              <w:spacing w:after="0"/>
              <w:ind w:firstLine="0"/>
              <w:rPr>
                <w:rFonts w:cs="Times New Roman"/>
                <w:sz w:val="18"/>
                <w:szCs w:val="18"/>
              </w:rPr>
            </w:pPr>
          </w:p>
        </w:tc>
        <w:tc>
          <w:tcPr>
            <w:tcW w:w="0" w:type="auto"/>
            <w:vMerge/>
            <w:tcBorders>
              <w:top w:val="nil"/>
              <w:left w:val="nil"/>
              <w:bottom w:val="single" w:sz="8" w:space="0" w:color="000000"/>
              <w:right w:val="single" w:sz="8" w:space="0" w:color="000000"/>
            </w:tcBorders>
            <w:vAlign w:val="center"/>
            <w:hideMark/>
          </w:tcPr>
          <w:p w14:paraId="413C8132" w14:textId="77777777" w:rsidR="00D84B9C" w:rsidRPr="00D84B9C" w:rsidRDefault="00D84B9C" w:rsidP="00D84B9C">
            <w:pPr>
              <w:spacing w:after="0"/>
              <w:ind w:firstLine="0"/>
              <w:rPr>
                <w:rFonts w:cs="Times New Roman"/>
                <w:sz w:val="18"/>
                <w:szCs w:val="18"/>
              </w:rPr>
            </w:pPr>
          </w:p>
        </w:tc>
        <w:tc>
          <w:tcPr>
            <w:tcW w:w="1399" w:type="dxa"/>
            <w:vMerge/>
            <w:tcBorders>
              <w:top w:val="nil"/>
              <w:left w:val="nil"/>
              <w:bottom w:val="single" w:sz="8" w:space="0" w:color="000000"/>
              <w:right w:val="single" w:sz="8" w:space="0" w:color="000000"/>
            </w:tcBorders>
            <w:vAlign w:val="center"/>
            <w:hideMark/>
          </w:tcPr>
          <w:p w14:paraId="4935359A" w14:textId="77777777" w:rsidR="00D84B9C" w:rsidRPr="00D84B9C" w:rsidRDefault="00D84B9C" w:rsidP="00D84B9C">
            <w:pPr>
              <w:spacing w:after="0"/>
              <w:ind w:firstLine="0"/>
              <w:rPr>
                <w:rFonts w:cs="Times New Roman"/>
                <w:sz w:val="18"/>
                <w:szCs w:val="18"/>
              </w:rPr>
            </w:pPr>
          </w:p>
        </w:tc>
        <w:tc>
          <w:tcPr>
            <w:tcW w:w="1526" w:type="dxa"/>
            <w:vMerge/>
            <w:tcBorders>
              <w:top w:val="nil"/>
              <w:left w:val="nil"/>
              <w:bottom w:val="single" w:sz="8" w:space="0" w:color="000000"/>
              <w:right w:val="single" w:sz="8" w:space="0" w:color="000000"/>
            </w:tcBorders>
            <w:vAlign w:val="center"/>
            <w:hideMark/>
          </w:tcPr>
          <w:p w14:paraId="19563801" w14:textId="77777777" w:rsidR="00D84B9C" w:rsidRPr="00D84B9C" w:rsidRDefault="00D84B9C" w:rsidP="00D84B9C">
            <w:pPr>
              <w:spacing w:after="0"/>
              <w:ind w:firstLine="0"/>
              <w:rPr>
                <w:rFonts w:cs="Times New Roman"/>
                <w:sz w:val="18"/>
                <w:szCs w:val="18"/>
              </w:rPr>
            </w:pPr>
          </w:p>
        </w:tc>
        <w:tc>
          <w:tcPr>
            <w:tcW w:w="0" w:type="auto"/>
            <w:vMerge/>
            <w:tcBorders>
              <w:top w:val="nil"/>
              <w:left w:val="nil"/>
              <w:bottom w:val="single" w:sz="8" w:space="0" w:color="000000"/>
              <w:right w:val="single" w:sz="8" w:space="0" w:color="000000"/>
            </w:tcBorders>
            <w:vAlign w:val="center"/>
            <w:hideMark/>
          </w:tcPr>
          <w:p w14:paraId="1BAF36C9" w14:textId="77777777" w:rsidR="00D84B9C" w:rsidRPr="00D84B9C" w:rsidRDefault="00D84B9C" w:rsidP="00D84B9C">
            <w:pPr>
              <w:spacing w:after="0"/>
              <w:ind w:firstLine="0"/>
              <w:rPr>
                <w:rFonts w:cs="Times New Roman"/>
                <w:sz w:val="18"/>
                <w:szCs w:val="18"/>
              </w:rPr>
            </w:pPr>
          </w:p>
        </w:tc>
        <w:tc>
          <w:tcPr>
            <w:tcW w:w="1318" w:type="dxa"/>
            <w:vMerge/>
            <w:tcBorders>
              <w:top w:val="nil"/>
              <w:left w:val="nil"/>
              <w:bottom w:val="single" w:sz="8" w:space="0" w:color="000000"/>
              <w:right w:val="single" w:sz="8" w:space="0" w:color="000000"/>
            </w:tcBorders>
            <w:vAlign w:val="center"/>
            <w:hideMark/>
          </w:tcPr>
          <w:p w14:paraId="2BD58E3E" w14:textId="77777777" w:rsidR="00D84B9C" w:rsidRPr="00D84B9C" w:rsidRDefault="00D84B9C" w:rsidP="00D84B9C">
            <w:pPr>
              <w:spacing w:after="0"/>
              <w:ind w:firstLine="0"/>
              <w:rPr>
                <w:rFonts w:cs="Times New Roman"/>
                <w:sz w:val="18"/>
                <w:szCs w:val="18"/>
              </w:rPr>
            </w:pPr>
          </w:p>
        </w:tc>
        <w:tc>
          <w:tcPr>
            <w:tcW w:w="1526" w:type="dxa"/>
            <w:vMerge/>
            <w:tcBorders>
              <w:top w:val="nil"/>
              <w:left w:val="nil"/>
              <w:bottom w:val="single" w:sz="8" w:space="0" w:color="000000"/>
              <w:right w:val="single" w:sz="8" w:space="0" w:color="000000"/>
            </w:tcBorders>
            <w:vAlign w:val="center"/>
            <w:hideMark/>
          </w:tcPr>
          <w:p w14:paraId="3ABEB678" w14:textId="77777777" w:rsidR="00D84B9C" w:rsidRPr="00D84B9C" w:rsidRDefault="00D84B9C" w:rsidP="00D84B9C">
            <w:pPr>
              <w:spacing w:after="0"/>
              <w:ind w:firstLine="0"/>
              <w:rPr>
                <w:rFonts w:cs="Times New Roman"/>
                <w:sz w:val="18"/>
                <w:szCs w:val="18"/>
              </w:rPr>
            </w:pPr>
          </w:p>
        </w:tc>
        <w:tc>
          <w:tcPr>
            <w:tcW w:w="1179" w:type="dxa"/>
            <w:vMerge/>
            <w:tcBorders>
              <w:top w:val="nil"/>
              <w:left w:val="nil"/>
              <w:bottom w:val="single" w:sz="8" w:space="0" w:color="000000"/>
              <w:right w:val="single" w:sz="8" w:space="0" w:color="000000"/>
            </w:tcBorders>
            <w:vAlign w:val="center"/>
            <w:hideMark/>
          </w:tcPr>
          <w:p w14:paraId="416ADA2F" w14:textId="77777777" w:rsidR="00D84B9C" w:rsidRPr="00D84B9C" w:rsidRDefault="00D84B9C" w:rsidP="00D84B9C">
            <w:pPr>
              <w:spacing w:after="0"/>
              <w:ind w:firstLine="0"/>
              <w:rPr>
                <w:rFonts w:cs="Times New Roman"/>
                <w:sz w:val="18"/>
                <w:szCs w:val="18"/>
              </w:rPr>
            </w:pPr>
          </w:p>
        </w:tc>
        <w:tc>
          <w:tcPr>
            <w:tcW w:w="1244" w:type="dxa"/>
            <w:vMerge/>
            <w:tcBorders>
              <w:top w:val="nil"/>
              <w:left w:val="nil"/>
              <w:bottom w:val="single" w:sz="8" w:space="0" w:color="000000"/>
              <w:right w:val="single" w:sz="8" w:space="0" w:color="000000"/>
            </w:tcBorders>
            <w:vAlign w:val="center"/>
            <w:hideMark/>
          </w:tcPr>
          <w:p w14:paraId="3B410694" w14:textId="77777777" w:rsidR="00D84B9C" w:rsidRPr="00D84B9C" w:rsidRDefault="00D84B9C" w:rsidP="00D84B9C">
            <w:pPr>
              <w:spacing w:after="0"/>
              <w:ind w:firstLine="0"/>
              <w:rPr>
                <w:rFonts w:cs="Times New Roman"/>
                <w:sz w:val="18"/>
                <w:szCs w:val="18"/>
              </w:rPr>
            </w:pPr>
          </w:p>
        </w:tc>
      </w:tr>
      <w:tr w:rsidR="00D84B9C" w:rsidRPr="00D84B9C" w14:paraId="29DE537A" w14:textId="77777777" w:rsidTr="003A0BFD">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C7A2070" w14:textId="77777777" w:rsidR="00D84B9C" w:rsidRPr="00D84B9C" w:rsidRDefault="00D84B9C" w:rsidP="00D84B9C">
            <w:pPr>
              <w:spacing w:after="0"/>
              <w:ind w:firstLine="0"/>
              <w:rPr>
                <w:rFonts w:cs="Times New Roman"/>
                <w:sz w:val="18"/>
                <w:szCs w:val="18"/>
              </w:rPr>
            </w:pPr>
            <w:r w:rsidRPr="00D84B9C">
              <w:rPr>
                <w:rFonts w:cs="Times New Roman"/>
                <w:b/>
                <w:bCs/>
                <w:color w:val="000000"/>
                <w:sz w:val="18"/>
                <w:szCs w:val="18"/>
              </w:rPr>
              <w:t xml:space="preserve">Izdienas pensijas – kopā </w:t>
            </w:r>
          </w:p>
        </w:tc>
        <w:tc>
          <w:tcPr>
            <w:tcW w:w="1199"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43B31F7" w14:textId="77777777" w:rsidR="00D84B9C" w:rsidRPr="00D84B9C" w:rsidRDefault="00D84B9C" w:rsidP="00D84B9C">
            <w:pPr>
              <w:spacing w:after="0"/>
              <w:ind w:firstLine="0"/>
              <w:jc w:val="center"/>
              <w:rPr>
                <w:rFonts w:cs="Times New Roman"/>
                <w:sz w:val="18"/>
                <w:szCs w:val="18"/>
              </w:rPr>
            </w:pPr>
            <w:r w:rsidRPr="00D84B9C">
              <w:rPr>
                <w:rFonts w:cs="Times New Roman"/>
                <w:sz w:val="18"/>
                <w:szCs w:val="18"/>
              </w:rPr>
              <w:t>x</w:t>
            </w:r>
          </w:p>
        </w:tc>
        <w:tc>
          <w:tcPr>
            <w:tcW w:w="120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DF8C34C" w14:textId="77777777" w:rsidR="00D84B9C" w:rsidRPr="00D84B9C" w:rsidRDefault="00D84B9C" w:rsidP="00D84B9C">
            <w:pPr>
              <w:spacing w:after="0"/>
              <w:ind w:firstLine="0"/>
              <w:jc w:val="center"/>
              <w:rPr>
                <w:rFonts w:cs="Times New Roman"/>
                <w:sz w:val="18"/>
                <w:szCs w:val="18"/>
              </w:rPr>
            </w:pPr>
            <w:r w:rsidRPr="00D84B9C">
              <w:rPr>
                <w:rFonts w:cs="Times New Roman"/>
                <w:sz w:val="18"/>
                <w:szCs w:val="18"/>
              </w:rPr>
              <w:t>x</w:t>
            </w:r>
          </w:p>
        </w:tc>
        <w:tc>
          <w:tcPr>
            <w:tcW w:w="1399"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B690A08" w14:textId="77777777" w:rsidR="00D84B9C" w:rsidRPr="00D84B9C" w:rsidRDefault="00D84B9C" w:rsidP="00D84B9C">
            <w:pPr>
              <w:spacing w:after="0"/>
              <w:ind w:firstLine="0"/>
              <w:jc w:val="right"/>
              <w:rPr>
                <w:rFonts w:cs="Times New Roman"/>
                <w:sz w:val="18"/>
                <w:szCs w:val="18"/>
              </w:rPr>
            </w:pPr>
            <w:r w:rsidRPr="00D84B9C">
              <w:rPr>
                <w:rFonts w:cs="Times New Roman"/>
                <w:b/>
                <w:bCs/>
                <w:sz w:val="18"/>
                <w:szCs w:val="18"/>
              </w:rPr>
              <w:t>14 528 504</w:t>
            </w:r>
          </w:p>
        </w:tc>
        <w:tc>
          <w:tcPr>
            <w:tcW w:w="152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B2C36C" w14:textId="77777777" w:rsidR="00D84B9C" w:rsidRPr="00D84B9C" w:rsidRDefault="00D84B9C" w:rsidP="00D84B9C">
            <w:pPr>
              <w:spacing w:after="0"/>
              <w:ind w:firstLine="0"/>
              <w:jc w:val="center"/>
              <w:rPr>
                <w:rFonts w:cs="Times New Roman"/>
                <w:sz w:val="18"/>
                <w:szCs w:val="18"/>
              </w:rPr>
            </w:pPr>
            <w:r w:rsidRPr="00D84B9C">
              <w:rPr>
                <w:rFonts w:cs="Times New Roman"/>
                <w:sz w:val="18"/>
                <w:szCs w:val="18"/>
              </w:rPr>
              <w:t>x</w:t>
            </w:r>
          </w:p>
        </w:tc>
        <w:tc>
          <w:tcPr>
            <w:tcW w:w="120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000035D" w14:textId="77777777" w:rsidR="00D84B9C" w:rsidRPr="00D84B9C" w:rsidRDefault="00D84B9C" w:rsidP="00D84B9C">
            <w:pPr>
              <w:spacing w:after="0"/>
              <w:ind w:firstLine="0"/>
              <w:jc w:val="center"/>
              <w:rPr>
                <w:rFonts w:cs="Times New Roman"/>
                <w:sz w:val="18"/>
                <w:szCs w:val="18"/>
              </w:rPr>
            </w:pPr>
            <w:r w:rsidRPr="00D84B9C">
              <w:rPr>
                <w:rFonts w:cs="Times New Roman"/>
                <w:sz w:val="18"/>
                <w:szCs w:val="18"/>
              </w:rPr>
              <w:t>x</w:t>
            </w:r>
          </w:p>
        </w:tc>
        <w:tc>
          <w:tcPr>
            <w:tcW w:w="1318"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B8DEDAA" w14:textId="77777777" w:rsidR="00D84B9C" w:rsidRPr="00D84B9C" w:rsidRDefault="00D84B9C" w:rsidP="00D84B9C">
            <w:pPr>
              <w:spacing w:after="0"/>
              <w:ind w:left="-87" w:firstLine="0"/>
              <w:jc w:val="right"/>
              <w:rPr>
                <w:rFonts w:cs="Times New Roman"/>
                <w:sz w:val="18"/>
                <w:szCs w:val="18"/>
              </w:rPr>
            </w:pPr>
            <w:r w:rsidRPr="00D84B9C">
              <w:rPr>
                <w:rFonts w:cs="Times New Roman"/>
                <w:b/>
                <w:bCs/>
                <w:sz w:val="18"/>
                <w:szCs w:val="18"/>
              </w:rPr>
              <w:t>14 528 504</w:t>
            </w:r>
          </w:p>
        </w:tc>
        <w:tc>
          <w:tcPr>
            <w:tcW w:w="152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EE3554A" w14:textId="77777777" w:rsidR="00D84B9C" w:rsidRPr="00D84B9C" w:rsidRDefault="00D84B9C" w:rsidP="00D84B9C">
            <w:pPr>
              <w:spacing w:after="0"/>
              <w:ind w:firstLine="0"/>
              <w:jc w:val="center"/>
              <w:rPr>
                <w:rFonts w:cs="Times New Roman"/>
                <w:sz w:val="18"/>
                <w:szCs w:val="18"/>
              </w:rPr>
            </w:pPr>
            <w:r w:rsidRPr="00D84B9C">
              <w:rPr>
                <w:rFonts w:cs="Times New Roman"/>
                <w:sz w:val="18"/>
                <w:szCs w:val="18"/>
              </w:rPr>
              <w:t>x</w:t>
            </w:r>
          </w:p>
        </w:tc>
        <w:tc>
          <w:tcPr>
            <w:tcW w:w="1179"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24C0379" w14:textId="77777777" w:rsidR="00D84B9C" w:rsidRPr="00D84B9C" w:rsidRDefault="00D84B9C" w:rsidP="00D84B9C">
            <w:pPr>
              <w:spacing w:after="0"/>
              <w:ind w:firstLine="0"/>
              <w:jc w:val="center"/>
              <w:rPr>
                <w:rFonts w:cs="Times New Roman"/>
                <w:sz w:val="18"/>
                <w:szCs w:val="18"/>
              </w:rPr>
            </w:pPr>
            <w:r w:rsidRPr="00D84B9C">
              <w:rPr>
                <w:rFonts w:cs="Times New Roman"/>
                <w:sz w:val="18"/>
                <w:szCs w:val="18"/>
              </w:rPr>
              <w:t>x</w:t>
            </w:r>
          </w:p>
        </w:tc>
        <w:tc>
          <w:tcPr>
            <w:tcW w:w="12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92E2214" w14:textId="77777777" w:rsidR="00D84B9C" w:rsidRPr="00D84B9C" w:rsidRDefault="00D84B9C" w:rsidP="00D84B9C">
            <w:pPr>
              <w:spacing w:after="0"/>
              <w:ind w:left="-42" w:firstLine="0"/>
              <w:jc w:val="right"/>
              <w:rPr>
                <w:rFonts w:cs="Times New Roman"/>
                <w:sz w:val="18"/>
                <w:szCs w:val="18"/>
              </w:rPr>
            </w:pPr>
            <w:r w:rsidRPr="00D84B9C">
              <w:rPr>
                <w:rFonts w:cs="Times New Roman"/>
                <w:b/>
                <w:bCs/>
                <w:sz w:val="18"/>
                <w:szCs w:val="18"/>
              </w:rPr>
              <w:t>14 528 504</w:t>
            </w:r>
          </w:p>
        </w:tc>
      </w:tr>
      <w:tr w:rsidR="00D84B9C" w:rsidRPr="00D84B9C" w14:paraId="27DCC051" w14:textId="77777777" w:rsidTr="003A0BFD">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1352C9C" w14:textId="77777777" w:rsidR="00D84B9C" w:rsidRPr="00D84B9C" w:rsidRDefault="00D84B9C" w:rsidP="00D84B9C">
            <w:pPr>
              <w:spacing w:after="0"/>
              <w:ind w:firstLine="0"/>
              <w:rPr>
                <w:rFonts w:cs="Times New Roman"/>
                <w:sz w:val="18"/>
                <w:szCs w:val="18"/>
              </w:rPr>
            </w:pPr>
            <w:r w:rsidRPr="00D84B9C">
              <w:rPr>
                <w:rFonts w:cs="Times New Roman"/>
                <w:color w:val="000000"/>
                <w:sz w:val="18"/>
                <w:szCs w:val="18"/>
              </w:rPr>
              <w:t>(EKK 6216)</w:t>
            </w:r>
          </w:p>
        </w:tc>
        <w:tc>
          <w:tcPr>
            <w:tcW w:w="1199" w:type="dxa"/>
            <w:vMerge/>
            <w:tcBorders>
              <w:top w:val="nil"/>
              <w:left w:val="nil"/>
              <w:bottom w:val="single" w:sz="8" w:space="0" w:color="000000"/>
              <w:right w:val="single" w:sz="8" w:space="0" w:color="000000"/>
            </w:tcBorders>
            <w:vAlign w:val="center"/>
            <w:hideMark/>
          </w:tcPr>
          <w:p w14:paraId="7FFD4CD6" w14:textId="77777777" w:rsidR="00D84B9C" w:rsidRPr="00D84B9C" w:rsidRDefault="00D84B9C" w:rsidP="00D84B9C">
            <w:pPr>
              <w:spacing w:after="0"/>
              <w:ind w:firstLine="0"/>
              <w:rPr>
                <w:rFonts w:cs="Times New Roman"/>
                <w:sz w:val="18"/>
                <w:szCs w:val="18"/>
              </w:rPr>
            </w:pPr>
          </w:p>
        </w:tc>
        <w:tc>
          <w:tcPr>
            <w:tcW w:w="0" w:type="auto"/>
            <w:vMerge/>
            <w:tcBorders>
              <w:top w:val="nil"/>
              <w:left w:val="nil"/>
              <w:bottom w:val="single" w:sz="8" w:space="0" w:color="000000"/>
              <w:right w:val="single" w:sz="8" w:space="0" w:color="000000"/>
            </w:tcBorders>
            <w:vAlign w:val="center"/>
            <w:hideMark/>
          </w:tcPr>
          <w:p w14:paraId="3379AAB9" w14:textId="77777777" w:rsidR="00D84B9C" w:rsidRPr="00D84B9C" w:rsidRDefault="00D84B9C" w:rsidP="00D84B9C">
            <w:pPr>
              <w:spacing w:after="0"/>
              <w:ind w:firstLine="0"/>
              <w:rPr>
                <w:rFonts w:cs="Times New Roman"/>
                <w:sz w:val="18"/>
                <w:szCs w:val="18"/>
              </w:rPr>
            </w:pPr>
          </w:p>
        </w:tc>
        <w:tc>
          <w:tcPr>
            <w:tcW w:w="1399" w:type="dxa"/>
            <w:vMerge/>
            <w:tcBorders>
              <w:top w:val="nil"/>
              <w:left w:val="nil"/>
              <w:bottom w:val="single" w:sz="8" w:space="0" w:color="000000"/>
              <w:right w:val="single" w:sz="8" w:space="0" w:color="000000"/>
            </w:tcBorders>
            <w:vAlign w:val="center"/>
            <w:hideMark/>
          </w:tcPr>
          <w:p w14:paraId="5D975425" w14:textId="77777777" w:rsidR="00D84B9C" w:rsidRPr="00D84B9C" w:rsidRDefault="00D84B9C" w:rsidP="00D84B9C">
            <w:pPr>
              <w:spacing w:after="0"/>
              <w:ind w:firstLine="0"/>
              <w:rPr>
                <w:rFonts w:cs="Times New Roman"/>
                <w:sz w:val="18"/>
                <w:szCs w:val="18"/>
              </w:rPr>
            </w:pPr>
          </w:p>
        </w:tc>
        <w:tc>
          <w:tcPr>
            <w:tcW w:w="1526" w:type="dxa"/>
            <w:vMerge/>
            <w:tcBorders>
              <w:top w:val="nil"/>
              <w:left w:val="nil"/>
              <w:bottom w:val="single" w:sz="8" w:space="0" w:color="000000"/>
              <w:right w:val="single" w:sz="8" w:space="0" w:color="000000"/>
            </w:tcBorders>
            <w:vAlign w:val="center"/>
            <w:hideMark/>
          </w:tcPr>
          <w:p w14:paraId="11840096" w14:textId="77777777" w:rsidR="00D84B9C" w:rsidRPr="00D84B9C" w:rsidRDefault="00D84B9C" w:rsidP="00D84B9C">
            <w:pPr>
              <w:spacing w:after="0"/>
              <w:ind w:firstLine="0"/>
              <w:rPr>
                <w:rFonts w:cs="Times New Roman"/>
                <w:sz w:val="18"/>
                <w:szCs w:val="18"/>
              </w:rPr>
            </w:pPr>
          </w:p>
        </w:tc>
        <w:tc>
          <w:tcPr>
            <w:tcW w:w="0" w:type="auto"/>
            <w:vMerge/>
            <w:tcBorders>
              <w:top w:val="nil"/>
              <w:left w:val="nil"/>
              <w:bottom w:val="single" w:sz="8" w:space="0" w:color="000000"/>
              <w:right w:val="single" w:sz="8" w:space="0" w:color="000000"/>
            </w:tcBorders>
            <w:vAlign w:val="center"/>
            <w:hideMark/>
          </w:tcPr>
          <w:p w14:paraId="1017389C" w14:textId="77777777" w:rsidR="00D84B9C" w:rsidRPr="00D84B9C" w:rsidRDefault="00D84B9C" w:rsidP="00D84B9C">
            <w:pPr>
              <w:spacing w:after="0"/>
              <w:ind w:firstLine="0"/>
              <w:rPr>
                <w:rFonts w:cs="Times New Roman"/>
                <w:sz w:val="18"/>
                <w:szCs w:val="18"/>
              </w:rPr>
            </w:pPr>
          </w:p>
        </w:tc>
        <w:tc>
          <w:tcPr>
            <w:tcW w:w="1318" w:type="dxa"/>
            <w:vMerge/>
            <w:tcBorders>
              <w:top w:val="nil"/>
              <w:left w:val="nil"/>
              <w:bottom w:val="single" w:sz="8" w:space="0" w:color="000000"/>
              <w:right w:val="single" w:sz="8" w:space="0" w:color="000000"/>
            </w:tcBorders>
            <w:vAlign w:val="center"/>
            <w:hideMark/>
          </w:tcPr>
          <w:p w14:paraId="65E38266" w14:textId="77777777" w:rsidR="00D84B9C" w:rsidRPr="00D84B9C" w:rsidRDefault="00D84B9C" w:rsidP="00D84B9C">
            <w:pPr>
              <w:spacing w:after="0"/>
              <w:ind w:firstLine="0"/>
              <w:rPr>
                <w:rFonts w:cs="Times New Roman"/>
                <w:sz w:val="18"/>
                <w:szCs w:val="18"/>
              </w:rPr>
            </w:pPr>
          </w:p>
        </w:tc>
        <w:tc>
          <w:tcPr>
            <w:tcW w:w="1526" w:type="dxa"/>
            <w:vMerge/>
            <w:tcBorders>
              <w:top w:val="nil"/>
              <w:left w:val="nil"/>
              <w:bottom w:val="single" w:sz="8" w:space="0" w:color="000000"/>
              <w:right w:val="single" w:sz="8" w:space="0" w:color="000000"/>
            </w:tcBorders>
            <w:vAlign w:val="center"/>
            <w:hideMark/>
          </w:tcPr>
          <w:p w14:paraId="640E7911" w14:textId="77777777" w:rsidR="00D84B9C" w:rsidRPr="00D84B9C" w:rsidRDefault="00D84B9C" w:rsidP="00D84B9C">
            <w:pPr>
              <w:spacing w:after="0"/>
              <w:ind w:firstLine="0"/>
              <w:rPr>
                <w:rFonts w:cs="Times New Roman"/>
                <w:sz w:val="18"/>
                <w:szCs w:val="18"/>
              </w:rPr>
            </w:pPr>
          </w:p>
        </w:tc>
        <w:tc>
          <w:tcPr>
            <w:tcW w:w="1179" w:type="dxa"/>
            <w:vMerge/>
            <w:tcBorders>
              <w:top w:val="nil"/>
              <w:left w:val="nil"/>
              <w:bottom w:val="single" w:sz="8" w:space="0" w:color="000000"/>
              <w:right w:val="single" w:sz="8" w:space="0" w:color="000000"/>
            </w:tcBorders>
            <w:vAlign w:val="center"/>
            <w:hideMark/>
          </w:tcPr>
          <w:p w14:paraId="1A475E3D" w14:textId="77777777" w:rsidR="00D84B9C" w:rsidRPr="00D84B9C" w:rsidRDefault="00D84B9C" w:rsidP="00D84B9C">
            <w:pPr>
              <w:spacing w:after="0"/>
              <w:ind w:firstLine="0"/>
              <w:rPr>
                <w:rFonts w:cs="Times New Roman"/>
                <w:sz w:val="18"/>
                <w:szCs w:val="18"/>
              </w:rPr>
            </w:pPr>
          </w:p>
        </w:tc>
        <w:tc>
          <w:tcPr>
            <w:tcW w:w="1244" w:type="dxa"/>
            <w:vMerge/>
            <w:tcBorders>
              <w:top w:val="nil"/>
              <w:left w:val="nil"/>
              <w:bottom w:val="single" w:sz="8" w:space="0" w:color="000000"/>
              <w:right w:val="single" w:sz="8" w:space="0" w:color="000000"/>
            </w:tcBorders>
            <w:vAlign w:val="center"/>
            <w:hideMark/>
          </w:tcPr>
          <w:p w14:paraId="3EF71490" w14:textId="77777777" w:rsidR="00D84B9C" w:rsidRPr="00D84B9C" w:rsidRDefault="00D84B9C" w:rsidP="00D84B9C">
            <w:pPr>
              <w:spacing w:after="0"/>
              <w:ind w:firstLine="0"/>
              <w:rPr>
                <w:rFonts w:cs="Times New Roman"/>
                <w:sz w:val="18"/>
                <w:szCs w:val="18"/>
              </w:rPr>
            </w:pPr>
          </w:p>
        </w:tc>
      </w:tr>
      <w:tr w:rsidR="00D84B9C" w:rsidRPr="00D84B9C" w14:paraId="222764B0" w14:textId="77777777" w:rsidTr="003A0BFD">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ACA9B65" w14:textId="77777777" w:rsidR="00D84B9C" w:rsidRPr="00D84B9C" w:rsidRDefault="00D84B9C" w:rsidP="00D84B9C">
            <w:pPr>
              <w:spacing w:after="0"/>
              <w:ind w:left="447" w:firstLine="0"/>
              <w:rPr>
                <w:rFonts w:cs="Times New Roman"/>
                <w:sz w:val="18"/>
                <w:szCs w:val="18"/>
              </w:rPr>
            </w:pPr>
            <w:r w:rsidRPr="00D84B9C">
              <w:rPr>
                <w:rFonts w:cs="Times New Roman"/>
                <w:i/>
                <w:iCs/>
                <w:color w:val="000000"/>
                <w:sz w:val="18"/>
                <w:szCs w:val="18"/>
              </w:rPr>
              <w:t>tajā skaitā:</w:t>
            </w:r>
          </w:p>
        </w:tc>
        <w:tc>
          <w:tcPr>
            <w:tcW w:w="11799" w:type="dxa"/>
            <w:gridSpan w:val="9"/>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9B865D5" w14:textId="77777777" w:rsidR="00D84B9C" w:rsidRPr="00D84B9C" w:rsidRDefault="00D84B9C" w:rsidP="00D84B9C">
            <w:pPr>
              <w:spacing w:after="0"/>
              <w:ind w:left="-87" w:firstLine="0"/>
              <w:rPr>
                <w:rFonts w:cs="Times New Roman"/>
                <w:sz w:val="18"/>
                <w:szCs w:val="18"/>
              </w:rPr>
            </w:pPr>
            <w:r w:rsidRPr="00D84B9C">
              <w:rPr>
                <w:rFonts w:cs="Times New Roman"/>
                <w:sz w:val="18"/>
                <w:szCs w:val="18"/>
              </w:rPr>
              <w:t> </w:t>
            </w:r>
          </w:p>
        </w:tc>
      </w:tr>
      <w:tr w:rsidR="00D84B9C" w:rsidRPr="00D84B9C" w14:paraId="05FABD35" w14:textId="77777777" w:rsidTr="003A0BFD">
        <w:tc>
          <w:tcPr>
            <w:tcW w:w="23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C4E7247" w14:textId="77777777" w:rsidR="00D84B9C" w:rsidRPr="00D84B9C" w:rsidRDefault="00D84B9C" w:rsidP="00D84B9C">
            <w:pPr>
              <w:spacing w:after="0"/>
              <w:ind w:left="306" w:firstLine="0"/>
              <w:rPr>
                <w:rFonts w:cs="Times New Roman"/>
                <w:sz w:val="18"/>
                <w:szCs w:val="18"/>
              </w:rPr>
            </w:pPr>
            <w:r w:rsidRPr="00D84B9C">
              <w:rPr>
                <w:rFonts w:cs="Times New Roman"/>
                <w:color w:val="000000"/>
                <w:sz w:val="18"/>
                <w:szCs w:val="18"/>
              </w:rPr>
              <w:t xml:space="preserve">Izdienas pensijas </w:t>
            </w:r>
          </w:p>
        </w:tc>
        <w:tc>
          <w:tcPr>
            <w:tcW w:w="11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882EC6D"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590,59</w:t>
            </w:r>
          </w:p>
        </w:tc>
        <w:tc>
          <w:tcPr>
            <w:tcW w:w="12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B4FB3F"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2 050</w:t>
            </w:r>
          </w:p>
        </w:tc>
        <w:tc>
          <w:tcPr>
            <w:tcW w:w="13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7177E12"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14 528 504</w:t>
            </w:r>
          </w:p>
        </w:tc>
        <w:tc>
          <w:tcPr>
            <w:tcW w:w="15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B4C5EBD"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590,59</w:t>
            </w:r>
          </w:p>
        </w:tc>
        <w:tc>
          <w:tcPr>
            <w:tcW w:w="12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BDB6F93"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2 050</w:t>
            </w:r>
          </w:p>
        </w:tc>
        <w:tc>
          <w:tcPr>
            <w:tcW w:w="13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C5417FE" w14:textId="77777777" w:rsidR="00D84B9C" w:rsidRPr="00D84B9C" w:rsidRDefault="00D84B9C" w:rsidP="00D84B9C">
            <w:pPr>
              <w:spacing w:after="0"/>
              <w:ind w:left="-87" w:firstLine="0"/>
              <w:jc w:val="right"/>
              <w:rPr>
                <w:rFonts w:cs="Times New Roman"/>
                <w:sz w:val="18"/>
                <w:szCs w:val="18"/>
              </w:rPr>
            </w:pPr>
            <w:r w:rsidRPr="00D84B9C">
              <w:rPr>
                <w:rFonts w:cs="Times New Roman"/>
                <w:sz w:val="18"/>
                <w:szCs w:val="18"/>
              </w:rPr>
              <w:t>14 528 504</w:t>
            </w:r>
          </w:p>
        </w:tc>
        <w:tc>
          <w:tcPr>
            <w:tcW w:w="15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12950F3"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590,59</w:t>
            </w:r>
          </w:p>
        </w:tc>
        <w:tc>
          <w:tcPr>
            <w:tcW w:w="117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1366C6"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2 050</w:t>
            </w:r>
          </w:p>
        </w:tc>
        <w:tc>
          <w:tcPr>
            <w:tcW w:w="12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85A945E" w14:textId="77777777" w:rsidR="00D84B9C" w:rsidRPr="00D84B9C" w:rsidRDefault="00D84B9C" w:rsidP="00D84B9C">
            <w:pPr>
              <w:spacing w:after="0"/>
              <w:ind w:left="-42" w:firstLine="0"/>
              <w:jc w:val="right"/>
              <w:rPr>
                <w:rFonts w:cs="Times New Roman"/>
                <w:sz w:val="18"/>
                <w:szCs w:val="18"/>
              </w:rPr>
            </w:pPr>
            <w:r w:rsidRPr="00D84B9C">
              <w:rPr>
                <w:rFonts w:cs="Times New Roman"/>
                <w:sz w:val="18"/>
                <w:szCs w:val="18"/>
              </w:rPr>
              <w:t>14 528 504</w:t>
            </w:r>
          </w:p>
        </w:tc>
      </w:tr>
      <w:tr w:rsidR="00D84B9C" w:rsidRPr="00D84B9C" w14:paraId="5F319FF1" w14:textId="77777777" w:rsidTr="003A0BFD">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F3952AC" w14:textId="77777777" w:rsidR="00D84B9C" w:rsidRPr="00D84B9C" w:rsidRDefault="00D84B9C" w:rsidP="00D84B9C">
            <w:pPr>
              <w:spacing w:after="0"/>
              <w:ind w:firstLine="0"/>
              <w:rPr>
                <w:rFonts w:cs="Times New Roman"/>
                <w:sz w:val="18"/>
                <w:szCs w:val="18"/>
              </w:rPr>
            </w:pPr>
            <w:r w:rsidRPr="00D84B9C">
              <w:rPr>
                <w:rFonts w:cs="Times New Roman"/>
                <w:b/>
                <w:bCs/>
                <w:color w:val="000000"/>
                <w:sz w:val="18"/>
                <w:szCs w:val="18"/>
              </w:rPr>
              <w:t xml:space="preserve">Pārējie valsts pabalsti un kompensācijas – kopā </w:t>
            </w:r>
          </w:p>
        </w:tc>
        <w:tc>
          <w:tcPr>
            <w:tcW w:w="1199"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5258812" w14:textId="77777777" w:rsidR="00D84B9C" w:rsidRPr="00D84B9C" w:rsidRDefault="00D84B9C" w:rsidP="00D84B9C">
            <w:pPr>
              <w:spacing w:after="0"/>
              <w:ind w:firstLine="0"/>
              <w:jc w:val="center"/>
              <w:rPr>
                <w:rFonts w:cs="Times New Roman"/>
                <w:sz w:val="18"/>
                <w:szCs w:val="18"/>
              </w:rPr>
            </w:pPr>
            <w:r w:rsidRPr="00D84B9C">
              <w:rPr>
                <w:rFonts w:cs="Times New Roman"/>
                <w:sz w:val="18"/>
                <w:szCs w:val="18"/>
              </w:rPr>
              <w:t>x</w:t>
            </w:r>
          </w:p>
        </w:tc>
        <w:tc>
          <w:tcPr>
            <w:tcW w:w="120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BE1F07C" w14:textId="77777777" w:rsidR="00D84B9C" w:rsidRPr="00D84B9C" w:rsidRDefault="00D84B9C" w:rsidP="00D84B9C">
            <w:pPr>
              <w:spacing w:after="0"/>
              <w:ind w:firstLine="0"/>
              <w:jc w:val="center"/>
              <w:rPr>
                <w:rFonts w:cs="Times New Roman"/>
                <w:sz w:val="18"/>
                <w:szCs w:val="18"/>
              </w:rPr>
            </w:pPr>
            <w:r w:rsidRPr="00D84B9C">
              <w:rPr>
                <w:rFonts w:cs="Times New Roman"/>
                <w:sz w:val="18"/>
                <w:szCs w:val="18"/>
              </w:rPr>
              <w:t>x</w:t>
            </w:r>
          </w:p>
        </w:tc>
        <w:tc>
          <w:tcPr>
            <w:tcW w:w="1399"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5D385A3" w14:textId="77777777" w:rsidR="00D84B9C" w:rsidRPr="00D84B9C" w:rsidRDefault="00D84B9C" w:rsidP="00D84B9C">
            <w:pPr>
              <w:spacing w:after="0"/>
              <w:ind w:firstLine="0"/>
              <w:jc w:val="right"/>
              <w:rPr>
                <w:rFonts w:cs="Times New Roman"/>
                <w:sz w:val="18"/>
                <w:szCs w:val="18"/>
              </w:rPr>
            </w:pPr>
            <w:r w:rsidRPr="00D84B9C">
              <w:rPr>
                <w:rFonts w:cs="Times New Roman"/>
                <w:b/>
                <w:bCs/>
                <w:sz w:val="18"/>
                <w:szCs w:val="18"/>
              </w:rPr>
              <w:t>1 740 616</w:t>
            </w:r>
          </w:p>
        </w:tc>
        <w:tc>
          <w:tcPr>
            <w:tcW w:w="152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BA87B8" w14:textId="77777777" w:rsidR="00D84B9C" w:rsidRPr="00D84B9C" w:rsidRDefault="00D84B9C" w:rsidP="00D84B9C">
            <w:pPr>
              <w:spacing w:after="0"/>
              <w:ind w:firstLine="0"/>
              <w:jc w:val="center"/>
              <w:rPr>
                <w:rFonts w:cs="Times New Roman"/>
                <w:sz w:val="18"/>
                <w:szCs w:val="18"/>
              </w:rPr>
            </w:pPr>
            <w:r w:rsidRPr="00D84B9C">
              <w:rPr>
                <w:rFonts w:cs="Times New Roman"/>
                <w:sz w:val="18"/>
                <w:szCs w:val="18"/>
              </w:rPr>
              <w:t>x</w:t>
            </w:r>
          </w:p>
        </w:tc>
        <w:tc>
          <w:tcPr>
            <w:tcW w:w="120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4F57EF4" w14:textId="77777777" w:rsidR="00D84B9C" w:rsidRPr="00D84B9C" w:rsidRDefault="00D84B9C" w:rsidP="00D84B9C">
            <w:pPr>
              <w:spacing w:after="0"/>
              <w:ind w:firstLine="0"/>
              <w:jc w:val="center"/>
              <w:rPr>
                <w:rFonts w:cs="Times New Roman"/>
                <w:sz w:val="18"/>
                <w:szCs w:val="18"/>
              </w:rPr>
            </w:pPr>
            <w:r w:rsidRPr="00D84B9C">
              <w:rPr>
                <w:rFonts w:cs="Times New Roman"/>
                <w:sz w:val="18"/>
                <w:szCs w:val="18"/>
              </w:rPr>
              <w:t>x</w:t>
            </w:r>
          </w:p>
        </w:tc>
        <w:tc>
          <w:tcPr>
            <w:tcW w:w="1318"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91419B4" w14:textId="77777777" w:rsidR="00D84B9C" w:rsidRPr="00D84B9C" w:rsidRDefault="00D84B9C" w:rsidP="00D84B9C">
            <w:pPr>
              <w:spacing w:after="0"/>
              <w:ind w:left="-87" w:firstLine="0"/>
              <w:jc w:val="right"/>
              <w:rPr>
                <w:rFonts w:cs="Times New Roman"/>
                <w:sz w:val="18"/>
                <w:szCs w:val="18"/>
              </w:rPr>
            </w:pPr>
            <w:r w:rsidRPr="00D84B9C">
              <w:rPr>
                <w:rFonts w:cs="Times New Roman"/>
                <w:b/>
                <w:bCs/>
                <w:sz w:val="18"/>
                <w:szCs w:val="18"/>
              </w:rPr>
              <w:t>1 740 616</w:t>
            </w:r>
          </w:p>
        </w:tc>
        <w:tc>
          <w:tcPr>
            <w:tcW w:w="152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32AD7AC" w14:textId="77777777" w:rsidR="00D84B9C" w:rsidRPr="00D84B9C" w:rsidRDefault="00D84B9C" w:rsidP="00D84B9C">
            <w:pPr>
              <w:spacing w:after="0"/>
              <w:ind w:firstLine="0"/>
              <w:jc w:val="center"/>
              <w:rPr>
                <w:rFonts w:cs="Times New Roman"/>
                <w:sz w:val="18"/>
                <w:szCs w:val="18"/>
              </w:rPr>
            </w:pPr>
            <w:r w:rsidRPr="00D84B9C">
              <w:rPr>
                <w:rFonts w:cs="Times New Roman"/>
                <w:sz w:val="18"/>
                <w:szCs w:val="18"/>
              </w:rPr>
              <w:t>x</w:t>
            </w:r>
          </w:p>
        </w:tc>
        <w:tc>
          <w:tcPr>
            <w:tcW w:w="1179"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DA0ADB0" w14:textId="77777777" w:rsidR="00D84B9C" w:rsidRPr="00D84B9C" w:rsidRDefault="00D84B9C" w:rsidP="00D84B9C">
            <w:pPr>
              <w:spacing w:after="0"/>
              <w:ind w:firstLine="0"/>
              <w:jc w:val="center"/>
              <w:rPr>
                <w:rFonts w:cs="Times New Roman"/>
                <w:sz w:val="18"/>
                <w:szCs w:val="18"/>
              </w:rPr>
            </w:pPr>
            <w:r w:rsidRPr="00D84B9C">
              <w:rPr>
                <w:rFonts w:cs="Times New Roman"/>
                <w:sz w:val="18"/>
                <w:szCs w:val="18"/>
              </w:rPr>
              <w:t>x</w:t>
            </w:r>
          </w:p>
        </w:tc>
        <w:tc>
          <w:tcPr>
            <w:tcW w:w="12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834085C" w14:textId="77777777" w:rsidR="00D84B9C" w:rsidRPr="00D84B9C" w:rsidRDefault="00D84B9C" w:rsidP="00D84B9C">
            <w:pPr>
              <w:spacing w:after="0"/>
              <w:ind w:left="-42" w:firstLine="0"/>
              <w:jc w:val="right"/>
              <w:rPr>
                <w:rFonts w:cs="Times New Roman"/>
                <w:sz w:val="18"/>
                <w:szCs w:val="18"/>
              </w:rPr>
            </w:pPr>
            <w:r w:rsidRPr="00D84B9C">
              <w:rPr>
                <w:rFonts w:cs="Times New Roman"/>
                <w:b/>
                <w:bCs/>
                <w:sz w:val="18"/>
                <w:szCs w:val="18"/>
              </w:rPr>
              <w:t>1 740 616</w:t>
            </w:r>
          </w:p>
        </w:tc>
      </w:tr>
      <w:tr w:rsidR="00D84B9C" w:rsidRPr="00D84B9C" w14:paraId="7BBC6899" w14:textId="77777777" w:rsidTr="003A0BFD">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DD1B752" w14:textId="77777777" w:rsidR="00D84B9C" w:rsidRPr="00D84B9C" w:rsidRDefault="00D84B9C" w:rsidP="00D84B9C">
            <w:pPr>
              <w:spacing w:after="0"/>
              <w:ind w:firstLine="0"/>
              <w:rPr>
                <w:rFonts w:cs="Times New Roman"/>
                <w:sz w:val="18"/>
                <w:szCs w:val="18"/>
              </w:rPr>
            </w:pPr>
            <w:r w:rsidRPr="00D84B9C">
              <w:rPr>
                <w:rFonts w:cs="Times New Roman"/>
                <w:color w:val="000000"/>
                <w:sz w:val="18"/>
                <w:szCs w:val="18"/>
              </w:rPr>
              <w:t>(EKK 6239)</w:t>
            </w:r>
          </w:p>
        </w:tc>
        <w:tc>
          <w:tcPr>
            <w:tcW w:w="1199" w:type="dxa"/>
            <w:vMerge/>
            <w:tcBorders>
              <w:top w:val="nil"/>
              <w:left w:val="nil"/>
              <w:bottom w:val="single" w:sz="8" w:space="0" w:color="000000"/>
              <w:right w:val="single" w:sz="8" w:space="0" w:color="000000"/>
            </w:tcBorders>
            <w:vAlign w:val="center"/>
            <w:hideMark/>
          </w:tcPr>
          <w:p w14:paraId="4172854D" w14:textId="77777777" w:rsidR="00D84B9C" w:rsidRPr="00D84B9C" w:rsidRDefault="00D84B9C" w:rsidP="00D84B9C">
            <w:pPr>
              <w:spacing w:after="0"/>
              <w:ind w:firstLine="0"/>
              <w:rPr>
                <w:rFonts w:cs="Times New Roman"/>
                <w:sz w:val="18"/>
                <w:szCs w:val="18"/>
              </w:rPr>
            </w:pPr>
          </w:p>
        </w:tc>
        <w:tc>
          <w:tcPr>
            <w:tcW w:w="0" w:type="auto"/>
            <w:vMerge/>
            <w:tcBorders>
              <w:top w:val="nil"/>
              <w:left w:val="nil"/>
              <w:bottom w:val="single" w:sz="8" w:space="0" w:color="000000"/>
              <w:right w:val="single" w:sz="8" w:space="0" w:color="000000"/>
            </w:tcBorders>
            <w:vAlign w:val="center"/>
            <w:hideMark/>
          </w:tcPr>
          <w:p w14:paraId="6170C3DF" w14:textId="77777777" w:rsidR="00D84B9C" w:rsidRPr="00D84B9C" w:rsidRDefault="00D84B9C" w:rsidP="00D84B9C">
            <w:pPr>
              <w:spacing w:after="0"/>
              <w:ind w:firstLine="0"/>
              <w:rPr>
                <w:rFonts w:cs="Times New Roman"/>
                <w:sz w:val="18"/>
                <w:szCs w:val="18"/>
              </w:rPr>
            </w:pPr>
          </w:p>
        </w:tc>
        <w:tc>
          <w:tcPr>
            <w:tcW w:w="1399" w:type="dxa"/>
            <w:vMerge/>
            <w:tcBorders>
              <w:top w:val="nil"/>
              <w:left w:val="nil"/>
              <w:bottom w:val="single" w:sz="8" w:space="0" w:color="000000"/>
              <w:right w:val="single" w:sz="8" w:space="0" w:color="000000"/>
            </w:tcBorders>
            <w:vAlign w:val="center"/>
            <w:hideMark/>
          </w:tcPr>
          <w:p w14:paraId="3E17273E" w14:textId="77777777" w:rsidR="00D84B9C" w:rsidRPr="00D84B9C" w:rsidRDefault="00D84B9C" w:rsidP="00D84B9C">
            <w:pPr>
              <w:spacing w:after="0"/>
              <w:ind w:firstLine="0"/>
              <w:rPr>
                <w:rFonts w:cs="Times New Roman"/>
                <w:sz w:val="18"/>
                <w:szCs w:val="18"/>
              </w:rPr>
            </w:pPr>
          </w:p>
        </w:tc>
        <w:tc>
          <w:tcPr>
            <w:tcW w:w="1526" w:type="dxa"/>
            <w:vMerge/>
            <w:tcBorders>
              <w:top w:val="nil"/>
              <w:left w:val="nil"/>
              <w:bottom w:val="single" w:sz="8" w:space="0" w:color="000000"/>
              <w:right w:val="single" w:sz="8" w:space="0" w:color="000000"/>
            </w:tcBorders>
            <w:vAlign w:val="center"/>
            <w:hideMark/>
          </w:tcPr>
          <w:p w14:paraId="19493836" w14:textId="77777777" w:rsidR="00D84B9C" w:rsidRPr="00D84B9C" w:rsidRDefault="00D84B9C" w:rsidP="00D84B9C">
            <w:pPr>
              <w:spacing w:after="0"/>
              <w:ind w:firstLine="0"/>
              <w:rPr>
                <w:rFonts w:cs="Times New Roman"/>
                <w:sz w:val="18"/>
                <w:szCs w:val="18"/>
              </w:rPr>
            </w:pPr>
          </w:p>
        </w:tc>
        <w:tc>
          <w:tcPr>
            <w:tcW w:w="0" w:type="auto"/>
            <w:vMerge/>
            <w:tcBorders>
              <w:top w:val="nil"/>
              <w:left w:val="nil"/>
              <w:bottom w:val="single" w:sz="8" w:space="0" w:color="000000"/>
              <w:right w:val="single" w:sz="8" w:space="0" w:color="000000"/>
            </w:tcBorders>
            <w:vAlign w:val="center"/>
            <w:hideMark/>
          </w:tcPr>
          <w:p w14:paraId="28FE3C6C" w14:textId="77777777" w:rsidR="00D84B9C" w:rsidRPr="00D84B9C" w:rsidRDefault="00D84B9C" w:rsidP="00D84B9C">
            <w:pPr>
              <w:spacing w:after="0"/>
              <w:ind w:firstLine="0"/>
              <w:rPr>
                <w:rFonts w:cs="Times New Roman"/>
                <w:sz w:val="18"/>
                <w:szCs w:val="18"/>
              </w:rPr>
            </w:pPr>
          </w:p>
        </w:tc>
        <w:tc>
          <w:tcPr>
            <w:tcW w:w="1318" w:type="dxa"/>
            <w:vMerge/>
            <w:tcBorders>
              <w:top w:val="nil"/>
              <w:left w:val="nil"/>
              <w:bottom w:val="single" w:sz="8" w:space="0" w:color="000000"/>
              <w:right w:val="single" w:sz="8" w:space="0" w:color="000000"/>
            </w:tcBorders>
            <w:vAlign w:val="center"/>
            <w:hideMark/>
          </w:tcPr>
          <w:p w14:paraId="3C60B5AE" w14:textId="77777777" w:rsidR="00D84B9C" w:rsidRPr="00D84B9C" w:rsidRDefault="00D84B9C" w:rsidP="00D84B9C">
            <w:pPr>
              <w:spacing w:after="0"/>
              <w:ind w:firstLine="0"/>
              <w:rPr>
                <w:rFonts w:cs="Times New Roman"/>
                <w:sz w:val="18"/>
                <w:szCs w:val="18"/>
              </w:rPr>
            </w:pPr>
          </w:p>
        </w:tc>
        <w:tc>
          <w:tcPr>
            <w:tcW w:w="1526" w:type="dxa"/>
            <w:vMerge/>
            <w:tcBorders>
              <w:top w:val="nil"/>
              <w:left w:val="nil"/>
              <w:bottom w:val="single" w:sz="8" w:space="0" w:color="000000"/>
              <w:right w:val="single" w:sz="8" w:space="0" w:color="000000"/>
            </w:tcBorders>
            <w:vAlign w:val="center"/>
            <w:hideMark/>
          </w:tcPr>
          <w:p w14:paraId="6526A1C3" w14:textId="77777777" w:rsidR="00D84B9C" w:rsidRPr="00D84B9C" w:rsidRDefault="00D84B9C" w:rsidP="00D84B9C">
            <w:pPr>
              <w:spacing w:after="0"/>
              <w:ind w:firstLine="0"/>
              <w:rPr>
                <w:rFonts w:cs="Times New Roman"/>
                <w:sz w:val="18"/>
                <w:szCs w:val="18"/>
              </w:rPr>
            </w:pPr>
          </w:p>
        </w:tc>
        <w:tc>
          <w:tcPr>
            <w:tcW w:w="1179" w:type="dxa"/>
            <w:vMerge/>
            <w:tcBorders>
              <w:top w:val="nil"/>
              <w:left w:val="nil"/>
              <w:bottom w:val="single" w:sz="8" w:space="0" w:color="000000"/>
              <w:right w:val="single" w:sz="8" w:space="0" w:color="000000"/>
            </w:tcBorders>
            <w:vAlign w:val="center"/>
            <w:hideMark/>
          </w:tcPr>
          <w:p w14:paraId="16188F9B" w14:textId="77777777" w:rsidR="00D84B9C" w:rsidRPr="00D84B9C" w:rsidRDefault="00D84B9C" w:rsidP="00D84B9C">
            <w:pPr>
              <w:spacing w:after="0"/>
              <w:ind w:firstLine="0"/>
              <w:rPr>
                <w:rFonts w:cs="Times New Roman"/>
                <w:sz w:val="18"/>
                <w:szCs w:val="18"/>
              </w:rPr>
            </w:pPr>
          </w:p>
        </w:tc>
        <w:tc>
          <w:tcPr>
            <w:tcW w:w="1244" w:type="dxa"/>
            <w:vMerge/>
            <w:tcBorders>
              <w:top w:val="nil"/>
              <w:left w:val="nil"/>
              <w:bottom w:val="single" w:sz="8" w:space="0" w:color="000000"/>
              <w:right w:val="single" w:sz="8" w:space="0" w:color="000000"/>
            </w:tcBorders>
            <w:vAlign w:val="center"/>
            <w:hideMark/>
          </w:tcPr>
          <w:p w14:paraId="4749F803" w14:textId="77777777" w:rsidR="00D84B9C" w:rsidRPr="00D84B9C" w:rsidRDefault="00D84B9C" w:rsidP="00D84B9C">
            <w:pPr>
              <w:spacing w:after="0"/>
              <w:ind w:firstLine="0"/>
              <w:rPr>
                <w:rFonts w:cs="Times New Roman"/>
                <w:sz w:val="18"/>
                <w:szCs w:val="18"/>
              </w:rPr>
            </w:pPr>
          </w:p>
        </w:tc>
      </w:tr>
      <w:tr w:rsidR="00D84B9C" w:rsidRPr="00D84B9C" w14:paraId="697D5E0D" w14:textId="77777777" w:rsidTr="003A0BFD">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605A9CD" w14:textId="77777777" w:rsidR="00D84B9C" w:rsidRPr="00D84B9C" w:rsidRDefault="00D84B9C" w:rsidP="00D84B9C">
            <w:pPr>
              <w:spacing w:after="0"/>
              <w:ind w:left="164" w:firstLine="0"/>
              <w:rPr>
                <w:rFonts w:cs="Times New Roman"/>
                <w:sz w:val="18"/>
                <w:szCs w:val="18"/>
              </w:rPr>
            </w:pPr>
            <w:r w:rsidRPr="00D84B9C">
              <w:rPr>
                <w:rFonts w:cs="Times New Roman"/>
                <w:i/>
                <w:iCs/>
                <w:color w:val="000000"/>
                <w:sz w:val="18"/>
                <w:szCs w:val="18"/>
              </w:rPr>
              <w:t>tajā skaitā:</w:t>
            </w:r>
          </w:p>
        </w:tc>
        <w:tc>
          <w:tcPr>
            <w:tcW w:w="11799" w:type="dxa"/>
            <w:gridSpan w:val="9"/>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24FC676" w14:textId="77777777" w:rsidR="00D84B9C" w:rsidRPr="00D84B9C" w:rsidRDefault="00D84B9C" w:rsidP="00D84B9C">
            <w:pPr>
              <w:spacing w:after="0"/>
              <w:ind w:left="-87" w:firstLine="0"/>
              <w:jc w:val="center"/>
              <w:rPr>
                <w:rFonts w:cs="Times New Roman"/>
                <w:sz w:val="18"/>
                <w:szCs w:val="18"/>
              </w:rPr>
            </w:pPr>
            <w:r w:rsidRPr="00D84B9C">
              <w:rPr>
                <w:rFonts w:cs="Times New Roman"/>
                <w:sz w:val="18"/>
                <w:szCs w:val="18"/>
              </w:rPr>
              <w:t> </w:t>
            </w:r>
          </w:p>
        </w:tc>
      </w:tr>
      <w:tr w:rsidR="00D84B9C" w:rsidRPr="00D84B9C" w14:paraId="4B3955D1" w14:textId="77777777" w:rsidTr="003A0BFD">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8E19FA" w14:textId="77777777" w:rsidR="00D84B9C" w:rsidRPr="00D84B9C" w:rsidRDefault="00D84B9C" w:rsidP="00D84B9C">
            <w:pPr>
              <w:spacing w:after="0"/>
              <w:ind w:firstLine="0"/>
              <w:rPr>
                <w:rFonts w:cs="Times New Roman"/>
                <w:sz w:val="18"/>
                <w:szCs w:val="18"/>
              </w:rPr>
            </w:pPr>
            <w:r w:rsidRPr="00D84B9C">
              <w:rPr>
                <w:rFonts w:cs="Times New Roman"/>
                <w:color w:val="000000"/>
                <w:sz w:val="18"/>
                <w:szCs w:val="18"/>
              </w:rPr>
              <w:t>Nacionālās pretošanās kustības dalībnieku pabalsti</w:t>
            </w:r>
          </w:p>
        </w:tc>
        <w:tc>
          <w:tcPr>
            <w:tcW w:w="11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B874BF6"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340,00</w:t>
            </w:r>
          </w:p>
        </w:tc>
        <w:tc>
          <w:tcPr>
            <w:tcW w:w="12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079E26E"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274</w:t>
            </w:r>
          </w:p>
        </w:tc>
        <w:tc>
          <w:tcPr>
            <w:tcW w:w="13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F04311"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1 175 715</w:t>
            </w:r>
          </w:p>
        </w:tc>
        <w:tc>
          <w:tcPr>
            <w:tcW w:w="15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249CA5A"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340,00</w:t>
            </w:r>
          </w:p>
        </w:tc>
        <w:tc>
          <w:tcPr>
            <w:tcW w:w="12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3E4C892"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274</w:t>
            </w:r>
          </w:p>
        </w:tc>
        <w:tc>
          <w:tcPr>
            <w:tcW w:w="13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AEF55C5" w14:textId="77777777" w:rsidR="00D84B9C" w:rsidRPr="00D84B9C" w:rsidRDefault="00D84B9C" w:rsidP="00D84B9C">
            <w:pPr>
              <w:spacing w:after="0"/>
              <w:ind w:left="-87" w:firstLine="0"/>
              <w:jc w:val="right"/>
              <w:rPr>
                <w:rFonts w:cs="Times New Roman"/>
                <w:sz w:val="18"/>
                <w:szCs w:val="18"/>
              </w:rPr>
            </w:pPr>
            <w:r w:rsidRPr="00D84B9C">
              <w:rPr>
                <w:rFonts w:cs="Times New Roman"/>
                <w:sz w:val="18"/>
                <w:szCs w:val="18"/>
              </w:rPr>
              <w:t>1 175 715</w:t>
            </w:r>
          </w:p>
        </w:tc>
        <w:tc>
          <w:tcPr>
            <w:tcW w:w="15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ABA1A0A"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340,00</w:t>
            </w:r>
          </w:p>
        </w:tc>
        <w:tc>
          <w:tcPr>
            <w:tcW w:w="117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085E9AC"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274</w:t>
            </w:r>
          </w:p>
        </w:tc>
        <w:tc>
          <w:tcPr>
            <w:tcW w:w="12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C621E83" w14:textId="77777777" w:rsidR="00D84B9C" w:rsidRPr="00D84B9C" w:rsidRDefault="00D84B9C" w:rsidP="00D84B9C">
            <w:pPr>
              <w:spacing w:after="0"/>
              <w:ind w:left="-42" w:firstLine="0"/>
              <w:jc w:val="right"/>
              <w:rPr>
                <w:rFonts w:cs="Times New Roman"/>
                <w:sz w:val="18"/>
                <w:szCs w:val="18"/>
              </w:rPr>
            </w:pPr>
            <w:r w:rsidRPr="00D84B9C">
              <w:rPr>
                <w:rFonts w:cs="Times New Roman"/>
                <w:sz w:val="18"/>
                <w:szCs w:val="18"/>
              </w:rPr>
              <w:t>1 175 715</w:t>
            </w:r>
          </w:p>
        </w:tc>
      </w:tr>
      <w:tr w:rsidR="00D84B9C" w:rsidRPr="00D84B9C" w14:paraId="6730C659" w14:textId="77777777" w:rsidTr="003A0BFD">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19E0A2D" w14:textId="77777777" w:rsidR="00D84B9C" w:rsidRPr="00D84B9C" w:rsidRDefault="00D84B9C" w:rsidP="00D84B9C">
            <w:pPr>
              <w:spacing w:after="0"/>
              <w:ind w:firstLine="0"/>
              <w:rPr>
                <w:rFonts w:cs="Times New Roman"/>
                <w:sz w:val="18"/>
                <w:szCs w:val="18"/>
              </w:rPr>
            </w:pPr>
            <w:r w:rsidRPr="00D84B9C">
              <w:rPr>
                <w:rFonts w:cs="Times New Roman"/>
                <w:color w:val="000000"/>
                <w:sz w:val="18"/>
                <w:szCs w:val="18"/>
              </w:rPr>
              <w:t>Barikāžu pabalsti</w:t>
            </w:r>
          </w:p>
        </w:tc>
        <w:tc>
          <w:tcPr>
            <w:tcW w:w="11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6F96160"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100,00</w:t>
            </w:r>
          </w:p>
        </w:tc>
        <w:tc>
          <w:tcPr>
            <w:tcW w:w="12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819719F"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8</w:t>
            </w:r>
          </w:p>
        </w:tc>
        <w:tc>
          <w:tcPr>
            <w:tcW w:w="13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328C11F"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9 600</w:t>
            </w:r>
          </w:p>
        </w:tc>
        <w:tc>
          <w:tcPr>
            <w:tcW w:w="15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858C5F"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100,00</w:t>
            </w:r>
          </w:p>
        </w:tc>
        <w:tc>
          <w:tcPr>
            <w:tcW w:w="12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766BE46"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8</w:t>
            </w:r>
          </w:p>
        </w:tc>
        <w:tc>
          <w:tcPr>
            <w:tcW w:w="13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B9E7240" w14:textId="77777777" w:rsidR="00D84B9C" w:rsidRPr="00D84B9C" w:rsidRDefault="00D84B9C" w:rsidP="00D84B9C">
            <w:pPr>
              <w:spacing w:after="0"/>
              <w:ind w:left="-87" w:firstLine="0"/>
              <w:jc w:val="right"/>
              <w:rPr>
                <w:rFonts w:cs="Times New Roman"/>
                <w:sz w:val="18"/>
                <w:szCs w:val="18"/>
              </w:rPr>
            </w:pPr>
            <w:r w:rsidRPr="00D84B9C">
              <w:rPr>
                <w:rFonts w:cs="Times New Roman"/>
                <w:sz w:val="18"/>
                <w:szCs w:val="18"/>
              </w:rPr>
              <w:t>9 600</w:t>
            </w:r>
          </w:p>
        </w:tc>
        <w:tc>
          <w:tcPr>
            <w:tcW w:w="15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891CD87"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100,00</w:t>
            </w:r>
          </w:p>
        </w:tc>
        <w:tc>
          <w:tcPr>
            <w:tcW w:w="117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C868A6F"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8</w:t>
            </w:r>
          </w:p>
        </w:tc>
        <w:tc>
          <w:tcPr>
            <w:tcW w:w="12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079AEB9" w14:textId="77777777" w:rsidR="00D84B9C" w:rsidRPr="00D84B9C" w:rsidRDefault="00D84B9C" w:rsidP="00D84B9C">
            <w:pPr>
              <w:spacing w:after="0"/>
              <w:ind w:left="-42" w:firstLine="0"/>
              <w:jc w:val="right"/>
              <w:rPr>
                <w:rFonts w:cs="Times New Roman"/>
                <w:sz w:val="18"/>
                <w:szCs w:val="18"/>
              </w:rPr>
            </w:pPr>
            <w:r w:rsidRPr="00D84B9C">
              <w:rPr>
                <w:rFonts w:cs="Times New Roman"/>
                <w:sz w:val="18"/>
                <w:szCs w:val="18"/>
              </w:rPr>
              <w:t>9 600</w:t>
            </w:r>
          </w:p>
        </w:tc>
      </w:tr>
      <w:tr w:rsidR="00D84B9C" w:rsidRPr="00D84B9C" w14:paraId="7F1296A9" w14:textId="77777777" w:rsidTr="003A0BFD">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53627B0" w14:textId="77777777" w:rsidR="00D84B9C" w:rsidRPr="00D84B9C" w:rsidRDefault="00D84B9C" w:rsidP="00D84B9C">
            <w:pPr>
              <w:spacing w:after="0"/>
              <w:ind w:firstLine="0"/>
              <w:rPr>
                <w:rFonts w:cs="Times New Roman"/>
                <w:sz w:val="18"/>
                <w:szCs w:val="18"/>
              </w:rPr>
            </w:pPr>
            <w:r w:rsidRPr="00D84B9C">
              <w:rPr>
                <w:rFonts w:cs="Times New Roman"/>
                <w:color w:val="000000"/>
                <w:sz w:val="18"/>
                <w:szCs w:val="18"/>
              </w:rPr>
              <w:t>Obligātā militārā dienesta kompensācijas</w:t>
            </w:r>
          </w:p>
        </w:tc>
        <w:tc>
          <w:tcPr>
            <w:tcW w:w="11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99D5F3C"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231,22</w:t>
            </w:r>
          </w:p>
        </w:tc>
        <w:tc>
          <w:tcPr>
            <w:tcW w:w="12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55B4189"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4</w:t>
            </w:r>
          </w:p>
        </w:tc>
        <w:tc>
          <w:tcPr>
            <w:tcW w:w="13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8EDFC36"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11 098</w:t>
            </w:r>
          </w:p>
        </w:tc>
        <w:tc>
          <w:tcPr>
            <w:tcW w:w="15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CF17C7C"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231,22</w:t>
            </w:r>
          </w:p>
        </w:tc>
        <w:tc>
          <w:tcPr>
            <w:tcW w:w="12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74164DC"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4</w:t>
            </w:r>
          </w:p>
        </w:tc>
        <w:tc>
          <w:tcPr>
            <w:tcW w:w="13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2C70E29" w14:textId="77777777" w:rsidR="00D84B9C" w:rsidRPr="00D84B9C" w:rsidRDefault="00D84B9C" w:rsidP="00D84B9C">
            <w:pPr>
              <w:spacing w:after="0"/>
              <w:ind w:left="-87" w:firstLine="0"/>
              <w:jc w:val="right"/>
              <w:rPr>
                <w:rFonts w:cs="Times New Roman"/>
                <w:sz w:val="18"/>
                <w:szCs w:val="18"/>
              </w:rPr>
            </w:pPr>
            <w:r w:rsidRPr="00D84B9C">
              <w:rPr>
                <w:rFonts w:cs="Times New Roman"/>
                <w:sz w:val="18"/>
                <w:szCs w:val="18"/>
              </w:rPr>
              <w:t>11 098</w:t>
            </w:r>
          </w:p>
        </w:tc>
        <w:tc>
          <w:tcPr>
            <w:tcW w:w="15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977043F"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231,22</w:t>
            </w:r>
          </w:p>
        </w:tc>
        <w:tc>
          <w:tcPr>
            <w:tcW w:w="117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5EADE6C"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4</w:t>
            </w:r>
          </w:p>
        </w:tc>
        <w:tc>
          <w:tcPr>
            <w:tcW w:w="12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E63A089" w14:textId="77777777" w:rsidR="00D84B9C" w:rsidRPr="00D84B9C" w:rsidRDefault="00D84B9C" w:rsidP="00D84B9C">
            <w:pPr>
              <w:spacing w:after="0"/>
              <w:ind w:left="-42" w:firstLine="0"/>
              <w:jc w:val="right"/>
              <w:rPr>
                <w:rFonts w:cs="Times New Roman"/>
                <w:sz w:val="18"/>
                <w:szCs w:val="18"/>
              </w:rPr>
            </w:pPr>
            <w:r w:rsidRPr="00D84B9C">
              <w:rPr>
                <w:rFonts w:cs="Times New Roman"/>
                <w:sz w:val="18"/>
                <w:szCs w:val="18"/>
              </w:rPr>
              <w:t>11 098</w:t>
            </w:r>
          </w:p>
        </w:tc>
      </w:tr>
      <w:tr w:rsidR="00D84B9C" w:rsidRPr="00D84B9C" w14:paraId="5C7B1B6A" w14:textId="77777777" w:rsidTr="003A0BFD">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72ACB02" w14:textId="77777777" w:rsidR="00D84B9C" w:rsidRPr="00D84B9C" w:rsidRDefault="00D84B9C" w:rsidP="00D84B9C">
            <w:pPr>
              <w:spacing w:after="0"/>
              <w:ind w:firstLine="0"/>
              <w:rPr>
                <w:rFonts w:cs="Times New Roman"/>
                <w:sz w:val="18"/>
                <w:szCs w:val="18"/>
              </w:rPr>
            </w:pPr>
            <w:r w:rsidRPr="00D84B9C">
              <w:rPr>
                <w:rFonts w:cs="Times New Roman"/>
                <w:color w:val="000000"/>
                <w:sz w:val="18"/>
                <w:szCs w:val="18"/>
              </w:rPr>
              <w:t>Darbā nodarītā kaitējuma atlīdzība</w:t>
            </w:r>
          </w:p>
        </w:tc>
        <w:tc>
          <w:tcPr>
            <w:tcW w:w="11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FBAB7B6"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88,25</w:t>
            </w:r>
          </w:p>
        </w:tc>
        <w:tc>
          <w:tcPr>
            <w:tcW w:w="12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9268C80"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2</w:t>
            </w:r>
          </w:p>
        </w:tc>
        <w:tc>
          <w:tcPr>
            <w:tcW w:w="13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6E8B3A3"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2 118</w:t>
            </w:r>
          </w:p>
        </w:tc>
        <w:tc>
          <w:tcPr>
            <w:tcW w:w="15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8404357"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88,25</w:t>
            </w:r>
          </w:p>
        </w:tc>
        <w:tc>
          <w:tcPr>
            <w:tcW w:w="12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4643340"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2</w:t>
            </w:r>
          </w:p>
        </w:tc>
        <w:tc>
          <w:tcPr>
            <w:tcW w:w="13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30F0580" w14:textId="77777777" w:rsidR="00D84B9C" w:rsidRPr="00D84B9C" w:rsidRDefault="00D84B9C" w:rsidP="00D84B9C">
            <w:pPr>
              <w:spacing w:after="0"/>
              <w:ind w:left="-87" w:firstLine="0"/>
              <w:jc w:val="right"/>
              <w:rPr>
                <w:rFonts w:cs="Times New Roman"/>
                <w:sz w:val="18"/>
                <w:szCs w:val="18"/>
              </w:rPr>
            </w:pPr>
            <w:r w:rsidRPr="00D84B9C">
              <w:rPr>
                <w:rFonts w:cs="Times New Roman"/>
                <w:sz w:val="18"/>
                <w:szCs w:val="18"/>
              </w:rPr>
              <w:t>2 118</w:t>
            </w:r>
          </w:p>
        </w:tc>
        <w:tc>
          <w:tcPr>
            <w:tcW w:w="15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252E4E1"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88,25</w:t>
            </w:r>
          </w:p>
        </w:tc>
        <w:tc>
          <w:tcPr>
            <w:tcW w:w="117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235C6F"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2</w:t>
            </w:r>
          </w:p>
        </w:tc>
        <w:tc>
          <w:tcPr>
            <w:tcW w:w="12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49E0038" w14:textId="77777777" w:rsidR="00D84B9C" w:rsidRPr="00D84B9C" w:rsidRDefault="00D84B9C" w:rsidP="00D84B9C">
            <w:pPr>
              <w:spacing w:after="0"/>
              <w:ind w:left="-42" w:firstLine="0"/>
              <w:jc w:val="right"/>
              <w:rPr>
                <w:rFonts w:cs="Times New Roman"/>
                <w:sz w:val="18"/>
                <w:szCs w:val="18"/>
              </w:rPr>
            </w:pPr>
            <w:r w:rsidRPr="00D84B9C">
              <w:rPr>
                <w:rFonts w:cs="Times New Roman"/>
                <w:sz w:val="18"/>
                <w:szCs w:val="18"/>
              </w:rPr>
              <w:t>2 118</w:t>
            </w:r>
          </w:p>
        </w:tc>
      </w:tr>
      <w:tr w:rsidR="00D84B9C" w:rsidRPr="00D84B9C" w14:paraId="54DF22A2" w14:textId="77777777" w:rsidTr="003A0BFD">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9D79EC0" w14:textId="77777777" w:rsidR="00D84B9C" w:rsidRPr="00D84B9C" w:rsidRDefault="00D84B9C" w:rsidP="00D84B9C">
            <w:pPr>
              <w:spacing w:after="0"/>
              <w:ind w:firstLine="0"/>
              <w:rPr>
                <w:rFonts w:cs="Times New Roman"/>
                <w:sz w:val="18"/>
                <w:szCs w:val="18"/>
              </w:rPr>
            </w:pPr>
            <w:r w:rsidRPr="00D84B9C">
              <w:rPr>
                <w:rFonts w:cs="Times New Roman"/>
                <w:color w:val="000000"/>
                <w:sz w:val="18"/>
                <w:szCs w:val="18"/>
              </w:rPr>
              <w:t>Veselības bojājuma, traumu un apbedīšanas pabalsti militārpersonām</w:t>
            </w:r>
          </w:p>
        </w:tc>
        <w:tc>
          <w:tcPr>
            <w:tcW w:w="11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FF22582"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1 456,51</w:t>
            </w:r>
          </w:p>
        </w:tc>
        <w:tc>
          <w:tcPr>
            <w:tcW w:w="12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95CC82"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19</w:t>
            </w:r>
          </w:p>
        </w:tc>
        <w:tc>
          <w:tcPr>
            <w:tcW w:w="13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8D380B9"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332 085</w:t>
            </w:r>
          </w:p>
        </w:tc>
        <w:tc>
          <w:tcPr>
            <w:tcW w:w="15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4FE2FD1"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1 456,51</w:t>
            </w:r>
          </w:p>
        </w:tc>
        <w:tc>
          <w:tcPr>
            <w:tcW w:w="12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7D5373"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19</w:t>
            </w:r>
          </w:p>
        </w:tc>
        <w:tc>
          <w:tcPr>
            <w:tcW w:w="13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0F7132F" w14:textId="77777777" w:rsidR="00D84B9C" w:rsidRPr="00D84B9C" w:rsidRDefault="00D84B9C" w:rsidP="00D84B9C">
            <w:pPr>
              <w:spacing w:after="0"/>
              <w:ind w:left="-87" w:firstLine="0"/>
              <w:jc w:val="right"/>
              <w:rPr>
                <w:rFonts w:cs="Times New Roman"/>
                <w:sz w:val="18"/>
                <w:szCs w:val="18"/>
              </w:rPr>
            </w:pPr>
            <w:r w:rsidRPr="00D84B9C">
              <w:rPr>
                <w:rFonts w:cs="Times New Roman"/>
                <w:sz w:val="18"/>
                <w:szCs w:val="18"/>
              </w:rPr>
              <w:t>332 085</w:t>
            </w:r>
          </w:p>
        </w:tc>
        <w:tc>
          <w:tcPr>
            <w:tcW w:w="15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1A7B296"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1 456,51</w:t>
            </w:r>
          </w:p>
        </w:tc>
        <w:tc>
          <w:tcPr>
            <w:tcW w:w="117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97B0D64"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19</w:t>
            </w:r>
          </w:p>
        </w:tc>
        <w:tc>
          <w:tcPr>
            <w:tcW w:w="12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0BD9A8F" w14:textId="77777777" w:rsidR="00D84B9C" w:rsidRPr="00D84B9C" w:rsidRDefault="00D84B9C" w:rsidP="00D84B9C">
            <w:pPr>
              <w:spacing w:after="0"/>
              <w:ind w:left="-42" w:firstLine="0"/>
              <w:jc w:val="right"/>
              <w:rPr>
                <w:rFonts w:cs="Times New Roman"/>
                <w:sz w:val="18"/>
                <w:szCs w:val="18"/>
              </w:rPr>
            </w:pPr>
            <w:r w:rsidRPr="00D84B9C">
              <w:rPr>
                <w:rFonts w:cs="Times New Roman"/>
                <w:sz w:val="18"/>
                <w:szCs w:val="18"/>
              </w:rPr>
              <w:t>332 085</w:t>
            </w:r>
          </w:p>
        </w:tc>
      </w:tr>
      <w:tr w:rsidR="00D84B9C" w:rsidRPr="00D84B9C" w14:paraId="471160CA" w14:textId="77777777" w:rsidTr="003A0BFD">
        <w:tc>
          <w:tcPr>
            <w:tcW w:w="237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F409405" w14:textId="77777777" w:rsidR="00D84B9C" w:rsidRPr="00D84B9C" w:rsidRDefault="00D84B9C" w:rsidP="00D84B9C">
            <w:pPr>
              <w:spacing w:after="0"/>
              <w:ind w:firstLine="0"/>
              <w:rPr>
                <w:rFonts w:cs="Times New Roman"/>
                <w:sz w:val="18"/>
                <w:szCs w:val="18"/>
              </w:rPr>
            </w:pPr>
            <w:r w:rsidRPr="00D84B9C">
              <w:rPr>
                <w:rFonts w:cs="Times New Roman"/>
                <w:color w:val="000000"/>
                <w:sz w:val="18"/>
                <w:szCs w:val="18"/>
              </w:rPr>
              <w:t xml:space="preserve">Veselības aprūpes izdevumi </w:t>
            </w:r>
          </w:p>
        </w:tc>
        <w:tc>
          <w:tcPr>
            <w:tcW w:w="11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B7B3E43"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132,00</w:t>
            </w:r>
          </w:p>
        </w:tc>
        <w:tc>
          <w:tcPr>
            <w:tcW w:w="12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2105DE5"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133</w:t>
            </w:r>
          </w:p>
        </w:tc>
        <w:tc>
          <w:tcPr>
            <w:tcW w:w="13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8EECD98"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210 000</w:t>
            </w:r>
          </w:p>
        </w:tc>
        <w:tc>
          <w:tcPr>
            <w:tcW w:w="15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C520AEE"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132,00</w:t>
            </w:r>
          </w:p>
        </w:tc>
        <w:tc>
          <w:tcPr>
            <w:tcW w:w="12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279F43F"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133</w:t>
            </w:r>
          </w:p>
        </w:tc>
        <w:tc>
          <w:tcPr>
            <w:tcW w:w="13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B9C0008" w14:textId="77777777" w:rsidR="00D84B9C" w:rsidRPr="00D84B9C" w:rsidRDefault="00D84B9C" w:rsidP="00D84B9C">
            <w:pPr>
              <w:spacing w:after="0"/>
              <w:ind w:left="-87" w:firstLine="0"/>
              <w:jc w:val="right"/>
              <w:rPr>
                <w:rFonts w:cs="Times New Roman"/>
                <w:sz w:val="18"/>
                <w:szCs w:val="18"/>
              </w:rPr>
            </w:pPr>
            <w:r w:rsidRPr="00D84B9C">
              <w:rPr>
                <w:rFonts w:cs="Times New Roman"/>
                <w:sz w:val="18"/>
                <w:szCs w:val="18"/>
              </w:rPr>
              <w:t>210 000</w:t>
            </w:r>
          </w:p>
        </w:tc>
        <w:tc>
          <w:tcPr>
            <w:tcW w:w="15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ABA295F"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132,00</w:t>
            </w:r>
          </w:p>
        </w:tc>
        <w:tc>
          <w:tcPr>
            <w:tcW w:w="117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2D1DBA8" w14:textId="77777777" w:rsidR="00D84B9C" w:rsidRPr="00D84B9C" w:rsidRDefault="00D84B9C" w:rsidP="00D84B9C">
            <w:pPr>
              <w:spacing w:after="0"/>
              <w:ind w:firstLine="0"/>
              <w:jc w:val="right"/>
              <w:rPr>
                <w:rFonts w:cs="Times New Roman"/>
                <w:sz w:val="18"/>
                <w:szCs w:val="18"/>
              </w:rPr>
            </w:pPr>
            <w:r w:rsidRPr="00D84B9C">
              <w:rPr>
                <w:rFonts w:cs="Times New Roman"/>
                <w:sz w:val="18"/>
                <w:szCs w:val="18"/>
              </w:rPr>
              <w:t>133</w:t>
            </w:r>
          </w:p>
        </w:tc>
        <w:tc>
          <w:tcPr>
            <w:tcW w:w="12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E49412" w14:textId="77777777" w:rsidR="00D84B9C" w:rsidRPr="00D84B9C" w:rsidRDefault="00D84B9C" w:rsidP="00D84B9C">
            <w:pPr>
              <w:spacing w:after="0"/>
              <w:ind w:left="-42" w:firstLine="0"/>
              <w:jc w:val="right"/>
              <w:rPr>
                <w:rFonts w:cs="Times New Roman"/>
                <w:sz w:val="18"/>
                <w:szCs w:val="18"/>
              </w:rPr>
            </w:pPr>
            <w:r w:rsidRPr="00D84B9C">
              <w:rPr>
                <w:rFonts w:cs="Times New Roman"/>
                <w:sz w:val="18"/>
                <w:szCs w:val="18"/>
              </w:rPr>
              <w:t>210 000</w:t>
            </w:r>
          </w:p>
        </w:tc>
      </w:tr>
    </w:tbl>
    <w:p w14:paraId="08623CBC" w14:textId="7484E26F" w:rsidR="00B85700" w:rsidRPr="00D84B9C" w:rsidRDefault="00C404D5" w:rsidP="00D84B9C">
      <w:pPr>
        <w:widowControl w:val="0"/>
        <w:spacing w:before="120"/>
        <w:ind w:firstLine="0"/>
        <w:rPr>
          <w:rFonts w:eastAsia="Calibri" w:cs="Times New Roman"/>
          <w:i/>
          <w:sz w:val="20"/>
        </w:rPr>
      </w:pPr>
      <w:r w:rsidRPr="00C404D5">
        <w:rPr>
          <w:rFonts w:eastAsia="Calibri" w:cs="Times New Roman"/>
          <w:i/>
          <w:sz w:val="20"/>
        </w:rPr>
        <w:t>Datu avots:</w:t>
      </w:r>
      <w:r w:rsidR="00D84B9C">
        <w:rPr>
          <w:rFonts w:eastAsia="Calibri" w:cs="Times New Roman"/>
          <w:i/>
          <w:sz w:val="20"/>
        </w:rPr>
        <w:t xml:space="preserve"> Finanšu ministrija</w:t>
      </w:r>
    </w:p>
    <w:p w14:paraId="5EC78642" w14:textId="77777777" w:rsidR="00B85700" w:rsidRDefault="00B85700" w:rsidP="00401A5B">
      <w:pPr>
        <w:widowControl w:val="0"/>
        <w:jc w:val="right"/>
        <w:rPr>
          <w:rFonts w:eastAsia="Times New Roman" w:cs="Times New Roman"/>
          <w:color w:val="000000"/>
        </w:rPr>
      </w:pPr>
    </w:p>
    <w:p w14:paraId="0BD0C740" w14:textId="2FDA0C99" w:rsidR="003F3FCD" w:rsidRPr="001D773D" w:rsidRDefault="00095088" w:rsidP="00401A5B">
      <w:pPr>
        <w:widowControl w:val="0"/>
        <w:jc w:val="right"/>
        <w:rPr>
          <w:rFonts w:eastAsia="Times New Roman" w:cs="Times New Roman"/>
          <w:color w:val="000000"/>
        </w:rPr>
      </w:pPr>
      <w:r w:rsidRPr="001D773D">
        <w:rPr>
          <w:rFonts w:eastAsia="Times New Roman" w:cs="Times New Roman"/>
          <w:color w:val="000000"/>
        </w:rPr>
        <w:t>5</w:t>
      </w:r>
      <w:r w:rsidR="000F6C00" w:rsidRPr="001D773D">
        <w:rPr>
          <w:rFonts w:eastAsia="Times New Roman" w:cs="Times New Roman"/>
          <w:color w:val="000000"/>
        </w:rPr>
        <w:t>.</w:t>
      </w:r>
      <w:r w:rsidRPr="001D773D">
        <w:rPr>
          <w:rFonts w:eastAsia="Times New Roman" w:cs="Times New Roman"/>
          <w:color w:val="000000"/>
        </w:rPr>
        <w:t xml:space="preserve"> </w:t>
      </w:r>
      <w:r w:rsidR="000548A5" w:rsidRPr="001D773D">
        <w:rPr>
          <w:rFonts w:eastAsia="Times New Roman" w:cs="Times New Roman"/>
          <w:color w:val="000000"/>
        </w:rPr>
        <w:t>pielikums</w:t>
      </w:r>
    </w:p>
    <w:p w14:paraId="63789B58" w14:textId="007058D8" w:rsidR="003F3FCD" w:rsidRPr="000F6C00" w:rsidRDefault="00095088" w:rsidP="000F6C00">
      <w:pPr>
        <w:widowControl w:val="0"/>
        <w:jc w:val="right"/>
        <w:rPr>
          <w:rFonts w:eastAsia="Times New Roman" w:cs="Times New Roman"/>
          <w:b/>
          <w:color w:val="000000"/>
          <w:sz w:val="28"/>
        </w:rPr>
      </w:pPr>
      <w:r w:rsidRPr="001D773D">
        <w:rPr>
          <w:rFonts w:eastAsia="Times New Roman" w:cs="Times New Roman"/>
          <w:b/>
          <w:color w:val="000000"/>
        </w:rPr>
        <w:t>Labklājības ministrija</w:t>
      </w:r>
      <w:r w:rsidR="004F6A3A" w:rsidRPr="001D773D">
        <w:rPr>
          <w:rFonts w:eastAsia="Times New Roman" w:cs="Times New Roman"/>
          <w:b/>
          <w:color w:val="000000"/>
        </w:rPr>
        <w:t>s</w:t>
      </w:r>
      <w:r w:rsidR="000548A5" w:rsidRPr="001D773D">
        <w:rPr>
          <w:rFonts w:eastAsia="Times New Roman" w:cs="Times New Roman"/>
          <w:b/>
          <w:color w:val="000000"/>
        </w:rPr>
        <w:t xml:space="preserve"> pamatbudžeta programma 20.01.00 "Valsts sociālie pabalsti"</w:t>
      </w:r>
    </w:p>
    <w:tbl>
      <w:tblPr>
        <w:tblW w:w="14243" w:type="dxa"/>
        <w:tblLook w:val="04A0" w:firstRow="1" w:lastRow="0" w:firstColumn="1" w:lastColumn="0" w:noHBand="0" w:noVBand="1"/>
      </w:tblPr>
      <w:tblGrid>
        <w:gridCol w:w="4500"/>
        <w:gridCol w:w="880"/>
        <w:gridCol w:w="980"/>
        <w:gridCol w:w="1148"/>
        <w:gridCol w:w="1134"/>
        <w:gridCol w:w="1276"/>
        <w:gridCol w:w="1134"/>
        <w:gridCol w:w="992"/>
        <w:gridCol w:w="966"/>
        <w:gridCol w:w="1233"/>
      </w:tblGrid>
      <w:tr w:rsidR="00876E09" w:rsidRPr="001D773D" w14:paraId="59CB8BAD" w14:textId="77777777" w:rsidTr="003A0BFD">
        <w:trPr>
          <w:trHeight w:val="660"/>
        </w:trPr>
        <w:tc>
          <w:tcPr>
            <w:tcW w:w="4500" w:type="dxa"/>
            <w:vMerge w:val="restart"/>
            <w:tcBorders>
              <w:top w:val="single" w:sz="4" w:space="0" w:color="auto"/>
              <w:left w:val="single" w:sz="4" w:space="0" w:color="auto"/>
              <w:right w:val="single" w:sz="4" w:space="0" w:color="auto"/>
            </w:tcBorders>
            <w:shd w:val="clear" w:color="auto" w:fill="9CC2E5" w:themeFill="accent1" w:themeFillTint="99"/>
            <w:noWrap/>
            <w:vAlign w:val="bottom"/>
            <w:hideMark/>
          </w:tcPr>
          <w:p w14:paraId="3D7C59AD" w14:textId="55AEA50D" w:rsidR="00876E09" w:rsidRPr="001D773D" w:rsidRDefault="00876E09" w:rsidP="001D773D">
            <w:pPr>
              <w:spacing w:after="0"/>
              <w:ind w:firstLine="0"/>
              <w:jc w:val="center"/>
              <w:rPr>
                <w:rFonts w:eastAsia="Times New Roman" w:cs="Times New Roman"/>
                <w:sz w:val="18"/>
                <w:szCs w:val="18"/>
              </w:rPr>
            </w:pPr>
            <w:r w:rsidRPr="001D773D">
              <w:rPr>
                <w:rFonts w:eastAsia="Times New Roman" w:cs="Times New Roman"/>
                <w:sz w:val="18"/>
                <w:szCs w:val="18"/>
              </w:rPr>
              <w:t> Pabalsta veids</w:t>
            </w:r>
          </w:p>
        </w:tc>
        <w:tc>
          <w:tcPr>
            <w:tcW w:w="3008" w:type="dxa"/>
            <w:gridSpan w:val="3"/>
            <w:tcBorders>
              <w:top w:val="single" w:sz="4" w:space="0" w:color="auto"/>
              <w:left w:val="nil"/>
              <w:bottom w:val="single" w:sz="4" w:space="0" w:color="auto"/>
              <w:right w:val="single" w:sz="4" w:space="0" w:color="000000"/>
            </w:tcBorders>
            <w:shd w:val="clear" w:color="auto" w:fill="9CC2E5" w:themeFill="accent1" w:themeFillTint="99"/>
            <w:noWrap/>
            <w:vAlign w:val="center"/>
            <w:hideMark/>
          </w:tcPr>
          <w:p w14:paraId="668911F2" w14:textId="46244A9A" w:rsidR="00876E09" w:rsidRPr="001D773D" w:rsidRDefault="00876E09" w:rsidP="001D773D">
            <w:pPr>
              <w:spacing w:after="0"/>
              <w:ind w:firstLine="0"/>
              <w:jc w:val="center"/>
              <w:rPr>
                <w:rFonts w:eastAsia="Times New Roman" w:cs="Times New Roman"/>
                <w:sz w:val="18"/>
                <w:szCs w:val="18"/>
              </w:rPr>
            </w:pPr>
            <w:r w:rsidRPr="001D773D">
              <w:rPr>
                <w:rFonts w:eastAsia="Times New Roman" w:cs="Times New Roman"/>
                <w:sz w:val="18"/>
                <w:szCs w:val="18"/>
              </w:rPr>
              <w:t>2022. gada projekts</w:t>
            </w:r>
          </w:p>
        </w:tc>
        <w:tc>
          <w:tcPr>
            <w:tcW w:w="3544" w:type="dxa"/>
            <w:gridSpan w:val="3"/>
            <w:tcBorders>
              <w:top w:val="single" w:sz="4" w:space="0" w:color="auto"/>
              <w:left w:val="nil"/>
              <w:bottom w:val="single" w:sz="4" w:space="0" w:color="auto"/>
              <w:right w:val="single" w:sz="4" w:space="0" w:color="000000"/>
            </w:tcBorders>
            <w:shd w:val="clear" w:color="auto" w:fill="9CC2E5" w:themeFill="accent1" w:themeFillTint="99"/>
            <w:noWrap/>
            <w:vAlign w:val="center"/>
            <w:hideMark/>
          </w:tcPr>
          <w:p w14:paraId="3382516C" w14:textId="79469255" w:rsidR="00876E09" w:rsidRPr="001D773D" w:rsidRDefault="00876E09" w:rsidP="001D773D">
            <w:pPr>
              <w:spacing w:after="0"/>
              <w:ind w:firstLine="0"/>
              <w:jc w:val="center"/>
              <w:rPr>
                <w:rFonts w:eastAsia="Times New Roman" w:cs="Times New Roman"/>
                <w:sz w:val="18"/>
                <w:szCs w:val="18"/>
              </w:rPr>
            </w:pPr>
            <w:r w:rsidRPr="001D773D">
              <w:rPr>
                <w:rFonts w:eastAsia="Times New Roman" w:cs="Times New Roman"/>
                <w:sz w:val="18"/>
                <w:szCs w:val="18"/>
              </w:rPr>
              <w:t>2023. gada projekts</w:t>
            </w:r>
          </w:p>
        </w:tc>
        <w:tc>
          <w:tcPr>
            <w:tcW w:w="3191" w:type="dxa"/>
            <w:gridSpan w:val="3"/>
            <w:tcBorders>
              <w:top w:val="single" w:sz="4" w:space="0" w:color="auto"/>
              <w:left w:val="nil"/>
              <w:bottom w:val="single" w:sz="4" w:space="0" w:color="auto"/>
              <w:right w:val="single" w:sz="4" w:space="0" w:color="000000"/>
            </w:tcBorders>
            <w:shd w:val="clear" w:color="auto" w:fill="9CC2E5" w:themeFill="accent1" w:themeFillTint="99"/>
            <w:noWrap/>
            <w:vAlign w:val="center"/>
            <w:hideMark/>
          </w:tcPr>
          <w:p w14:paraId="297A7447" w14:textId="14F4DDB0" w:rsidR="00876E09" w:rsidRPr="001D773D" w:rsidRDefault="00876E09" w:rsidP="001D773D">
            <w:pPr>
              <w:spacing w:after="0"/>
              <w:ind w:firstLine="0"/>
              <w:jc w:val="center"/>
              <w:rPr>
                <w:rFonts w:eastAsia="Times New Roman" w:cs="Times New Roman"/>
                <w:sz w:val="18"/>
                <w:szCs w:val="18"/>
              </w:rPr>
            </w:pPr>
            <w:r w:rsidRPr="001D773D">
              <w:rPr>
                <w:rFonts w:eastAsia="Times New Roman" w:cs="Times New Roman"/>
                <w:sz w:val="18"/>
                <w:szCs w:val="18"/>
              </w:rPr>
              <w:t>2024. gada projekts</w:t>
            </w:r>
          </w:p>
        </w:tc>
      </w:tr>
      <w:tr w:rsidR="00876E09" w:rsidRPr="001D773D" w14:paraId="4A4106B6" w14:textId="77777777" w:rsidTr="003A0BFD">
        <w:trPr>
          <w:trHeight w:val="480"/>
        </w:trPr>
        <w:tc>
          <w:tcPr>
            <w:tcW w:w="4500" w:type="dxa"/>
            <w:vMerge/>
            <w:tcBorders>
              <w:left w:val="single" w:sz="4" w:space="0" w:color="auto"/>
              <w:right w:val="single" w:sz="4" w:space="0" w:color="auto"/>
            </w:tcBorders>
            <w:shd w:val="clear" w:color="auto" w:fill="9CC2E5" w:themeFill="accent1" w:themeFillTint="99"/>
            <w:noWrap/>
            <w:vAlign w:val="center"/>
            <w:hideMark/>
          </w:tcPr>
          <w:p w14:paraId="70BA5B6A" w14:textId="2C0F943F" w:rsidR="00876E09" w:rsidRPr="001D773D" w:rsidRDefault="00876E09" w:rsidP="001D773D">
            <w:pPr>
              <w:spacing w:after="0"/>
              <w:ind w:firstLine="0"/>
              <w:jc w:val="center"/>
              <w:rPr>
                <w:rFonts w:eastAsia="Times New Roman" w:cs="Times New Roman"/>
                <w:sz w:val="18"/>
                <w:szCs w:val="18"/>
              </w:rPr>
            </w:pPr>
          </w:p>
        </w:tc>
        <w:tc>
          <w:tcPr>
            <w:tcW w:w="880" w:type="dxa"/>
            <w:vMerge w:val="restart"/>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3851DD1B" w14:textId="77777777" w:rsidR="00876E09" w:rsidRPr="001D773D" w:rsidRDefault="00876E09" w:rsidP="001D773D">
            <w:pPr>
              <w:spacing w:after="0"/>
              <w:ind w:firstLine="0"/>
              <w:jc w:val="center"/>
              <w:rPr>
                <w:rFonts w:eastAsia="Times New Roman" w:cs="Times New Roman"/>
                <w:sz w:val="18"/>
                <w:szCs w:val="18"/>
              </w:rPr>
            </w:pPr>
            <w:r w:rsidRPr="001D773D">
              <w:rPr>
                <w:rFonts w:eastAsia="Times New Roman" w:cs="Times New Roman"/>
                <w:sz w:val="18"/>
                <w:szCs w:val="18"/>
              </w:rPr>
              <w:t>Pabalsta apmērs vidēji mēnesī (</w:t>
            </w:r>
            <w:r w:rsidRPr="001D773D">
              <w:rPr>
                <w:rFonts w:eastAsia="Times New Roman" w:cs="Times New Roman"/>
                <w:i/>
                <w:sz w:val="18"/>
                <w:szCs w:val="18"/>
              </w:rPr>
              <w:t>euro</w:t>
            </w:r>
            <w:r w:rsidRPr="001D773D">
              <w:rPr>
                <w:rFonts w:eastAsia="Times New Roman" w:cs="Times New Roman"/>
                <w:sz w:val="18"/>
                <w:szCs w:val="18"/>
              </w:rPr>
              <w:t>)</w:t>
            </w:r>
          </w:p>
        </w:tc>
        <w:tc>
          <w:tcPr>
            <w:tcW w:w="980" w:type="dxa"/>
            <w:tcBorders>
              <w:top w:val="nil"/>
              <w:left w:val="nil"/>
              <w:bottom w:val="nil"/>
              <w:right w:val="single" w:sz="4" w:space="0" w:color="auto"/>
            </w:tcBorders>
            <w:shd w:val="clear" w:color="auto" w:fill="DEEAF6" w:themeFill="accent1" w:themeFillTint="33"/>
            <w:vAlign w:val="center"/>
            <w:hideMark/>
          </w:tcPr>
          <w:p w14:paraId="379C285B" w14:textId="77777777" w:rsidR="00876E09" w:rsidRPr="001D773D" w:rsidRDefault="00876E09" w:rsidP="001D773D">
            <w:pPr>
              <w:spacing w:after="0"/>
              <w:ind w:firstLine="0"/>
              <w:jc w:val="center"/>
              <w:rPr>
                <w:rFonts w:eastAsia="Times New Roman" w:cs="Times New Roman"/>
                <w:sz w:val="18"/>
                <w:szCs w:val="18"/>
              </w:rPr>
            </w:pPr>
            <w:r w:rsidRPr="001D773D">
              <w:rPr>
                <w:rFonts w:eastAsia="Times New Roman" w:cs="Times New Roman"/>
                <w:sz w:val="18"/>
                <w:szCs w:val="18"/>
              </w:rPr>
              <w:t>Saņēmēju</w:t>
            </w:r>
            <w:r w:rsidRPr="001D773D">
              <w:rPr>
                <w:rFonts w:eastAsia="Times New Roman" w:cs="Times New Roman"/>
                <w:sz w:val="18"/>
                <w:szCs w:val="18"/>
              </w:rPr>
              <w:br/>
              <w:t xml:space="preserve"> skaits</w:t>
            </w:r>
          </w:p>
        </w:tc>
        <w:tc>
          <w:tcPr>
            <w:tcW w:w="1148" w:type="dxa"/>
            <w:tcBorders>
              <w:top w:val="nil"/>
              <w:left w:val="nil"/>
              <w:bottom w:val="nil"/>
              <w:right w:val="single" w:sz="4" w:space="0" w:color="auto"/>
            </w:tcBorders>
            <w:shd w:val="clear" w:color="auto" w:fill="DEEAF6" w:themeFill="accent1" w:themeFillTint="33"/>
            <w:vAlign w:val="center"/>
            <w:hideMark/>
          </w:tcPr>
          <w:p w14:paraId="7CC4F2D6" w14:textId="77777777" w:rsidR="00876E09" w:rsidRPr="001D773D" w:rsidRDefault="00876E09" w:rsidP="001D773D">
            <w:pPr>
              <w:spacing w:after="0"/>
              <w:ind w:firstLine="0"/>
              <w:jc w:val="center"/>
              <w:rPr>
                <w:rFonts w:eastAsia="Times New Roman" w:cs="Times New Roman"/>
                <w:sz w:val="18"/>
                <w:szCs w:val="18"/>
              </w:rPr>
            </w:pPr>
            <w:r w:rsidRPr="001D773D">
              <w:rPr>
                <w:rFonts w:eastAsia="Times New Roman" w:cs="Times New Roman"/>
                <w:sz w:val="18"/>
                <w:szCs w:val="18"/>
              </w:rPr>
              <w:t>Izdevumi kopā</w:t>
            </w:r>
          </w:p>
        </w:tc>
        <w:tc>
          <w:tcPr>
            <w:tcW w:w="1134" w:type="dxa"/>
            <w:vMerge w:val="restart"/>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2AA4FC65" w14:textId="77777777" w:rsidR="00876E09" w:rsidRPr="001D773D" w:rsidRDefault="00876E09" w:rsidP="001D773D">
            <w:pPr>
              <w:spacing w:after="0"/>
              <w:ind w:firstLine="0"/>
              <w:jc w:val="center"/>
              <w:rPr>
                <w:rFonts w:eastAsia="Times New Roman" w:cs="Times New Roman"/>
                <w:sz w:val="18"/>
                <w:szCs w:val="18"/>
              </w:rPr>
            </w:pPr>
            <w:r w:rsidRPr="001D773D">
              <w:rPr>
                <w:rFonts w:eastAsia="Times New Roman" w:cs="Times New Roman"/>
                <w:sz w:val="18"/>
                <w:szCs w:val="18"/>
              </w:rPr>
              <w:t>Pabalsta apmērs vidēji mēnesī (</w:t>
            </w:r>
            <w:r w:rsidRPr="001D773D">
              <w:rPr>
                <w:rFonts w:eastAsia="Times New Roman" w:cs="Times New Roman"/>
                <w:i/>
                <w:sz w:val="18"/>
                <w:szCs w:val="18"/>
              </w:rPr>
              <w:t>euro</w:t>
            </w:r>
            <w:r w:rsidRPr="001D773D">
              <w:rPr>
                <w:rFonts w:eastAsia="Times New Roman" w:cs="Times New Roman"/>
                <w:sz w:val="18"/>
                <w:szCs w:val="18"/>
              </w:rPr>
              <w:t>)</w:t>
            </w:r>
          </w:p>
        </w:tc>
        <w:tc>
          <w:tcPr>
            <w:tcW w:w="1276" w:type="dxa"/>
            <w:tcBorders>
              <w:top w:val="nil"/>
              <w:left w:val="nil"/>
              <w:bottom w:val="nil"/>
              <w:right w:val="single" w:sz="4" w:space="0" w:color="auto"/>
            </w:tcBorders>
            <w:shd w:val="clear" w:color="auto" w:fill="DEEAF6" w:themeFill="accent1" w:themeFillTint="33"/>
            <w:vAlign w:val="center"/>
            <w:hideMark/>
          </w:tcPr>
          <w:p w14:paraId="167383E3" w14:textId="77777777" w:rsidR="00876E09" w:rsidRPr="001D773D" w:rsidRDefault="00876E09" w:rsidP="001D773D">
            <w:pPr>
              <w:spacing w:after="0"/>
              <w:ind w:firstLine="0"/>
              <w:jc w:val="center"/>
              <w:rPr>
                <w:rFonts w:eastAsia="Times New Roman" w:cs="Times New Roman"/>
                <w:sz w:val="18"/>
                <w:szCs w:val="18"/>
              </w:rPr>
            </w:pPr>
            <w:r w:rsidRPr="001D773D">
              <w:rPr>
                <w:rFonts w:eastAsia="Times New Roman" w:cs="Times New Roman"/>
                <w:sz w:val="18"/>
                <w:szCs w:val="18"/>
              </w:rPr>
              <w:t>Saņēmēju</w:t>
            </w:r>
            <w:r w:rsidRPr="001D773D">
              <w:rPr>
                <w:rFonts w:eastAsia="Times New Roman" w:cs="Times New Roman"/>
                <w:sz w:val="18"/>
                <w:szCs w:val="18"/>
              </w:rPr>
              <w:br/>
              <w:t xml:space="preserve"> skaits</w:t>
            </w:r>
          </w:p>
        </w:tc>
        <w:tc>
          <w:tcPr>
            <w:tcW w:w="1134" w:type="dxa"/>
            <w:tcBorders>
              <w:top w:val="nil"/>
              <w:left w:val="nil"/>
              <w:bottom w:val="nil"/>
              <w:right w:val="single" w:sz="4" w:space="0" w:color="auto"/>
            </w:tcBorders>
            <w:shd w:val="clear" w:color="auto" w:fill="DEEAF6" w:themeFill="accent1" w:themeFillTint="33"/>
            <w:vAlign w:val="center"/>
            <w:hideMark/>
          </w:tcPr>
          <w:p w14:paraId="68976318" w14:textId="77777777" w:rsidR="00876E09" w:rsidRPr="001D773D" w:rsidRDefault="00876E09" w:rsidP="001D773D">
            <w:pPr>
              <w:spacing w:after="0"/>
              <w:ind w:firstLine="0"/>
              <w:jc w:val="center"/>
              <w:rPr>
                <w:rFonts w:eastAsia="Times New Roman" w:cs="Times New Roman"/>
                <w:sz w:val="18"/>
                <w:szCs w:val="18"/>
              </w:rPr>
            </w:pPr>
            <w:r w:rsidRPr="001D773D">
              <w:rPr>
                <w:rFonts w:eastAsia="Times New Roman" w:cs="Times New Roman"/>
                <w:sz w:val="18"/>
                <w:szCs w:val="18"/>
              </w:rPr>
              <w:t>Izdevumi kopā</w:t>
            </w:r>
          </w:p>
        </w:tc>
        <w:tc>
          <w:tcPr>
            <w:tcW w:w="992" w:type="dxa"/>
            <w:vMerge w:val="restart"/>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12C18270" w14:textId="77777777" w:rsidR="00876E09" w:rsidRPr="001D773D" w:rsidRDefault="00876E09" w:rsidP="001D773D">
            <w:pPr>
              <w:spacing w:after="0"/>
              <w:ind w:firstLine="0"/>
              <w:jc w:val="center"/>
              <w:rPr>
                <w:rFonts w:eastAsia="Times New Roman" w:cs="Times New Roman"/>
                <w:sz w:val="18"/>
                <w:szCs w:val="18"/>
              </w:rPr>
            </w:pPr>
            <w:r w:rsidRPr="001D773D">
              <w:rPr>
                <w:rFonts w:eastAsia="Times New Roman" w:cs="Times New Roman"/>
                <w:sz w:val="18"/>
                <w:szCs w:val="18"/>
              </w:rPr>
              <w:t>Pabalsta apmērs vidēji mēnesī (</w:t>
            </w:r>
            <w:r w:rsidRPr="001D773D">
              <w:rPr>
                <w:rFonts w:eastAsia="Times New Roman" w:cs="Times New Roman"/>
                <w:i/>
                <w:sz w:val="18"/>
                <w:szCs w:val="18"/>
              </w:rPr>
              <w:t>euro</w:t>
            </w:r>
            <w:r w:rsidRPr="001D773D">
              <w:rPr>
                <w:rFonts w:eastAsia="Times New Roman" w:cs="Times New Roman"/>
                <w:sz w:val="18"/>
                <w:szCs w:val="18"/>
              </w:rPr>
              <w:t>)</w:t>
            </w:r>
          </w:p>
        </w:tc>
        <w:tc>
          <w:tcPr>
            <w:tcW w:w="966" w:type="dxa"/>
            <w:tcBorders>
              <w:top w:val="nil"/>
              <w:left w:val="nil"/>
              <w:bottom w:val="nil"/>
              <w:right w:val="single" w:sz="4" w:space="0" w:color="auto"/>
            </w:tcBorders>
            <w:shd w:val="clear" w:color="auto" w:fill="DEEAF6" w:themeFill="accent1" w:themeFillTint="33"/>
            <w:vAlign w:val="center"/>
            <w:hideMark/>
          </w:tcPr>
          <w:p w14:paraId="24B5B9B0" w14:textId="77777777" w:rsidR="00876E09" w:rsidRPr="001D773D" w:rsidRDefault="00876E09" w:rsidP="001D773D">
            <w:pPr>
              <w:spacing w:after="0"/>
              <w:ind w:firstLine="0"/>
              <w:jc w:val="center"/>
              <w:rPr>
                <w:rFonts w:eastAsia="Times New Roman" w:cs="Times New Roman"/>
                <w:sz w:val="18"/>
                <w:szCs w:val="18"/>
              </w:rPr>
            </w:pPr>
            <w:r w:rsidRPr="001D773D">
              <w:rPr>
                <w:rFonts w:eastAsia="Times New Roman" w:cs="Times New Roman"/>
                <w:sz w:val="18"/>
                <w:szCs w:val="18"/>
              </w:rPr>
              <w:t>Saņēmēju</w:t>
            </w:r>
            <w:r w:rsidRPr="001D773D">
              <w:rPr>
                <w:rFonts w:eastAsia="Times New Roman" w:cs="Times New Roman"/>
                <w:sz w:val="18"/>
                <w:szCs w:val="18"/>
              </w:rPr>
              <w:br/>
              <w:t xml:space="preserve"> skaits</w:t>
            </w:r>
          </w:p>
        </w:tc>
        <w:tc>
          <w:tcPr>
            <w:tcW w:w="1233" w:type="dxa"/>
            <w:tcBorders>
              <w:top w:val="nil"/>
              <w:left w:val="nil"/>
              <w:bottom w:val="nil"/>
              <w:right w:val="single" w:sz="4" w:space="0" w:color="auto"/>
            </w:tcBorders>
            <w:shd w:val="clear" w:color="auto" w:fill="DEEAF6" w:themeFill="accent1" w:themeFillTint="33"/>
            <w:vAlign w:val="center"/>
            <w:hideMark/>
          </w:tcPr>
          <w:p w14:paraId="6AA154D9" w14:textId="77777777" w:rsidR="00876E09" w:rsidRPr="001D773D" w:rsidRDefault="00876E09" w:rsidP="001D773D">
            <w:pPr>
              <w:spacing w:after="0"/>
              <w:ind w:firstLine="0"/>
              <w:jc w:val="center"/>
              <w:rPr>
                <w:rFonts w:eastAsia="Times New Roman" w:cs="Times New Roman"/>
                <w:sz w:val="18"/>
                <w:szCs w:val="18"/>
              </w:rPr>
            </w:pPr>
            <w:r w:rsidRPr="001D773D">
              <w:rPr>
                <w:rFonts w:eastAsia="Times New Roman" w:cs="Times New Roman"/>
                <w:sz w:val="18"/>
                <w:szCs w:val="18"/>
              </w:rPr>
              <w:t>Izdevumi kopā</w:t>
            </w:r>
          </w:p>
        </w:tc>
      </w:tr>
      <w:tr w:rsidR="001D773D" w:rsidRPr="001D773D" w14:paraId="1D69A3D2" w14:textId="77777777" w:rsidTr="003A0BFD">
        <w:trPr>
          <w:trHeight w:val="780"/>
        </w:trPr>
        <w:tc>
          <w:tcPr>
            <w:tcW w:w="4500" w:type="dxa"/>
            <w:tcBorders>
              <w:left w:val="single" w:sz="4" w:space="0" w:color="auto"/>
              <w:bottom w:val="single" w:sz="4" w:space="0" w:color="000000"/>
              <w:right w:val="single" w:sz="4" w:space="0" w:color="auto"/>
            </w:tcBorders>
            <w:shd w:val="clear" w:color="auto" w:fill="9CC2E5" w:themeFill="accent1" w:themeFillTint="99"/>
            <w:vAlign w:val="center"/>
            <w:hideMark/>
          </w:tcPr>
          <w:p w14:paraId="3BAB53F3" w14:textId="77777777" w:rsidR="001D773D" w:rsidRPr="001D773D" w:rsidRDefault="001D773D" w:rsidP="001D773D">
            <w:pPr>
              <w:spacing w:after="0"/>
              <w:ind w:firstLine="0"/>
              <w:jc w:val="left"/>
              <w:rPr>
                <w:rFonts w:eastAsia="Times New Roman" w:cs="Times New Roman"/>
                <w:sz w:val="18"/>
                <w:szCs w:val="18"/>
              </w:rPr>
            </w:pPr>
          </w:p>
        </w:tc>
        <w:tc>
          <w:tcPr>
            <w:tcW w:w="880" w:type="dxa"/>
            <w:vMerge/>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36C07755" w14:textId="77777777" w:rsidR="001D773D" w:rsidRPr="001D773D" w:rsidRDefault="001D773D" w:rsidP="001D773D">
            <w:pPr>
              <w:spacing w:after="0"/>
              <w:ind w:firstLine="0"/>
              <w:jc w:val="left"/>
              <w:rPr>
                <w:rFonts w:eastAsia="Times New Roman" w:cs="Times New Roman"/>
                <w:sz w:val="18"/>
                <w:szCs w:val="18"/>
              </w:rPr>
            </w:pPr>
          </w:p>
        </w:tc>
        <w:tc>
          <w:tcPr>
            <w:tcW w:w="980" w:type="dxa"/>
            <w:tcBorders>
              <w:top w:val="nil"/>
              <w:left w:val="nil"/>
              <w:bottom w:val="single" w:sz="4" w:space="0" w:color="auto"/>
              <w:right w:val="single" w:sz="4" w:space="0" w:color="auto"/>
            </w:tcBorders>
            <w:shd w:val="clear" w:color="auto" w:fill="DEEAF6" w:themeFill="accent1" w:themeFillTint="33"/>
            <w:noWrap/>
            <w:hideMark/>
          </w:tcPr>
          <w:p w14:paraId="10AEBA7E" w14:textId="62789EC3"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(vid.mēn.)</w:t>
            </w:r>
          </w:p>
        </w:tc>
        <w:tc>
          <w:tcPr>
            <w:tcW w:w="1148" w:type="dxa"/>
            <w:tcBorders>
              <w:top w:val="nil"/>
              <w:left w:val="nil"/>
              <w:bottom w:val="single" w:sz="4" w:space="0" w:color="auto"/>
              <w:right w:val="single" w:sz="4" w:space="0" w:color="auto"/>
            </w:tcBorders>
            <w:shd w:val="clear" w:color="auto" w:fill="DEEAF6" w:themeFill="accent1" w:themeFillTint="33"/>
            <w:noWrap/>
            <w:hideMark/>
          </w:tcPr>
          <w:p w14:paraId="1A35399C"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w:t>
            </w:r>
            <w:r w:rsidRPr="001D773D">
              <w:rPr>
                <w:rFonts w:eastAsia="Times New Roman" w:cs="Times New Roman"/>
                <w:i/>
                <w:sz w:val="18"/>
                <w:szCs w:val="18"/>
              </w:rPr>
              <w:t>euro</w:t>
            </w:r>
            <w:r w:rsidRPr="001D773D">
              <w:rPr>
                <w:rFonts w:eastAsia="Times New Roman" w:cs="Times New Roman"/>
                <w:sz w:val="18"/>
                <w:szCs w:val="18"/>
              </w:rPr>
              <w:t>)</w:t>
            </w:r>
          </w:p>
        </w:tc>
        <w:tc>
          <w:tcPr>
            <w:tcW w:w="1134" w:type="dxa"/>
            <w:vMerge/>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06EFD43E" w14:textId="77777777" w:rsidR="001D773D" w:rsidRPr="001D773D" w:rsidRDefault="001D773D" w:rsidP="001D773D">
            <w:pPr>
              <w:spacing w:after="0"/>
              <w:ind w:firstLine="0"/>
              <w:jc w:val="left"/>
              <w:rPr>
                <w:rFonts w:eastAsia="Times New Roman" w:cs="Times New Roman"/>
                <w:sz w:val="18"/>
                <w:szCs w:val="18"/>
              </w:rPr>
            </w:pPr>
          </w:p>
        </w:tc>
        <w:tc>
          <w:tcPr>
            <w:tcW w:w="1276" w:type="dxa"/>
            <w:tcBorders>
              <w:top w:val="nil"/>
              <w:left w:val="nil"/>
              <w:bottom w:val="single" w:sz="4" w:space="0" w:color="auto"/>
              <w:right w:val="single" w:sz="4" w:space="0" w:color="auto"/>
            </w:tcBorders>
            <w:shd w:val="clear" w:color="auto" w:fill="DEEAF6" w:themeFill="accent1" w:themeFillTint="33"/>
            <w:noWrap/>
            <w:hideMark/>
          </w:tcPr>
          <w:p w14:paraId="39ADF556" w14:textId="4735299D"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(vid.mēn)</w:t>
            </w:r>
          </w:p>
        </w:tc>
        <w:tc>
          <w:tcPr>
            <w:tcW w:w="1134" w:type="dxa"/>
            <w:tcBorders>
              <w:top w:val="nil"/>
              <w:left w:val="nil"/>
              <w:bottom w:val="single" w:sz="4" w:space="0" w:color="auto"/>
              <w:right w:val="single" w:sz="4" w:space="0" w:color="auto"/>
            </w:tcBorders>
            <w:shd w:val="clear" w:color="auto" w:fill="DEEAF6" w:themeFill="accent1" w:themeFillTint="33"/>
            <w:noWrap/>
            <w:hideMark/>
          </w:tcPr>
          <w:p w14:paraId="61A9C187"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w:t>
            </w:r>
            <w:r w:rsidRPr="001D773D">
              <w:rPr>
                <w:rFonts w:eastAsia="Times New Roman" w:cs="Times New Roman"/>
                <w:i/>
                <w:sz w:val="18"/>
                <w:szCs w:val="18"/>
              </w:rPr>
              <w:t>euro</w:t>
            </w:r>
            <w:r w:rsidRPr="001D773D">
              <w:rPr>
                <w:rFonts w:eastAsia="Times New Roman" w:cs="Times New Roman"/>
                <w:sz w:val="18"/>
                <w:szCs w:val="18"/>
              </w:rPr>
              <w:t>)</w:t>
            </w:r>
          </w:p>
        </w:tc>
        <w:tc>
          <w:tcPr>
            <w:tcW w:w="992" w:type="dxa"/>
            <w:vMerge/>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4872375A" w14:textId="77777777" w:rsidR="001D773D" w:rsidRPr="001D773D" w:rsidRDefault="001D773D" w:rsidP="001D773D">
            <w:pPr>
              <w:spacing w:after="0"/>
              <w:ind w:firstLine="0"/>
              <w:jc w:val="left"/>
              <w:rPr>
                <w:rFonts w:eastAsia="Times New Roman" w:cs="Times New Roman"/>
                <w:sz w:val="18"/>
                <w:szCs w:val="18"/>
              </w:rPr>
            </w:pPr>
          </w:p>
        </w:tc>
        <w:tc>
          <w:tcPr>
            <w:tcW w:w="966" w:type="dxa"/>
            <w:tcBorders>
              <w:top w:val="nil"/>
              <w:left w:val="nil"/>
              <w:bottom w:val="single" w:sz="4" w:space="0" w:color="auto"/>
              <w:right w:val="single" w:sz="4" w:space="0" w:color="auto"/>
            </w:tcBorders>
            <w:shd w:val="clear" w:color="auto" w:fill="DEEAF6" w:themeFill="accent1" w:themeFillTint="33"/>
            <w:noWrap/>
            <w:hideMark/>
          </w:tcPr>
          <w:p w14:paraId="60C25355"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(vid.mēn.)</w:t>
            </w:r>
          </w:p>
        </w:tc>
        <w:tc>
          <w:tcPr>
            <w:tcW w:w="1233" w:type="dxa"/>
            <w:tcBorders>
              <w:top w:val="nil"/>
              <w:left w:val="nil"/>
              <w:bottom w:val="single" w:sz="4" w:space="0" w:color="auto"/>
              <w:right w:val="single" w:sz="4" w:space="0" w:color="auto"/>
            </w:tcBorders>
            <w:shd w:val="clear" w:color="auto" w:fill="DEEAF6" w:themeFill="accent1" w:themeFillTint="33"/>
            <w:noWrap/>
            <w:hideMark/>
          </w:tcPr>
          <w:p w14:paraId="1A03C357"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w:t>
            </w:r>
            <w:r w:rsidRPr="001D773D">
              <w:rPr>
                <w:rFonts w:eastAsia="Times New Roman" w:cs="Times New Roman"/>
                <w:i/>
                <w:sz w:val="18"/>
                <w:szCs w:val="18"/>
              </w:rPr>
              <w:t>euro</w:t>
            </w:r>
            <w:r w:rsidRPr="001D773D">
              <w:rPr>
                <w:rFonts w:eastAsia="Times New Roman" w:cs="Times New Roman"/>
                <w:sz w:val="18"/>
                <w:szCs w:val="18"/>
              </w:rPr>
              <w:t>)</w:t>
            </w:r>
          </w:p>
        </w:tc>
      </w:tr>
      <w:tr w:rsidR="001D773D" w:rsidRPr="001D773D" w14:paraId="1A7DE404" w14:textId="77777777" w:rsidTr="003A0BFD">
        <w:trPr>
          <w:trHeight w:val="276"/>
        </w:trPr>
        <w:tc>
          <w:tcPr>
            <w:tcW w:w="4500" w:type="dxa"/>
            <w:tcBorders>
              <w:top w:val="nil"/>
              <w:left w:val="single" w:sz="4" w:space="0" w:color="auto"/>
              <w:bottom w:val="single" w:sz="4" w:space="0" w:color="auto"/>
              <w:right w:val="single" w:sz="4" w:space="0" w:color="auto"/>
            </w:tcBorders>
            <w:shd w:val="clear" w:color="000000" w:fill="FFFFFF"/>
            <w:noWrap/>
            <w:vAlign w:val="bottom"/>
            <w:hideMark/>
          </w:tcPr>
          <w:p w14:paraId="78BE6024"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14:paraId="3A7B2F67"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2</w:t>
            </w:r>
          </w:p>
        </w:tc>
        <w:tc>
          <w:tcPr>
            <w:tcW w:w="980" w:type="dxa"/>
            <w:tcBorders>
              <w:top w:val="nil"/>
              <w:left w:val="nil"/>
              <w:bottom w:val="single" w:sz="4" w:space="0" w:color="auto"/>
              <w:right w:val="single" w:sz="4" w:space="0" w:color="auto"/>
            </w:tcBorders>
            <w:shd w:val="clear" w:color="auto" w:fill="auto"/>
            <w:noWrap/>
            <w:vAlign w:val="bottom"/>
            <w:hideMark/>
          </w:tcPr>
          <w:p w14:paraId="22D652AB"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3</w:t>
            </w:r>
          </w:p>
        </w:tc>
        <w:tc>
          <w:tcPr>
            <w:tcW w:w="1148" w:type="dxa"/>
            <w:tcBorders>
              <w:top w:val="nil"/>
              <w:left w:val="nil"/>
              <w:bottom w:val="single" w:sz="4" w:space="0" w:color="auto"/>
              <w:right w:val="single" w:sz="4" w:space="0" w:color="auto"/>
            </w:tcBorders>
            <w:shd w:val="clear" w:color="auto" w:fill="auto"/>
            <w:noWrap/>
            <w:vAlign w:val="bottom"/>
            <w:hideMark/>
          </w:tcPr>
          <w:p w14:paraId="132E3235"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14:paraId="6E48C4B0"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5</w:t>
            </w:r>
          </w:p>
        </w:tc>
        <w:tc>
          <w:tcPr>
            <w:tcW w:w="1276" w:type="dxa"/>
            <w:tcBorders>
              <w:top w:val="nil"/>
              <w:left w:val="nil"/>
              <w:bottom w:val="single" w:sz="4" w:space="0" w:color="auto"/>
              <w:right w:val="single" w:sz="4" w:space="0" w:color="auto"/>
            </w:tcBorders>
            <w:shd w:val="clear" w:color="auto" w:fill="auto"/>
            <w:noWrap/>
            <w:vAlign w:val="bottom"/>
            <w:hideMark/>
          </w:tcPr>
          <w:p w14:paraId="78AE7EEF"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6</w:t>
            </w:r>
          </w:p>
        </w:tc>
        <w:tc>
          <w:tcPr>
            <w:tcW w:w="1134" w:type="dxa"/>
            <w:tcBorders>
              <w:top w:val="nil"/>
              <w:left w:val="nil"/>
              <w:bottom w:val="single" w:sz="4" w:space="0" w:color="auto"/>
              <w:right w:val="single" w:sz="4" w:space="0" w:color="auto"/>
            </w:tcBorders>
            <w:shd w:val="clear" w:color="auto" w:fill="auto"/>
            <w:noWrap/>
            <w:vAlign w:val="bottom"/>
            <w:hideMark/>
          </w:tcPr>
          <w:p w14:paraId="59487F59"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7</w:t>
            </w:r>
          </w:p>
        </w:tc>
        <w:tc>
          <w:tcPr>
            <w:tcW w:w="992" w:type="dxa"/>
            <w:tcBorders>
              <w:top w:val="nil"/>
              <w:left w:val="nil"/>
              <w:bottom w:val="single" w:sz="4" w:space="0" w:color="auto"/>
              <w:right w:val="single" w:sz="4" w:space="0" w:color="auto"/>
            </w:tcBorders>
            <w:shd w:val="clear" w:color="auto" w:fill="auto"/>
            <w:noWrap/>
            <w:vAlign w:val="bottom"/>
            <w:hideMark/>
          </w:tcPr>
          <w:p w14:paraId="4D4A6228"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8</w:t>
            </w:r>
          </w:p>
        </w:tc>
        <w:tc>
          <w:tcPr>
            <w:tcW w:w="966" w:type="dxa"/>
            <w:tcBorders>
              <w:top w:val="nil"/>
              <w:left w:val="nil"/>
              <w:bottom w:val="single" w:sz="4" w:space="0" w:color="auto"/>
              <w:right w:val="single" w:sz="4" w:space="0" w:color="auto"/>
            </w:tcBorders>
            <w:shd w:val="clear" w:color="auto" w:fill="auto"/>
            <w:noWrap/>
            <w:vAlign w:val="bottom"/>
            <w:hideMark/>
          </w:tcPr>
          <w:p w14:paraId="39A476CB"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9</w:t>
            </w:r>
          </w:p>
        </w:tc>
        <w:tc>
          <w:tcPr>
            <w:tcW w:w="1233" w:type="dxa"/>
            <w:tcBorders>
              <w:top w:val="nil"/>
              <w:left w:val="nil"/>
              <w:bottom w:val="single" w:sz="4" w:space="0" w:color="auto"/>
              <w:right w:val="single" w:sz="4" w:space="0" w:color="auto"/>
            </w:tcBorders>
            <w:shd w:val="clear" w:color="auto" w:fill="auto"/>
            <w:noWrap/>
            <w:vAlign w:val="bottom"/>
            <w:hideMark/>
          </w:tcPr>
          <w:p w14:paraId="756E108D"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10</w:t>
            </w:r>
          </w:p>
        </w:tc>
      </w:tr>
      <w:tr w:rsidR="001D773D" w:rsidRPr="001D773D" w14:paraId="2A634330" w14:textId="77777777" w:rsidTr="003A0BFD">
        <w:trPr>
          <w:trHeight w:val="405"/>
        </w:trPr>
        <w:tc>
          <w:tcPr>
            <w:tcW w:w="4500" w:type="dxa"/>
            <w:tcBorders>
              <w:top w:val="nil"/>
              <w:left w:val="single" w:sz="4" w:space="0" w:color="auto"/>
              <w:bottom w:val="single" w:sz="4" w:space="0" w:color="auto"/>
              <w:right w:val="single" w:sz="4" w:space="0" w:color="auto"/>
            </w:tcBorders>
            <w:shd w:val="clear" w:color="000000" w:fill="FFFFFF"/>
            <w:noWrap/>
            <w:vAlign w:val="bottom"/>
            <w:hideMark/>
          </w:tcPr>
          <w:p w14:paraId="6AA12B6B" w14:textId="77777777" w:rsidR="001D773D" w:rsidRPr="001D773D" w:rsidRDefault="001D773D" w:rsidP="001D773D">
            <w:pPr>
              <w:spacing w:after="0"/>
              <w:ind w:firstLine="0"/>
              <w:rPr>
                <w:rFonts w:eastAsia="Times New Roman" w:cs="Times New Roman"/>
                <w:sz w:val="18"/>
                <w:szCs w:val="18"/>
              </w:rPr>
            </w:pPr>
            <w:r w:rsidRPr="001D773D">
              <w:rPr>
                <w:rFonts w:eastAsia="Times New Roman" w:cs="Times New Roman"/>
                <w:sz w:val="18"/>
                <w:szCs w:val="18"/>
              </w:rPr>
              <w:t>Valsts sociālā nodrošinājuma pabalsts</w:t>
            </w:r>
          </w:p>
        </w:tc>
        <w:tc>
          <w:tcPr>
            <w:tcW w:w="880" w:type="dxa"/>
            <w:tcBorders>
              <w:top w:val="nil"/>
              <w:left w:val="nil"/>
              <w:bottom w:val="nil"/>
              <w:right w:val="single" w:sz="4" w:space="0" w:color="auto"/>
            </w:tcBorders>
            <w:shd w:val="clear" w:color="auto" w:fill="auto"/>
            <w:noWrap/>
            <w:vAlign w:val="bottom"/>
            <w:hideMark/>
          </w:tcPr>
          <w:p w14:paraId="440B8A07"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168,71</w:t>
            </w:r>
          </w:p>
        </w:tc>
        <w:tc>
          <w:tcPr>
            <w:tcW w:w="980" w:type="dxa"/>
            <w:tcBorders>
              <w:top w:val="nil"/>
              <w:left w:val="nil"/>
              <w:bottom w:val="nil"/>
              <w:right w:val="single" w:sz="4" w:space="0" w:color="auto"/>
            </w:tcBorders>
            <w:shd w:val="clear" w:color="auto" w:fill="auto"/>
            <w:noWrap/>
            <w:vAlign w:val="bottom"/>
            <w:hideMark/>
          </w:tcPr>
          <w:p w14:paraId="09BB0670"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20 481</w:t>
            </w:r>
          </w:p>
        </w:tc>
        <w:tc>
          <w:tcPr>
            <w:tcW w:w="1148" w:type="dxa"/>
            <w:tcBorders>
              <w:top w:val="nil"/>
              <w:left w:val="nil"/>
              <w:bottom w:val="nil"/>
              <w:right w:val="single" w:sz="4" w:space="0" w:color="auto"/>
            </w:tcBorders>
            <w:shd w:val="clear" w:color="auto" w:fill="auto"/>
            <w:noWrap/>
            <w:vAlign w:val="bottom"/>
            <w:hideMark/>
          </w:tcPr>
          <w:p w14:paraId="66F2ACA2"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41 464 408</w:t>
            </w:r>
          </w:p>
        </w:tc>
        <w:tc>
          <w:tcPr>
            <w:tcW w:w="1134" w:type="dxa"/>
            <w:tcBorders>
              <w:top w:val="nil"/>
              <w:left w:val="nil"/>
              <w:bottom w:val="nil"/>
              <w:right w:val="single" w:sz="4" w:space="0" w:color="auto"/>
            </w:tcBorders>
            <w:shd w:val="clear" w:color="auto" w:fill="auto"/>
            <w:noWrap/>
            <w:vAlign w:val="bottom"/>
            <w:hideMark/>
          </w:tcPr>
          <w:p w14:paraId="06D5BAAA"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168,71</w:t>
            </w:r>
          </w:p>
        </w:tc>
        <w:tc>
          <w:tcPr>
            <w:tcW w:w="1276" w:type="dxa"/>
            <w:tcBorders>
              <w:top w:val="nil"/>
              <w:left w:val="nil"/>
              <w:bottom w:val="nil"/>
              <w:right w:val="single" w:sz="4" w:space="0" w:color="auto"/>
            </w:tcBorders>
            <w:shd w:val="clear" w:color="auto" w:fill="auto"/>
            <w:noWrap/>
            <w:vAlign w:val="bottom"/>
            <w:hideMark/>
          </w:tcPr>
          <w:p w14:paraId="5066D03E"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20 718</w:t>
            </w:r>
          </w:p>
        </w:tc>
        <w:tc>
          <w:tcPr>
            <w:tcW w:w="1134" w:type="dxa"/>
            <w:tcBorders>
              <w:top w:val="nil"/>
              <w:left w:val="nil"/>
              <w:bottom w:val="nil"/>
              <w:right w:val="single" w:sz="4" w:space="0" w:color="auto"/>
            </w:tcBorders>
            <w:shd w:val="clear" w:color="auto" w:fill="auto"/>
            <w:noWrap/>
            <w:vAlign w:val="bottom"/>
            <w:hideMark/>
          </w:tcPr>
          <w:p w14:paraId="134FB51D"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41 944 181</w:t>
            </w:r>
          </w:p>
        </w:tc>
        <w:tc>
          <w:tcPr>
            <w:tcW w:w="992" w:type="dxa"/>
            <w:tcBorders>
              <w:top w:val="nil"/>
              <w:left w:val="nil"/>
              <w:bottom w:val="nil"/>
              <w:right w:val="single" w:sz="4" w:space="0" w:color="auto"/>
            </w:tcBorders>
            <w:shd w:val="clear" w:color="auto" w:fill="auto"/>
            <w:noWrap/>
            <w:vAlign w:val="bottom"/>
            <w:hideMark/>
          </w:tcPr>
          <w:p w14:paraId="73E3E429"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168,71</w:t>
            </w:r>
          </w:p>
        </w:tc>
        <w:tc>
          <w:tcPr>
            <w:tcW w:w="966" w:type="dxa"/>
            <w:tcBorders>
              <w:top w:val="nil"/>
              <w:left w:val="nil"/>
              <w:bottom w:val="nil"/>
              <w:right w:val="single" w:sz="4" w:space="0" w:color="auto"/>
            </w:tcBorders>
            <w:shd w:val="clear" w:color="auto" w:fill="auto"/>
            <w:noWrap/>
            <w:vAlign w:val="bottom"/>
            <w:hideMark/>
          </w:tcPr>
          <w:p w14:paraId="08B4F5CE"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20 959</w:t>
            </w:r>
          </w:p>
        </w:tc>
        <w:tc>
          <w:tcPr>
            <w:tcW w:w="1233" w:type="dxa"/>
            <w:tcBorders>
              <w:top w:val="nil"/>
              <w:left w:val="nil"/>
              <w:bottom w:val="nil"/>
              <w:right w:val="single" w:sz="4" w:space="0" w:color="auto"/>
            </w:tcBorders>
            <w:shd w:val="clear" w:color="auto" w:fill="auto"/>
            <w:noWrap/>
            <w:vAlign w:val="bottom"/>
            <w:hideMark/>
          </w:tcPr>
          <w:p w14:paraId="21468B85"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42 431 915</w:t>
            </w:r>
          </w:p>
        </w:tc>
      </w:tr>
      <w:tr w:rsidR="001D773D" w:rsidRPr="001D773D" w14:paraId="32F37501" w14:textId="77777777" w:rsidTr="003A0BFD">
        <w:trPr>
          <w:trHeight w:val="792"/>
        </w:trPr>
        <w:tc>
          <w:tcPr>
            <w:tcW w:w="4500" w:type="dxa"/>
            <w:tcBorders>
              <w:top w:val="nil"/>
              <w:left w:val="single" w:sz="4" w:space="0" w:color="auto"/>
              <w:bottom w:val="single" w:sz="4" w:space="0" w:color="auto"/>
              <w:right w:val="single" w:sz="4" w:space="0" w:color="auto"/>
            </w:tcBorders>
            <w:shd w:val="clear" w:color="000000" w:fill="FFFFFF"/>
            <w:vAlign w:val="bottom"/>
            <w:hideMark/>
          </w:tcPr>
          <w:p w14:paraId="3D15420F"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Pabalsts transporta izdevumu kompensēšanai personām ar invaliditāti, kurām ir apgrūtināta pārvietošanās</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73940712"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80,00</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10E044A3"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35 795</w:t>
            </w:r>
          </w:p>
        </w:tc>
        <w:tc>
          <w:tcPr>
            <w:tcW w:w="1148" w:type="dxa"/>
            <w:tcBorders>
              <w:top w:val="single" w:sz="4" w:space="0" w:color="auto"/>
              <w:left w:val="nil"/>
              <w:bottom w:val="single" w:sz="4" w:space="0" w:color="auto"/>
              <w:right w:val="single" w:sz="4" w:space="0" w:color="auto"/>
            </w:tcBorders>
            <w:shd w:val="clear" w:color="auto" w:fill="auto"/>
            <w:noWrap/>
            <w:vAlign w:val="bottom"/>
            <w:hideMark/>
          </w:tcPr>
          <w:p w14:paraId="06B5E7E0"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5 727 200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B8D3ADE"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80,00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4181CDB"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37 585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C17DEF7"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6 013 600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AD188AA"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80,00</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0374C0FF"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39 464</w:t>
            </w:r>
          </w:p>
        </w:tc>
        <w:tc>
          <w:tcPr>
            <w:tcW w:w="1233" w:type="dxa"/>
            <w:tcBorders>
              <w:top w:val="single" w:sz="4" w:space="0" w:color="auto"/>
              <w:left w:val="nil"/>
              <w:bottom w:val="single" w:sz="4" w:space="0" w:color="auto"/>
              <w:right w:val="single" w:sz="4" w:space="0" w:color="auto"/>
            </w:tcBorders>
            <w:shd w:val="clear" w:color="auto" w:fill="auto"/>
            <w:noWrap/>
            <w:vAlign w:val="bottom"/>
            <w:hideMark/>
          </w:tcPr>
          <w:p w14:paraId="311CA505"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6 314 240</w:t>
            </w:r>
          </w:p>
        </w:tc>
      </w:tr>
      <w:tr w:rsidR="001D773D" w:rsidRPr="001D773D" w14:paraId="3D493023" w14:textId="77777777" w:rsidTr="003A0BFD">
        <w:trPr>
          <w:trHeight w:val="1056"/>
        </w:trPr>
        <w:tc>
          <w:tcPr>
            <w:tcW w:w="4500" w:type="dxa"/>
            <w:tcBorders>
              <w:top w:val="nil"/>
              <w:left w:val="single" w:sz="4" w:space="0" w:color="auto"/>
              <w:bottom w:val="single" w:sz="4" w:space="0" w:color="auto"/>
              <w:right w:val="single" w:sz="4" w:space="0" w:color="auto"/>
            </w:tcBorders>
            <w:shd w:val="clear" w:color="000000" w:fill="FFFFFF"/>
            <w:vAlign w:val="bottom"/>
            <w:hideMark/>
          </w:tcPr>
          <w:p w14:paraId="40DC6614" w14:textId="01459E3D"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Valsts sociālais p</w:t>
            </w:r>
            <w:r w:rsidR="00876E09">
              <w:rPr>
                <w:rFonts w:eastAsia="Times New Roman" w:cs="Times New Roman"/>
                <w:sz w:val="18"/>
                <w:szCs w:val="18"/>
              </w:rPr>
              <w:t>abalsts Černobiļas atomelektro</w:t>
            </w:r>
            <w:r w:rsidRPr="001D773D">
              <w:rPr>
                <w:rFonts w:eastAsia="Times New Roman" w:cs="Times New Roman"/>
                <w:sz w:val="18"/>
                <w:szCs w:val="18"/>
              </w:rPr>
              <w:t>stacijas avārijas seku likvidēšanas dalībniekiem un mirušo Černobiļas atomelektrostacijas avārijas seku likvidēšanas dalībnieku ģimenēm</w:t>
            </w:r>
          </w:p>
        </w:tc>
        <w:tc>
          <w:tcPr>
            <w:tcW w:w="880" w:type="dxa"/>
            <w:tcBorders>
              <w:top w:val="nil"/>
              <w:left w:val="nil"/>
              <w:bottom w:val="nil"/>
              <w:right w:val="single" w:sz="4" w:space="0" w:color="auto"/>
            </w:tcBorders>
            <w:shd w:val="clear" w:color="auto" w:fill="auto"/>
            <w:noWrap/>
            <w:vAlign w:val="bottom"/>
            <w:hideMark/>
          </w:tcPr>
          <w:p w14:paraId="6244E860"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110,18</w:t>
            </w:r>
          </w:p>
        </w:tc>
        <w:tc>
          <w:tcPr>
            <w:tcW w:w="980" w:type="dxa"/>
            <w:tcBorders>
              <w:top w:val="nil"/>
              <w:left w:val="nil"/>
              <w:bottom w:val="nil"/>
              <w:right w:val="single" w:sz="4" w:space="0" w:color="auto"/>
            </w:tcBorders>
            <w:shd w:val="clear" w:color="auto" w:fill="auto"/>
            <w:noWrap/>
            <w:vAlign w:val="bottom"/>
            <w:hideMark/>
          </w:tcPr>
          <w:p w14:paraId="0893A649"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2 962</w:t>
            </w:r>
          </w:p>
        </w:tc>
        <w:tc>
          <w:tcPr>
            <w:tcW w:w="1148" w:type="dxa"/>
            <w:tcBorders>
              <w:top w:val="nil"/>
              <w:left w:val="nil"/>
              <w:bottom w:val="nil"/>
              <w:right w:val="single" w:sz="4" w:space="0" w:color="auto"/>
            </w:tcBorders>
            <w:shd w:val="clear" w:color="auto" w:fill="auto"/>
            <w:noWrap/>
            <w:vAlign w:val="bottom"/>
            <w:hideMark/>
          </w:tcPr>
          <w:p w14:paraId="235EF837"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3 916 238</w:t>
            </w:r>
          </w:p>
        </w:tc>
        <w:tc>
          <w:tcPr>
            <w:tcW w:w="1134" w:type="dxa"/>
            <w:tcBorders>
              <w:top w:val="nil"/>
              <w:left w:val="nil"/>
              <w:bottom w:val="nil"/>
              <w:right w:val="single" w:sz="4" w:space="0" w:color="auto"/>
            </w:tcBorders>
            <w:shd w:val="clear" w:color="auto" w:fill="auto"/>
            <w:noWrap/>
            <w:vAlign w:val="bottom"/>
            <w:hideMark/>
          </w:tcPr>
          <w:p w14:paraId="0D652A94"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110,18</w:t>
            </w:r>
          </w:p>
        </w:tc>
        <w:tc>
          <w:tcPr>
            <w:tcW w:w="1276" w:type="dxa"/>
            <w:tcBorders>
              <w:top w:val="nil"/>
              <w:left w:val="nil"/>
              <w:bottom w:val="nil"/>
              <w:right w:val="single" w:sz="4" w:space="0" w:color="auto"/>
            </w:tcBorders>
            <w:shd w:val="clear" w:color="auto" w:fill="auto"/>
            <w:noWrap/>
            <w:vAlign w:val="bottom"/>
            <w:hideMark/>
          </w:tcPr>
          <w:p w14:paraId="7D1F2603"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2 889</w:t>
            </w:r>
          </w:p>
        </w:tc>
        <w:tc>
          <w:tcPr>
            <w:tcW w:w="1134" w:type="dxa"/>
            <w:tcBorders>
              <w:top w:val="nil"/>
              <w:left w:val="nil"/>
              <w:bottom w:val="nil"/>
              <w:right w:val="single" w:sz="4" w:space="0" w:color="auto"/>
            </w:tcBorders>
            <w:shd w:val="clear" w:color="auto" w:fill="auto"/>
            <w:noWrap/>
            <w:vAlign w:val="bottom"/>
            <w:hideMark/>
          </w:tcPr>
          <w:p w14:paraId="2F022E69"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3 819 720</w:t>
            </w:r>
          </w:p>
        </w:tc>
        <w:tc>
          <w:tcPr>
            <w:tcW w:w="992" w:type="dxa"/>
            <w:tcBorders>
              <w:top w:val="nil"/>
              <w:left w:val="nil"/>
              <w:bottom w:val="nil"/>
              <w:right w:val="single" w:sz="4" w:space="0" w:color="auto"/>
            </w:tcBorders>
            <w:shd w:val="clear" w:color="auto" w:fill="auto"/>
            <w:noWrap/>
            <w:vAlign w:val="bottom"/>
            <w:hideMark/>
          </w:tcPr>
          <w:p w14:paraId="01BB4C96"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110,18</w:t>
            </w:r>
          </w:p>
        </w:tc>
        <w:tc>
          <w:tcPr>
            <w:tcW w:w="966" w:type="dxa"/>
            <w:tcBorders>
              <w:top w:val="nil"/>
              <w:left w:val="nil"/>
              <w:bottom w:val="nil"/>
              <w:right w:val="single" w:sz="4" w:space="0" w:color="auto"/>
            </w:tcBorders>
            <w:shd w:val="clear" w:color="auto" w:fill="auto"/>
            <w:noWrap/>
            <w:vAlign w:val="bottom"/>
            <w:hideMark/>
          </w:tcPr>
          <w:p w14:paraId="0975D330"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2 816</w:t>
            </w:r>
          </w:p>
        </w:tc>
        <w:tc>
          <w:tcPr>
            <w:tcW w:w="1233" w:type="dxa"/>
            <w:tcBorders>
              <w:top w:val="nil"/>
              <w:left w:val="nil"/>
              <w:bottom w:val="nil"/>
              <w:right w:val="single" w:sz="4" w:space="0" w:color="auto"/>
            </w:tcBorders>
            <w:shd w:val="clear" w:color="auto" w:fill="auto"/>
            <w:noWrap/>
            <w:vAlign w:val="bottom"/>
            <w:hideMark/>
          </w:tcPr>
          <w:p w14:paraId="083390DD"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3 723 203</w:t>
            </w:r>
          </w:p>
        </w:tc>
      </w:tr>
      <w:tr w:rsidR="001D773D" w:rsidRPr="001D773D" w14:paraId="6117A1B7" w14:textId="77777777" w:rsidTr="003A0BFD">
        <w:trPr>
          <w:trHeight w:val="1056"/>
        </w:trPr>
        <w:tc>
          <w:tcPr>
            <w:tcW w:w="4500" w:type="dxa"/>
            <w:tcBorders>
              <w:top w:val="nil"/>
              <w:left w:val="single" w:sz="4" w:space="0" w:color="auto"/>
              <w:bottom w:val="single" w:sz="4" w:space="0" w:color="auto"/>
              <w:right w:val="single" w:sz="4" w:space="0" w:color="auto"/>
            </w:tcBorders>
            <w:shd w:val="clear" w:color="000000" w:fill="FFFFFF"/>
            <w:vAlign w:val="bottom"/>
            <w:hideMark/>
          </w:tcPr>
          <w:p w14:paraId="3BC892B3"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Kaitējuma atlīdzība Černobiļas atomelektrostacijas avārijas seku likvidēšanas dalībniekiem vai viņa nāves gadījumā – viņa apgādībā bijušajiem darbnespējīgajiem ģimenes locekļiem</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18B0A3C3"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238,33</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4B87354C"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425</w:t>
            </w:r>
          </w:p>
        </w:tc>
        <w:tc>
          <w:tcPr>
            <w:tcW w:w="1148" w:type="dxa"/>
            <w:tcBorders>
              <w:top w:val="single" w:sz="4" w:space="0" w:color="auto"/>
              <w:left w:val="nil"/>
              <w:bottom w:val="single" w:sz="4" w:space="0" w:color="auto"/>
              <w:right w:val="single" w:sz="4" w:space="0" w:color="auto"/>
            </w:tcBorders>
            <w:shd w:val="clear" w:color="auto" w:fill="auto"/>
            <w:noWrap/>
            <w:vAlign w:val="bottom"/>
            <w:hideMark/>
          </w:tcPr>
          <w:p w14:paraId="1D148D10"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1 215 483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8745A3B"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255,25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2B664D8"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425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A47A364"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1 301 775</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953DC89"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273,37</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2140703A"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425</w:t>
            </w:r>
          </w:p>
        </w:tc>
        <w:tc>
          <w:tcPr>
            <w:tcW w:w="1233" w:type="dxa"/>
            <w:tcBorders>
              <w:top w:val="single" w:sz="4" w:space="0" w:color="auto"/>
              <w:left w:val="nil"/>
              <w:bottom w:val="single" w:sz="4" w:space="0" w:color="auto"/>
              <w:right w:val="single" w:sz="4" w:space="0" w:color="auto"/>
            </w:tcBorders>
            <w:shd w:val="clear" w:color="auto" w:fill="auto"/>
            <w:noWrap/>
            <w:vAlign w:val="bottom"/>
            <w:hideMark/>
          </w:tcPr>
          <w:p w14:paraId="401E2FAC"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1 394 187</w:t>
            </w:r>
          </w:p>
        </w:tc>
      </w:tr>
      <w:tr w:rsidR="001D773D" w:rsidRPr="001D773D" w14:paraId="515351F0" w14:textId="77777777" w:rsidTr="003A0BFD">
        <w:trPr>
          <w:trHeight w:val="528"/>
        </w:trPr>
        <w:tc>
          <w:tcPr>
            <w:tcW w:w="4500" w:type="dxa"/>
            <w:tcBorders>
              <w:top w:val="nil"/>
              <w:left w:val="single" w:sz="4" w:space="0" w:color="auto"/>
              <w:bottom w:val="single" w:sz="4" w:space="0" w:color="auto"/>
              <w:right w:val="single" w:sz="4" w:space="0" w:color="auto"/>
            </w:tcBorders>
            <w:shd w:val="clear" w:color="000000" w:fill="FFFFFF"/>
            <w:vAlign w:val="bottom"/>
            <w:hideMark/>
          </w:tcPr>
          <w:p w14:paraId="62A3C737"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Pabalsts personai ar invaliditāti, kurai nepieciešama īpaša kopšana</w:t>
            </w:r>
          </w:p>
        </w:tc>
        <w:tc>
          <w:tcPr>
            <w:tcW w:w="880" w:type="dxa"/>
            <w:tcBorders>
              <w:top w:val="nil"/>
              <w:left w:val="nil"/>
              <w:bottom w:val="nil"/>
              <w:right w:val="single" w:sz="4" w:space="0" w:color="auto"/>
            </w:tcBorders>
            <w:shd w:val="clear" w:color="auto" w:fill="auto"/>
            <w:noWrap/>
            <w:vAlign w:val="bottom"/>
            <w:hideMark/>
          </w:tcPr>
          <w:p w14:paraId="401E6BBC"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235,20</w:t>
            </w:r>
          </w:p>
        </w:tc>
        <w:tc>
          <w:tcPr>
            <w:tcW w:w="980" w:type="dxa"/>
            <w:tcBorders>
              <w:top w:val="nil"/>
              <w:left w:val="nil"/>
              <w:bottom w:val="nil"/>
              <w:right w:val="single" w:sz="4" w:space="0" w:color="auto"/>
            </w:tcBorders>
            <w:shd w:val="clear" w:color="auto" w:fill="auto"/>
            <w:noWrap/>
            <w:vAlign w:val="bottom"/>
            <w:hideMark/>
          </w:tcPr>
          <w:p w14:paraId="6A17F492"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16 348</w:t>
            </w:r>
          </w:p>
        </w:tc>
        <w:tc>
          <w:tcPr>
            <w:tcW w:w="1148" w:type="dxa"/>
            <w:tcBorders>
              <w:top w:val="nil"/>
              <w:left w:val="nil"/>
              <w:bottom w:val="nil"/>
              <w:right w:val="single" w:sz="4" w:space="0" w:color="auto"/>
            </w:tcBorders>
            <w:shd w:val="clear" w:color="auto" w:fill="auto"/>
            <w:noWrap/>
            <w:vAlign w:val="bottom"/>
            <w:hideMark/>
          </w:tcPr>
          <w:p w14:paraId="340E66BF"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46 140 595</w:t>
            </w:r>
          </w:p>
        </w:tc>
        <w:tc>
          <w:tcPr>
            <w:tcW w:w="1134" w:type="dxa"/>
            <w:tcBorders>
              <w:top w:val="nil"/>
              <w:left w:val="nil"/>
              <w:bottom w:val="nil"/>
              <w:right w:val="single" w:sz="4" w:space="0" w:color="auto"/>
            </w:tcBorders>
            <w:shd w:val="clear" w:color="auto" w:fill="auto"/>
            <w:noWrap/>
            <w:vAlign w:val="bottom"/>
            <w:hideMark/>
          </w:tcPr>
          <w:p w14:paraId="278881D5"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235,20</w:t>
            </w:r>
          </w:p>
        </w:tc>
        <w:tc>
          <w:tcPr>
            <w:tcW w:w="1276" w:type="dxa"/>
            <w:tcBorders>
              <w:top w:val="nil"/>
              <w:left w:val="nil"/>
              <w:bottom w:val="nil"/>
              <w:right w:val="single" w:sz="4" w:space="0" w:color="auto"/>
            </w:tcBorders>
            <w:shd w:val="clear" w:color="auto" w:fill="auto"/>
            <w:noWrap/>
            <w:vAlign w:val="bottom"/>
            <w:hideMark/>
          </w:tcPr>
          <w:p w14:paraId="3AE9970E"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16 348</w:t>
            </w:r>
          </w:p>
        </w:tc>
        <w:tc>
          <w:tcPr>
            <w:tcW w:w="1134" w:type="dxa"/>
            <w:tcBorders>
              <w:top w:val="nil"/>
              <w:left w:val="nil"/>
              <w:bottom w:val="nil"/>
              <w:right w:val="single" w:sz="4" w:space="0" w:color="auto"/>
            </w:tcBorders>
            <w:shd w:val="clear" w:color="auto" w:fill="auto"/>
            <w:noWrap/>
            <w:vAlign w:val="bottom"/>
            <w:hideMark/>
          </w:tcPr>
          <w:p w14:paraId="2E54C349"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46 140 595</w:t>
            </w:r>
          </w:p>
        </w:tc>
        <w:tc>
          <w:tcPr>
            <w:tcW w:w="992" w:type="dxa"/>
            <w:tcBorders>
              <w:top w:val="nil"/>
              <w:left w:val="nil"/>
              <w:bottom w:val="nil"/>
              <w:right w:val="single" w:sz="4" w:space="0" w:color="auto"/>
            </w:tcBorders>
            <w:shd w:val="clear" w:color="auto" w:fill="auto"/>
            <w:noWrap/>
            <w:vAlign w:val="bottom"/>
            <w:hideMark/>
          </w:tcPr>
          <w:p w14:paraId="04D4A123"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235,20</w:t>
            </w:r>
          </w:p>
        </w:tc>
        <w:tc>
          <w:tcPr>
            <w:tcW w:w="966" w:type="dxa"/>
            <w:tcBorders>
              <w:top w:val="nil"/>
              <w:left w:val="nil"/>
              <w:bottom w:val="nil"/>
              <w:right w:val="single" w:sz="4" w:space="0" w:color="auto"/>
            </w:tcBorders>
            <w:shd w:val="clear" w:color="auto" w:fill="auto"/>
            <w:noWrap/>
            <w:vAlign w:val="bottom"/>
            <w:hideMark/>
          </w:tcPr>
          <w:p w14:paraId="6C36787B"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16 348</w:t>
            </w:r>
          </w:p>
        </w:tc>
        <w:tc>
          <w:tcPr>
            <w:tcW w:w="1233" w:type="dxa"/>
            <w:tcBorders>
              <w:top w:val="nil"/>
              <w:left w:val="nil"/>
              <w:bottom w:val="nil"/>
              <w:right w:val="single" w:sz="4" w:space="0" w:color="auto"/>
            </w:tcBorders>
            <w:shd w:val="clear" w:color="auto" w:fill="auto"/>
            <w:noWrap/>
            <w:vAlign w:val="bottom"/>
            <w:hideMark/>
          </w:tcPr>
          <w:p w14:paraId="00B8EC71"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46 140 595</w:t>
            </w:r>
          </w:p>
        </w:tc>
      </w:tr>
      <w:tr w:rsidR="001D773D" w:rsidRPr="001D773D" w14:paraId="3B76E94D" w14:textId="77777777" w:rsidTr="003A0BFD">
        <w:trPr>
          <w:trHeight w:val="528"/>
        </w:trPr>
        <w:tc>
          <w:tcPr>
            <w:tcW w:w="4500" w:type="dxa"/>
            <w:tcBorders>
              <w:top w:val="nil"/>
              <w:left w:val="single" w:sz="4" w:space="0" w:color="auto"/>
              <w:bottom w:val="single" w:sz="4" w:space="0" w:color="auto"/>
              <w:right w:val="single" w:sz="4" w:space="0" w:color="auto"/>
            </w:tcBorders>
            <w:shd w:val="clear" w:color="000000" w:fill="FFFFFF"/>
            <w:vAlign w:val="bottom"/>
            <w:hideMark/>
          </w:tcPr>
          <w:p w14:paraId="047B4872"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Apbedīšanas pabalsts, ja miris valsts sociālā nodrošinājuma pabalsta saņēmējs</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0896FDB5"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345,80</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238FB663"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43</w:t>
            </w:r>
          </w:p>
        </w:tc>
        <w:tc>
          <w:tcPr>
            <w:tcW w:w="1148" w:type="dxa"/>
            <w:tcBorders>
              <w:top w:val="single" w:sz="4" w:space="0" w:color="auto"/>
              <w:left w:val="nil"/>
              <w:bottom w:val="single" w:sz="4" w:space="0" w:color="auto"/>
              <w:right w:val="single" w:sz="4" w:space="0" w:color="auto"/>
            </w:tcBorders>
            <w:shd w:val="clear" w:color="auto" w:fill="auto"/>
            <w:noWrap/>
            <w:vAlign w:val="bottom"/>
            <w:hideMark/>
          </w:tcPr>
          <w:p w14:paraId="5B54BF31"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178 433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D37A2BA"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345,80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A6A90F0"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44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5471916"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182 582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39A28ED"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345,80</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3C20CDF6"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45</w:t>
            </w:r>
          </w:p>
        </w:tc>
        <w:tc>
          <w:tcPr>
            <w:tcW w:w="1233" w:type="dxa"/>
            <w:tcBorders>
              <w:top w:val="single" w:sz="4" w:space="0" w:color="auto"/>
              <w:left w:val="nil"/>
              <w:bottom w:val="single" w:sz="4" w:space="0" w:color="auto"/>
              <w:right w:val="single" w:sz="4" w:space="0" w:color="auto"/>
            </w:tcBorders>
            <w:shd w:val="clear" w:color="auto" w:fill="auto"/>
            <w:noWrap/>
            <w:vAlign w:val="bottom"/>
            <w:hideMark/>
          </w:tcPr>
          <w:p w14:paraId="518A233E"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186 732</w:t>
            </w:r>
          </w:p>
        </w:tc>
      </w:tr>
      <w:tr w:rsidR="001D773D" w:rsidRPr="001D773D" w14:paraId="09E033E2" w14:textId="77777777" w:rsidTr="003A0BFD">
        <w:trPr>
          <w:trHeight w:val="528"/>
        </w:trPr>
        <w:tc>
          <w:tcPr>
            <w:tcW w:w="4500" w:type="dxa"/>
            <w:tcBorders>
              <w:top w:val="nil"/>
              <w:left w:val="single" w:sz="4" w:space="0" w:color="auto"/>
              <w:bottom w:val="nil"/>
              <w:right w:val="nil"/>
            </w:tcBorders>
            <w:shd w:val="clear" w:color="000000" w:fill="FFFFFF"/>
            <w:vAlign w:val="bottom"/>
            <w:hideMark/>
          </w:tcPr>
          <w:p w14:paraId="5BE0F867"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Pabalsts par asistenta izmantošanu personām ar I grupas redzes invaliditāti</w:t>
            </w:r>
          </w:p>
        </w:tc>
        <w:tc>
          <w:tcPr>
            <w:tcW w:w="880" w:type="dxa"/>
            <w:tcBorders>
              <w:top w:val="nil"/>
              <w:left w:val="single" w:sz="4" w:space="0" w:color="auto"/>
              <w:bottom w:val="nil"/>
              <w:right w:val="single" w:sz="4" w:space="0" w:color="auto"/>
            </w:tcBorders>
            <w:shd w:val="clear" w:color="auto" w:fill="auto"/>
            <w:noWrap/>
            <w:vAlign w:val="bottom"/>
            <w:hideMark/>
          </w:tcPr>
          <w:p w14:paraId="60A6618E"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73,43</w:t>
            </w:r>
          </w:p>
        </w:tc>
        <w:tc>
          <w:tcPr>
            <w:tcW w:w="980" w:type="dxa"/>
            <w:tcBorders>
              <w:top w:val="nil"/>
              <w:left w:val="nil"/>
              <w:bottom w:val="nil"/>
              <w:right w:val="single" w:sz="4" w:space="0" w:color="auto"/>
            </w:tcBorders>
            <w:shd w:val="clear" w:color="auto" w:fill="auto"/>
            <w:noWrap/>
            <w:vAlign w:val="bottom"/>
            <w:hideMark/>
          </w:tcPr>
          <w:p w14:paraId="69F97221"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2 142</w:t>
            </w:r>
          </w:p>
        </w:tc>
        <w:tc>
          <w:tcPr>
            <w:tcW w:w="1148" w:type="dxa"/>
            <w:tcBorders>
              <w:top w:val="nil"/>
              <w:left w:val="nil"/>
              <w:bottom w:val="nil"/>
              <w:right w:val="single" w:sz="4" w:space="0" w:color="auto"/>
            </w:tcBorders>
            <w:shd w:val="clear" w:color="auto" w:fill="auto"/>
            <w:noWrap/>
            <w:vAlign w:val="bottom"/>
            <w:hideMark/>
          </w:tcPr>
          <w:p w14:paraId="219C4B42"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1 887 445</w:t>
            </w:r>
          </w:p>
        </w:tc>
        <w:tc>
          <w:tcPr>
            <w:tcW w:w="1134" w:type="dxa"/>
            <w:tcBorders>
              <w:top w:val="nil"/>
              <w:left w:val="nil"/>
              <w:bottom w:val="nil"/>
              <w:right w:val="single" w:sz="4" w:space="0" w:color="auto"/>
            </w:tcBorders>
            <w:shd w:val="clear" w:color="auto" w:fill="auto"/>
            <w:noWrap/>
            <w:vAlign w:val="bottom"/>
            <w:hideMark/>
          </w:tcPr>
          <w:p w14:paraId="03FFF2B4"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73,43</w:t>
            </w:r>
          </w:p>
        </w:tc>
        <w:tc>
          <w:tcPr>
            <w:tcW w:w="1276" w:type="dxa"/>
            <w:tcBorders>
              <w:top w:val="nil"/>
              <w:left w:val="nil"/>
              <w:bottom w:val="nil"/>
              <w:right w:val="single" w:sz="4" w:space="0" w:color="auto"/>
            </w:tcBorders>
            <w:shd w:val="clear" w:color="auto" w:fill="auto"/>
            <w:noWrap/>
            <w:vAlign w:val="bottom"/>
            <w:hideMark/>
          </w:tcPr>
          <w:p w14:paraId="0D0EA10F"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2 127</w:t>
            </w:r>
          </w:p>
        </w:tc>
        <w:tc>
          <w:tcPr>
            <w:tcW w:w="1134" w:type="dxa"/>
            <w:tcBorders>
              <w:top w:val="nil"/>
              <w:left w:val="nil"/>
              <w:bottom w:val="nil"/>
              <w:right w:val="single" w:sz="4" w:space="0" w:color="auto"/>
            </w:tcBorders>
            <w:shd w:val="clear" w:color="auto" w:fill="auto"/>
            <w:noWrap/>
            <w:vAlign w:val="bottom"/>
            <w:hideMark/>
          </w:tcPr>
          <w:p w14:paraId="054582BC"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1 874 227</w:t>
            </w:r>
          </w:p>
        </w:tc>
        <w:tc>
          <w:tcPr>
            <w:tcW w:w="992" w:type="dxa"/>
            <w:tcBorders>
              <w:top w:val="nil"/>
              <w:left w:val="nil"/>
              <w:bottom w:val="nil"/>
              <w:right w:val="single" w:sz="4" w:space="0" w:color="auto"/>
            </w:tcBorders>
            <w:shd w:val="clear" w:color="auto" w:fill="auto"/>
            <w:noWrap/>
            <w:vAlign w:val="bottom"/>
            <w:hideMark/>
          </w:tcPr>
          <w:p w14:paraId="56B5284F"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73,43</w:t>
            </w:r>
          </w:p>
        </w:tc>
        <w:tc>
          <w:tcPr>
            <w:tcW w:w="966" w:type="dxa"/>
            <w:tcBorders>
              <w:top w:val="nil"/>
              <w:left w:val="nil"/>
              <w:bottom w:val="nil"/>
              <w:right w:val="single" w:sz="4" w:space="0" w:color="auto"/>
            </w:tcBorders>
            <w:shd w:val="clear" w:color="auto" w:fill="auto"/>
            <w:noWrap/>
            <w:vAlign w:val="bottom"/>
            <w:hideMark/>
          </w:tcPr>
          <w:p w14:paraId="7ED83982"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2 112</w:t>
            </w:r>
          </w:p>
        </w:tc>
        <w:tc>
          <w:tcPr>
            <w:tcW w:w="1233" w:type="dxa"/>
            <w:tcBorders>
              <w:top w:val="nil"/>
              <w:left w:val="nil"/>
              <w:bottom w:val="nil"/>
              <w:right w:val="single" w:sz="4" w:space="0" w:color="auto"/>
            </w:tcBorders>
            <w:shd w:val="clear" w:color="auto" w:fill="auto"/>
            <w:noWrap/>
            <w:vAlign w:val="bottom"/>
            <w:hideMark/>
          </w:tcPr>
          <w:p w14:paraId="48233620"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1 861 010</w:t>
            </w:r>
          </w:p>
        </w:tc>
      </w:tr>
      <w:tr w:rsidR="001D773D" w:rsidRPr="001D773D" w14:paraId="04C3CC82" w14:textId="77777777" w:rsidTr="003A0BFD">
        <w:trPr>
          <w:trHeight w:val="276"/>
        </w:trPr>
        <w:tc>
          <w:tcPr>
            <w:tcW w:w="45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93318CD"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lastRenderedPageBreak/>
              <w:t>Valsts sociālie pabalsti ģimenēm ar bērniem - kopā</w:t>
            </w:r>
          </w:p>
        </w:tc>
        <w:tc>
          <w:tcPr>
            <w:tcW w:w="880" w:type="dxa"/>
            <w:tcBorders>
              <w:top w:val="single" w:sz="4" w:space="0" w:color="auto"/>
              <w:left w:val="nil"/>
              <w:bottom w:val="single" w:sz="4" w:space="0" w:color="auto"/>
              <w:right w:val="single" w:sz="4" w:space="0" w:color="auto"/>
            </w:tcBorders>
            <w:shd w:val="clear" w:color="000000" w:fill="FFFFFF"/>
            <w:noWrap/>
            <w:vAlign w:val="center"/>
            <w:hideMark/>
          </w:tcPr>
          <w:p w14:paraId="384B570D"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x</w:t>
            </w:r>
          </w:p>
        </w:tc>
        <w:tc>
          <w:tcPr>
            <w:tcW w:w="980" w:type="dxa"/>
            <w:tcBorders>
              <w:top w:val="single" w:sz="4" w:space="0" w:color="auto"/>
              <w:left w:val="nil"/>
              <w:bottom w:val="single" w:sz="4" w:space="0" w:color="auto"/>
              <w:right w:val="single" w:sz="4" w:space="0" w:color="auto"/>
            </w:tcBorders>
            <w:shd w:val="clear" w:color="000000" w:fill="FFFFFF"/>
            <w:noWrap/>
            <w:vAlign w:val="center"/>
            <w:hideMark/>
          </w:tcPr>
          <w:p w14:paraId="3D575AD3"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x</w:t>
            </w:r>
          </w:p>
        </w:tc>
        <w:tc>
          <w:tcPr>
            <w:tcW w:w="1148" w:type="dxa"/>
            <w:tcBorders>
              <w:top w:val="single" w:sz="4" w:space="0" w:color="auto"/>
              <w:left w:val="nil"/>
              <w:bottom w:val="single" w:sz="4" w:space="0" w:color="auto"/>
              <w:right w:val="single" w:sz="4" w:space="0" w:color="auto"/>
            </w:tcBorders>
            <w:shd w:val="clear" w:color="000000" w:fill="FFFFFF"/>
            <w:noWrap/>
            <w:vAlign w:val="bottom"/>
            <w:hideMark/>
          </w:tcPr>
          <w:p w14:paraId="5B4426F8"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291 526 121</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097DB86"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x</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CCD7EF1"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x</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28BC688"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292 262 833</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374C2739"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x</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14:paraId="7F898B0C" w14:textId="77777777" w:rsidR="001D773D" w:rsidRPr="001D773D" w:rsidRDefault="001D773D" w:rsidP="001D773D">
            <w:pPr>
              <w:spacing w:after="0"/>
              <w:ind w:firstLine="0"/>
              <w:jc w:val="center"/>
              <w:rPr>
                <w:rFonts w:eastAsia="Times New Roman" w:cs="Times New Roman"/>
                <w:sz w:val="18"/>
                <w:szCs w:val="18"/>
              </w:rPr>
            </w:pPr>
            <w:r w:rsidRPr="001D773D">
              <w:rPr>
                <w:rFonts w:eastAsia="Times New Roman" w:cs="Times New Roman"/>
                <w:sz w:val="18"/>
                <w:szCs w:val="18"/>
              </w:rPr>
              <w:t>x</w:t>
            </w:r>
          </w:p>
        </w:tc>
        <w:tc>
          <w:tcPr>
            <w:tcW w:w="1233" w:type="dxa"/>
            <w:tcBorders>
              <w:top w:val="single" w:sz="4" w:space="0" w:color="auto"/>
              <w:left w:val="nil"/>
              <w:bottom w:val="single" w:sz="4" w:space="0" w:color="auto"/>
              <w:right w:val="single" w:sz="4" w:space="0" w:color="auto"/>
            </w:tcBorders>
            <w:shd w:val="clear" w:color="000000" w:fill="FFFFFF"/>
            <w:noWrap/>
            <w:vAlign w:val="bottom"/>
            <w:hideMark/>
          </w:tcPr>
          <w:p w14:paraId="5AA8474A"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292 790 467</w:t>
            </w:r>
          </w:p>
        </w:tc>
      </w:tr>
      <w:tr w:rsidR="001D773D" w:rsidRPr="001D773D" w14:paraId="001A1E88" w14:textId="77777777" w:rsidTr="003A0BFD">
        <w:trPr>
          <w:trHeight w:val="276"/>
        </w:trPr>
        <w:tc>
          <w:tcPr>
            <w:tcW w:w="4500" w:type="dxa"/>
            <w:tcBorders>
              <w:top w:val="nil"/>
              <w:left w:val="single" w:sz="4" w:space="0" w:color="auto"/>
              <w:bottom w:val="single" w:sz="4" w:space="0" w:color="auto"/>
              <w:right w:val="single" w:sz="4" w:space="0" w:color="auto"/>
            </w:tcBorders>
            <w:shd w:val="clear" w:color="000000" w:fill="FFFFFF"/>
            <w:noWrap/>
            <w:vAlign w:val="bottom"/>
            <w:hideMark/>
          </w:tcPr>
          <w:p w14:paraId="66895CE8" w14:textId="77777777" w:rsidR="001D773D" w:rsidRPr="001D773D" w:rsidRDefault="001D773D" w:rsidP="001D773D">
            <w:pPr>
              <w:spacing w:after="0"/>
              <w:ind w:firstLine="0"/>
              <w:jc w:val="center"/>
              <w:rPr>
                <w:rFonts w:eastAsia="Times New Roman" w:cs="Times New Roman"/>
                <w:i/>
                <w:iCs/>
                <w:sz w:val="18"/>
                <w:szCs w:val="18"/>
              </w:rPr>
            </w:pPr>
            <w:r w:rsidRPr="001D773D">
              <w:rPr>
                <w:rFonts w:eastAsia="Times New Roman" w:cs="Times New Roman"/>
                <w:i/>
                <w:iCs/>
                <w:sz w:val="18"/>
                <w:szCs w:val="18"/>
              </w:rPr>
              <w:t>tajā skaitā:</w:t>
            </w:r>
          </w:p>
        </w:tc>
        <w:tc>
          <w:tcPr>
            <w:tcW w:w="880" w:type="dxa"/>
            <w:tcBorders>
              <w:top w:val="nil"/>
              <w:left w:val="nil"/>
              <w:bottom w:val="nil"/>
              <w:right w:val="single" w:sz="4" w:space="0" w:color="auto"/>
            </w:tcBorders>
            <w:shd w:val="clear" w:color="000000" w:fill="FFFFFF"/>
            <w:noWrap/>
            <w:vAlign w:val="bottom"/>
            <w:hideMark/>
          </w:tcPr>
          <w:p w14:paraId="3EBE2DA3"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 </w:t>
            </w:r>
          </w:p>
        </w:tc>
        <w:tc>
          <w:tcPr>
            <w:tcW w:w="980" w:type="dxa"/>
            <w:tcBorders>
              <w:top w:val="nil"/>
              <w:left w:val="nil"/>
              <w:bottom w:val="nil"/>
              <w:right w:val="single" w:sz="4" w:space="0" w:color="auto"/>
            </w:tcBorders>
            <w:shd w:val="clear" w:color="000000" w:fill="FFFFFF"/>
            <w:vAlign w:val="bottom"/>
            <w:hideMark/>
          </w:tcPr>
          <w:p w14:paraId="20E99BA3"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 </w:t>
            </w:r>
          </w:p>
        </w:tc>
        <w:tc>
          <w:tcPr>
            <w:tcW w:w="1148" w:type="dxa"/>
            <w:tcBorders>
              <w:top w:val="nil"/>
              <w:left w:val="nil"/>
              <w:bottom w:val="nil"/>
              <w:right w:val="single" w:sz="4" w:space="0" w:color="auto"/>
            </w:tcBorders>
            <w:shd w:val="clear" w:color="000000" w:fill="FFFFFF"/>
            <w:noWrap/>
            <w:vAlign w:val="bottom"/>
            <w:hideMark/>
          </w:tcPr>
          <w:p w14:paraId="3D047263"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 </w:t>
            </w:r>
          </w:p>
        </w:tc>
        <w:tc>
          <w:tcPr>
            <w:tcW w:w="1134" w:type="dxa"/>
            <w:tcBorders>
              <w:top w:val="nil"/>
              <w:left w:val="nil"/>
              <w:bottom w:val="nil"/>
              <w:right w:val="single" w:sz="4" w:space="0" w:color="auto"/>
            </w:tcBorders>
            <w:shd w:val="clear" w:color="000000" w:fill="FFFFFF"/>
            <w:noWrap/>
            <w:vAlign w:val="bottom"/>
            <w:hideMark/>
          </w:tcPr>
          <w:p w14:paraId="6EA52650"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 </w:t>
            </w:r>
          </w:p>
        </w:tc>
        <w:tc>
          <w:tcPr>
            <w:tcW w:w="1276" w:type="dxa"/>
            <w:tcBorders>
              <w:top w:val="nil"/>
              <w:left w:val="nil"/>
              <w:bottom w:val="nil"/>
              <w:right w:val="single" w:sz="4" w:space="0" w:color="auto"/>
            </w:tcBorders>
            <w:shd w:val="clear" w:color="000000" w:fill="FFFFFF"/>
            <w:vAlign w:val="bottom"/>
            <w:hideMark/>
          </w:tcPr>
          <w:p w14:paraId="50BBCFE9"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 </w:t>
            </w:r>
          </w:p>
        </w:tc>
        <w:tc>
          <w:tcPr>
            <w:tcW w:w="1134" w:type="dxa"/>
            <w:tcBorders>
              <w:top w:val="nil"/>
              <w:left w:val="nil"/>
              <w:bottom w:val="nil"/>
              <w:right w:val="single" w:sz="4" w:space="0" w:color="auto"/>
            </w:tcBorders>
            <w:shd w:val="clear" w:color="000000" w:fill="FFFFFF"/>
            <w:noWrap/>
            <w:vAlign w:val="bottom"/>
            <w:hideMark/>
          </w:tcPr>
          <w:p w14:paraId="5023F96E"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 </w:t>
            </w:r>
          </w:p>
        </w:tc>
        <w:tc>
          <w:tcPr>
            <w:tcW w:w="992" w:type="dxa"/>
            <w:tcBorders>
              <w:top w:val="nil"/>
              <w:left w:val="nil"/>
              <w:bottom w:val="nil"/>
              <w:right w:val="single" w:sz="4" w:space="0" w:color="auto"/>
            </w:tcBorders>
            <w:shd w:val="clear" w:color="000000" w:fill="FFFFFF"/>
            <w:noWrap/>
            <w:vAlign w:val="bottom"/>
            <w:hideMark/>
          </w:tcPr>
          <w:p w14:paraId="0F24DE5C"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 </w:t>
            </w:r>
          </w:p>
        </w:tc>
        <w:tc>
          <w:tcPr>
            <w:tcW w:w="966" w:type="dxa"/>
            <w:tcBorders>
              <w:top w:val="nil"/>
              <w:left w:val="nil"/>
              <w:bottom w:val="nil"/>
              <w:right w:val="single" w:sz="4" w:space="0" w:color="auto"/>
            </w:tcBorders>
            <w:shd w:val="clear" w:color="000000" w:fill="FFFFFF"/>
            <w:vAlign w:val="bottom"/>
            <w:hideMark/>
          </w:tcPr>
          <w:p w14:paraId="14732A65"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 </w:t>
            </w:r>
          </w:p>
        </w:tc>
        <w:tc>
          <w:tcPr>
            <w:tcW w:w="1233" w:type="dxa"/>
            <w:tcBorders>
              <w:top w:val="nil"/>
              <w:left w:val="nil"/>
              <w:bottom w:val="nil"/>
              <w:right w:val="single" w:sz="4" w:space="0" w:color="auto"/>
            </w:tcBorders>
            <w:shd w:val="clear" w:color="000000" w:fill="FFFFFF"/>
            <w:noWrap/>
            <w:vAlign w:val="bottom"/>
            <w:hideMark/>
          </w:tcPr>
          <w:p w14:paraId="212E164C"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 </w:t>
            </w:r>
          </w:p>
        </w:tc>
      </w:tr>
      <w:tr w:rsidR="001D773D" w:rsidRPr="001D773D" w14:paraId="4AB83ACB" w14:textId="77777777" w:rsidTr="003A0BFD">
        <w:trPr>
          <w:trHeight w:val="276"/>
        </w:trPr>
        <w:tc>
          <w:tcPr>
            <w:tcW w:w="4500" w:type="dxa"/>
            <w:tcBorders>
              <w:top w:val="nil"/>
              <w:left w:val="single" w:sz="4" w:space="0" w:color="auto"/>
              <w:bottom w:val="single" w:sz="4" w:space="0" w:color="auto"/>
              <w:right w:val="single" w:sz="4" w:space="0" w:color="auto"/>
            </w:tcBorders>
            <w:shd w:val="clear" w:color="000000" w:fill="FFFFFF"/>
            <w:noWrap/>
            <w:vAlign w:val="bottom"/>
            <w:hideMark/>
          </w:tcPr>
          <w:p w14:paraId="0511EE5F"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 xml:space="preserve">   bērna piedzimšanas pabalsts</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1BF27760"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421,20</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3FDA5CF3"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1 460</w:t>
            </w:r>
          </w:p>
        </w:tc>
        <w:tc>
          <w:tcPr>
            <w:tcW w:w="1148" w:type="dxa"/>
            <w:tcBorders>
              <w:top w:val="single" w:sz="4" w:space="0" w:color="auto"/>
              <w:left w:val="nil"/>
              <w:bottom w:val="single" w:sz="4" w:space="0" w:color="auto"/>
              <w:right w:val="single" w:sz="4" w:space="0" w:color="auto"/>
            </w:tcBorders>
            <w:shd w:val="clear" w:color="auto" w:fill="auto"/>
            <w:noWrap/>
            <w:vAlign w:val="bottom"/>
            <w:hideMark/>
          </w:tcPr>
          <w:p w14:paraId="372CBD58"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7 379 424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A6899B5"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421,20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9DD8C32"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1 460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3583308"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7 379 424</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9AA7DB7"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421,20</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7CA5BE14"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1 460</w:t>
            </w:r>
          </w:p>
        </w:tc>
        <w:tc>
          <w:tcPr>
            <w:tcW w:w="1233" w:type="dxa"/>
            <w:tcBorders>
              <w:top w:val="single" w:sz="4" w:space="0" w:color="auto"/>
              <w:left w:val="nil"/>
              <w:bottom w:val="single" w:sz="4" w:space="0" w:color="auto"/>
              <w:right w:val="single" w:sz="4" w:space="0" w:color="auto"/>
            </w:tcBorders>
            <w:shd w:val="clear" w:color="auto" w:fill="auto"/>
            <w:noWrap/>
            <w:vAlign w:val="bottom"/>
            <w:hideMark/>
          </w:tcPr>
          <w:p w14:paraId="7D79F4FB"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7 379 424</w:t>
            </w:r>
          </w:p>
        </w:tc>
      </w:tr>
      <w:tr w:rsidR="001D773D" w:rsidRPr="001D773D" w14:paraId="5730D12E" w14:textId="77777777" w:rsidTr="003A0BFD">
        <w:trPr>
          <w:trHeight w:val="792"/>
        </w:trPr>
        <w:tc>
          <w:tcPr>
            <w:tcW w:w="4500" w:type="dxa"/>
            <w:tcBorders>
              <w:top w:val="nil"/>
              <w:left w:val="single" w:sz="4" w:space="0" w:color="auto"/>
              <w:bottom w:val="single" w:sz="4" w:space="0" w:color="auto"/>
              <w:right w:val="single" w:sz="4" w:space="0" w:color="auto"/>
            </w:tcBorders>
            <w:shd w:val="clear" w:color="000000" w:fill="FFFFFF"/>
            <w:vAlign w:val="bottom"/>
            <w:hideMark/>
          </w:tcPr>
          <w:p w14:paraId="18B45018"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 xml:space="preserve">  bērna kopšanas pabalsts un piemaksa pie bērna kopšanas pabalsta un vecāku pabalsta par dvīņiem vai vairākiem vienās dzemdībās dzimušiem bērniem</w:t>
            </w:r>
          </w:p>
        </w:tc>
        <w:tc>
          <w:tcPr>
            <w:tcW w:w="880" w:type="dxa"/>
            <w:tcBorders>
              <w:top w:val="nil"/>
              <w:left w:val="nil"/>
              <w:bottom w:val="nil"/>
              <w:right w:val="single" w:sz="4" w:space="0" w:color="auto"/>
            </w:tcBorders>
            <w:shd w:val="clear" w:color="auto" w:fill="auto"/>
            <w:noWrap/>
            <w:vAlign w:val="bottom"/>
            <w:hideMark/>
          </w:tcPr>
          <w:p w14:paraId="58717418"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132,00</w:t>
            </w:r>
          </w:p>
        </w:tc>
        <w:tc>
          <w:tcPr>
            <w:tcW w:w="980" w:type="dxa"/>
            <w:tcBorders>
              <w:top w:val="nil"/>
              <w:left w:val="nil"/>
              <w:bottom w:val="nil"/>
              <w:right w:val="single" w:sz="4" w:space="0" w:color="auto"/>
            </w:tcBorders>
            <w:shd w:val="clear" w:color="auto" w:fill="auto"/>
            <w:noWrap/>
            <w:vAlign w:val="bottom"/>
            <w:hideMark/>
          </w:tcPr>
          <w:p w14:paraId="137FB296"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33 922</w:t>
            </w:r>
          </w:p>
        </w:tc>
        <w:tc>
          <w:tcPr>
            <w:tcW w:w="1148" w:type="dxa"/>
            <w:tcBorders>
              <w:top w:val="nil"/>
              <w:left w:val="nil"/>
              <w:bottom w:val="nil"/>
              <w:right w:val="single" w:sz="4" w:space="0" w:color="auto"/>
            </w:tcBorders>
            <w:shd w:val="clear" w:color="auto" w:fill="auto"/>
            <w:noWrap/>
            <w:vAlign w:val="bottom"/>
            <w:hideMark/>
          </w:tcPr>
          <w:p w14:paraId="24F2CD41"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53 732 448</w:t>
            </w:r>
          </w:p>
        </w:tc>
        <w:tc>
          <w:tcPr>
            <w:tcW w:w="1134" w:type="dxa"/>
            <w:tcBorders>
              <w:top w:val="nil"/>
              <w:left w:val="nil"/>
              <w:bottom w:val="nil"/>
              <w:right w:val="single" w:sz="4" w:space="0" w:color="auto"/>
            </w:tcBorders>
            <w:shd w:val="clear" w:color="auto" w:fill="auto"/>
            <w:noWrap/>
            <w:vAlign w:val="bottom"/>
            <w:hideMark/>
          </w:tcPr>
          <w:p w14:paraId="11B90943"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132,00</w:t>
            </w:r>
          </w:p>
        </w:tc>
        <w:tc>
          <w:tcPr>
            <w:tcW w:w="1276" w:type="dxa"/>
            <w:tcBorders>
              <w:top w:val="nil"/>
              <w:left w:val="nil"/>
              <w:bottom w:val="nil"/>
              <w:right w:val="single" w:sz="4" w:space="0" w:color="auto"/>
            </w:tcBorders>
            <w:shd w:val="clear" w:color="auto" w:fill="auto"/>
            <w:noWrap/>
            <w:vAlign w:val="bottom"/>
            <w:hideMark/>
          </w:tcPr>
          <w:p w14:paraId="02A5103B"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33 922</w:t>
            </w:r>
          </w:p>
        </w:tc>
        <w:tc>
          <w:tcPr>
            <w:tcW w:w="1134" w:type="dxa"/>
            <w:tcBorders>
              <w:top w:val="nil"/>
              <w:left w:val="nil"/>
              <w:bottom w:val="nil"/>
              <w:right w:val="single" w:sz="4" w:space="0" w:color="auto"/>
            </w:tcBorders>
            <w:shd w:val="clear" w:color="auto" w:fill="auto"/>
            <w:noWrap/>
            <w:vAlign w:val="bottom"/>
            <w:hideMark/>
          </w:tcPr>
          <w:p w14:paraId="116C6674"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53 732 448</w:t>
            </w:r>
          </w:p>
        </w:tc>
        <w:tc>
          <w:tcPr>
            <w:tcW w:w="992" w:type="dxa"/>
            <w:tcBorders>
              <w:top w:val="nil"/>
              <w:left w:val="nil"/>
              <w:bottom w:val="nil"/>
              <w:right w:val="single" w:sz="4" w:space="0" w:color="auto"/>
            </w:tcBorders>
            <w:shd w:val="clear" w:color="auto" w:fill="auto"/>
            <w:noWrap/>
            <w:vAlign w:val="bottom"/>
            <w:hideMark/>
          </w:tcPr>
          <w:p w14:paraId="06A31A68"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132,00</w:t>
            </w:r>
          </w:p>
        </w:tc>
        <w:tc>
          <w:tcPr>
            <w:tcW w:w="966" w:type="dxa"/>
            <w:tcBorders>
              <w:top w:val="nil"/>
              <w:left w:val="nil"/>
              <w:bottom w:val="nil"/>
              <w:right w:val="single" w:sz="4" w:space="0" w:color="auto"/>
            </w:tcBorders>
            <w:shd w:val="clear" w:color="auto" w:fill="auto"/>
            <w:noWrap/>
            <w:vAlign w:val="bottom"/>
            <w:hideMark/>
          </w:tcPr>
          <w:p w14:paraId="3A38BCFB"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33 922</w:t>
            </w:r>
          </w:p>
        </w:tc>
        <w:tc>
          <w:tcPr>
            <w:tcW w:w="1233" w:type="dxa"/>
            <w:tcBorders>
              <w:top w:val="nil"/>
              <w:left w:val="nil"/>
              <w:bottom w:val="nil"/>
              <w:right w:val="single" w:sz="4" w:space="0" w:color="auto"/>
            </w:tcBorders>
            <w:shd w:val="clear" w:color="auto" w:fill="auto"/>
            <w:noWrap/>
            <w:vAlign w:val="bottom"/>
            <w:hideMark/>
          </w:tcPr>
          <w:p w14:paraId="2DB6C1AD"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53 732 448</w:t>
            </w:r>
          </w:p>
        </w:tc>
      </w:tr>
      <w:tr w:rsidR="001D773D" w:rsidRPr="001D773D" w14:paraId="02D2765F" w14:textId="77777777" w:rsidTr="003A0BFD">
        <w:trPr>
          <w:trHeight w:val="276"/>
        </w:trPr>
        <w:tc>
          <w:tcPr>
            <w:tcW w:w="4500" w:type="dxa"/>
            <w:tcBorders>
              <w:top w:val="nil"/>
              <w:left w:val="single" w:sz="4" w:space="0" w:color="auto"/>
              <w:bottom w:val="single" w:sz="4" w:space="0" w:color="auto"/>
              <w:right w:val="single" w:sz="4" w:space="0" w:color="auto"/>
            </w:tcBorders>
            <w:shd w:val="clear" w:color="000000" w:fill="FFFFFF"/>
            <w:noWrap/>
            <w:vAlign w:val="bottom"/>
            <w:hideMark/>
          </w:tcPr>
          <w:p w14:paraId="06D5A88F"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 xml:space="preserve">   bērna ar invaliditāti kopšanas pabalsts</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4DB01711"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318,62</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7771CBF4"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2 976</w:t>
            </w:r>
          </w:p>
        </w:tc>
        <w:tc>
          <w:tcPr>
            <w:tcW w:w="1148" w:type="dxa"/>
            <w:tcBorders>
              <w:top w:val="single" w:sz="4" w:space="0" w:color="auto"/>
              <w:left w:val="nil"/>
              <w:bottom w:val="single" w:sz="4" w:space="0" w:color="auto"/>
              <w:right w:val="single" w:sz="4" w:space="0" w:color="auto"/>
            </w:tcBorders>
            <w:shd w:val="clear" w:color="auto" w:fill="auto"/>
            <w:noWrap/>
            <w:vAlign w:val="bottom"/>
            <w:hideMark/>
          </w:tcPr>
          <w:p w14:paraId="63AA353E"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11 378 557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3C9710E"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318,62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202DE49"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3 138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31652D7"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11 997 955</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A74BE0B"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318,62</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6BABB82F"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3 276</w:t>
            </w:r>
          </w:p>
        </w:tc>
        <w:tc>
          <w:tcPr>
            <w:tcW w:w="1233" w:type="dxa"/>
            <w:tcBorders>
              <w:top w:val="single" w:sz="4" w:space="0" w:color="auto"/>
              <w:left w:val="nil"/>
              <w:bottom w:val="single" w:sz="4" w:space="0" w:color="auto"/>
              <w:right w:val="single" w:sz="4" w:space="0" w:color="auto"/>
            </w:tcBorders>
            <w:shd w:val="clear" w:color="auto" w:fill="auto"/>
            <w:noWrap/>
            <w:vAlign w:val="bottom"/>
            <w:hideMark/>
          </w:tcPr>
          <w:p w14:paraId="35C5DD95"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12 525 589</w:t>
            </w:r>
          </w:p>
        </w:tc>
      </w:tr>
      <w:tr w:rsidR="001D773D" w:rsidRPr="001D773D" w14:paraId="3B8246CB" w14:textId="77777777" w:rsidTr="003A0BFD">
        <w:trPr>
          <w:trHeight w:val="276"/>
        </w:trPr>
        <w:tc>
          <w:tcPr>
            <w:tcW w:w="4500" w:type="dxa"/>
            <w:tcBorders>
              <w:top w:val="nil"/>
              <w:left w:val="single" w:sz="4" w:space="0" w:color="auto"/>
              <w:bottom w:val="single" w:sz="4" w:space="0" w:color="auto"/>
              <w:right w:val="single" w:sz="4" w:space="0" w:color="auto"/>
            </w:tcBorders>
            <w:shd w:val="clear" w:color="000000" w:fill="FFFFFF"/>
            <w:noWrap/>
            <w:vAlign w:val="bottom"/>
            <w:hideMark/>
          </w:tcPr>
          <w:p w14:paraId="5F13DACC"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 xml:space="preserve">   ģimenes valsts pabalsts</w:t>
            </w:r>
          </w:p>
        </w:tc>
        <w:tc>
          <w:tcPr>
            <w:tcW w:w="880" w:type="dxa"/>
            <w:tcBorders>
              <w:top w:val="nil"/>
              <w:left w:val="nil"/>
              <w:bottom w:val="single" w:sz="4" w:space="0" w:color="auto"/>
              <w:right w:val="single" w:sz="4" w:space="0" w:color="auto"/>
            </w:tcBorders>
            <w:shd w:val="clear" w:color="auto" w:fill="auto"/>
            <w:noWrap/>
            <w:vAlign w:val="bottom"/>
            <w:hideMark/>
          </w:tcPr>
          <w:p w14:paraId="17BDBE79"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76,97</w:t>
            </w:r>
          </w:p>
        </w:tc>
        <w:tc>
          <w:tcPr>
            <w:tcW w:w="980" w:type="dxa"/>
            <w:tcBorders>
              <w:top w:val="nil"/>
              <w:left w:val="nil"/>
              <w:bottom w:val="single" w:sz="4" w:space="0" w:color="auto"/>
              <w:right w:val="single" w:sz="4" w:space="0" w:color="auto"/>
            </w:tcBorders>
            <w:shd w:val="clear" w:color="auto" w:fill="auto"/>
            <w:noWrap/>
            <w:vAlign w:val="bottom"/>
            <w:hideMark/>
          </w:tcPr>
          <w:p w14:paraId="6540E3D3"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225 525</w:t>
            </w:r>
          </w:p>
        </w:tc>
        <w:tc>
          <w:tcPr>
            <w:tcW w:w="1148" w:type="dxa"/>
            <w:tcBorders>
              <w:top w:val="nil"/>
              <w:left w:val="nil"/>
              <w:bottom w:val="single" w:sz="4" w:space="0" w:color="auto"/>
              <w:right w:val="single" w:sz="4" w:space="0" w:color="auto"/>
            </w:tcBorders>
            <w:shd w:val="clear" w:color="auto" w:fill="auto"/>
            <w:noWrap/>
            <w:vAlign w:val="bottom"/>
            <w:hideMark/>
          </w:tcPr>
          <w:p w14:paraId="0570F484"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208 295 700</w:t>
            </w:r>
          </w:p>
        </w:tc>
        <w:tc>
          <w:tcPr>
            <w:tcW w:w="1134" w:type="dxa"/>
            <w:tcBorders>
              <w:top w:val="nil"/>
              <w:left w:val="nil"/>
              <w:bottom w:val="single" w:sz="4" w:space="0" w:color="auto"/>
              <w:right w:val="single" w:sz="4" w:space="0" w:color="auto"/>
            </w:tcBorders>
            <w:shd w:val="clear" w:color="auto" w:fill="auto"/>
            <w:noWrap/>
            <w:vAlign w:val="bottom"/>
            <w:hideMark/>
          </w:tcPr>
          <w:p w14:paraId="59611DC7"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76,97</w:t>
            </w:r>
          </w:p>
        </w:tc>
        <w:tc>
          <w:tcPr>
            <w:tcW w:w="1276" w:type="dxa"/>
            <w:tcBorders>
              <w:top w:val="nil"/>
              <w:left w:val="nil"/>
              <w:bottom w:val="single" w:sz="4" w:space="0" w:color="auto"/>
              <w:right w:val="single" w:sz="4" w:space="0" w:color="auto"/>
            </w:tcBorders>
            <w:shd w:val="clear" w:color="auto" w:fill="auto"/>
            <w:noWrap/>
            <w:vAlign w:val="bottom"/>
            <w:hideMark/>
          </w:tcPr>
          <w:p w14:paraId="7DC05379"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225 525</w:t>
            </w:r>
          </w:p>
        </w:tc>
        <w:tc>
          <w:tcPr>
            <w:tcW w:w="1134" w:type="dxa"/>
            <w:tcBorders>
              <w:top w:val="nil"/>
              <w:left w:val="nil"/>
              <w:bottom w:val="single" w:sz="4" w:space="0" w:color="auto"/>
              <w:right w:val="single" w:sz="4" w:space="0" w:color="auto"/>
            </w:tcBorders>
            <w:shd w:val="clear" w:color="auto" w:fill="auto"/>
            <w:noWrap/>
            <w:vAlign w:val="bottom"/>
            <w:hideMark/>
          </w:tcPr>
          <w:p w14:paraId="564F56A5"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208 295 700</w:t>
            </w:r>
          </w:p>
        </w:tc>
        <w:tc>
          <w:tcPr>
            <w:tcW w:w="992" w:type="dxa"/>
            <w:tcBorders>
              <w:top w:val="nil"/>
              <w:left w:val="nil"/>
              <w:bottom w:val="single" w:sz="4" w:space="0" w:color="auto"/>
              <w:right w:val="single" w:sz="4" w:space="0" w:color="auto"/>
            </w:tcBorders>
            <w:shd w:val="clear" w:color="auto" w:fill="auto"/>
            <w:noWrap/>
            <w:vAlign w:val="bottom"/>
            <w:hideMark/>
          </w:tcPr>
          <w:p w14:paraId="3CBBE45D"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76,97</w:t>
            </w:r>
          </w:p>
        </w:tc>
        <w:tc>
          <w:tcPr>
            <w:tcW w:w="966" w:type="dxa"/>
            <w:tcBorders>
              <w:top w:val="nil"/>
              <w:left w:val="nil"/>
              <w:bottom w:val="single" w:sz="4" w:space="0" w:color="auto"/>
              <w:right w:val="single" w:sz="4" w:space="0" w:color="auto"/>
            </w:tcBorders>
            <w:shd w:val="clear" w:color="auto" w:fill="auto"/>
            <w:noWrap/>
            <w:vAlign w:val="bottom"/>
            <w:hideMark/>
          </w:tcPr>
          <w:p w14:paraId="0F349742"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225 525</w:t>
            </w:r>
          </w:p>
        </w:tc>
        <w:tc>
          <w:tcPr>
            <w:tcW w:w="1233" w:type="dxa"/>
            <w:tcBorders>
              <w:top w:val="nil"/>
              <w:left w:val="nil"/>
              <w:bottom w:val="single" w:sz="4" w:space="0" w:color="auto"/>
              <w:right w:val="single" w:sz="4" w:space="0" w:color="auto"/>
            </w:tcBorders>
            <w:shd w:val="clear" w:color="auto" w:fill="auto"/>
            <w:noWrap/>
            <w:vAlign w:val="bottom"/>
            <w:hideMark/>
          </w:tcPr>
          <w:p w14:paraId="6F9B7FC9"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208 295 700</w:t>
            </w:r>
          </w:p>
        </w:tc>
      </w:tr>
      <w:tr w:rsidR="001D773D" w:rsidRPr="001D773D" w14:paraId="518753FF" w14:textId="77777777" w:rsidTr="003A0BFD">
        <w:trPr>
          <w:trHeight w:val="528"/>
        </w:trPr>
        <w:tc>
          <w:tcPr>
            <w:tcW w:w="4500" w:type="dxa"/>
            <w:tcBorders>
              <w:top w:val="nil"/>
              <w:left w:val="single" w:sz="4" w:space="0" w:color="auto"/>
              <w:bottom w:val="single" w:sz="4" w:space="0" w:color="auto"/>
              <w:right w:val="single" w:sz="4" w:space="0" w:color="auto"/>
            </w:tcBorders>
            <w:shd w:val="clear" w:color="000000" w:fill="FFFFFF"/>
            <w:vAlign w:val="bottom"/>
            <w:hideMark/>
          </w:tcPr>
          <w:p w14:paraId="0FE2AE7E"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 xml:space="preserve">   piemaksa pie ģimenes valsts pabalsta par bērnu ar invaliditāti </w:t>
            </w:r>
          </w:p>
        </w:tc>
        <w:tc>
          <w:tcPr>
            <w:tcW w:w="880" w:type="dxa"/>
            <w:tcBorders>
              <w:top w:val="nil"/>
              <w:left w:val="nil"/>
              <w:bottom w:val="single" w:sz="4" w:space="0" w:color="auto"/>
              <w:right w:val="single" w:sz="4" w:space="0" w:color="auto"/>
            </w:tcBorders>
            <w:shd w:val="clear" w:color="auto" w:fill="auto"/>
            <w:noWrap/>
            <w:vAlign w:val="bottom"/>
            <w:hideMark/>
          </w:tcPr>
          <w:p w14:paraId="064CDBF6"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107,43</w:t>
            </w:r>
          </w:p>
        </w:tc>
        <w:tc>
          <w:tcPr>
            <w:tcW w:w="980" w:type="dxa"/>
            <w:tcBorders>
              <w:top w:val="nil"/>
              <w:left w:val="nil"/>
              <w:bottom w:val="single" w:sz="4" w:space="0" w:color="auto"/>
              <w:right w:val="single" w:sz="4" w:space="0" w:color="auto"/>
            </w:tcBorders>
            <w:shd w:val="clear" w:color="auto" w:fill="auto"/>
            <w:noWrap/>
            <w:vAlign w:val="bottom"/>
            <w:hideMark/>
          </w:tcPr>
          <w:p w14:paraId="4D9F2B15"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8 331</w:t>
            </w:r>
          </w:p>
        </w:tc>
        <w:tc>
          <w:tcPr>
            <w:tcW w:w="1148" w:type="dxa"/>
            <w:tcBorders>
              <w:top w:val="nil"/>
              <w:left w:val="nil"/>
              <w:bottom w:val="single" w:sz="4" w:space="0" w:color="auto"/>
              <w:right w:val="single" w:sz="4" w:space="0" w:color="auto"/>
            </w:tcBorders>
            <w:shd w:val="clear" w:color="auto" w:fill="auto"/>
            <w:noWrap/>
            <w:vAlign w:val="bottom"/>
            <w:hideMark/>
          </w:tcPr>
          <w:p w14:paraId="6E449FBD"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10 739 992</w:t>
            </w:r>
          </w:p>
        </w:tc>
        <w:tc>
          <w:tcPr>
            <w:tcW w:w="1134" w:type="dxa"/>
            <w:tcBorders>
              <w:top w:val="nil"/>
              <w:left w:val="nil"/>
              <w:bottom w:val="single" w:sz="4" w:space="0" w:color="auto"/>
              <w:right w:val="single" w:sz="4" w:space="0" w:color="auto"/>
            </w:tcBorders>
            <w:shd w:val="clear" w:color="auto" w:fill="auto"/>
            <w:noWrap/>
            <w:vAlign w:val="bottom"/>
            <w:hideMark/>
          </w:tcPr>
          <w:p w14:paraId="59B11111"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107,43</w:t>
            </w:r>
          </w:p>
        </w:tc>
        <w:tc>
          <w:tcPr>
            <w:tcW w:w="1276" w:type="dxa"/>
            <w:tcBorders>
              <w:top w:val="nil"/>
              <w:left w:val="nil"/>
              <w:bottom w:val="single" w:sz="4" w:space="0" w:color="auto"/>
              <w:right w:val="single" w:sz="4" w:space="0" w:color="auto"/>
            </w:tcBorders>
            <w:shd w:val="clear" w:color="auto" w:fill="auto"/>
            <w:noWrap/>
            <w:vAlign w:val="bottom"/>
            <w:hideMark/>
          </w:tcPr>
          <w:p w14:paraId="78E8994E"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8 422</w:t>
            </w:r>
          </w:p>
        </w:tc>
        <w:tc>
          <w:tcPr>
            <w:tcW w:w="1134" w:type="dxa"/>
            <w:tcBorders>
              <w:top w:val="nil"/>
              <w:left w:val="nil"/>
              <w:bottom w:val="single" w:sz="4" w:space="0" w:color="auto"/>
              <w:right w:val="single" w:sz="4" w:space="0" w:color="auto"/>
            </w:tcBorders>
            <w:shd w:val="clear" w:color="auto" w:fill="auto"/>
            <w:noWrap/>
            <w:vAlign w:val="bottom"/>
            <w:hideMark/>
          </w:tcPr>
          <w:p w14:paraId="0E4E4744"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10 857 306</w:t>
            </w:r>
          </w:p>
        </w:tc>
        <w:tc>
          <w:tcPr>
            <w:tcW w:w="992" w:type="dxa"/>
            <w:tcBorders>
              <w:top w:val="nil"/>
              <w:left w:val="nil"/>
              <w:bottom w:val="single" w:sz="4" w:space="0" w:color="auto"/>
              <w:right w:val="single" w:sz="4" w:space="0" w:color="auto"/>
            </w:tcBorders>
            <w:shd w:val="clear" w:color="auto" w:fill="auto"/>
            <w:noWrap/>
            <w:vAlign w:val="bottom"/>
            <w:hideMark/>
          </w:tcPr>
          <w:p w14:paraId="6C10ADFA"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107,43</w:t>
            </w:r>
          </w:p>
        </w:tc>
        <w:tc>
          <w:tcPr>
            <w:tcW w:w="966" w:type="dxa"/>
            <w:tcBorders>
              <w:top w:val="nil"/>
              <w:left w:val="nil"/>
              <w:bottom w:val="single" w:sz="4" w:space="0" w:color="auto"/>
              <w:right w:val="single" w:sz="4" w:space="0" w:color="auto"/>
            </w:tcBorders>
            <w:shd w:val="clear" w:color="auto" w:fill="auto"/>
            <w:noWrap/>
            <w:vAlign w:val="bottom"/>
            <w:hideMark/>
          </w:tcPr>
          <w:p w14:paraId="56EF4B73"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8 422</w:t>
            </w:r>
          </w:p>
        </w:tc>
        <w:tc>
          <w:tcPr>
            <w:tcW w:w="1233" w:type="dxa"/>
            <w:tcBorders>
              <w:top w:val="nil"/>
              <w:left w:val="nil"/>
              <w:bottom w:val="single" w:sz="4" w:space="0" w:color="auto"/>
              <w:right w:val="single" w:sz="4" w:space="0" w:color="auto"/>
            </w:tcBorders>
            <w:shd w:val="clear" w:color="auto" w:fill="auto"/>
            <w:noWrap/>
            <w:vAlign w:val="bottom"/>
            <w:hideMark/>
          </w:tcPr>
          <w:p w14:paraId="352E6FE4"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10 857 306</w:t>
            </w:r>
          </w:p>
        </w:tc>
      </w:tr>
      <w:tr w:rsidR="001D773D" w:rsidRPr="001D773D" w14:paraId="2E918F64" w14:textId="77777777" w:rsidTr="003A0BFD">
        <w:trPr>
          <w:trHeight w:val="276"/>
        </w:trPr>
        <w:tc>
          <w:tcPr>
            <w:tcW w:w="4500" w:type="dxa"/>
            <w:tcBorders>
              <w:top w:val="nil"/>
              <w:left w:val="single" w:sz="4" w:space="0" w:color="auto"/>
              <w:bottom w:val="single" w:sz="4" w:space="0" w:color="auto"/>
              <w:right w:val="single" w:sz="4" w:space="0" w:color="auto"/>
            </w:tcBorders>
            <w:shd w:val="clear" w:color="000000" w:fill="FFFFFF"/>
            <w:vAlign w:val="bottom"/>
            <w:hideMark/>
          </w:tcPr>
          <w:p w14:paraId="4FAE3321"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pabalsts aizbildnim par bērna uzturēšanu</w:t>
            </w:r>
          </w:p>
        </w:tc>
        <w:tc>
          <w:tcPr>
            <w:tcW w:w="880" w:type="dxa"/>
            <w:tcBorders>
              <w:top w:val="nil"/>
              <w:left w:val="nil"/>
              <w:bottom w:val="single" w:sz="4" w:space="0" w:color="auto"/>
              <w:right w:val="single" w:sz="4" w:space="0" w:color="auto"/>
            </w:tcBorders>
            <w:shd w:val="clear" w:color="auto" w:fill="auto"/>
            <w:noWrap/>
            <w:vAlign w:val="bottom"/>
            <w:hideMark/>
          </w:tcPr>
          <w:p w14:paraId="68EC5C7E"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199,17</w:t>
            </w:r>
          </w:p>
        </w:tc>
        <w:tc>
          <w:tcPr>
            <w:tcW w:w="980" w:type="dxa"/>
            <w:tcBorders>
              <w:top w:val="nil"/>
              <w:left w:val="nil"/>
              <w:bottom w:val="single" w:sz="4" w:space="0" w:color="auto"/>
              <w:right w:val="single" w:sz="4" w:space="0" w:color="auto"/>
            </w:tcBorders>
            <w:shd w:val="clear" w:color="auto" w:fill="auto"/>
            <w:noWrap/>
            <w:vAlign w:val="bottom"/>
            <w:hideMark/>
          </w:tcPr>
          <w:p w14:paraId="4EA53001"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2 463</w:t>
            </w:r>
          </w:p>
        </w:tc>
        <w:tc>
          <w:tcPr>
            <w:tcW w:w="1148" w:type="dxa"/>
            <w:tcBorders>
              <w:top w:val="nil"/>
              <w:left w:val="nil"/>
              <w:bottom w:val="single" w:sz="4" w:space="0" w:color="auto"/>
              <w:right w:val="single" w:sz="4" w:space="0" w:color="auto"/>
            </w:tcBorders>
            <w:shd w:val="clear" w:color="auto" w:fill="auto"/>
            <w:noWrap/>
            <w:vAlign w:val="bottom"/>
            <w:hideMark/>
          </w:tcPr>
          <w:p w14:paraId="322F7539"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5 886 669</w:t>
            </w:r>
          </w:p>
        </w:tc>
        <w:tc>
          <w:tcPr>
            <w:tcW w:w="1134" w:type="dxa"/>
            <w:tcBorders>
              <w:top w:val="nil"/>
              <w:left w:val="nil"/>
              <w:bottom w:val="single" w:sz="4" w:space="0" w:color="auto"/>
              <w:right w:val="single" w:sz="4" w:space="0" w:color="auto"/>
            </w:tcBorders>
            <w:shd w:val="clear" w:color="auto" w:fill="auto"/>
            <w:noWrap/>
            <w:vAlign w:val="bottom"/>
            <w:hideMark/>
          </w:tcPr>
          <w:p w14:paraId="61B0E3E5"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199,17</w:t>
            </w:r>
          </w:p>
        </w:tc>
        <w:tc>
          <w:tcPr>
            <w:tcW w:w="1276" w:type="dxa"/>
            <w:tcBorders>
              <w:top w:val="nil"/>
              <w:left w:val="nil"/>
              <w:bottom w:val="single" w:sz="4" w:space="0" w:color="auto"/>
              <w:right w:val="single" w:sz="4" w:space="0" w:color="auto"/>
            </w:tcBorders>
            <w:shd w:val="clear" w:color="auto" w:fill="auto"/>
            <w:noWrap/>
            <w:vAlign w:val="bottom"/>
            <w:hideMark/>
          </w:tcPr>
          <w:p w14:paraId="5A23C060"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2 463</w:t>
            </w:r>
          </w:p>
        </w:tc>
        <w:tc>
          <w:tcPr>
            <w:tcW w:w="1134" w:type="dxa"/>
            <w:tcBorders>
              <w:top w:val="nil"/>
              <w:left w:val="nil"/>
              <w:bottom w:val="single" w:sz="4" w:space="0" w:color="auto"/>
              <w:right w:val="single" w:sz="4" w:space="0" w:color="auto"/>
            </w:tcBorders>
            <w:shd w:val="clear" w:color="auto" w:fill="auto"/>
            <w:noWrap/>
            <w:vAlign w:val="bottom"/>
            <w:hideMark/>
          </w:tcPr>
          <w:p w14:paraId="28980A34"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5 886 669</w:t>
            </w:r>
          </w:p>
        </w:tc>
        <w:tc>
          <w:tcPr>
            <w:tcW w:w="992" w:type="dxa"/>
            <w:tcBorders>
              <w:top w:val="nil"/>
              <w:left w:val="nil"/>
              <w:bottom w:val="single" w:sz="4" w:space="0" w:color="auto"/>
              <w:right w:val="single" w:sz="4" w:space="0" w:color="auto"/>
            </w:tcBorders>
            <w:shd w:val="clear" w:color="auto" w:fill="auto"/>
            <w:noWrap/>
            <w:vAlign w:val="bottom"/>
            <w:hideMark/>
          </w:tcPr>
          <w:p w14:paraId="6BCC32DF"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199,17</w:t>
            </w:r>
          </w:p>
        </w:tc>
        <w:tc>
          <w:tcPr>
            <w:tcW w:w="966" w:type="dxa"/>
            <w:tcBorders>
              <w:top w:val="nil"/>
              <w:left w:val="nil"/>
              <w:bottom w:val="single" w:sz="4" w:space="0" w:color="auto"/>
              <w:right w:val="single" w:sz="4" w:space="0" w:color="auto"/>
            </w:tcBorders>
            <w:shd w:val="clear" w:color="auto" w:fill="auto"/>
            <w:noWrap/>
            <w:vAlign w:val="bottom"/>
            <w:hideMark/>
          </w:tcPr>
          <w:p w14:paraId="13C887E1"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2 463</w:t>
            </w:r>
          </w:p>
        </w:tc>
        <w:tc>
          <w:tcPr>
            <w:tcW w:w="1233" w:type="dxa"/>
            <w:tcBorders>
              <w:top w:val="nil"/>
              <w:left w:val="nil"/>
              <w:bottom w:val="single" w:sz="4" w:space="0" w:color="auto"/>
              <w:right w:val="single" w:sz="4" w:space="0" w:color="auto"/>
            </w:tcBorders>
            <w:shd w:val="clear" w:color="auto" w:fill="auto"/>
            <w:noWrap/>
            <w:vAlign w:val="bottom"/>
            <w:hideMark/>
          </w:tcPr>
          <w:p w14:paraId="0F1187C0"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5 886 669</w:t>
            </w:r>
          </w:p>
        </w:tc>
      </w:tr>
      <w:tr w:rsidR="001D773D" w:rsidRPr="001D773D" w14:paraId="2791B043" w14:textId="77777777" w:rsidTr="003A0BFD">
        <w:trPr>
          <w:trHeight w:val="276"/>
        </w:trPr>
        <w:tc>
          <w:tcPr>
            <w:tcW w:w="4500" w:type="dxa"/>
            <w:tcBorders>
              <w:top w:val="nil"/>
              <w:left w:val="single" w:sz="4" w:space="0" w:color="auto"/>
              <w:bottom w:val="single" w:sz="4" w:space="0" w:color="auto"/>
              <w:right w:val="single" w:sz="4" w:space="0" w:color="auto"/>
            </w:tcBorders>
            <w:shd w:val="clear" w:color="000000" w:fill="FFFFFF"/>
            <w:vAlign w:val="bottom"/>
            <w:hideMark/>
          </w:tcPr>
          <w:p w14:paraId="2136C37A"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atlīdzība par aizbildņa pienākumu pildīšanu</w:t>
            </w:r>
          </w:p>
        </w:tc>
        <w:tc>
          <w:tcPr>
            <w:tcW w:w="880" w:type="dxa"/>
            <w:tcBorders>
              <w:top w:val="nil"/>
              <w:left w:val="nil"/>
              <w:bottom w:val="single" w:sz="4" w:space="0" w:color="auto"/>
              <w:right w:val="single" w:sz="4" w:space="0" w:color="auto"/>
            </w:tcBorders>
            <w:shd w:val="clear" w:color="auto" w:fill="auto"/>
            <w:noWrap/>
            <w:vAlign w:val="bottom"/>
            <w:hideMark/>
          </w:tcPr>
          <w:p w14:paraId="4CF5D21F"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54,35</w:t>
            </w:r>
          </w:p>
        </w:tc>
        <w:tc>
          <w:tcPr>
            <w:tcW w:w="980" w:type="dxa"/>
            <w:tcBorders>
              <w:top w:val="nil"/>
              <w:left w:val="nil"/>
              <w:bottom w:val="single" w:sz="4" w:space="0" w:color="auto"/>
              <w:right w:val="single" w:sz="4" w:space="0" w:color="auto"/>
            </w:tcBorders>
            <w:shd w:val="clear" w:color="auto" w:fill="auto"/>
            <w:noWrap/>
            <w:vAlign w:val="bottom"/>
            <w:hideMark/>
          </w:tcPr>
          <w:p w14:paraId="0D8ACEF3"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2 787</w:t>
            </w:r>
          </w:p>
        </w:tc>
        <w:tc>
          <w:tcPr>
            <w:tcW w:w="1148" w:type="dxa"/>
            <w:tcBorders>
              <w:top w:val="nil"/>
              <w:left w:val="nil"/>
              <w:bottom w:val="single" w:sz="4" w:space="0" w:color="auto"/>
              <w:right w:val="single" w:sz="4" w:space="0" w:color="auto"/>
            </w:tcBorders>
            <w:shd w:val="clear" w:color="auto" w:fill="auto"/>
            <w:noWrap/>
            <w:vAlign w:val="bottom"/>
            <w:hideMark/>
          </w:tcPr>
          <w:p w14:paraId="2131F208"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1 817 681</w:t>
            </w:r>
          </w:p>
        </w:tc>
        <w:tc>
          <w:tcPr>
            <w:tcW w:w="1134" w:type="dxa"/>
            <w:tcBorders>
              <w:top w:val="nil"/>
              <w:left w:val="nil"/>
              <w:bottom w:val="single" w:sz="4" w:space="0" w:color="auto"/>
              <w:right w:val="single" w:sz="4" w:space="0" w:color="auto"/>
            </w:tcBorders>
            <w:shd w:val="clear" w:color="auto" w:fill="auto"/>
            <w:noWrap/>
            <w:vAlign w:val="bottom"/>
            <w:hideMark/>
          </w:tcPr>
          <w:p w14:paraId="141EE7C3"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54,35</w:t>
            </w:r>
          </w:p>
        </w:tc>
        <w:tc>
          <w:tcPr>
            <w:tcW w:w="1276" w:type="dxa"/>
            <w:tcBorders>
              <w:top w:val="nil"/>
              <w:left w:val="nil"/>
              <w:bottom w:val="single" w:sz="4" w:space="0" w:color="auto"/>
              <w:right w:val="single" w:sz="4" w:space="0" w:color="auto"/>
            </w:tcBorders>
            <w:shd w:val="clear" w:color="auto" w:fill="auto"/>
            <w:noWrap/>
            <w:vAlign w:val="bottom"/>
            <w:hideMark/>
          </w:tcPr>
          <w:p w14:paraId="00ADE8EE"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2 743</w:t>
            </w:r>
          </w:p>
        </w:tc>
        <w:tc>
          <w:tcPr>
            <w:tcW w:w="1134" w:type="dxa"/>
            <w:tcBorders>
              <w:top w:val="nil"/>
              <w:left w:val="nil"/>
              <w:bottom w:val="single" w:sz="4" w:space="0" w:color="auto"/>
              <w:right w:val="single" w:sz="4" w:space="0" w:color="auto"/>
            </w:tcBorders>
            <w:shd w:val="clear" w:color="auto" w:fill="auto"/>
            <w:noWrap/>
            <w:vAlign w:val="bottom"/>
            <w:hideMark/>
          </w:tcPr>
          <w:p w14:paraId="2ACD91B5"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1 788 985</w:t>
            </w:r>
          </w:p>
        </w:tc>
        <w:tc>
          <w:tcPr>
            <w:tcW w:w="992" w:type="dxa"/>
            <w:tcBorders>
              <w:top w:val="nil"/>
              <w:left w:val="nil"/>
              <w:bottom w:val="single" w:sz="4" w:space="0" w:color="auto"/>
              <w:right w:val="single" w:sz="4" w:space="0" w:color="auto"/>
            </w:tcBorders>
            <w:shd w:val="clear" w:color="auto" w:fill="auto"/>
            <w:noWrap/>
            <w:vAlign w:val="bottom"/>
            <w:hideMark/>
          </w:tcPr>
          <w:p w14:paraId="2B5B9CC8"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54,35</w:t>
            </w:r>
          </w:p>
        </w:tc>
        <w:tc>
          <w:tcPr>
            <w:tcW w:w="966" w:type="dxa"/>
            <w:tcBorders>
              <w:top w:val="nil"/>
              <w:left w:val="nil"/>
              <w:bottom w:val="single" w:sz="4" w:space="0" w:color="auto"/>
              <w:right w:val="single" w:sz="4" w:space="0" w:color="auto"/>
            </w:tcBorders>
            <w:shd w:val="clear" w:color="auto" w:fill="auto"/>
            <w:noWrap/>
            <w:vAlign w:val="bottom"/>
            <w:hideMark/>
          </w:tcPr>
          <w:p w14:paraId="749A6355"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2 728</w:t>
            </w:r>
          </w:p>
        </w:tc>
        <w:tc>
          <w:tcPr>
            <w:tcW w:w="1233" w:type="dxa"/>
            <w:tcBorders>
              <w:top w:val="nil"/>
              <w:left w:val="nil"/>
              <w:bottom w:val="single" w:sz="4" w:space="0" w:color="auto"/>
              <w:right w:val="single" w:sz="4" w:space="0" w:color="auto"/>
            </w:tcBorders>
            <w:shd w:val="clear" w:color="auto" w:fill="auto"/>
            <w:noWrap/>
            <w:vAlign w:val="bottom"/>
            <w:hideMark/>
          </w:tcPr>
          <w:p w14:paraId="61E19EB0"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1 779 202</w:t>
            </w:r>
          </w:p>
        </w:tc>
      </w:tr>
      <w:tr w:rsidR="001D773D" w:rsidRPr="001D773D" w14:paraId="1D2D21EA" w14:textId="77777777" w:rsidTr="003A0BFD">
        <w:trPr>
          <w:trHeight w:val="276"/>
        </w:trPr>
        <w:tc>
          <w:tcPr>
            <w:tcW w:w="4500" w:type="dxa"/>
            <w:tcBorders>
              <w:top w:val="nil"/>
              <w:left w:val="single" w:sz="4" w:space="0" w:color="auto"/>
              <w:bottom w:val="single" w:sz="4" w:space="0" w:color="auto"/>
              <w:right w:val="single" w:sz="4" w:space="0" w:color="auto"/>
            </w:tcBorders>
            <w:shd w:val="clear" w:color="000000" w:fill="FFFFFF"/>
            <w:vAlign w:val="center"/>
            <w:hideMark/>
          </w:tcPr>
          <w:p w14:paraId="1B23CA84"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valsts pabalsts ar celiakiju slimiem bērniem</w:t>
            </w:r>
          </w:p>
        </w:tc>
        <w:tc>
          <w:tcPr>
            <w:tcW w:w="880" w:type="dxa"/>
            <w:tcBorders>
              <w:top w:val="nil"/>
              <w:left w:val="nil"/>
              <w:bottom w:val="single" w:sz="4" w:space="0" w:color="auto"/>
              <w:right w:val="single" w:sz="4" w:space="0" w:color="auto"/>
            </w:tcBorders>
            <w:shd w:val="clear" w:color="auto" w:fill="auto"/>
            <w:noWrap/>
            <w:vAlign w:val="bottom"/>
            <w:hideMark/>
          </w:tcPr>
          <w:p w14:paraId="471CEB11"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108,01</w:t>
            </w:r>
          </w:p>
        </w:tc>
        <w:tc>
          <w:tcPr>
            <w:tcW w:w="980" w:type="dxa"/>
            <w:tcBorders>
              <w:top w:val="nil"/>
              <w:left w:val="nil"/>
              <w:bottom w:val="single" w:sz="4" w:space="0" w:color="auto"/>
              <w:right w:val="single" w:sz="4" w:space="0" w:color="auto"/>
            </w:tcBorders>
            <w:shd w:val="clear" w:color="auto" w:fill="auto"/>
            <w:noWrap/>
            <w:vAlign w:val="bottom"/>
            <w:hideMark/>
          </w:tcPr>
          <w:p w14:paraId="3B72BF19"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850</w:t>
            </w:r>
          </w:p>
        </w:tc>
        <w:tc>
          <w:tcPr>
            <w:tcW w:w="1148" w:type="dxa"/>
            <w:tcBorders>
              <w:top w:val="nil"/>
              <w:left w:val="nil"/>
              <w:bottom w:val="single" w:sz="4" w:space="0" w:color="auto"/>
              <w:right w:val="single" w:sz="4" w:space="0" w:color="auto"/>
            </w:tcBorders>
            <w:shd w:val="clear" w:color="auto" w:fill="auto"/>
            <w:noWrap/>
            <w:vAlign w:val="bottom"/>
            <w:hideMark/>
          </w:tcPr>
          <w:p w14:paraId="3C19E658"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1 101 702</w:t>
            </w:r>
          </w:p>
        </w:tc>
        <w:tc>
          <w:tcPr>
            <w:tcW w:w="1134" w:type="dxa"/>
            <w:tcBorders>
              <w:top w:val="nil"/>
              <w:left w:val="nil"/>
              <w:bottom w:val="single" w:sz="4" w:space="0" w:color="auto"/>
              <w:right w:val="single" w:sz="4" w:space="0" w:color="auto"/>
            </w:tcBorders>
            <w:shd w:val="clear" w:color="auto" w:fill="auto"/>
            <w:noWrap/>
            <w:vAlign w:val="bottom"/>
            <w:hideMark/>
          </w:tcPr>
          <w:p w14:paraId="48A683A7"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108,01</w:t>
            </w:r>
          </w:p>
        </w:tc>
        <w:tc>
          <w:tcPr>
            <w:tcW w:w="1276" w:type="dxa"/>
            <w:tcBorders>
              <w:top w:val="nil"/>
              <w:left w:val="nil"/>
              <w:bottom w:val="single" w:sz="4" w:space="0" w:color="auto"/>
              <w:right w:val="single" w:sz="4" w:space="0" w:color="auto"/>
            </w:tcBorders>
            <w:shd w:val="clear" w:color="auto" w:fill="auto"/>
            <w:noWrap/>
            <w:vAlign w:val="bottom"/>
            <w:hideMark/>
          </w:tcPr>
          <w:p w14:paraId="371574A9"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847</w:t>
            </w:r>
          </w:p>
        </w:tc>
        <w:tc>
          <w:tcPr>
            <w:tcW w:w="1134" w:type="dxa"/>
            <w:tcBorders>
              <w:top w:val="nil"/>
              <w:left w:val="nil"/>
              <w:bottom w:val="single" w:sz="4" w:space="0" w:color="auto"/>
              <w:right w:val="single" w:sz="4" w:space="0" w:color="auto"/>
            </w:tcBorders>
            <w:shd w:val="clear" w:color="auto" w:fill="auto"/>
            <w:noWrap/>
            <w:vAlign w:val="bottom"/>
            <w:hideMark/>
          </w:tcPr>
          <w:p w14:paraId="4D294CD0"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1 097 814</w:t>
            </w:r>
          </w:p>
        </w:tc>
        <w:tc>
          <w:tcPr>
            <w:tcW w:w="992" w:type="dxa"/>
            <w:tcBorders>
              <w:top w:val="nil"/>
              <w:left w:val="nil"/>
              <w:bottom w:val="single" w:sz="4" w:space="0" w:color="auto"/>
              <w:right w:val="single" w:sz="4" w:space="0" w:color="auto"/>
            </w:tcBorders>
            <w:shd w:val="clear" w:color="auto" w:fill="auto"/>
            <w:noWrap/>
            <w:vAlign w:val="bottom"/>
            <w:hideMark/>
          </w:tcPr>
          <w:p w14:paraId="4474A419"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108,01</w:t>
            </w:r>
          </w:p>
        </w:tc>
        <w:tc>
          <w:tcPr>
            <w:tcW w:w="966" w:type="dxa"/>
            <w:tcBorders>
              <w:top w:val="nil"/>
              <w:left w:val="nil"/>
              <w:bottom w:val="single" w:sz="4" w:space="0" w:color="auto"/>
              <w:right w:val="single" w:sz="4" w:space="0" w:color="auto"/>
            </w:tcBorders>
            <w:shd w:val="clear" w:color="auto" w:fill="auto"/>
            <w:noWrap/>
            <w:vAlign w:val="bottom"/>
            <w:hideMark/>
          </w:tcPr>
          <w:p w14:paraId="49C8396F"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844</w:t>
            </w:r>
          </w:p>
        </w:tc>
        <w:tc>
          <w:tcPr>
            <w:tcW w:w="1233" w:type="dxa"/>
            <w:tcBorders>
              <w:top w:val="nil"/>
              <w:left w:val="nil"/>
              <w:bottom w:val="single" w:sz="4" w:space="0" w:color="auto"/>
              <w:right w:val="single" w:sz="4" w:space="0" w:color="auto"/>
            </w:tcBorders>
            <w:shd w:val="clear" w:color="auto" w:fill="auto"/>
            <w:noWrap/>
            <w:vAlign w:val="bottom"/>
            <w:hideMark/>
          </w:tcPr>
          <w:p w14:paraId="215035D0"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1 093 925</w:t>
            </w:r>
          </w:p>
        </w:tc>
      </w:tr>
      <w:tr w:rsidR="001D773D" w:rsidRPr="001D773D" w14:paraId="5E0770A6" w14:textId="77777777" w:rsidTr="003A0BFD">
        <w:trPr>
          <w:trHeight w:val="276"/>
        </w:trPr>
        <w:tc>
          <w:tcPr>
            <w:tcW w:w="4500" w:type="dxa"/>
            <w:tcBorders>
              <w:top w:val="nil"/>
              <w:left w:val="single" w:sz="4" w:space="0" w:color="auto"/>
              <w:bottom w:val="nil"/>
              <w:right w:val="single" w:sz="4" w:space="0" w:color="auto"/>
            </w:tcBorders>
            <w:shd w:val="clear" w:color="000000" w:fill="FFFFFF"/>
            <w:vAlign w:val="center"/>
            <w:hideMark/>
          </w:tcPr>
          <w:p w14:paraId="677ACE12"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atlīdzība par audžuģimenes pienākumu pildīšanu</w:t>
            </w:r>
          </w:p>
        </w:tc>
        <w:tc>
          <w:tcPr>
            <w:tcW w:w="880" w:type="dxa"/>
            <w:tcBorders>
              <w:top w:val="nil"/>
              <w:left w:val="nil"/>
              <w:bottom w:val="single" w:sz="4" w:space="0" w:color="auto"/>
              <w:right w:val="single" w:sz="4" w:space="0" w:color="auto"/>
            </w:tcBorders>
            <w:shd w:val="clear" w:color="auto" w:fill="auto"/>
            <w:noWrap/>
            <w:vAlign w:val="bottom"/>
            <w:hideMark/>
          </w:tcPr>
          <w:p w14:paraId="6D406DFD"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222,80</w:t>
            </w:r>
          </w:p>
        </w:tc>
        <w:tc>
          <w:tcPr>
            <w:tcW w:w="980" w:type="dxa"/>
            <w:tcBorders>
              <w:top w:val="nil"/>
              <w:left w:val="nil"/>
              <w:bottom w:val="single" w:sz="4" w:space="0" w:color="auto"/>
              <w:right w:val="single" w:sz="4" w:space="0" w:color="auto"/>
            </w:tcBorders>
            <w:shd w:val="clear" w:color="auto" w:fill="auto"/>
            <w:noWrap/>
            <w:vAlign w:val="bottom"/>
            <w:hideMark/>
          </w:tcPr>
          <w:p w14:paraId="5BC880DD"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585</w:t>
            </w:r>
          </w:p>
        </w:tc>
        <w:tc>
          <w:tcPr>
            <w:tcW w:w="1148" w:type="dxa"/>
            <w:tcBorders>
              <w:top w:val="nil"/>
              <w:left w:val="nil"/>
              <w:bottom w:val="single" w:sz="4" w:space="0" w:color="auto"/>
              <w:right w:val="single" w:sz="4" w:space="0" w:color="auto"/>
            </w:tcBorders>
            <w:shd w:val="clear" w:color="auto" w:fill="auto"/>
            <w:noWrap/>
            <w:vAlign w:val="bottom"/>
            <w:hideMark/>
          </w:tcPr>
          <w:p w14:paraId="3604852A"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1 564 056</w:t>
            </w:r>
          </w:p>
        </w:tc>
        <w:tc>
          <w:tcPr>
            <w:tcW w:w="1134" w:type="dxa"/>
            <w:tcBorders>
              <w:top w:val="nil"/>
              <w:left w:val="nil"/>
              <w:bottom w:val="single" w:sz="4" w:space="0" w:color="auto"/>
              <w:right w:val="single" w:sz="4" w:space="0" w:color="auto"/>
            </w:tcBorders>
            <w:shd w:val="clear" w:color="auto" w:fill="auto"/>
            <w:noWrap/>
            <w:vAlign w:val="bottom"/>
            <w:hideMark/>
          </w:tcPr>
          <w:p w14:paraId="66755ECB"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222,80</w:t>
            </w:r>
          </w:p>
        </w:tc>
        <w:tc>
          <w:tcPr>
            <w:tcW w:w="1276" w:type="dxa"/>
            <w:tcBorders>
              <w:top w:val="nil"/>
              <w:left w:val="nil"/>
              <w:bottom w:val="single" w:sz="4" w:space="0" w:color="auto"/>
              <w:right w:val="single" w:sz="4" w:space="0" w:color="auto"/>
            </w:tcBorders>
            <w:shd w:val="clear" w:color="auto" w:fill="auto"/>
            <w:noWrap/>
            <w:vAlign w:val="bottom"/>
            <w:hideMark/>
          </w:tcPr>
          <w:p w14:paraId="3FC276F9"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597</w:t>
            </w:r>
          </w:p>
        </w:tc>
        <w:tc>
          <w:tcPr>
            <w:tcW w:w="1134" w:type="dxa"/>
            <w:tcBorders>
              <w:top w:val="nil"/>
              <w:left w:val="nil"/>
              <w:bottom w:val="single" w:sz="4" w:space="0" w:color="auto"/>
              <w:right w:val="single" w:sz="4" w:space="0" w:color="auto"/>
            </w:tcBorders>
            <w:shd w:val="clear" w:color="auto" w:fill="auto"/>
            <w:noWrap/>
            <w:vAlign w:val="bottom"/>
            <w:hideMark/>
          </w:tcPr>
          <w:p w14:paraId="225B1782"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1 596 139</w:t>
            </w:r>
          </w:p>
        </w:tc>
        <w:tc>
          <w:tcPr>
            <w:tcW w:w="992" w:type="dxa"/>
            <w:tcBorders>
              <w:top w:val="nil"/>
              <w:left w:val="nil"/>
              <w:bottom w:val="single" w:sz="4" w:space="0" w:color="auto"/>
              <w:right w:val="single" w:sz="4" w:space="0" w:color="auto"/>
            </w:tcBorders>
            <w:shd w:val="clear" w:color="auto" w:fill="auto"/>
            <w:noWrap/>
            <w:vAlign w:val="bottom"/>
            <w:hideMark/>
          </w:tcPr>
          <w:p w14:paraId="1BA1A308"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222,80</w:t>
            </w:r>
          </w:p>
        </w:tc>
        <w:tc>
          <w:tcPr>
            <w:tcW w:w="966" w:type="dxa"/>
            <w:tcBorders>
              <w:top w:val="nil"/>
              <w:left w:val="nil"/>
              <w:bottom w:val="single" w:sz="4" w:space="0" w:color="auto"/>
              <w:right w:val="single" w:sz="4" w:space="0" w:color="auto"/>
            </w:tcBorders>
            <w:shd w:val="clear" w:color="auto" w:fill="auto"/>
            <w:noWrap/>
            <w:vAlign w:val="bottom"/>
            <w:hideMark/>
          </w:tcPr>
          <w:p w14:paraId="22F8245A"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603</w:t>
            </w:r>
          </w:p>
        </w:tc>
        <w:tc>
          <w:tcPr>
            <w:tcW w:w="1233" w:type="dxa"/>
            <w:tcBorders>
              <w:top w:val="nil"/>
              <w:left w:val="nil"/>
              <w:bottom w:val="single" w:sz="4" w:space="0" w:color="auto"/>
              <w:right w:val="single" w:sz="4" w:space="0" w:color="auto"/>
            </w:tcBorders>
            <w:shd w:val="clear" w:color="auto" w:fill="auto"/>
            <w:noWrap/>
            <w:vAlign w:val="bottom"/>
            <w:hideMark/>
          </w:tcPr>
          <w:p w14:paraId="24975E40"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1 612 181</w:t>
            </w:r>
          </w:p>
        </w:tc>
      </w:tr>
      <w:tr w:rsidR="001D773D" w:rsidRPr="001D773D" w14:paraId="1F0A1F15" w14:textId="77777777" w:rsidTr="003A0BFD">
        <w:trPr>
          <w:trHeight w:val="276"/>
        </w:trPr>
        <w:tc>
          <w:tcPr>
            <w:tcW w:w="4500" w:type="dxa"/>
            <w:tcBorders>
              <w:top w:val="single" w:sz="4" w:space="0" w:color="auto"/>
              <w:left w:val="single" w:sz="4" w:space="0" w:color="auto"/>
              <w:bottom w:val="nil"/>
              <w:right w:val="single" w:sz="4" w:space="0" w:color="auto"/>
            </w:tcBorders>
            <w:shd w:val="clear" w:color="000000" w:fill="FFFFFF"/>
            <w:vAlign w:val="bottom"/>
            <w:hideMark/>
          </w:tcPr>
          <w:p w14:paraId="5E79815F"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atlīdzība par adoptējamā bērna aprūpi</w:t>
            </w:r>
          </w:p>
        </w:tc>
        <w:tc>
          <w:tcPr>
            <w:tcW w:w="880" w:type="dxa"/>
            <w:tcBorders>
              <w:top w:val="nil"/>
              <w:left w:val="nil"/>
              <w:bottom w:val="single" w:sz="4" w:space="0" w:color="auto"/>
              <w:right w:val="single" w:sz="4" w:space="0" w:color="auto"/>
            </w:tcBorders>
            <w:shd w:val="clear" w:color="auto" w:fill="auto"/>
            <w:noWrap/>
            <w:vAlign w:val="bottom"/>
            <w:hideMark/>
          </w:tcPr>
          <w:p w14:paraId="7664F705"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478,14</w:t>
            </w:r>
          </w:p>
        </w:tc>
        <w:tc>
          <w:tcPr>
            <w:tcW w:w="980" w:type="dxa"/>
            <w:tcBorders>
              <w:top w:val="nil"/>
              <w:left w:val="nil"/>
              <w:bottom w:val="single" w:sz="4" w:space="0" w:color="auto"/>
              <w:right w:val="single" w:sz="4" w:space="0" w:color="auto"/>
            </w:tcBorders>
            <w:shd w:val="clear" w:color="auto" w:fill="auto"/>
            <w:noWrap/>
            <w:vAlign w:val="bottom"/>
            <w:hideMark/>
          </w:tcPr>
          <w:p w14:paraId="1A656F08"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38</w:t>
            </w:r>
          </w:p>
        </w:tc>
        <w:tc>
          <w:tcPr>
            <w:tcW w:w="1148" w:type="dxa"/>
            <w:tcBorders>
              <w:top w:val="nil"/>
              <w:left w:val="nil"/>
              <w:bottom w:val="single" w:sz="4" w:space="0" w:color="auto"/>
              <w:right w:val="single" w:sz="4" w:space="0" w:color="auto"/>
            </w:tcBorders>
            <w:shd w:val="clear" w:color="auto" w:fill="auto"/>
            <w:noWrap/>
            <w:vAlign w:val="bottom"/>
            <w:hideMark/>
          </w:tcPr>
          <w:p w14:paraId="40615541"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218 032</w:t>
            </w:r>
          </w:p>
        </w:tc>
        <w:tc>
          <w:tcPr>
            <w:tcW w:w="1134" w:type="dxa"/>
            <w:tcBorders>
              <w:top w:val="nil"/>
              <w:left w:val="nil"/>
              <w:bottom w:val="single" w:sz="4" w:space="0" w:color="auto"/>
              <w:right w:val="single" w:sz="4" w:space="0" w:color="auto"/>
            </w:tcBorders>
            <w:shd w:val="clear" w:color="auto" w:fill="auto"/>
            <w:noWrap/>
            <w:vAlign w:val="bottom"/>
            <w:hideMark/>
          </w:tcPr>
          <w:p w14:paraId="71108629"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489,14</w:t>
            </w:r>
          </w:p>
        </w:tc>
        <w:tc>
          <w:tcPr>
            <w:tcW w:w="1276" w:type="dxa"/>
            <w:tcBorders>
              <w:top w:val="nil"/>
              <w:left w:val="nil"/>
              <w:bottom w:val="single" w:sz="4" w:space="0" w:color="auto"/>
              <w:right w:val="single" w:sz="4" w:space="0" w:color="auto"/>
            </w:tcBorders>
            <w:shd w:val="clear" w:color="auto" w:fill="auto"/>
            <w:noWrap/>
            <w:vAlign w:val="bottom"/>
            <w:hideMark/>
          </w:tcPr>
          <w:p w14:paraId="21F7D426"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38</w:t>
            </w:r>
          </w:p>
        </w:tc>
        <w:tc>
          <w:tcPr>
            <w:tcW w:w="1134" w:type="dxa"/>
            <w:tcBorders>
              <w:top w:val="nil"/>
              <w:left w:val="nil"/>
              <w:bottom w:val="single" w:sz="4" w:space="0" w:color="auto"/>
              <w:right w:val="single" w:sz="4" w:space="0" w:color="auto"/>
            </w:tcBorders>
            <w:shd w:val="clear" w:color="auto" w:fill="auto"/>
            <w:noWrap/>
            <w:vAlign w:val="bottom"/>
            <w:hideMark/>
          </w:tcPr>
          <w:p w14:paraId="3B927605"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223 047</w:t>
            </w:r>
          </w:p>
        </w:tc>
        <w:tc>
          <w:tcPr>
            <w:tcW w:w="992" w:type="dxa"/>
            <w:tcBorders>
              <w:top w:val="nil"/>
              <w:left w:val="nil"/>
              <w:bottom w:val="single" w:sz="4" w:space="0" w:color="auto"/>
              <w:right w:val="single" w:sz="4" w:space="0" w:color="auto"/>
            </w:tcBorders>
            <w:shd w:val="clear" w:color="auto" w:fill="auto"/>
            <w:noWrap/>
            <w:vAlign w:val="bottom"/>
            <w:hideMark/>
          </w:tcPr>
          <w:p w14:paraId="7CC66AD7"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500,39</w:t>
            </w:r>
          </w:p>
        </w:tc>
        <w:tc>
          <w:tcPr>
            <w:tcW w:w="966" w:type="dxa"/>
            <w:tcBorders>
              <w:top w:val="nil"/>
              <w:left w:val="nil"/>
              <w:bottom w:val="single" w:sz="4" w:space="0" w:color="auto"/>
              <w:right w:val="single" w:sz="4" w:space="0" w:color="auto"/>
            </w:tcBorders>
            <w:shd w:val="clear" w:color="auto" w:fill="auto"/>
            <w:noWrap/>
            <w:vAlign w:val="bottom"/>
            <w:hideMark/>
          </w:tcPr>
          <w:p w14:paraId="62FDAFD1"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38</w:t>
            </w:r>
          </w:p>
        </w:tc>
        <w:tc>
          <w:tcPr>
            <w:tcW w:w="1233" w:type="dxa"/>
            <w:tcBorders>
              <w:top w:val="nil"/>
              <w:left w:val="nil"/>
              <w:bottom w:val="single" w:sz="4" w:space="0" w:color="auto"/>
              <w:right w:val="single" w:sz="4" w:space="0" w:color="auto"/>
            </w:tcBorders>
            <w:shd w:val="clear" w:color="auto" w:fill="auto"/>
            <w:noWrap/>
            <w:vAlign w:val="bottom"/>
            <w:hideMark/>
          </w:tcPr>
          <w:p w14:paraId="394ECC8D"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228 178</w:t>
            </w:r>
          </w:p>
        </w:tc>
      </w:tr>
      <w:tr w:rsidR="001D773D" w:rsidRPr="001D773D" w14:paraId="3E9EC42B" w14:textId="77777777" w:rsidTr="003A0BFD">
        <w:trPr>
          <w:trHeight w:val="285"/>
        </w:trPr>
        <w:tc>
          <w:tcPr>
            <w:tcW w:w="4500" w:type="dxa"/>
            <w:tcBorders>
              <w:top w:val="single" w:sz="4" w:space="0" w:color="auto"/>
              <w:left w:val="single" w:sz="4" w:space="0" w:color="auto"/>
              <w:bottom w:val="nil"/>
              <w:right w:val="nil"/>
            </w:tcBorders>
            <w:shd w:val="clear" w:color="000000" w:fill="FFFFFF"/>
            <w:vAlign w:val="bottom"/>
            <w:hideMark/>
          </w:tcPr>
          <w:p w14:paraId="625724A5"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bērna adopcijas pabalsts</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425BABD"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123,63</w:t>
            </w:r>
          </w:p>
        </w:tc>
        <w:tc>
          <w:tcPr>
            <w:tcW w:w="980" w:type="dxa"/>
            <w:tcBorders>
              <w:top w:val="nil"/>
              <w:left w:val="nil"/>
              <w:bottom w:val="single" w:sz="4" w:space="0" w:color="auto"/>
              <w:right w:val="single" w:sz="4" w:space="0" w:color="auto"/>
            </w:tcBorders>
            <w:shd w:val="clear" w:color="auto" w:fill="auto"/>
            <w:noWrap/>
            <w:vAlign w:val="bottom"/>
            <w:hideMark/>
          </w:tcPr>
          <w:p w14:paraId="7679B49B"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1 097</w:t>
            </w:r>
          </w:p>
        </w:tc>
        <w:tc>
          <w:tcPr>
            <w:tcW w:w="1148" w:type="dxa"/>
            <w:tcBorders>
              <w:top w:val="nil"/>
              <w:left w:val="nil"/>
              <w:bottom w:val="single" w:sz="4" w:space="0" w:color="auto"/>
              <w:right w:val="single" w:sz="4" w:space="0" w:color="auto"/>
            </w:tcBorders>
            <w:shd w:val="clear" w:color="auto" w:fill="auto"/>
            <w:noWrap/>
            <w:vAlign w:val="bottom"/>
            <w:hideMark/>
          </w:tcPr>
          <w:p w14:paraId="3612973E"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1 627 465</w:t>
            </w:r>
          </w:p>
        </w:tc>
        <w:tc>
          <w:tcPr>
            <w:tcW w:w="1134" w:type="dxa"/>
            <w:tcBorders>
              <w:top w:val="nil"/>
              <w:left w:val="nil"/>
              <w:bottom w:val="single" w:sz="4" w:space="0" w:color="auto"/>
              <w:right w:val="single" w:sz="4" w:space="0" w:color="auto"/>
            </w:tcBorders>
            <w:shd w:val="clear" w:color="auto" w:fill="auto"/>
            <w:noWrap/>
            <w:vAlign w:val="bottom"/>
            <w:hideMark/>
          </w:tcPr>
          <w:p w14:paraId="024105F6"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123,63</w:t>
            </w:r>
          </w:p>
        </w:tc>
        <w:tc>
          <w:tcPr>
            <w:tcW w:w="1276" w:type="dxa"/>
            <w:tcBorders>
              <w:top w:val="nil"/>
              <w:left w:val="nil"/>
              <w:bottom w:val="single" w:sz="4" w:space="0" w:color="auto"/>
              <w:right w:val="single" w:sz="4" w:space="0" w:color="auto"/>
            </w:tcBorders>
            <w:shd w:val="clear" w:color="auto" w:fill="auto"/>
            <w:noWrap/>
            <w:vAlign w:val="bottom"/>
            <w:hideMark/>
          </w:tcPr>
          <w:p w14:paraId="138E5914"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1 108</w:t>
            </w:r>
          </w:p>
        </w:tc>
        <w:tc>
          <w:tcPr>
            <w:tcW w:w="1134" w:type="dxa"/>
            <w:tcBorders>
              <w:top w:val="nil"/>
              <w:left w:val="nil"/>
              <w:bottom w:val="single" w:sz="4" w:space="0" w:color="auto"/>
              <w:right w:val="single" w:sz="4" w:space="0" w:color="auto"/>
            </w:tcBorders>
            <w:shd w:val="clear" w:color="auto" w:fill="auto"/>
            <w:noWrap/>
            <w:vAlign w:val="bottom"/>
            <w:hideMark/>
          </w:tcPr>
          <w:p w14:paraId="56FC1C46"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1 643 784</w:t>
            </w:r>
          </w:p>
        </w:tc>
        <w:tc>
          <w:tcPr>
            <w:tcW w:w="992" w:type="dxa"/>
            <w:tcBorders>
              <w:top w:val="nil"/>
              <w:left w:val="nil"/>
              <w:bottom w:val="single" w:sz="4" w:space="0" w:color="auto"/>
              <w:right w:val="single" w:sz="4" w:space="0" w:color="auto"/>
            </w:tcBorders>
            <w:shd w:val="clear" w:color="auto" w:fill="auto"/>
            <w:noWrap/>
            <w:vAlign w:val="bottom"/>
            <w:hideMark/>
          </w:tcPr>
          <w:p w14:paraId="20D58944"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123,63</w:t>
            </w:r>
          </w:p>
        </w:tc>
        <w:tc>
          <w:tcPr>
            <w:tcW w:w="966" w:type="dxa"/>
            <w:tcBorders>
              <w:top w:val="nil"/>
              <w:left w:val="nil"/>
              <w:bottom w:val="single" w:sz="4" w:space="0" w:color="auto"/>
              <w:right w:val="single" w:sz="4" w:space="0" w:color="auto"/>
            </w:tcBorders>
            <w:shd w:val="clear" w:color="auto" w:fill="auto"/>
            <w:noWrap/>
            <w:vAlign w:val="bottom"/>
            <w:hideMark/>
          </w:tcPr>
          <w:p w14:paraId="3AFFB565"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1 119</w:t>
            </w:r>
          </w:p>
        </w:tc>
        <w:tc>
          <w:tcPr>
            <w:tcW w:w="1233" w:type="dxa"/>
            <w:tcBorders>
              <w:top w:val="nil"/>
              <w:left w:val="nil"/>
              <w:bottom w:val="single" w:sz="4" w:space="0" w:color="auto"/>
              <w:right w:val="single" w:sz="4" w:space="0" w:color="auto"/>
            </w:tcBorders>
            <w:shd w:val="clear" w:color="auto" w:fill="auto"/>
            <w:noWrap/>
            <w:vAlign w:val="bottom"/>
            <w:hideMark/>
          </w:tcPr>
          <w:p w14:paraId="7EDEA64D"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1 660 104</w:t>
            </w:r>
          </w:p>
        </w:tc>
      </w:tr>
      <w:tr w:rsidR="001D773D" w:rsidRPr="001D773D" w14:paraId="30452FDE" w14:textId="77777777" w:rsidTr="003A0BFD">
        <w:trPr>
          <w:trHeight w:val="276"/>
        </w:trPr>
        <w:tc>
          <w:tcPr>
            <w:tcW w:w="4500" w:type="dxa"/>
            <w:tcBorders>
              <w:top w:val="single" w:sz="4" w:space="0" w:color="auto"/>
              <w:left w:val="single" w:sz="4" w:space="0" w:color="auto"/>
              <w:bottom w:val="nil"/>
              <w:right w:val="nil"/>
            </w:tcBorders>
            <w:shd w:val="clear" w:color="000000" w:fill="FFFFFF"/>
            <w:vAlign w:val="bottom"/>
            <w:hideMark/>
          </w:tcPr>
          <w:p w14:paraId="6BD88A8C" w14:textId="77777777" w:rsidR="001D773D" w:rsidRPr="001D773D" w:rsidRDefault="001D773D" w:rsidP="001D773D">
            <w:pPr>
              <w:spacing w:after="0"/>
              <w:ind w:firstLine="0"/>
              <w:jc w:val="left"/>
              <w:rPr>
                <w:rFonts w:eastAsia="Times New Roman" w:cs="Times New Roman"/>
                <w:sz w:val="18"/>
                <w:szCs w:val="18"/>
              </w:rPr>
            </w:pPr>
            <w:r w:rsidRPr="001D773D">
              <w:rPr>
                <w:rFonts w:eastAsia="Times New Roman" w:cs="Times New Roman"/>
                <w:sz w:val="18"/>
                <w:szCs w:val="18"/>
              </w:rPr>
              <w:t>atlīdzība par bērna adopciju</w:t>
            </w: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D481065"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1 422,87</w:t>
            </w:r>
          </w:p>
        </w:tc>
        <w:tc>
          <w:tcPr>
            <w:tcW w:w="980" w:type="dxa"/>
            <w:tcBorders>
              <w:top w:val="nil"/>
              <w:left w:val="nil"/>
              <w:bottom w:val="single" w:sz="4" w:space="0" w:color="auto"/>
              <w:right w:val="single" w:sz="4" w:space="0" w:color="auto"/>
            </w:tcBorders>
            <w:shd w:val="clear" w:color="auto" w:fill="auto"/>
            <w:noWrap/>
            <w:vAlign w:val="bottom"/>
            <w:hideMark/>
          </w:tcPr>
          <w:p w14:paraId="00A9F67F"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14</w:t>
            </w:r>
          </w:p>
        </w:tc>
        <w:tc>
          <w:tcPr>
            <w:tcW w:w="1148" w:type="dxa"/>
            <w:tcBorders>
              <w:top w:val="nil"/>
              <w:left w:val="nil"/>
              <w:bottom w:val="single" w:sz="4" w:space="0" w:color="auto"/>
              <w:right w:val="single" w:sz="4" w:space="0" w:color="auto"/>
            </w:tcBorders>
            <w:shd w:val="clear" w:color="auto" w:fill="auto"/>
            <w:noWrap/>
            <w:vAlign w:val="bottom"/>
            <w:hideMark/>
          </w:tcPr>
          <w:p w14:paraId="136206BC" w14:textId="77777777" w:rsidR="001D773D" w:rsidRPr="001D773D" w:rsidRDefault="001D773D" w:rsidP="001D773D">
            <w:pPr>
              <w:spacing w:after="0"/>
              <w:ind w:firstLine="0"/>
              <w:jc w:val="right"/>
              <w:rPr>
                <w:rFonts w:eastAsia="Times New Roman" w:cs="Times New Roman"/>
                <w:color w:val="000000"/>
                <w:sz w:val="18"/>
                <w:szCs w:val="18"/>
              </w:rPr>
            </w:pPr>
            <w:r w:rsidRPr="001D773D">
              <w:rPr>
                <w:rFonts w:eastAsia="Times New Roman" w:cs="Times New Roman"/>
                <w:color w:val="000000"/>
                <w:sz w:val="18"/>
                <w:szCs w:val="18"/>
              </w:rPr>
              <w:t>239 042</w:t>
            </w:r>
          </w:p>
        </w:tc>
        <w:tc>
          <w:tcPr>
            <w:tcW w:w="1134" w:type="dxa"/>
            <w:tcBorders>
              <w:top w:val="nil"/>
              <w:left w:val="nil"/>
              <w:bottom w:val="single" w:sz="4" w:space="0" w:color="auto"/>
              <w:right w:val="single" w:sz="4" w:space="0" w:color="auto"/>
            </w:tcBorders>
            <w:shd w:val="clear" w:color="auto" w:fill="auto"/>
            <w:noWrap/>
            <w:vAlign w:val="bottom"/>
            <w:hideMark/>
          </w:tcPr>
          <w:p w14:paraId="32A90E4D"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1 422,87</w:t>
            </w:r>
          </w:p>
        </w:tc>
        <w:tc>
          <w:tcPr>
            <w:tcW w:w="1276" w:type="dxa"/>
            <w:tcBorders>
              <w:top w:val="nil"/>
              <w:left w:val="nil"/>
              <w:bottom w:val="single" w:sz="4" w:space="0" w:color="auto"/>
              <w:right w:val="single" w:sz="4" w:space="0" w:color="auto"/>
            </w:tcBorders>
            <w:shd w:val="clear" w:color="auto" w:fill="auto"/>
            <w:noWrap/>
            <w:vAlign w:val="bottom"/>
            <w:hideMark/>
          </w:tcPr>
          <w:p w14:paraId="1A966133"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15</w:t>
            </w:r>
          </w:p>
        </w:tc>
        <w:tc>
          <w:tcPr>
            <w:tcW w:w="1134" w:type="dxa"/>
            <w:tcBorders>
              <w:top w:val="nil"/>
              <w:left w:val="nil"/>
              <w:bottom w:val="single" w:sz="4" w:space="0" w:color="auto"/>
              <w:right w:val="single" w:sz="4" w:space="0" w:color="auto"/>
            </w:tcBorders>
            <w:shd w:val="clear" w:color="auto" w:fill="auto"/>
            <w:noWrap/>
            <w:vAlign w:val="bottom"/>
            <w:hideMark/>
          </w:tcPr>
          <w:p w14:paraId="161BACB9"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256 117</w:t>
            </w:r>
          </w:p>
        </w:tc>
        <w:tc>
          <w:tcPr>
            <w:tcW w:w="992" w:type="dxa"/>
            <w:tcBorders>
              <w:top w:val="nil"/>
              <w:left w:val="nil"/>
              <w:bottom w:val="single" w:sz="4" w:space="0" w:color="auto"/>
              <w:right w:val="single" w:sz="4" w:space="0" w:color="auto"/>
            </w:tcBorders>
            <w:shd w:val="clear" w:color="auto" w:fill="auto"/>
            <w:noWrap/>
            <w:vAlign w:val="bottom"/>
            <w:hideMark/>
          </w:tcPr>
          <w:p w14:paraId="3EBDE01B"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1 422,87</w:t>
            </w:r>
          </w:p>
        </w:tc>
        <w:tc>
          <w:tcPr>
            <w:tcW w:w="966" w:type="dxa"/>
            <w:tcBorders>
              <w:top w:val="nil"/>
              <w:left w:val="nil"/>
              <w:bottom w:val="single" w:sz="4" w:space="0" w:color="auto"/>
              <w:right w:val="single" w:sz="4" w:space="0" w:color="auto"/>
            </w:tcBorders>
            <w:shd w:val="clear" w:color="auto" w:fill="auto"/>
            <w:noWrap/>
            <w:vAlign w:val="bottom"/>
            <w:hideMark/>
          </w:tcPr>
          <w:p w14:paraId="154B320F"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16</w:t>
            </w:r>
          </w:p>
        </w:tc>
        <w:tc>
          <w:tcPr>
            <w:tcW w:w="1233" w:type="dxa"/>
            <w:tcBorders>
              <w:top w:val="nil"/>
              <w:left w:val="nil"/>
              <w:bottom w:val="single" w:sz="4" w:space="0" w:color="auto"/>
              <w:right w:val="single" w:sz="4" w:space="0" w:color="auto"/>
            </w:tcBorders>
            <w:shd w:val="clear" w:color="auto" w:fill="auto"/>
            <w:noWrap/>
            <w:vAlign w:val="bottom"/>
            <w:hideMark/>
          </w:tcPr>
          <w:p w14:paraId="00CC14C3"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273 191</w:t>
            </w:r>
          </w:p>
        </w:tc>
      </w:tr>
      <w:tr w:rsidR="001D773D" w:rsidRPr="001D773D" w14:paraId="34EC51EC" w14:textId="77777777" w:rsidTr="003A0BFD">
        <w:trPr>
          <w:trHeight w:val="276"/>
        </w:trPr>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A25DF" w14:textId="77777777" w:rsidR="001D773D" w:rsidRPr="001D773D" w:rsidRDefault="001D773D" w:rsidP="001D773D">
            <w:pPr>
              <w:spacing w:after="0"/>
              <w:ind w:firstLine="0"/>
              <w:rPr>
                <w:rFonts w:eastAsia="Times New Roman" w:cs="Times New Roman"/>
                <w:b/>
                <w:bCs/>
                <w:sz w:val="18"/>
                <w:szCs w:val="18"/>
              </w:rPr>
            </w:pPr>
            <w:r w:rsidRPr="001D773D">
              <w:rPr>
                <w:rFonts w:eastAsia="Times New Roman" w:cs="Times New Roman"/>
                <w:b/>
                <w:bCs/>
                <w:sz w:val="18"/>
                <w:szCs w:val="18"/>
              </w:rPr>
              <w:t>Bēgļu pabalsta saņēmēji</w:t>
            </w:r>
          </w:p>
        </w:tc>
        <w:tc>
          <w:tcPr>
            <w:tcW w:w="880" w:type="dxa"/>
            <w:tcBorders>
              <w:top w:val="nil"/>
              <w:left w:val="nil"/>
              <w:bottom w:val="single" w:sz="4" w:space="0" w:color="auto"/>
              <w:right w:val="single" w:sz="4" w:space="0" w:color="auto"/>
            </w:tcBorders>
            <w:shd w:val="clear" w:color="auto" w:fill="auto"/>
            <w:noWrap/>
            <w:vAlign w:val="bottom"/>
            <w:hideMark/>
          </w:tcPr>
          <w:p w14:paraId="5C9BD9A1"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154,21</w:t>
            </w:r>
          </w:p>
        </w:tc>
        <w:tc>
          <w:tcPr>
            <w:tcW w:w="980" w:type="dxa"/>
            <w:tcBorders>
              <w:top w:val="nil"/>
              <w:left w:val="nil"/>
              <w:bottom w:val="single" w:sz="4" w:space="0" w:color="auto"/>
              <w:right w:val="single" w:sz="4" w:space="0" w:color="auto"/>
            </w:tcBorders>
            <w:shd w:val="clear" w:color="auto" w:fill="auto"/>
            <w:noWrap/>
            <w:vAlign w:val="bottom"/>
            <w:hideMark/>
          </w:tcPr>
          <w:p w14:paraId="61F8D026"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27</w:t>
            </w:r>
          </w:p>
        </w:tc>
        <w:tc>
          <w:tcPr>
            <w:tcW w:w="1148" w:type="dxa"/>
            <w:tcBorders>
              <w:top w:val="nil"/>
              <w:left w:val="nil"/>
              <w:bottom w:val="single" w:sz="4" w:space="0" w:color="auto"/>
              <w:right w:val="single" w:sz="4" w:space="0" w:color="auto"/>
            </w:tcBorders>
            <w:shd w:val="clear" w:color="auto" w:fill="auto"/>
            <w:noWrap/>
            <w:vAlign w:val="bottom"/>
            <w:hideMark/>
          </w:tcPr>
          <w:p w14:paraId="215639C4"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49 964</w:t>
            </w:r>
          </w:p>
        </w:tc>
        <w:tc>
          <w:tcPr>
            <w:tcW w:w="1134" w:type="dxa"/>
            <w:tcBorders>
              <w:top w:val="nil"/>
              <w:left w:val="nil"/>
              <w:bottom w:val="single" w:sz="4" w:space="0" w:color="auto"/>
              <w:right w:val="single" w:sz="4" w:space="0" w:color="auto"/>
            </w:tcBorders>
            <w:shd w:val="clear" w:color="auto" w:fill="auto"/>
            <w:noWrap/>
            <w:vAlign w:val="bottom"/>
            <w:hideMark/>
          </w:tcPr>
          <w:p w14:paraId="03F2E6A1"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154,21</w:t>
            </w:r>
          </w:p>
        </w:tc>
        <w:tc>
          <w:tcPr>
            <w:tcW w:w="1276" w:type="dxa"/>
            <w:tcBorders>
              <w:top w:val="nil"/>
              <w:left w:val="nil"/>
              <w:bottom w:val="single" w:sz="4" w:space="0" w:color="auto"/>
              <w:right w:val="single" w:sz="4" w:space="0" w:color="auto"/>
            </w:tcBorders>
            <w:shd w:val="clear" w:color="auto" w:fill="auto"/>
            <w:noWrap/>
            <w:vAlign w:val="bottom"/>
            <w:hideMark/>
          </w:tcPr>
          <w:p w14:paraId="18865A79"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30</w:t>
            </w:r>
          </w:p>
        </w:tc>
        <w:tc>
          <w:tcPr>
            <w:tcW w:w="1134" w:type="dxa"/>
            <w:tcBorders>
              <w:top w:val="nil"/>
              <w:left w:val="nil"/>
              <w:bottom w:val="single" w:sz="4" w:space="0" w:color="auto"/>
              <w:right w:val="single" w:sz="4" w:space="0" w:color="auto"/>
            </w:tcBorders>
            <w:shd w:val="clear" w:color="auto" w:fill="auto"/>
            <w:noWrap/>
            <w:vAlign w:val="bottom"/>
            <w:hideMark/>
          </w:tcPr>
          <w:p w14:paraId="75499F55"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55 516</w:t>
            </w:r>
          </w:p>
        </w:tc>
        <w:tc>
          <w:tcPr>
            <w:tcW w:w="992" w:type="dxa"/>
            <w:tcBorders>
              <w:top w:val="nil"/>
              <w:left w:val="nil"/>
              <w:bottom w:val="single" w:sz="4" w:space="0" w:color="auto"/>
              <w:right w:val="single" w:sz="4" w:space="0" w:color="auto"/>
            </w:tcBorders>
            <w:shd w:val="clear" w:color="auto" w:fill="auto"/>
            <w:noWrap/>
            <w:vAlign w:val="bottom"/>
            <w:hideMark/>
          </w:tcPr>
          <w:p w14:paraId="247275BE"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154,21</w:t>
            </w:r>
          </w:p>
        </w:tc>
        <w:tc>
          <w:tcPr>
            <w:tcW w:w="966" w:type="dxa"/>
            <w:tcBorders>
              <w:top w:val="nil"/>
              <w:left w:val="nil"/>
              <w:bottom w:val="single" w:sz="4" w:space="0" w:color="auto"/>
              <w:right w:val="single" w:sz="4" w:space="0" w:color="auto"/>
            </w:tcBorders>
            <w:shd w:val="clear" w:color="auto" w:fill="auto"/>
            <w:noWrap/>
            <w:vAlign w:val="bottom"/>
            <w:hideMark/>
          </w:tcPr>
          <w:p w14:paraId="561BC939"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30</w:t>
            </w:r>
          </w:p>
        </w:tc>
        <w:tc>
          <w:tcPr>
            <w:tcW w:w="1233" w:type="dxa"/>
            <w:tcBorders>
              <w:top w:val="nil"/>
              <w:left w:val="nil"/>
              <w:bottom w:val="single" w:sz="4" w:space="0" w:color="auto"/>
              <w:right w:val="single" w:sz="4" w:space="0" w:color="auto"/>
            </w:tcBorders>
            <w:shd w:val="clear" w:color="auto" w:fill="auto"/>
            <w:noWrap/>
            <w:vAlign w:val="bottom"/>
            <w:hideMark/>
          </w:tcPr>
          <w:p w14:paraId="03036953" w14:textId="77777777" w:rsidR="001D773D" w:rsidRPr="001D773D" w:rsidRDefault="001D773D" w:rsidP="001D773D">
            <w:pPr>
              <w:spacing w:after="0"/>
              <w:ind w:firstLine="0"/>
              <w:jc w:val="right"/>
              <w:rPr>
                <w:rFonts w:eastAsia="Times New Roman" w:cs="Times New Roman"/>
                <w:sz w:val="18"/>
                <w:szCs w:val="18"/>
              </w:rPr>
            </w:pPr>
            <w:r w:rsidRPr="001D773D">
              <w:rPr>
                <w:rFonts w:eastAsia="Times New Roman" w:cs="Times New Roman"/>
                <w:sz w:val="18"/>
                <w:szCs w:val="18"/>
              </w:rPr>
              <w:t>55 516</w:t>
            </w:r>
          </w:p>
        </w:tc>
      </w:tr>
      <w:tr w:rsidR="001D773D" w:rsidRPr="001D773D" w14:paraId="027F4F3A" w14:textId="77777777" w:rsidTr="003A0BFD">
        <w:trPr>
          <w:trHeight w:val="276"/>
        </w:trPr>
        <w:tc>
          <w:tcPr>
            <w:tcW w:w="4500" w:type="dxa"/>
            <w:tcBorders>
              <w:top w:val="nil"/>
              <w:left w:val="single" w:sz="4" w:space="0" w:color="auto"/>
              <w:bottom w:val="single" w:sz="4" w:space="0" w:color="auto"/>
              <w:right w:val="single" w:sz="4" w:space="0" w:color="auto"/>
            </w:tcBorders>
            <w:shd w:val="clear" w:color="000000" w:fill="FFFFFF"/>
            <w:noWrap/>
            <w:vAlign w:val="bottom"/>
            <w:hideMark/>
          </w:tcPr>
          <w:p w14:paraId="690F8A20" w14:textId="77777777" w:rsidR="001D773D" w:rsidRPr="001D773D" w:rsidRDefault="001D773D" w:rsidP="001D773D">
            <w:pPr>
              <w:spacing w:after="0"/>
              <w:ind w:firstLine="0"/>
              <w:jc w:val="center"/>
              <w:rPr>
                <w:rFonts w:eastAsia="Times New Roman" w:cs="Times New Roman"/>
                <w:b/>
                <w:bCs/>
                <w:sz w:val="18"/>
                <w:szCs w:val="18"/>
              </w:rPr>
            </w:pPr>
            <w:r w:rsidRPr="001D773D">
              <w:rPr>
                <w:rFonts w:eastAsia="Times New Roman" w:cs="Times New Roman"/>
                <w:b/>
                <w:bCs/>
                <w:sz w:val="18"/>
                <w:szCs w:val="18"/>
              </w:rPr>
              <w:t>KOPĀ</w:t>
            </w:r>
          </w:p>
        </w:tc>
        <w:tc>
          <w:tcPr>
            <w:tcW w:w="880" w:type="dxa"/>
            <w:tcBorders>
              <w:top w:val="nil"/>
              <w:left w:val="nil"/>
              <w:bottom w:val="single" w:sz="4" w:space="0" w:color="auto"/>
              <w:right w:val="single" w:sz="4" w:space="0" w:color="auto"/>
            </w:tcBorders>
            <w:shd w:val="clear" w:color="auto" w:fill="auto"/>
            <w:noWrap/>
            <w:vAlign w:val="center"/>
            <w:hideMark/>
          </w:tcPr>
          <w:p w14:paraId="1432D1BB" w14:textId="77777777" w:rsidR="001D773D" w:rsidRPr="001D773D" w:rsidRDefault="001D773D" w:rsidP="001D773D">
            <w:pPr>
              <w:spacing w:after="0"/>
              <w:ind w:firstLine="0"/>
              <w:jc w:val="center"/>
              <w:rPr>
                <w:rFonts w:eastAsia="Times New Roman" w:cs="Times New Roman"/>
                <w:b/>
                <w:bCs/>
                <w:sz w:val="18"/>
                <w:szCs w:val="18"/>
              </w:rPr>
            </w:pPr>
            <w:r w:rsidRPr="001D773D">
              <w:rPr>
                <w:rFonts w:eastAsia="Times New Roman" w:cs="Times New Roman"/>
                <w:b/>
                <w:bCs/>
                <w:sz w:val="18"/>
                <w:szCs w:val="18"/>
              </w:rPr>
              <w:t>x</w:t>
            </w:r>
          </w:p>
        </w:tc>
        <w:tc>
          <w:tcPr>
            <w:tcW w:w="980" w:type="dxa"/>
            <w:tcBorders>
              <w:top w:val="nil"/>
              <w:left w:val="nil"/>
              <w:bottom w:val="single" w:sz="4" w:space="0" w:color="auto"/>
              <w:right w:val="single" w:sz="4" w:space="0" w:color="auto"/>
            </w:tcBorders>
            <w:shd w:val="clear" w:color="auto" w:fill="auto"/>
            <w:noWrap/>
            <w:vAlign w:val="center"/>
            <w:hideMark/>
          </w:tcPr>
          <w:p w14:paraId="7CA4C02E" w14:textId="77777777" w:rsidR="001D773D" w:rsidRPr="001D773D" w:rsidRDefault="001D773D" w:rsidP="001D773D">
            <w:pPr>
              <w:spacing w:after="0"/>
              <w:ind w:firstLine="0"/>
              <w:jc w:val="center"/>
              <w:rPr>
                <w:rFonts w:eastAsia="Times New Roman" w:cs="Times New Roman"/>
                <w:b/>
                <w:bCs/>
                <w:sz w:val="18"/>
                <w:szCs w:val="18"/>
              </w:rPr>
            </w:pPr>
            <w:r w:rsidRPr="001D773D">
              <w:rPr>
                <w:rFonts w:eastAsia="Times New Roman" w:cs="Times New Roman"/>
                <w:b/>
                <w:bCs/>
                <w:sz w:val="18"/>
                <w:szCs w:val="18"/>
              </w:rPr>
              <w:t>x</w:t>
            </w:r>
          </w:p>
        </w:tc>
        <w:tc>
          <w:tcPr>
            <w:tcW w:w="1148" w:type="dxa"/>
            <w:tcBorders>
              <w:top w:val="nil"/>
              <w:left w:val="nil"/>
              <w:bottom w:val="single" w:sz="4" w:space="0" w:color="auto"/>
              <w:right w:val="single" w:sz="4" w:space="0" w:color="auto"/>
            </w:tcBorders>
            <w:shd w:val="clear" w:color="auto" w:fill="auto"/>
            <w:noWrap/>
            <w:vAlign w:val="center"/>
            <w:hideMark/>
          </w:tcPr>
          <w:p w14:paraId="576DAF54" w14:textId="77777777" w:rsidR="001D773D" w:rsidRPr="001D773D" w:rsidRDefault="001D773D" w:rsidP="001D773D">
            <w:pPr>
              <w:spacing w:after="0"/>
              <w:ind w:firstLine="0"/>
              <w:jc w:val="right"/>
              <w:rPr>
                <w:rFonts w:eastAsia="Times New Roman" w:cs="Times New Roman"/>
                <w:b/>
                <w:bCs/>
                <w:sz w:val="18"/>
                <w:szCs w:val="18"/>
              </w:rPr>
            </w:pPr>
            <w:r w:rsidRPr="001D773D">
              <w:rPr>
                <w:rFonts w:eastAsia="Times New Roman" w:cs="Times New Roman"/>
                <w:b/>
                <w:bCs/>
                <w:sz w:val="18"/>
                <w:szCs w:val="18"/>
              </w:rPr>
              <w:t>404 560 534</w:t>
            </w:r>
          </w:p>
        </w:tc>
        <w:tc>
          <w:tcPr>
            <w:tcW w:w="1134" w:type="dxa"/>
            <w:tcBorders>
              <w:top w:val="nil"/>
              <w:left w:val="nil"/>
              <w:bottom w:val="single" w:sz="4" w:space="0" w:color="auto"/>
              <w:right w:val="single" w:sz="4" w:space="0" w:color="auto"/>
            </w:tcBorders>
            <w:shd w:val="clear" w:color="auto" w:fill="auto"/>
            <w:noWrap/>
            <w:vAlign w:val="center"/>
            <w:hideMark/>
          </w:tcPr>
          <w:p w14:paraId="25EC04DB" w14:textId="77777777" w:rsidR="001D773D" w:rsidRPr="001D773D" w:rsidRDefault="001D773D" w:rsidP="001D773D">
            <w:pPr>
              <w:spacing w:after="0"/>
              <w:ind w:firstLine="0"/>
              <w:jc w:val="center"/>
              <w:rPr>
                <w:rFonts w:eastAsia="Times New Roman" w:cs="Times New Roman"/>
                <w:b/>
                <w:bCs/>
                <w:sz w:val="18"/>
                <w:szCs w:val="18"/>
              </w:rPr>
            </w:pPr>
            <w:r w:rsidRPr="001D773D">
              <w:rPr>
                <w:rFonts w:eastAsia="Times New Roman" w:cs="Times New Roman"/>
                <w:b/>
                <w:bCs/>
                <w:sz w:val="18"/>
                <w:szCs w:val="18"/>
              </w:rPr>
              <w:t>x</w:t>
            </w:r>
          </w:p>
        </w:tc>
        <w:tc>
          <w:tcPr>
            <w:tcW w:w="1276" w:type="dxa"/>
            <w:tcBorders>
              <w:top w:val="nil"/>
              <w:left w:val="nil"/>
              <w:bottom w:val="single" w:sz="4" w:space="0" w:color="auto"/>
              <w:right w:val="single" w:sz="4" w:space="0" w:color="auto"/>
            </w:tcBorders>
            <w:shd w:val="clear" w:color="auto" w:fill="auto"/>
            <w:noWrap/>
            <w:vAlign w:val="center"/>
            <w:hideMark/>
          </w:tcPr>
          <w:p w14:paraId="6A830924" w14:textId="77777777" w:rsidR="001D773D" w:rsidRPr="001D773D" w:rsidRDefault="001D773D" w:rsidP="001D773D">
            <w:pPr>
              <w:spacing w:after="0"/>
              <w:ind w:firstLine="0"/>
              <w:jc w:val="center"/>
              <w:rPr>
                <w:rFonts w:eastAsia="Times New Roman" w:cs="Times New Roman"/>
                <w:b/>
                <w:bCs/>
                <w:sz w:val="18"/>
                <w:szCs w:val="18"/>
              </w:rPr>
            </w:pPr>
            <w:r w:rsidRPr="001D773D">
              <w:rPr>
                <w:rFonts w:eastAsia="Times New Roman" w:cs="Times New Roman"/>
                <w:b/>
                <w:bCs/>
                <w:sz w:val="18"/>
                <w:szCs w:val="18"/>
              </w:rPr>
              <w:t>x</w:t>
            </w:r>
          </w:p>
        </w:tc>
        <w:tc>
          <w:tcPr>
            <w:tcW w:w="1134" w:type="dxa"/>
            <w:tcBorders>
              <w:top w:val="nil"/>
              <w:left w:val="nil"/>
              <w:bottom w:val="single" w:sz="4" w:space="0" w:color="auto"/>
              <w:right w:val="single" w:sz="4" w:space="0" w:color="auto"/>
            </w:tcBorders>
            <w:shd w:val="clear" w:color="auto" w:fill="auto"/>
            <w:noWrap/>
            <w:vAlign w:val="center"/>
            <w:hideMark/>
          </w:tcPr>
          <w:p w14:paraId="4002A423" w14:textId="77777777" w:rsidR="001D773D" w:rsidRPr="001D773D" w:rsidRDefault="001D773D" w:rsidP="001D773D">
            <w:pPr>
              <w:spacing w:after="0"/>
              <w:ind w:firstLine="0"/>
              <w:jc w:val="right"/>
              <w:rPr>
                <w:rFonts w:eastAsia="Times New Roman" w:cs="Times New Roman"/>
                <w:b/>
                <w:bCs/>
                <w:sz w:val="18"/>
                <w:szCs w:val="18"/>
              </w:rPr>
            </w:pPr>
            <w:r w:rsidRPr="001D773D">
              <w:rPr>
                <w:rFonts w:eastAsia="Times New Roman" w:cs="Times New Roman"/>
                <w:b/>
                <w:bCs/>
                <w:sz w:val="18"/>
                <w:szCs w:val="18"/>
              </w:rPr>
              <w:t>406 087 584</w:t>
            </w:r>
          </w:p>
        </w:tc>
        <w:tc>
          <w:tcPr>
            <w:tcW w:w="992" w:type="dxa"/>
            <w:tcBorders>
              <w:top w:val="nil"/>
              <w:left w:val="nil"/>
              <w:bottom w:val="single" w:sz="4" w:space="0" w:color="auto"/>
              <w:right w:val="single" w:sz="4" w:space="0" w:color="auto"/>
            </w:tcBorders>
            <w:shd w:val="clear" w:color="auto" w:fill="auto"/>
            <w:noWrap/>
            <w:vAlign w:val="center"/>
            <w:hideMark/>
          </w:tcPr>
          <w:p w14:paraId="405FA86F" w14:textId="77777777" w:rsidR="001D773D" w:rsidRPr="001D773D" w:rsidRDefault="001D773D" w:rsidP="001D773D">
            <w:pPr>
              <w:spacing w:after="0"/>
              <w:ind w:firstLine="0"/>
              <w:jc w:val="center"/>
              <w:rPr>
                <w:rFonts w:eastAsia="Times New Roman" w:cs="Times New Roman"/>
                <w:b/>
                <w:bCs/>
                <w:sz w:val="18"/>
                <w:szCs w:val="18"/>
              </w:rPr>
            </w:pPr>
            <w:r w:rsidRPr="001D773D">
              <w:rPr>
                <w:rFonts w:eastAsia="Times New Roman" w:cs="Times New Roman"/>
                <w:b/>
                <w:bCs/>
                <w:sz w:val="18"/>
                <w:szCs w:val="18"/>
              </w:rPr>
              <w:t>x</w:t>
            </w:r>
          </w:p>
        </w:tc>
        <w:tc>
          <w:tcPr>
            <w:tcW w:w="966" w:type="dxa"/>
            <w:tcBorders>
              <w:top w:val="nil"/>
              <w:left w:val="nil"/>
              <w:bottom w:val="single" w:sz="4" w:space="0" w:color="auto"/>
              <w:right w:val="single" w:sz="4" w:space="0" w:color="auto"/>
            </w:tcBorders>
            <w:shd w:val="clear" w:color="auto" w:fill="auto"/>
            <w:noWrap/>
            <w:vAlign w:val="center"/>
            <w:hideMark/>
          </w:tcPr>
          <w:p w14:paraId="30CD7C5F" w14:textId="77777777" w:rsidR="001D773D" w:rsidRPr="001D773D" w:rsidRDefault="001D773D" w:rsidP="001D773D">
            <w:pPr>
              <w:spacing w:after="0"/>
              <w:ind w:firstLine="0"/>
              <w:jc w:val="center"/>
              <w:rPr>
                <w:rFonts w:eastAsia="Times New Roman" w:cs="Times New Roman"/>
                <w:b/>
                <w:bCs/>
                <w:sz w:val="18"/>
                <w:szCs w:val="18"/>
              </w:rPr>
            </w:pPr>
            <w:r w:rsidRPr="001D773D">
              <w:rPr>
                <w:rFonts w:eastAsia="Times New Roman" w:cs="Times New Roman"/>
                <w:b/>
                <w:bCs/>
                <w:sz w:val="18"/>
                <w:szCs w:val="18"/>
              </w:rPr>
              <w:t>x</w:t>
            </w:r>
          </w:p>
        </w:tc>
        <w:tc>
          <w:tcPr>
            <w:tcW w:w="1233" w:type="dxa"/>
            <w:tcBorders>
              <w:top w:val="nil"/>
              <w:left w:val="nil"/>
              <w:bottom w:val="single" w:sz="4" w:space="0" w:color="auto"/>
              <w:right w:val="single" w:sz="4" w:space="0" w:color="auto"/>
            </w:tcBorders>
            <w:shd w:val="clear" w:color="auto" w:fill="auto"/>
            <w:noWrap/>
            <w:vAlign w:val="center"/>
            <w:hideMark/>
          </w:tcPr>
          <w:p w14:paraId="56291E61" w14:textId="77777777" w:rsidR="001D773D" w:rsidRPr="001D773D" w:rsidRDefault="001D773D" w:rsidP="001D773D">
            <w:pPr>
              <w:spacing w:after="0"/>
              <w:ind w:firstLine="0"/>
              <w:jc w:val="right"/>
              <w:rPr>
                <w:rFonts w:eastAsia="Times New Roman" w:cs="Times New Roman"/>
                <w:b/>
                <w:bCs/>
                <w:sz w:val="18"/>
                <w:szCs w:val="18"/>
              </w:rPr>
            </w:pPr>
            <w:r w:rsidRPr="001D773D">
              <w:rPr>
                <w:rFonts w:eastAsia="Times New Roman" w:cs="Times New Roman"/>
                <w:b/>
                <w:bCs/>
                <w:sz w:val="18"/>
                <w:szCs w:val="18"/>
              </w:rPr>
              <w:t>407 431 315</w:t>
            </w:r>
          </w:p>
        </w:tc>
      </w:tr>
    </w:tbl>
    <w:p w14:paraId="4CDF9429" w14:textId="570A7239" w:rsidR="004F6A3A" w:rsidRPr="00C404D5" w:rsidRDefault="00C404D5" w:rsidP="00D84B9C">
      <w:pPr>
        <w:widowControl w:val="0"/>
        <w:spacing w:before="120"/>
        <w:ind w:firstLine="0"/>
        <w:rPr>
          <w:rFonts w:eastAsia="Calibri" w:cs="Times New Roman"/>
          <w:i/>
          <w:sz w:val="20"/>
        </w:rPr>
      </w:pPr>
      <w:r w:rsidRPr="00C404D5">
        <w:rPr>
          <w:rFonts w:eastAsia="Calibri" w:cs="Times New Roman"/>
          <w:i/>
          <w:sz w:val="20"/>
        </w:rPr>
        <w:t xml:space="preserve">Datu avots: </w:t>
      </w:r>
      <w:r w:rsidR="004F6A3A">
        <w:rPr>
          <w:rFonts w:eastAsia="Calibri" w:cs="Times New Roman"/>
          <w:i/>
          <w:sz w:val="20"/>
        </w:rPr>
        <w:t>Finanšu ministrija</w:t>
      </w:r>
    </w:p>
    <w:p w14:paraId="2C53BF89" w14:textId="0C58FC9C" w:rsidR="00C404D5" w:rsidRPr="00C404D5" w:rsidRDefault="00C404D5" w:rsidP="00C404D5">
      <w:pPr>
        <w:widowControl w:val="0"/>
        <w:rPr>
          <w:rFonts w:eastAsia="Calibri" w:cs="Times New Roman"/>
          <w:i/>
          <w:sz w:val="20"/>
        </w:rPr>
      </w:pPr>
    </w:p>
    <w:p w14:paraId="5F5B38C6" w14:textId="5D4E4C84" w:rsidR="003F3FCD" w:rsidRDefault="003F3FCD" w:rsidP="00401A5B">
      <w:pPr>
        <w:widowControl w:val="0"/>
        <w:rPr>
          <w:rFonts w:ascii="Calibri" w:eastAsia="Calibri" w:hAnsi="Calibri" w:cs="Calibri"/>
        </w:rPr>
      </w:pPr>
    </w:p>
    <w:p w14:paraId="499DFF56" w14:textId="77777777" w:rsidR="003F3FCD" w:rsidRDefault="003F3FCD" w:rsidP="00401A5B">
      <w:pPr>
        <w:widowControl w:val="0"/>
        <w:rPr>
          <w:rFonts w:ascii="Calibri" w:eastAsia="Calibri" w:hAnsi="Calibri" w:cs="Calibri"/>
        </w:rPr>
      </w:pPr>
    </w:p>
    <w:p w14:paraId="56C0DD2B" w14:textId="5EA15D93" w:rsidR="00D84B9C" w:rsidRDefault="00D84B9C" w:rsidP="00876E09">
      <w:pPr>
        <w:widowControl w:val="0"/>
        <w:ind w:right="-315" w:firstLine="0"/>
        <w:rPr>
          <w:rFonts w:eastAsia="Times New Roman" w:cs="Times New Roman"/>
          <w:color w:val="000000"/>
        </w:rPr>
      </w:pPr>
    </w:p>
    <w:p w14:paraId="00C56DE0" w14:textId="667740DA" w:rsidR="000F6C00" w:rsidRPr="001D773D" w:rsidRDefault="004F6A3A" w:rsidP="00890A0D">
      <w:pPr>
        <w:widowControl w:val="0"/>
        <w:ind w:right="111"/>
        <w:jc w:val="right"/>
        <w:rPr>
          <w:rFonts w:eastAsia="Times New Roman" w:cs="Times New Roman"/>
          <w:color w:val="000000"/>
        </w:rPr>
      </w:pPr>
      <w:r w:rsidRPr="001D773D">
        <w:rPr>
          <w:rFonts w:eastAsia="Times New Roman" w:cs="Times New Roman"/>
          <w:color w:val="000000"/>
        </w:rPr>
        <w:t>6</w:t>
      </w:r>
      <w:r w:rsidR="000548A5" w:rsidRPr="001D773D">
        <w:rPr>
          <w:rFonts w:eastAsia="Times New Roman" w:cs="Times New Roman"/>
          <w:color w:val="000000"/>
        </w:rPr>
        <w:t>. pielikums</w:t>
      </w:r>
    </w:p>
    <w:p w14:paraId="610D6E87" w14:textId="081D1A12" w:rsidR="003F3FCD" w:rsidRPr="001D773D" w:rsidRDefault="004F6A3A" w:rsidP="00890A0D">
      <w:pPr>
        <w:widowControl w:val="0"/>
        <w:ind w:right="-31"/>
        <w:jc w:val="right"/>
        <w:rPr>
          <w:rFonts w:eastAsia="Times New Roman" w:cs="Times New Roman"/>
          <w:b/>
          <w:color w:val="000000"/>
        </w:rPr>
      </w:pPr>
      <w:r w:rsidRPr="001D773D">
        <w:rPr>
          <w:rFonts w:eastAsia="Times New Roman" w:cs="Times New Roman"/>
          <w:b/>
          <w:color w:val="000000"/>
        </w:rPr>
        <w:t>Labklājības ministrijas</w:t>
      </w:r>
      <w:r w:rsidR="000548A5" w:rsidRPr="001D773D">
        <w:rPr>
          <w:rFonts w:eastAsia="Times New Roman" w:cs="Times New Roman"/>
          <w:b/>
          <w:color w:val="000000"/>
        </w:rPr>
        <w:t xml:space="preserve"> pamatbudžeta programma 20.02.00 "Izdienas pensijas"</w:t>
      </w:r>
    </w:p>
    <w:tbl>
      <w:tblPr>
        <w:tblW w:w="13993" w:type="dxa"/>
        <w:tblLook w:val="04A0" w:firstRow="1" w:lastRow="0" w:firstColumn="1" w:lastColumn="0" w:noHBand="0" w:noVBand="1"/>
      </w:tblPr>
      <w:tblGrid>
        <w:gridCol w:w="4366"/>
        <w:gridCol w:w="860"/>
        <w:gridCol w:w="956"/>
        <w:gridCol w:w="1095"/>
        <w:gridCol w:w="1224"/>
        <w:gridCol w:w="1158"/>
        <w:gridCol w:w="1114"/>
        <w:gridCol w:w="1178"/>
        <w:gridCol w:w="956"/>
        <w:gridCol w:w="1086"/>
      </w:tblGrid>
      <w:tr w:rsidR="00876E09" w:rsidRPr="00876E09" w14:paraId="7282D280" w14:textId="77777777" w:rsidTr="003A0BFD">
        <w:trPr>
          <w:trHeight w:val="660"/>
        </w:trPr>
        <w:tc>
          <w:tcPr>
            <w:tcW w:w="4424" w:type="dxa"/>
            <w:vMerge w:val="restart"/>
            <w:tcBorders>
              <w:top w:val="single" w:sz="4" w:space="0" w:color="auto"/>
              <w:left w:val="single" w:sz="4" w:space="0" w:color="auto"/>
              <w:right w:val="single" w:sz="4" w:space="0" w:color="auto"/>
            </w:tcBorders>
            <w:shd w:val="clear" w:color="auto" w:fill="9CC2E5" w:themeFill="accent1" w:themeFillTint="99"/>
            <w:noWrap/>
            <w:vAlign w:val="bottom"/>
            <w:hideMark/>
          </w:tcPr>
          <w:p w14:paraId="37A1A13F"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lastRenderedPageBreak/>
              <w:t> </w:t>
            </w:r>
          </w:p>
          <w:p w14:paraId="03D2AD76" w14:textId="4EB3AFE6"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Pabalsta veids</w:t>
            </w:r>
          </w:p>
        </w:tc>
        <w:tc>
          <w:tcPr>
            <w:tcW w:w="2942" w:type="dxa"/>
            <w:gridSpan w:val="3"/>
            <w:tcBorders>
              <w:top w:val="single" w:sz="4" w:space="0" w:color="auto"/>
              <w:left w:val="nil"/>
              <w:bottom w:val="single" w:sz="4" w:space="0" w:color="auto"/>
              <w:right w:val="single" w:sz="4" w:space="0" w:color="000000"/>
            </w:tcBorders>
            <w:shd w:val="clear" w:color="auto" w:fill="9CC2E5" w:themeFill="accent1" w:themeFillTint="99"/>
            <w:noWrap/>
            <w:vAlign w:val="center"/>
            <w:hideMark/>
          </w:tcPr>
          <w:p w14:paraId="4455417D"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2022.gada projekts</w:t>
            </w:r>
          </w:p>
        </w:tc>
        <w:tc>
          <w:tcPr>
            <w:tcW w:w="3535" w:type="dxa"/>
            <w:gridSpan w:val="3"/>
            <w:tcBorders>
              <w:top w:val="single" w:sz="4" w:space="0" w:color="auto"/>
              <w:left w:val="nil"/>
              <w:bottom w:val="single" w:sz="4" w:space="0" w:color="auto"/>
              <w:right w:val="single" w:sz="4" w:space="0" w:color="000000"/>
            </w:tcBorders>
            <w:shd w:val="clear" w:color="auto" w:fill="9CC2E5" w:themeFill="accent1" w:themeFillTint="99"/>
            <w:noWrap/>
            <w:vAlign w:val="center"/>
            <w:hideMark/>
          </w:tcPr>
          <w:p w14:paraId="15BE3189"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2023.gada projekts</w:t>
            </w:r>
          </w:p>
        </w:tc>
        <w:tc>
          <w:tcPr>
            <w:tcW w:w="3092" w:type="dxa"/>
            <w:gridSpan w:val="3"/>
            <w:tcBorders>
              <w:top w:val="single" w:sz="4" w:space="0" w:color="auto"/>
              <w:left w:val="nil"/>
              <w:bottom w:val="single" w:sz="4" w:space="0" w:color="auto"/>
              <w:right w:val="single" w:sz="4" w:space="0" w:color="000000"/>
            </w:tcBorders>
            <w:shd w:val="clear" w:color="auto" w:fill="9CC2E5" w:themeFill="accent1" w:themeFillTint="99"/>
            <w:noWrap/>
            <w:vAlign w:val="center"/>
            <w:hideMark/>
          </w:tcPr>
          <w:p w14:paraId="3C7F162F"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2024.gada projekts</w:t>
            </w:r>
          </w:p>
        </w:tc>
      </w:tr>
      <w:tr w:rsidR="00876E09" w:rsidRPr="00876E09" w14:paraId="0F30D5DA" w14:textId="77777777" w:rsidTr="003A0BFD">
        <w:trPr>
          <w:trHeight w:val="289"/>
        </w:trPr>
        <w:tc>
          <w:tcPr>
            <w:tcW w:w="4424" w:type="dxa"/>
            <w:vMerge/>
            <w:tcBorders>
              <w:left w:val="single" w:sz="4" w:space="0" w:color="auto"/>
              <w:right w:val="single" w:sz="4" w:space="0" w:color="auto"/>
            </w:tcBorders>
            <w:shd w:val="clear" w:color="auto" w:fill="9CC2E5" w:themeFill="accent1" w:themeFillTint="99"/>
            <w:noWrap/>
            <w:vAlign w:val="center"/>
            <w:hideMark/>
          </w:tcPr>
          <w:p w14:paraId="1FD27901" w14:textId="0FB1EB6E" w:rsidR="00876E09" w:rsidRPr="00876E09" w:rsidRDefault="00876E09" w:rsidP="00876E09">
            <w:pPr>
              <w:spacing w:after="0"/>
              <w:ind w:firstLine="0"/>
              <w:jc w:val="center"/>
              <w:rPr>
                <w:rFonts w:eastAsia="Times New Roman" w:cs="Times New Roman"/>
                <w:sz w:val="18"/>
                <w:szCs w:val="18"/>
              </w:rPr>
            </w:pPr>
          </w:p>
        </w:tc>
        <w:tc>
          <w:tcPr>
            <w:tcW w:w="869" w:type="dxa"/>
            <w:vMerge w:val="restart"/>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6878E29E"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Pabalsta apmērs vidēji mēnesī (</w:t>
            </w:r>
            <w:r w:rsidRPr="00876E09">
              <w:rPr>
                <w:rFonts w:eastAsia="Times New Roman" w:cs="Times New Roman"/>
                <w:i/>
                <w:sz w:val="18"/>
                <w:szCs w:val="18"/>
              </w:rPr>
              <w:t>euro</w:t>
            </w:r>
            <w:r w:rsidRPr="00876E09">
              <w:rPr>
                <w:rFonts w:eastAsia="Times New Roman" w:cs="Times New Roman"/>
                <w:sz w:val="18"/>
                <w:szCs w:val="18"/>
              </w:rPr>
              <w:t>)</w:t>
            </w:r>
          </w:p>
        </w:tc>
        <w:tc>
          <w:tcPr>
            <w:tcW w:w="966" w:type="dxa"/>
            <w:tcBorders>
              <w:top w:val="nil"/>
              <w:left w:val="nil"/>
              <w:bottom w:val="nil"/>
              <w:right w:val="single" w:sz="4" w:space="0" w:color="auto"/>
            </w:tcBorders>
            <w:shd w:val="clear" w:color="auto" w:fill="DEEAF6" w:themeFill="accent1" w:themeFillTint="33"/>
            <w:vAlign w:val="center"/>
            <w:hideMark/>
          </w:tcPr>
          <w:p w14:paraId="009ABDA4"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Saņēmēju</w:t>
            </w:r>
            <w:r w:rsidRPr="00876E09">
              <w:rPr>
                <w:rFonts w:eastAsia="Times New Roman" w:cs="Times New Roman"/>
                <w:sz w:val="18"/>
                <w:szCs w:val="18"/>
              </w:rPr>
              <w:br/>
              <w:t xml:space="preserve"> skaits</w:t>
            </w:r>
          </w:p>
        </w:tc>
        <w:tc>
          <w:tcPr>
            <w:tcW w:w="1107" w:type="dxa"/>
            <w:tcBorders>
              <w:top w:val="nil"/>
              <w:left w:val="nil"/>
              <w:bottom w:val="nil"/>
              <w:right w:val="single" w:sz="4" w:space="0" w:color="auto"/>
            </w:tcBorders>
            <w:shd w:val="clear" w:color="auto" w:fill="DEEAF6" w:themeFill="accent1" w:themeFillTint="33"/>
            <w:vAlign w:val="center"/>
            <w:hideMark/>
          </w:tcPr>
          <w:p w14:paraId="4B69E1D1"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Izdevumi kopā</w:t>
            </w:r>
          </w:p>
        </w:tc>
        <w:tc>
          <w:tcPr>
            <w:tcW w:w="1238" w:type="dxa"/>
            <w:vMerge w:val="restart"/>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3808F355"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Pabalsta apmērs vidēji mēnesī (</w:t>
            </w:r>
            <w:r w:rsidRPr="00876E09">
              <w:rPr>
                <w:rFonts w:eastAsia="Times New Roman" w:cs="Times New Roman"/>
                <w:i/>
                <w:sz w:val="18"/>
                <w:szCs w:val="18"/>
              </w:rPr>
              <w:t>euro</w:t>
            </w:r>
            <w:r w:rsidRPr="00876E09">
              <w:rPr>
                <w:rFonts w:eastAsia="Times New Roman" w:cs="Times New Roman"/>
                <w:sz w:val="18"/>
                <w:szCs w:val="18"/>
              </w:rPr>
              <w:t>)</w:t>
            </w:r>
          </w:p>
        </w:tc>
        <w:tc>
          <w:tcPr>
            <w:tcW w:w="1171" w:type="dxa"/>
            <w:tcBorders>
              <w:top w:val="nil"/>
              <w:left w:val="nil"/>
              <w:bottom w:val="nil"/>
              <w:right w:val="single" w:sz="4" w:space="0" w:color="auto"/>
            </w:tcBorders>
            <w:shd w:val="clear" w:color="auto" w:fill="DEEAF6" w:themeFill="accent1" w:themeFillTint="33"/>
            <w:vAlign w:val="center"/>
            <w:hideMark/>
          </w:tcPr>
          <w:p w14:paraId="4A6BD21B"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Saņēmēju</w:t>
            </w:r>
            <w:r w:rsidRPr="00876E09">
              <w:rPr>
                <w:rFonts w:eastAsia="Times New Roman" w:cs="Times New Roman"/>
                <w:sz w:val="18"/>
                <w:szCs w:val="18"/>
              </w:rPr>
              <w:br/>
              <w:t xml:space="preserve"> skaits</w:t>
            </w:r>
          </w:p>
        </w:tc>
        <w:tc>
          <w:tcPr>
            <w:tcW w:w="1126" w:type="dxa"/>
            <w:tcBorders>
              <w:top w:val="nil"/>
              <w:left w:val="nil"/>
              <w:bottom w:val="nil"/>
              <w:right w:val="single" w:sz="4" w:space="0" w:color="auto"/>
            </w:tcBorders>
            <w:shd w:val="clear" w:color="auto" w:fill="DEEAF6" w:themeFill="accent1" w:themeFillTint="33"/>
            <w:vAlign w:val="center"/>
            <w:hideMark/>
          </w:tcPr>
          <w:p w14:paraId="25682190"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Izdevumi kopā</w:t>
            </w:r>
          </w:p>
        </w:tc>
        <w:tc>
          <w:tcPr>
            <w:tcW w:w="1191" w:type="dxa"/>
            <w:vMerge w:val="restart"/>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26DC5D4B"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Pabalsta apmērs vidēji mēnesī (</w:t>
            </w:r>
            <w:r w:rsidRPr="00876E09">
              <w:rPr>
                <w:rFonts w:eastAsia="Times New Roman" w:cs="Times New Roman"/>
                <w:i/>
                <w:sz w:val="18"/>
                <w:szCs w:val="18"/>
              </w:rPr>
              <w:t>euro</w:t>
            </w:r>
            <w:r w:rsidRPr="00876E09">
              <w:rPr>
                <w:rFonts w:eastAsia="Times New Roman" w:cs="Times New Roman"/>
                <w:sz w:val="18"/>
                <w:szCs w:val="18"/>
              </w:rPr>
              <w:t>)</w:t>
            </w:r>
          </w:p>
        </w:tc>
        <w:tc>
          <w:tcPr>
            <w:tcW w:w="803" w:type="dxa"/>
            <w:tcBorders>
              <w:top w:val="nil"/>
              <w:left w:val="nil"/>
              <w:bottom w:val="nil"/>
              <w:right w:val="single" w:sz="4" w:space="0" w:color="auto"/>
            </w:tcBorders>
            <w:shd w:val="clear" w:color="auto" w:fill="DEEAF6" w:themeFill="accent1" w:themeFillTint="33"/>
            <w:vAlign w:val="center"/>
            <w:hideMark/>
          </w:tcPr>
          <w:p w14:paraId="6EF3C0C3"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Saņēmēju</w:t>
            </w:r>
            <w:r w:rsidRPr="00876E09">
              <w:rPr>
                <w:rFonts w:eastAsia="Times New Roman" w:cs="Times New Roman"/>
                <w:sz w:val="18"/>
                <w:szCs w:val="18"/>
              </w:rPr>
              <w:br/>
              <w:t xml:space="preserve"> skaits</w:t>
            </w:r>
          </w:p>
        </w:tc>
        <w:tc>
          <w:tcPr>
            <w:tcW w:w="1098" w:type="dxa"/>
            <w:tcBorders>
              <w:top w:val="nil"/>
              <w:left w:val="nil"/>
              <w:bottom w:val="nil"/>
              <w:right w:val="single" w:sz="4" w:space="0" w:color="auto"/>
            </w:tcBorders>
            <w:shd w:val="clear" w:color="auto" w:fill="DEEAF6" w:themeFill="accent1" w:themeFillTint="33"/>
            <w:vAlign w:val="center"/>
            <w:hideMark/>
          </w:tcPr>
          <w:p w14:paraId="1836F3BA"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Izdevumi kopā</w:t>
            </w:r>
          </w:p>
        </w:tc>
      </w:tr>
      <w:tr w:rsidR="00876E09" w:rsidRPr="00876E09" w14:paraId="57F8B151" w14:textId="77777777" w:rsidTr="003A0BFD">
        <w:trPr>
          <w:trHeight w:val="765"/>
        </w:trPr>
        <w:tc>
          <w:tcPr>
            <w:tcW w:w="4424" w:type="dxa"/>
            <w:tcBorders>
              <w:left w:val="single" w:sz="4" w:space="0" w:color="auto"/>
              <w:bottom w:val="single" w:sz="4" w:space="0" w:color="000000"/>
              <w:right w:val="single" w:sz="4" w:space="0" w:color="auto"/>
            </w:tcBorders>
            <w:shd w:val="clear" w:color="auto" w:fill="9CC2E5" w:themeFill="accent1" w:themeFillTint="99"/>
            <w:vAlign w:val="center"/>
            <w:hideMark/>
          </w:tcPr>
          <w:p w14:paraId="5F88D746" w14:textId="77777777" w:rsidR="00876E09" w:rsidRPr="00876E09" w:rsidRDefault="00876E09" w:rsidP="00876E09">
            <w:pPr>
              <w:spacing w:after="0"/>
              <w:ind w:firstLine="0"/>
              <w:jc w:val="left"/>
              <w:rPr>
                <w:rFonts w:eastAsia="Times New Roman" w:cs="Times New Roman"/>
                <w:sz w:val="18"/>
                <w:szCs w:val="18"/>
              </w:rPr>
            </w:pPr>
          </w:p>
        </w:tc>
        <w:tc>
          <w:tcPr>
            <w:tcW w:w="869" w:type="dxa"/>
            <w:vMerge/>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1FB7726C" w14:textId="77777777" w:rsidR="00876E09" w:rsidRPr="00876E09" w:rsidRDefault="00876E09" w:rsidP="00876E09">
            <w:pPr>
              <w:spacing w:after="0"/>
              <w:ind w:firstLine="0"/>
              <w:jc w:val="left"/>
              <w:rPr>
                <w:rFonts w:eastAsia="Times New Roman" w:cs="Times New Roman"/>
                <w:sz w:val="18"/>
                <w:szCs w:val="18"/>
              </w:rPr>
            </w:pPr>
          </w:p>
        </w:tc>
        <w:tc>
          <w:tcPr>
            <w:tcW w:w="966" w:type="dxa"/>
            <w:tcBorders>
              <w:top w:val="nil"/>
              <w:left w:val="nil"/>
              <w:bottom w:val="single" w:sz="4" w:space="0" w:color="auto"/>
              <w:right w:val="single" w:sz="4" w:space="0" w:color="auto"/>
            </w:tcBorders>
            <w:shd w:val="clear" w:color="auto" w:fill="DEEAF6" w:themeFill="accent1" w:themeFillTint="33"/>
            <w:noWrap/>
            <w:hideMark/>
          </w:tcPr>
          <w:p w14:paraId="5BAD527A"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(vid.mēn.)</w:t>
            </w:r>
          </w:p>
        </w:tc>
        <w:tc>
          <w:tcPr>
            <w:tcW w:w="1107" w:type="dxa"/>
            <w:tcBorders>
              <w:top w:val="nil"/>
              <w:left w:val="nil"/>
              <w:bottom w:val="single" w:sz="4" w:space="0" w:color="auto"/>
              <w:right w:val="single" w:sz="4" w:space="0" w:color="auto"/>
            </w:tcBorders>
            <w:shd w:val="clear" w:color="auto" w:fill="DEEAF6" w:themeFill="accent1" w:themeFillTint="33"/>
            <w:noWrap/>
            <w:hideMark/>
          </w:tcPr>
          <w:p w14:paraId="234209D5"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w:t>
            </w:r>
            <w:r w:rsidRPr="00876E09">
              <w:rPr>
                <w:rFonts w:eastAsia="Times New Roman" w:cs="Times New Roman"/>
                <w:i/>
                <w:sz w:val="18"/>
                <w:szCs w:val="18"/>
              </w:rPr>
              <w:t>euro</w:t>
            </w:r>
            <w:r w:rsidRPr="00876E09">
              <w:rPr>
                <w:rFonts w:eastAsia="Times New Roman" w:cs="Times New Roman"/>
                <w:sz w:val="18"/>
                <w:szCs w:val="18"/>
              </w:rPr>
              <w:t>)</w:t>
            </w:r>
          </w:p>
        </w:tc>
        <w:tc>
          <w:tcPr>
            <w:tcW w:w="1238" w:type="dxa"/>
            <w:vMerge/>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377FFF5B" w14:textId="77777777" w:rsidR="00876E09" w:rsidRPr="00876E09" w:rsidRDefault="00876E09" w:rsidP="00876E09">
            <w:pPr>
              <w:spacing w:after="0"/>
              <w:ind w:firstLine="0"/>
              <w:jc w:val="left"/>
              <w:rPr>
                <w:rFonts w:eastAsia="Times New Roman" w:cs="Times New Roman"/>
                <w:sz w:val="18"/>
                <w:szCs w:val="18"/>
              </w:rPr>
            </w:pPr>
          </w:p>
        </w:tc>
        <w:tc>
          <w:tcPr>
            <w:tcW w:w="1171" w:type="dxa"/>
            <w:tcBorders>
              <w:top w:val="nil"/>
              <w:left w:val="nil"/>
              <w:bottom w:val="single" w:sz="4" w:space="0" w:color="auto"/>
              <w:right w:val="single" w:sz="4" w:space="0" w:color="auto"/>
            </w:tcBorders>
            <w:shd w:val="clear" w:color="auto" w:fill="DEEAF6" w:themeFill="accent1" w:themeFillTint="33"/>
            <w:noWrap/>
            <w:hideMark/>
          </w:tcPr>
          <w:p w14:paraId="44740AC5"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(vid.mēn.)</w:t>
            </w:r>
          </w:p>
        </w:tc>
        <w:tc>
          <w:tcPr>
            <w:tcW w:w="1126" w:type="dxa"/>
            <w:tcBorders>
              <w:top w:val="nil"/>
              <w:left w:val="nil"/>
              <w:bottom w:val="single" w:sz="4" w:space="0" w:color="auto"/>
              <w:right w:val="single" w:sz="4" w:space="0" w:color="auto"/>
            </w:tcBorders>
            <w:shd w:val="clear" w:color="auto" w:fill="DEEAF6" w:themeFill="accent1" w:themeFillTint="33"/>
            <w:noWrap/>
            <w:hideMark/>
          </w:tcPr>
          <w:p w14:paraId="32CDF0B3"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w:t>
            </w:r>
            <w:r w:rsidRPr="00876E09">
              <w:rPr>
                <w:rFonts w:eastAsia="Times New Roman" w:cs="Times New Roman"/>
                <w:i/>
                <w:sz w:val="18"/>
                <w:szCs w:val="18"/>
              </w:rPr>
              <w:t>euro</w:t>
            </w:r>
            <w:r w:rsidRPr="00876E09">
              <w:rPr>
                <w:rFonts w:eastAsia="Times New Roman" w:cs="Times New Roman"/>
                <w:sz w:val="18"/>
                <w:szCs w:val="18"/>
              </w:rPr>
              <w:t>)</w:t>
            </w:r>
          </w:p>
        </w:tc>
        <w:tc>
          <w:tcPr>
            <w:tcW w:w="1191" w:type="dxa"/>
            <w:vMerge/>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2197C14C" w14:textId="77777777" w:rsidR="00876E09" w:rsidRPr="00876E09" w:rsidRDefault="00876E09" w:rsidP="00876E09">
            <w:pPr>
              <w:spacing w:after="0"/>
              <w:ind w:firstLine="0"/>
              <w:jc w:val="left"/>
              <w:rPr>
                <w:rFonts w:eastAsia="Times New Roman" w:cs="Times New Roman"/>
                <w:sz w:val="18"/>
                <w:szCs w:val="18"/>
              </w:rPr>
            </w:pPr>
          </w:p>
        </w:tc>
        <w:tc>
          <w:tcPr>
            <w:tcW w:w="803" w:type="dxa"/>
            <w:tcBorders>
              <w:top w:val="nil"/>
              <w:left w:val="nil"/>
              <w:bottom w:val="single" w:sz="4" w:space="0" w:color="auto"/>
              <w:right w:val="single" w:sz="4" w:space="0" w:color="auto"/>
            </w:tcBorders>
            <w:shd w:val="clear" w:color="auto" w:fill="DEEAF6" w:themeFill="accent1" w:themeFillTint="33"/>
            <w:noWrap/>
            <w:hideMark/>
          </w:tcPr>
          <w:p w14:paraId="55DF31E9"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(vid.mēn.)</w:t>
            </w:r>
          </w:p>
        </w:tc>
        <w:tc>
          <w:tcPr>
            <w:tcW w:w="1098" w:type="dxa"/>
            <w:tcBorders>
              <w:top w:val="nil"/>
              <w:left w:val="nil"/>
              <w:bottom w:val="single" w:sz="4" w:space="0" w:color="auto"/>
              <w:right w:val="single" w:sz="4" w:space="0" w:color="auto"/>
            </w:tcBorders>
            <w:shd w:val="clear" w:color="auto" w:fill="DEEAF6" w:themeFill="accent1" w:themeFillTint="33"/>
            <w:noWrap/>
            <w:hideMark/>
          </w:tcPr>
          <w:p w14:paraId="6E8AA569"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w:t>
            </w:r>
            <w:r w:rsidRPr="00876E09">
              <w:rPr>
                <w:rFonts w:eastAsia="Times New Roman" w:cs="Times New Roman"/>
                <w:i/>
                <w:sz w:val="18"/>
                <w:szCs w:val="18"/>
              </w:rPr>
              <w:t>euro</w:t>
            </w:r>
            <w:r w:rsidRPr="00876E09">
              <w:rPr>
                <w:rFonts w:eastAsia="Times New Roman" w:cs="Times New Roman"/>
                <w:sz w:val="18"/>
                <w:szCs w:val="18"/>
              </w:rPr>
              <w:t>)</w:t>
            </w:r>
          </w:p>
        </w:tc>
      </w:tr>
      <w:tr w:rsidR="00876E09" w:rsidRPr="00876E09" w14:paraId="08EECDA1" w14:textId="77777777" w:rsidTr="003A0BFD">
        <w:trPr>
          <w:trHeight w:val="276"/>
        </w:trPr>
        <w:tc>
          <w:tcPr>
            <w:tcW w:w="4424" w:type="dxa"/>
            <w:tcBorders>
              <w:top w:val="nil"/>
              <w:left w:val="single" w:sz="4" w:space="0" w:color="auto"/>
              <w:bottom w:val="single" w:sz="4" w:space="0" w:color="auto"/>
              <w:right w:val="single" w:sz="4" w:space="0" w:color="auto"/>
            </w:tcBorders>
            <w:shd w:val="clear" w:color="000000" w:fill="FFFFFF"/>
            <w:noWrap/>
            <w:vAlign w:val="bottom"/>
            <w:hideMark/>
          </w:tcPr>
          <w:p w14:paraId="7AB75A25"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1</w:t>
            </w:r>
          </w:p>
        </w:tc>
        <w:tc>
          <w:tcPr>
            <w:tcW w:w="869" w:type="dxa"/>
            <w:tcBorders>
              <w:top w:val="nil"/>
              <w:left w:val="nil"/>
              <w:bottom w:val="single" w:sz="4" w:space="0" w:color="auto"/>
              <w:right w:val="single" w:sz="4" w:space="0" w:color="auto"/>
            </w:tcBorders>
            <w:shd w:val="clear" w:color="auto" w:fill="auto"/>
            <w:noWrap/>
            <w:vAlign w:val="bottom"/>
            <w:hideMark/>
          </w:tcPr>
          <w:p w14:paraId="670A48F5"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2</w:t>
            </w:r>
          </w:p>
        </w:tc>
        <w:tc>
          <w:tcPr>
            <w:tcW w:w="966" w:type="dxa"/>
            <w:tcBorders>
              <w:top w:val="nil"/>
              <w:left w:val="nil"/>
              <w:bottom w:val="single" w:sz="4" w:space="0" w:color="auto"/>
              <w:right w:val="single" w:sz="4" w:space="0" w:color="auto"/>
            </w:tcBorders>
            <w:shd w:val="clear" w:color="auto" w:fill="auto"/>
            <w:noWrap/>
            <w:vAlign w:val="bottom"/>
            <w:hideMark/>
          </w:tcPr>
          <w:p w14:paraId="109DC13D"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3</w:t>
            </w:r>
          </w:p>
        </w:tc>
        <w:tc>
          <w:tcPr>
            <w:tcW w:w="1107" w:type="dxa"/>
            <w:tcBorders>
              <w:top w:val="nil"/>
              <w:left w:val="nil"/>
              <w:bottom w:val="single" w:sz="4" w:space="0" w:color="auto"/>
              <w:right w:val="single" w:sz="4" w:space="0" w:color="auto"/>
            </w:tcBorders>
            <w:shd w:val="clear" w:color="auto" w:fill="auto"/>
            <w:noWrap/>
            <w:vAlign w:val="bottom"/>
            <w:hideMark/>
          </w:tcPr>
          <w:p w14:paraId="0F0AF9A9"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4</w:t>
            </w:r>
          </w:p>
        </w:tc>
        <w:tc>
          <w:tcPr>
            <w:tcW w:w="1238" w:type="dxa"/>
            <w:tcBorders>
              <w:top w:val="nil"/>
              <w:left w:val="nil"/>
              <w:bottom w:val="single" w:sz="4" w:space="0" w:color="auto"/>
              <w:right w:val="single" w:sz="4" w:space="0" w:color="auto"/>
            </w:tcBorders>
            <w:shd w:val="clear" w:color="auto" w:fill="auto"/>
            <w:noWrap/>
            <w:vAlign w:val="bottom"/>
            <w:hideMark/>
          </w:tcPr>
          <w:p w14:paraId="33187A39"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5</w:t>
            </w:r>
          </w:p>
        </w:tc>
        <w:tc>
          <w:tcPr>
            <w:tcW w:w="1171" w:type="dxa"/>
            <w:tcBorders>
              <w:top w:val="nil"/>
              <w:left w:val="nil"/>
              <w:bottom w:val="single" w:sz="4" w:space="0" w:color="auto"/>
              <w:right w:val="single" w:sz="4" w:space="0" w:color="auto"/>
            </w:tcBorders>
            <w:shd w:val="clear" w:color="auto" w:fill="auto"/>
            <w:noWrap/>
            <w:vAlign w:val="bottom"/>
            <w:hideMark/>
          </w:tcPr>
          <w:p w14:paraId="4D15AE87"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6</w:t>
            </w:r>
          </w:p>
        </w:tc>
        <w:tc>
          <w:tcPr>
            <w:tcW w:w="1126" w:type="dxa"/>
            <w:tcBorders>
              <w:top w:val="nil"/>
              <w:left w:val="nil"/>
              <w:bottom w:val="single" w:sz="4" w:space="0" w:color="auto"/>
              <w:right w:val="single" w:sz="4" w:space="0" w:color="auto"/>
            </w:tcBorders>
            <w:shd w:val="clear" w:color="auto" w:fill="auto"/>
            <w:noWrap/>
            <w:vAlign w:val="bottom"/>
            <w:hideMark/>
          </w:tcPr>
          <w:p w14:paraId="53D5585E"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7</w:t>
            </w:r>
          </w:p>
        </w:tc>
        <w:tc>
          <w:tcPr>
            <w:tcW w:w="1191" w:type="dxa"/>
            <w:tcBorders>
              <w:top w:val="nil"/>
              <w:left w:val="nil"/>
              <w:bottom w:val="single" w:sz="4" w:space="0" w:color="auto"/>
              <w:right w:val="single" w:sz="4" w:space="0" w:color="auto"/>
            </w:tcBorders>
            <w:shd w:val="clear" w:color="auto" w:fill="auto"/>
            <w:noWrap/>
            <w:vAlign w:val="bottom"/>
            <w:hideMark/>
          </w:tcPr>
          <w:p w14:paraId="3AABFA7F"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8</w:t>
            </w:r>
          </w:p>
        </w:tc>
        <w:tc>
          <w:tcPr>
            <w:tcW w:w="803" w:type="dxa"/>
            <w:tcBorders>
              <w:top w:val="nil"/>
              <w:left w:val="nil"/>
              <w:bottom w:val="single" w:sz="4" w:space="0" w:color="auto"/>
              <w:right w:val="single" w:sz="4" w:space="0" w:color="auto"/>
            </w:tcBorders>
            <w:shd w:val="clear" w:color="auto" w:fill="auto"/>
            <w:noWrap/>
            <w:vAlign w:val="bottom"/>
            <w:hideMark/>
          </w:tcPr>
          <w:p w14:paraId="72B5A6A3"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9</w:t>
            </w:r>
          </w:p>
        </w:tc>
        <w:tc>
          <w:tcPr>
            <w:tcW w:w="1098" w:type="dxa"/>
            <w:tcBorders>
              <w:top w:val="nil"/>
              <w:left w:val="nil"/>
              <w:bottom w:val="single" w:sz="4" w:space="0" w:color="auto"/>
              <w:right w:val="single" w:sz="4" w:space="0" w:color="auto"/>
            </w:tcBorders>
            <w:shd w:val="clear" w:color="auto" w:fill="auto"/>
            <w:noWrap/>
            <w:vAlign w:val="bottom"/>
            <w:hideMark/>
          </w:tcPr>
          <w:p w14:paraId="3DC6A683" w14:textId="77777777" w:rsidR="00876E09" w:rsidRPr="00876E09" w:rsidRDefault="00876E09" w:rsidP="00876E09">
            <w:pPr>
              <w:spacing w:after="0"/>
              <w:ind w:firstLine="0"/>
              <w:jc w:val="center"/>
              <w:rPr>
                <w:rFonts w:eastAsia="Times New Roman" w:cs="Times New Roman"/>
                <w:sz w:val="18"/>
                <w:szCs w:val="18"/>
              </w:rPr>
            </w:pPr>
            <w:r w:rsidRPr="00876E09">
              <w:rPr>
                <w:rFonts w:eastAsia="Times New Roman" w:cs="Times New Roman"/>
                <w:sz w:val="18"/>
                <w:szCs w:val="18"/>
              </w:rPr>
              <w:t>10</w:t>
            </w:r>
          </w:p>
        </w:tc>
      </w:tr>
      <w:tr w:rsidR="00876E09" w:rsidRPr="00876E09" w14:paraId="4462C42C" w14:textId="77777777" w:rsidTr="003A0BFD">
        <w:trPr>
          <w:trHeight w:val="276"/>
        </w:trPr>
        <w:tc>
          <w:tcPr>
            <w:tcW w:w="4424" w:type="dxa"/>
            <w:tcBorders>
              <w:top w:val="nil"/>
              <w:left w:val="single" w:sz="4" w:space="0" w:color="auto"/>
              <w:bottom w:val="single" w:sz="4" w:space="0" w:color="auto"/>
              <w:right w:val="nil"/>
            </w:tcBorders>
            <w:shd w:val="clear" w:color="auto" w:fill="auto"/>
            <w:noWrap/>
            <w:vAlign w:val="bottom"/>
            <w:hideMark/>
          </w:tcPr>
          <w:p w14:paraId="4C534B64" w14:textId="77777777" w:rsidR="00876E09" w:rsidRPr="00876E09" w:rsidRDefault="00876E09" w:rsidP="00876E09">
            <w:pPr>
              <w:spacing w:after="0"/>
              <w:ind w:firstLine="0"/>
              <w:jc w:val="left"/>
              <w:rPr>
                <w:rFonts w:eastAsia="Times New Roman" w:cs="Times New Roman"/>
                <w:sz w:val="18"/>
                <w:szCs w:val="18"/>
              </w:rPr>
            </w:pPr>
            <w:r w:rsidRPr="00876E09">
              <w:rPr>
                <w:rFonts w:eastAsia="Times New Roman" w:cs="Times New Roman"/>
                <w:sz w:val="18"/>
                <w:szCs w:val="18"/>
              </w:rPr>
              <w:t>Izdienas pensijas</w:t>
            </w:r>
          </w:p>
        </w:tc>
        <w:tc>
          <w:tcPr>
            <w:tcW w:w="869" w:type="dxa"/>
            <w:tcBorders>
              <w:top w:val="nil"/>
              <w:left w:val="single" w:sz="4" w:space="0" w:color="auto"/>
              <w:bottom w:val="nil"/>
              <w:right w:val="single" w:sz="4" w:space="0" w:color="auto"/>
            </w:tcBorders>
            <w:shd w:val="clear" w:color="auto" w:fill="auto"/>
            <w:noWrap/>
            <w:vAlign w:val="bottom"/>
            <w:hideMark/>
          </w:tcPr>
          <w:p w14:paraId="3280141F"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569,90</w:t>
            </w:r>
          </w:p>
        </w:tc>
        <w:tc>
          <w:tcPr>
            <w:tcW w:w="966" w:type="dxa"/>
            <w:tcBorders>
              <w:top w:val="nil"/>
              <w:left w:val="nil"/>
              <w:bottom w:val="nil"/>
              <w:right w:val="single" w:sz="4" w:space="0" w:color="auto"/>
            </w:tcBorders>
            <w:shd w:val="clear" w:color="auto" w:fill="auto"/>
            <w:noWrap/>
            <w:vAlign w:val="bottom"/>
            <w:hideMark/>
          </w:tcPr>
          <w:p w14:paraId="7690A61A"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9 712</w:t>
            </w:r>
          </w:p>
        </w:tc>
        <w:tc>
          <w:tcPr>
            <w:tcW w:w="1107" w:type="dxa"/>
            <w:tcBorders>
              <w:top w:val="nil"/>
              <w:left w:val="nil"/>
              <w:bottom w:val="nil"/>
              <w:right w:val="single" w:sz="4" w:space="0" w:color="auto"/>
            </w:tcBorders>
            <w:shd w:val="clear" w:color="auto" w:fill="auto"/>
            <w:noWrap/>
            <w:vAlign w:val="bottom"/>
            <w:hideMark/>
          </w:tcPr>
          <w:p w14:paraId="2641202B"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66 418 478</w:t>
            </w:r>
          </w:p>
        </w:tc>
        <w:tc>
          <w:tcPr>
            <w:tcW w:w="1238" w:type="dxa"/>
            <w:tcBorders>
              <w:top w:val="nil"/>
              <w:left w:val="nil"/>
              <w:bottom w:val="nil"/>
              <w:right w:val="single" w:sz="4" w:space="0" w:color="auto"/>
            </w:tcBorders>
            <w:shd w:val="clear" w:color="auto" w:fill="auto"/>
            <w:noWrap/>
            <w:vAlign w:val="bottom"/>
            <w:hideMark/>
          </w:tcPr>
          <w:p w14:paraId="2B7BDAAE"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597,07</w:t>
            </w:r>
          </w:p>
        </w:tc>
        <w:tc>
          <w:tcPr>
            <w:tcW w:w="1171" w:type="dxa"/>
            <w:tcBorders>
              <w:top w:val="nil"/>
              <w:left w:val="nil"/>
              <w:bottom w:val="nil"/>
              <w:right w:val="nil"/>
            </w:tcBorders>
            <w:shd w:val="clear" w:color="auto" w:fill="auto"/>
            <w:noWrap/>
            <w:vAlign w:val="bottom"/>
            <w:hideMark/>
          </w:tcPr>
          <w:p w14:paraId="4980FC82"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10 290</w:t>
            </w:r>
          </w:p>
        </w:tc>
        <w:tc>
          <w:tcPr>
            <w:tcW w:w="1126" w:type="dxa"/>
            <w:tcBorders>
              <w:top w:val="single" w:sz="4" w:space="0" w:color="auto"/>
              <w:left w:val="single" w:sz="4" w:space="0" w:color="auto"/>
              <w:bottom w:val="nil"/>
              <w:right w:val="nil"/>
            </w:tcBorders>
            <w:shd w:val="clear" w:color="auto" w:fill="auto"/>
            <w:noWrap/>
            <w:vAlign w:val="bottom"/>
            <w:hideMark/>
          </w:tcPr>
          <w:p w14:paraId="7463E303"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73 725 734</w:t>
            </w:r>
          </w:p>
        </w:tc>
        <w:tc>
          <w:tcPr>
            <w:tcW w:w="1191" w:type="dxa"/>
            <w:tcBorders>
              <w:top w:val="nil"/>
              <w:left w:val="single" w:sz="4" w:space="0" w:color="auto"/>
              <w:bottom w:val="nil"/>
              <w:right w:val="single" w:sz="4" w:space="0" w:color="auto"/>
            </w:tcBorders>
            <w:shd w:val="clear" w:color="auto" w:fill="auto"/>
            <w:noWrap/>
            <w:vAlign w:val="bottom"/>
            <w:hideMark/>
          </w:tcPr>
          <w:p w14:paraId="3708D77C"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644,40</w:t>
            </w:r>
          </w:p>
        </w:tc>
        <w:tc>
          <w:tcPr>
            <w:tcW w:w="803" w:type="dxa"/>
            <w:tcBorders>
              <w:top w:val="nil"/>
              <w:left w:val="nil"/>
              <w:bottom w:val="nil"/>
              <w:right w:val="single" w:sz="4" w:space="0" w:color="auto"/>
            </w:tcBorders>
            <w:shd w:val="clear" w:color="auto" w:fill="auto"/>
            <w:noWrap/>
            <w:vAlign w:val="bottom"/>
            <w:hideMark/>
          </w:tcPr>
          <w:p w14:paraId="693F9160"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10 845</w:t>
            </w:r>
          </w:p>
        </w:tc>
        <w:tc>
          <w:tcPr>
            <w:tcW w:w="1098" w:type="dxa"/>
            <w:tcBorders>
              <w:top w:val="nil"/>
              <w:left w:val="nil"/>
              <w:bottom w:val="nil"/>
              <w:right w:val="single" w:sz="4" w:space="0" w:color="auto"/>
            </w:tcBorders>
            <w:shd w:val="clear" w:color="auto" w:fill="auto"/>
            <w:noWrap/>
            <w:vAlign w:val="bottom"/>
            <w:hideMark/>
          </w:tcPr>
          <w:p w14:paraId="46B90E34"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83 862 237</w:t>
            </w:r>
          </w:p>
        </w:tc>
      </w:tr>
      <w:tr w:rsidR="00876E09" w:rsidRPr="00876E09" w14:paraId="1703875B" w14:textId="77777777" w:rsidTr="003A0BFD">
        <w:trPr>
          <w:trHeight w:val="528"/>
        </w:trPr>
        <w:tc>
          <w:tcPr>
            <w:tcW w:w="4424" w:type="dxa"/>
            <w:tcBorders>
              <w:top w:val="nil"/>
              <w:left w:val="single" w:sz="4" w:space="0" w:color="auto"/>
              <w:bottom w:val="single" w:sz="4" w:space="0" w:color="auto"/>
              <w:right w:val="nil"/>
            </w:tcBorders>
            <w:shd w:val="clear" w:color="auto" w:fill="auto"/>
            <w:vAlign w:val="bottom"/>
            <w:hideMark/>
          </w:tcPr>
          <w:p w14:paraId="1C0C9950" w14:textId="77777777" w:rsidR="00876E09" w:rsidRPr="00876E09" w:rsidRDefault="00876E09" w:rsidP="00876E09">
            <w:pPr>
              <w:spacing w:after="0"/>
              <w:ind w:firstLine="0"/>
              <w:jc w:val="left"/>
              <w:rPr>
                <w:rFonts w:eastAsia="Times New Roman" w:cs="Times New Roman"/>
                <w:sz w:val="18"/>
                <w:szCs w:val="18"/>
              </w:rPr>
            </w:pPr>
            <w:r w:rsidRPr="00876E09">
              <w:rPr>
                <w:rFonts w:eastAsia="Times New Roman" w:cs="Times New Roman"/>
                <w:sz w:val="18"/>
                <w:szCs w:val="18"/>
              </w:rPr>
              <w:t>Apbedīšanas pabalsts, ja miris izdienas pensijas saņēmējs</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256EC"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979,68</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19AD72CE"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5</w:t>
            </w:r>
          </w:p>
        </w:tc>
        <w:tc>
          <w:tcPr>
            <w:tcW w:w="1107" w:type="dxa"/>
            <w:tcBorders>
              <w:top w:val="single" w:sz="4" w:space="0" w:color="auto"/>
              <w:left w:val="nil"/>
              <w:bottom w:val="single" w:sz="4" w:space="0" w:color="auto"/>
              <w:right w:val="single" w:sz="4" w:space="0" w:color="auto"/>
            </w:tcBorders>
            <w:shd w:val="clear" w:color="auto" w:fill="auto"/>
            <w:noWrap/>
            <w:vAlign w:val="bottom"/>
            <w:hideMark/>
          </w:tcPr>
          <w:p w14:paraId="2E19FEDC"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58 781</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36531657"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979,68</w:t>
            </w:r>
          </w:p>
        </w:tc>
        <w:tc>
          <w:tcPr>
            <w:tcW w:w="1171" w:type="dxa"/>
            <w:tcBorders>
              <w:top w:val="single" w:sz="4" w:space="0" w:color="auto"/>
              <w:left w:val="nil"/>
              <w:bottom w:val="single" w:sz="4" w:space="0" w:color="auto"/>
              <w:right w:val="single" w:sz="4" w:space="0" w:color="auto"/>
            </w:tcBorders>
            <w:shd w:val="clear" w:color="auto" w:fill="auto"/>
            <w:noWrap/>
            <w:vAlign w:val="bottom"/>
            <w:hideMark/>
          </w:tcPr>
          <w:p w14:paraId="2C8CC7F8"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5</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14:paraId="2FE0500F"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58 781</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14:paraId="4B6C168E"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979,68</w:t>
            </w:r>
          </w:p>
        </w:tc>
        <w:tc>
          <w:tcPr>
            <w:tcW w:w="803" w:type="dxa"/>
            <w:tcBorders>
              <w:top w:val="single" w:sz="4" w:space="0" w:color="auto"/>
              <w:left w:val="nil"/>
              <w:bottom w:val="single" w:sz="4" w:space="0" w:color="auto"/>
              <w:right w:val="single" w:sz="4" w:space="0" w:color="auto"/>
            </w:tcBorders>
            <w:shd w:val="clear" w:color="auto" w:fill="auto"/>
            <w:noWrap/>
            <w:vAlign w:val="bottom"/>
            <w:hideMark/>
          </w:tcPr>
          <w:p w14:paraId="0CAA2DE4"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5</w:t>
            </w:r>
          </w:p>
        </w:tc>
        <w:tc>
          <w:tcPr>
            <w:tcW w:w="1098" w:type="dxa"/>
            <w:tcBorders>
              <w:top w:val="single" w:sz="4" w:space="0" w:color="auto"/>
              <w:left w:val="nil"/>
              <w:bottom w:val="single" w:sz="4" w:space="0" w:color="auto"/>
              <w:right w:val="single" w:sz="4" w:space="0" w:color="auto"/>
            </w:tcBorders>
            <w:shd w:val="clear" w:color="auto" w:fill="auto"/>
            <w:noWrap/>
            <w:vAlign w:val="bottom"/>
            <w:hideMark/>
          </w:tcPr>
          <w:p w14:paraId="77AF314E"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58 781</w:t>
            </w:r>
          </w:p>
        </w:tc>
      </w:tr>
      <w:tr w:rsidR="00876E09" w:rsidRPr="00876E09" w14:paraId="113FDE7D" w14:textId="77777777" w:rsidTr="003A0BFD">
        <w:trPr>
          <w:trHeight w:val="528"/>
        </w:trPr>
        <w:tc>
          <w:tcPr>
            <w:tcW w:w="4424" w:type="dxa"/>
            <w:tcBorders>
              <w:top w:val="nil"/>
              <w:left w:val="single" w:sz="4" w:space="0" w:color="auto"/>
              <w:bottom w:val="single" w:sz="4" w:space="0" w:color="auto"/>
              <w:right w:val="nil"/>
            </w:tcBorders>
            <w:shd w:val="clear" w:color="auto" w:fill="auto"/>
            <w:vAlign w:val="bottom"/>
            <w:hideMark/>
          </w:tcPr>
          <w:p w14:paraId="7D6C7802" w14:textId="77777777" w:rsidR="00876E09" w:rsidRPr="00876E09" w:rsidRDefault="00876E09" w:rsidP="00876E09">
            <w:pPr>
              <w:spacing w:after="0"/>
              <w:ind w:firstLine="0"/>
              <w:jc w:val="left"/>
              <w:rPr>
                <w:rFonts w:eastAsia="Times New Roman" w:cs="Times New Roman"/>
                <w:sz w:val="18"/>
                <w:szCs w:val="18"/>
              </w:rPr>
            </w:pPr>
            <w:r w:rsidRPr="00876E09">
              <w:rPr>
                <w:rFonts w:eastAsia="Times New Roman" w:cs="Times New Roman"/>
                <w:sz w:val="18"/>
                <w:szCs w:val="18"/>
              </w:rPr>
              <w:t>Pabalsts izdienas pensijas saņēmēja nāves gadījumā pārdzīvojušajam laulātajam</w:t>
            </w:r>
          </w:p>
        </w:tc>
        <w:tc>
          <w:tcPr>
            <w:tcW w:w="869" w:type="dxa"/>
            <w:tcBorders>
              <w:top w:val="nil"/>
              <w:left w:val="single" w:sz="4" w:space="0" w:color="auto"/>
              <w:bottom w:val="single" w:sz="4" w:space="0" w:color="auto"/>
              <w:right w:val="single" w:sz="4" w:space="0" w:color="auto"/>
            </w:tcBorders>
            <w:shd w:val="clear" w:color="auto" w:fill="auto"/>
            <w:noWrap/>
            <w:vAlign w:val="bottom"/>
            <w:hideMark/>
          </w:tcPr>
          <w:p w14:paraId="4544EFA5"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979,67</w:t>
            </w:r>
          </w:p>
        </w:tc>
        <w:tc>
          <w:tcPr>
            <w:tcW w:w="966" w:type="dxa"/>
            <w:tcBorders>
              <w:top w:val="nil"/>
              <w:left w:val="nil"/>
              <w:bottom w:val="single" w:sz="4" w:space="0" w:color="auto"/>
              <w:right w:val="single" w:sz="4" w:space="0" w:color="auto"/>
            </w:tcBorders>
            <w:shd w:val="clear" w:color="auto" w:fill="auto"/>
            <w:noWrap/>
            <w:vAlign w:val="bottom"/>
            <w:hideMark/>
          </w:tcPr>
          <w:p w14:paraId="00AA5DCB"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1</w:t>
            </w:r>
          </w:p>
        </w:tc>
        <w:tc>
          <w:tcPr>
            <w:tcW w:w="1107" w:type="dxa"/>
            <w:tcBorders>
              <w:top w:val="nil"/>
              <w:left w:val="nil"/>
              <w:bottom w:val="single" w:sz="4" w:space="0" w:color="auto"/>
              <w:right w:val="single" w:sz="4" w:space="0" w:color="auto"/>
            </w:tcBorders>
            <w:shd w:val="clear" w:color="auto" w:fill="auto"/>
            <w:noWrap/>
            <w:vAlign w:val="bottom"/>
            <w:hideMark/>
          </w:tcPr>
          <w:p w14:paraId="22DCE7D9"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11 756</w:t>
            </w:r>
          </w:p>
        </w:tc>
        <w:tc>
          <w:tcPr>
            <w:tcW w:w="1238" w:type="dxa"/>
            <w:tcBorders>
              <w:top w:val="nil"/>
              <w:left w:val="nil"/>
              <w:bottom w:val="single" w:sz="4" w:space="0" w:color="auto"/>
              <w:right w:val="single" w:sz="4" w:space="0" w:color="auto"/>
            </w:tcBorders>
            <w:shd w:val="clear" w:color="auto" w:fill="auto"/>
            <w:noWrap/>
            <w:vAlign w:val="bottom"/>
            <w:hideMark/>
          </w:tcPr>
          <w:p w14:paraId="0FB74508"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979,67</w:t>
            </w:r>
          </w:p>
        </w:tc>
        <w:tc>
          <w:tcPr>
            <w:tcW w:w="1171" w:type="dxa"/>
            <w:tcBorders>
              <w:top w:val="nil"/>
              <w:left w:val="nil"/>
              <w:bottom w:val="single" w:sz="4" w:space="0" w:color="auto"/>
              <w:right w:val="single" w:sz="4" w:space="0" w:color="auto"/>
            </w:tcBorders>
            <w:shd w:val="clear" w:color="auto" w:fill="auto"/>
            <w:noWrap/>
            <w:vAlign w:val="bottom"/>
            <w:hideMark/>
          </w:tcPr>
          <w:p w14:paraId="04DFF0AE"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1</w:t>
            </w:r>
          </w:p>
        </w:tc>
        <w:tc>
          <w:tcPr>
            <w:tcW w:w="1126" w:type="dxa"/>
            <w:tcBorders>
              <w:top w:val="nil"/>
              <w:left w:val="nil"/>
              <w:bottom w:val="single" w:sz="4" w:space="0" w:color="auto"/>
              <w:right w:val="single" w:sz="4" w:space="0" w:color="auto"/>
            </w:tcBorders>
            <w:shd w:val="clear" w:color="auto" w:fill="auto"/>
            <w:noWrap/>
            <w:vAlign w:val="bottom"/>
            <w:hideMark/>
          </w:tcPr>
          <w:p w14:paraId="1E20F7DA" w14:textId="77777777" w:rsidR="00876E09" w:rsidRPr="00876E09" w:rsidRDefault="00876E09" w:rsidP="00876E09">
            <w:pPr>
              <w:spacing w:after="0"/>
              <w:ind w:firstLine="0"/>
              <w:jc w:val="right"/>
              <w:rPr>
                <w:rFonts w:eastAsia="Times New Roman" w:cs="Times New Roman"/>
                <w:color w:val="000000"/>
                <w:sz w:val="18"/>
                <w:szCs w:val="18"/>
              </w:rPr>
            </w:pPr>
            <w:r w:rsidRPr="00876E09">
              <w:rPr>
                <w:rFonts w:eastAsia="Times New Roman" w:cs="Times New Roman"/>
                <w:color w:val="000000"/>
                <w:sz w:val="18"/>
                <w:szCs w:val="18"/>
              </w:rPr>
              <w:t>11 756</w:t>
            </w:r>
          </w:p>
        </w:tc>
        <w:tc>
          <w:tcPr>
            <w:tcW w:w="1191" w:type="dxa"/>
            <w:tcBorders>
              <w:top w:val="nil"/>
              <w:left w:val="nil"/>
              <w:bottom w:val="single" w:sz="4" w:space="0" w:color="auto"/>
              <w:right w:val="single" w:sz="4" w:space="0" w:color="auto"/>
            </w:tcBorders>
            <w:shd w:val="clear" w:color="auto" w:fill="auto"/>
            <w:noWrap/>
            <w:vAlign w:val="bottom"/>
            <w:hideMark/>
          </w:tcPr>
          <w:p w14:paraId="71D11D9A" w14:textId="77777777" w:rsidR="00876E09" w:rsidRPr="00876E09" w:rsidRDefault="00876E09" w:rsidP="00876E09">
            <w:pPr>
              <w:spacing w:after="0"/>
              <w:ind w:firstLine="0"/>
              <w:jc w:val="right"/>
              <w:rPr>
                <w:rFonts w:eastAsia="Times New Roman" w:cs="Times New Roman"/>
                <w:sz w:val="18"/>
                <w:szCs w:val="18"/>
              </w:rPr>
            </w:pPr>
            <w:r w:rsidRPr="00876E09">
              <w:rPr>
                <w:rFonts w:eastAsia="Times New Roman" w:cs="Times New Roman"/>
                <w:sz w:val="18"/>
                <w:szCs w:val="18"/>
              </w:rPr>
              <w:t>979,67</w:t>
            </w:r>
          </w:p>
        </w:tc>
        <w:tc>
          <w:tcPr>
            <w:tcW w:w="803" w:type="dxa"/>
            <w:tcBorders>
              <w:top w:val="nil"/>
              <w:left w:val="nil"/>
              <w:bottom w:val="single" w:sz="4" w:space="0" w:color="auto"/>
              <w:right w:val="single" w:sz="4" w:space="0" w:color="auto"/>
            </w:tcBorders>
            <w:shd w:val="clear" w:color="auto" w:fill="auto"/>
            <w:noWrap/>
            <w:vAlign w:val="bottom"/>
            <w:hideMark/>
          </w:tcPr>
          <w:p w14:paraId="7E69965D" w14:textId="77777777" w:rsidR="00876E09" w:rsidRPr="00876E09" w:rsidRDefault="00876E09" w:rsidP="00876E09">
            <w:pPr>
              <w:spacing w:after="0"/>
              <w:ind w:firstLine="0"/>
              <w:jc w:val="right"/>
              <w:rPr>
                <w:rFonts w:eastAsia="Times New Roman" w:cs="Times New Roman"/>
                <w:sz w:val="18"/>
                <w:szCs w:val="18"/>
              </w:rPr>
            </w:pPr>
            <w:r w:rsidRPr="00876E09">
              <w:rPr>
                <w:rFonts w:eastAsia="Times New Roman" w:cs="Times New Roman"/>
                <w:sz w:val="18"/>
                <w:szCs w:val="18"/>
              </w:rPr>
              <w:t>1</w:t>
            </w:r>
          </w:p>
        </w:tc>
        <w:tc>
          <w:tcPr>
            <w:tcW w:w="1098" w:type="dxa"/>
            <w:tcBorders>
              <w:top w:val="nil"/>
              <w:left w:val="nil"/>
              <w:bottom w:val="single" w:sz="4" w:space="0" w:color="auto"/>
              <w:right w:val="single" w:sz="4" w:space="0" w:color="auto"/>
            </w:tcBorders>
            <w:shd w:val="clear" w:color="auto" w:fill="auto"/>
            <w:noWrap/>
            <w:vAlign w:val="bottom"/>
            <w:hideMark/>
          </w:tcPr>
          <w:p w14:paraId="33BA684B" w14:textId="77777777" w:rsidR="00876E09" w:rsidRPr="00876E09" w:rsidRDefault="00876E09" w:rsidP="00876E09">
            <w:pPr>
              <w:spacing w:after="0"/>
              <w:ind w:firstLine="0"/>
              <w:jc w:val="right"/>
              <w:rPr>
                <w:rFonts w:eastAsia="Times New Roman" w:cs="Times New Roman"/>
                <w:sz w:val="18"/>
                <w:szCs w:val="18"/>
              </w:rPr>
            </w:pPr>
            <w:r w:rsidRPr="00876E09">
              <w:rPr>
                <w:rFonts w:eastAsia="Times New Roman" w:cs="Times New Roman"/>
                <w:sz w:val="18"/>
                <w:szCs w:val="18"/>
              </w:rPr>
              <w:t>11 756</w:t>
            </w:r>
          </w:p>
        </w:tc>
      </w:tr>
      <w:tr w:rsidR="00876E09" w:rsidRPr="00876E09" w14:paraId="37B2C8FE" w14:textId="77777777" w:rsidTr="003A0BFD">
        <w:trPr>
          <w:trHeight w:val="1266"/>
        </w:trPr>
        <w:tc>
          <w:tcPr>
            <w:tcW w:w="4424" w:type="dxa"/>
            <w:tcBorders>
              <w:top w:val="nil"/>
              <w:left w:val="single" w:sz="4" w:space="0" w:color="auto"/>
              <w:bottom w:val="single" w:sz="4" w:space="0" w:color="auto"/>
              <w:right w:val="single" w:sz="4" w:space="0" w:color="auto"/>
            </w:tcBorders>
            <w:shd w:val="clear" w:color="auto" w:fill="auto"/>
            <w:vAlign w:val="bottom"/>
            <w:hideMark/>
          </w:tcPr>
          <w:p w14:paraId="5A4721B3" w14:textId="77777777" w:rsidR="00876E09" w:rsidRPr="00876E09" w:rsidRDefault="00876E09" w:rsidP="00876E09">
            <w:pPr>
              <w:spacing w:after="0"/>
              <w:ind w:firstLine="0"/>
              <w:jc w:val="left"/>
              <w:rPr>
                <w:rFonts w:eastAsia="Times New Roman" w:cs="Times New Roman"/>
                <w:sz w:val="18"/>
                <w:szCs w:val="18"/>
              </w:rPr>
            </w:pPr>
            <w:r w:rsidRPr="00876E09">
              <w:rPr>
                <w:rFonts w:eastAsia="Times New Roman" w:cs="Times New Roman"/>
                <w:sz w:val="18"/>
                <w:szCs w:val="18"/>
              </w:rPr>
              <w:t>Piemaksas pie vecuma pensijām, lai saglabātu piešķirto izdienas pensijas apmēru tām personām, kurām izdienas pensijas piešķirtas saskaņā ar nolikumu "Par iekšlietu iestāžu ierindas un komandējošā sastāva darbinieku pensijām (darba devēju pensijām)"</w:t>
            </w:r>
          </w:p>
        </w:tc>
        <w:tc>
          <w:tcPr>
            <w:tcW w:w="869" w:type="dxa"/>
            <w:tcBorders>
              <w:top w:val="nil"/>
              <w:left w:val="nil"/>
              <w:bottom w:val="single" w:sz="4" w:space="0" w:color="auto"/>
              <w:right w:val="single" w:sz="4" w:space="0" w:color="auto"/>
            </w:tcBorders>
            <w:shd w:val="clear" w:color="auto" w:fill="auto"/>
            <w:noWrap/>
            <w:vAlign w:val="bottom"/>
            <w:hideMark/>
          </w:tcPr>
          <w:p w14:paraId="75E4A405" w14:textId="77777777" w:rsidR="00876E09" w:rsidRPr="00876E09" w:rsidRDefault="00876E09" w:rsidP="00876E09">
            <w:pPr>
              <w:spacing w:after="0"/>
              <w:ind w:firstLine="0"/>
              <w:jc w:val="right"/>
              <w:rPr>
                <w:rFonts w:eastAsia="Times New Roman" w:cs="Times New Roman"/>
                <w:sz w:val="18"/>
                <w:szCs w:val="18"/>
              </w:rPr>
            </w:pPr>
            <w:r w:rsidRPr="00876E09">
              <w:rPr>
                <w:rFonts w:eastAsia="Times New Roman" w:cs="Times New Roman"/>
                <w:sz w:val="18"/>
                <w:szCs w:val="18"/>
              </w:rPr>
              <w:t>164,92</w:t>
            </w:r>
          </w:p>
        </w:tc>
        <w:tc>
          <w:tcPr>
            <w:tcW w:w="966" w:type="dxa"/>
            <w:tcBorders>
              <w:top w:val="nil"/>
              <w:left w:val="nil"/>
              <w:bottom w:val="single" w:sz="4" w:space="0" w:color="auto"/>
              <w:right w:val="single" w:sz="4" w:space="0" w:color="auto"/>
            </w:tcBorders>
            <w:shd w:val="clear" w:color="auto" w:fill="auto"/>
            <w:noWrap/>
            <w:vAlign w:val="bottom"/>
            <w:hideMark/>
          </w:tcPr>
          <w:p w14:paraId="5F754568" w14:textId="77777777" w:rsidR="00876E09" w:rsidRPr="00876E09" w:rsidRDefault="00876E09" w:rsidP="00876E09">
            <w:pPr>
              <w:spacing w:after="0"/>
              <w:ind w:firstLine="0"/>
              <w:jc w:val="right"/>
              <w:rPr>
                <w:rFonts w:eastAsia="Times New Roman" w:cs="Times New Roman"/>
                <w:sz w:val="18"/>
                <w:szCs w:val="18"/>
              </w:rPr>
            </w:pPr>
            <w:r w:rsidRPr="00876E09">
              <w:rPr>
                <w:rFonts w:eastAsia="Times New Roman" w:cs="Times New Roman"/>
                <w:sz w:val="18"/>
                <w:szCs w:val="18"/>
              </w:rPr>
              <w:t>35</w:t>
            </w:r>
          </w:p>
        </w:tc>
        <w:tc>
          <w:tcPr>
            <w:tcW w:w="1107" w:type="dxa"/>
            <w:tcBorders>
              <w:top w:val="nil"/>
              <w:left w:val="nil"/>
              <w:bottom w:val="single" w:sz="4" w:space="0" w:color="auto"/>
              <w:right w:val="single" w:sz="4" w:space="0" w:color="auto"/>
            </w:tcBorders>
            <w:shd w:val="clear" w:color="auto" w:fill="auto"/>
            <w:noWrap/>
            <w:vAlign w:val="bottom"/>
            <w:hideMark/>
          </w:tcPr>
          <w:p w14:paraId="30F48EB5" w14:textId="77777777" w:rsidR="00876E09" w:rsidRPr="00876E09" w:rsidRDefault="00876E09" w:rsidP="00876E09">
            <w:pPr>
              <w:spacing w:after="0"/>
              <w:ind w:firstLine="0"/>
              <w:jc w:val="right"/>
              <w:rPr>
                <w:rFonts w:eastAsia="Times New Roman" w:cs="Times New Roman"/>
                <w:sz w:val="18"/>
                <w:szCs w:val="18"/>
              </w:rPr>
            </w:pPr>
            <w:r w:rsidRPr="00876E09">
              <w:rPr>
                <w:rFonts w:eastAsia="Times New Roman" w:cs="Times New Roman"/>
                <w:sz w:val="18"/>
                <w:szCs w:val="18"/>
              </w:rPr>
              <w:t>69 266</w:t>
            </w:r>
          </w:p>
        </w:tc>
        <w:tc>
          <w:tcPr>
            <w:tcW w:w="1238" w:type="dxa"/>
            <w:tcBorders>
              <w:top w:val="nil"/>
              <w:left w:val="nil"/>
              <w:bottom w:val="single" w:sz="4" w:space="0" w:color="auto"/>
              <w:right w:val="single" w:sz="4" w:space="0" w:color="auto"/>
            </w:tcBorders>
            <w:shd w:val="clear" w:color="auto" w:fill="auto"/>
            <w:noWrap/>
            <w:vAlign w:val="bottom"/>
            <w:hideMark/>
          </w:tcPr>
          <w:p w14:paraId="31138D1F" w14:textId="77777777" w:rsidR="00876E09" w:rsidRPr="00876E09" w:rsidRDefault="00876E09" w:rsidP="00876E09">
            <w:pPr>
              <w:spacing w:after="0"/>
              <w:ind w:firstLine="0"/>
              <w:jc w:val="right"/>
              <w:rPr>
                <w:rFonts w:eastAsia="Times New Roman" w:cs="Times New Roman"/>
                <w:sz w:val="18"/>
                <w:szCs w:val="18"/>
              </w:rPr>
            </w:pPr>
            <w:r w:rsidRPr="00876E09">
              <w:rPr>
                <w:rFonts w:eastAsia="Times New Roman" w:cs="Times New Roman"/>
                <w:sz w:val="18"/>
                <w:szCs w:val="18"/>
              </w:rPr>
              <w:t>173,80</w:t>
            </w:r>
          </w:p>
        </w:tc>
        <w:tc>
          <w:tcPr>
            <w:tcW w:w="1171" w:type="dxa"/>
            <w:tcBorders>
              <w:top w:val="nil"/>
              <w:left w:val="nil"/>
              <w:bottom w:val="single" w:sz="4" w:space="0" w:color="auto"/>
              <w:right w:val="single" w:sz="4" w:space="0" w:color="auto"/>
            </w:tcBorders>
            <w:shd w:val="clear" w:color="auto" w:fill="auto"/>
            <w:noWrap/>
            <w:vAlign w:val="bottom"/>
            <w:hideMark/>
          </w:tcPr>
          <w:p w14:paraId="5619B028" w14:textId="77777777" w:rsidR="00876E09" w:rsidRPr="00876E09" w:rsidRDefault="00876E09" w:rsidP="00876E09">
            <w:pPr>
              <w:spacing w:after="0"/>
              <w:ind w:firstLine="0"/>
              <w:jc w:val="right"/>
              <w:rPr>
                <w:rFonts w:eastAsia="Times New Roman" w:cs="Times New Roman"/>
                <w:sz w:val="18"/>
                <w:szCs w:val="18"/>
              </w:rPr>
            </w:pPr>
            <w:r w:rsidRPr="00876E09">
              <w:rPr>
                <w:rFonts w:eastAsia="Times New Roman" w:cs="Times New Roman"/>
                <w:sz w:val="18"/>
                <w:szCs w:val="18"/>
              </w:rPr>
              <w:t>40</w:t>
            </w:r>
          </w:p>
        </w:tc>
        <w:tc>
          <w:tcPr>
            <w:tcW w:w="1126" w:type="dxa"/>
            <w:tcBorders>
              <w:top w:val="nil"/>
              <w:left w:val="nil"/>
              <w:bottom w:val="single" w:sz="4" w:space="0" w:color="auto"/>
              <w:right w:val="single" w:sz="4" w:space="0" w:color="auto"/>
            </w:tcBorders>
            <w:shd w:val="clear" w:color="auto" w:fill="auto"/>
            <w:noWrap/>
            <w:vAlign w:val="bottom"/>
            <w:hideMark/>
          </w:tcPr>
          <w:p w14:paraId="3287DCD4" w14:textId="77777777" w:rsidR="00876E09" w:rsidRPr="00876E09" w:rsidRDefault="00876E09" w:rsidP="00876E09">
            <w:pPr>
              <w:spacing w:after="0"/>
              <w:ind w:firstLine="0"/>
              <w:jc w:val="right"/>
              <w:rPr>
                <w:rFonts w:eastAsia="Times New Roman" w:cs="Times New Roman"/>
                <w:sz w:val="18"/>
                <w:szCs w:val="18"/>
              </w:rPr>
            </w:pPr>
            <w:r w:rsidRPr="00876E09">
              <w:rPr>
                <w:rFonts w:eastAsia="Times New Roman" w:cs="Times New Roman"/>
                <w:sz w:val="18"/>
                <w:szCs w:val="18"/>
              </w:rPr>
              <w:t>83 424</w:t>
            </w:r>
          </w:p>
        </w:tc>
        <w:tc>
          <w:tcPr>
            <w:tcW w:w="1191" w:type="dxa"/>
            <w:tcBorders>
              <w:top w:val="nil"/>
              <w:left w:val="nil"/>
              <w:bottom w:val="single" w:sz="4" w:space="0" w:color="auto"/>
              <w:right w:val="single" w:sz="4" w:space="0" w:color="auto"/>
            </w:tcBorders>
            <w:shd w:val="clear" w:color="auto" w:fill="auto"/>
            <w:noWrap/>
            <w:vAlign w:val="bottom"/>
            <w:hideMark/>
          </w:tcPr>
          <w:p w14:paraId="212F72E1" w14:textId="77777777" w:rsidR="00876E09" w:rsidRPr="00876E09" w:rsidRDefault="00876E09" w:rsidP="00876E09">
            <w:pPr>
              <w:spacing w:after="0"/>
              <w:ind w:firstLine="0"/>
              <w:jc w:val="right"/>
              <w:rPr>
                <w:rFonts w:eastAsia="Times New Roman" w:cs="Times New Roman"/>
                <w:sz w:val="18"/>
                <w:szCs w:val="18"/>
              </w:rPr>
            </w:pPr>
            <w:r w:rsidRPr="00876E09">
              <w:rPr>
                <w:rFonts w:eastAsia="Times New Roman" w:cs="Times New Roman"/>
                <w:sz w:val="18"/>
                <w:szCs w:val="18"/>
              </w:rPr>
              <w:t>185,83</w:t>
            </w:r>
          </w:p>
        </w:tc>
        <w:tc>
          <w:tcPr>
            <w:tcW w:w="803" w:type="dxa"/>
            <w:tcBorders>
              <w:top w:val="nil"/>
              <w:left w:val="nil"/>
              <w:bottom w:val="single" w:sz="4" w:space="0" w:color="auto"/>
              <w:right w:val="single" w:sz="4" w:space="0" w:color="auto"/>
            </w:tcBorders>
            <w:shd w:val="clear" w:color="auto" w:fill="auto"/>
            <w:noWrap/>
            <w:vAlign w:val="bottom"/>
            <w:hideMark/>
          </w:tcPr>
          <w:p w14:paraId="3456EE9E" w14:textId="77777777" w:rsidR="00876E09" w:rsidRPr="00876E09" w:rsidRDefault="00876E09" w:rsidP="00876E09">
            <w:pPr>
              <w:spacing w:after="0"/>
              <w:ind w:firstLine="0"/>
              <w:jc w:val="right"/>
              <w:rPr>
                <w:rFonts w:eastAsia="Times New Roman" w:cs="Times New Roman"/>
                <w:sz w:val="18"/>
                <w:szCs w:val="18"/>
              </w:rPr>
            </w:pPr>
            <w:r w:rsidRPr="00876E09">
              <w:rPr>
                <w:rFonts w:eastAsia="Times New Roman" w:cs="Times New Roman"/>
                <w:sz w:val="18"/>
                <w:szCs w:val="18"/>
              </w:rPr>
              <w:t>45</w:t>
            </w:r>
          </w:p>
        </w:tc>
        <w:tc>
          <w:tcPr>
            <w:tcW w:w="1098" w:type="dxa"/>
            <w:tcBorders>
              <w:top w:val="nil"/>
              <w:left w:val="nil"/>
              <w:bottom w:val="single" w:sz="4" w:space="0" w:color="auto"/>
              <w:right w:val="single" w:sz="4" w:space="0" w:color="auto"/>
            </w:tcBorders>
            <w:shd w:val="clear" w:color="auto" w:fill="auto"/>
            <w:noWrap/>
            <w:vAlign w:val="bottom"/>
            <w:hideMark/>
          </w:tcPr>
          <w:p w14:paraId="060CE4D1" w14:textId="77777777" w:rsidR="00876E09" w:rsidRPr="00876E09" w:rsidRDefault="00876E09" w:rsidP="00876E09">
            <w:pPr>
              <w:spacing w:after="0"/>
              <w:ind w:firstLine="0"/>
              <w:jc w:val="right"/>
              <w:rPr>
                <w:rFonts w:eastAsia="Times New Roman" w:cs="Times New Roman"/>
                <w:sz w:val="18"/>
                <w:szCs w:val="18"/>
              </w:rPr>
            </w:pPr>
            <w:r w:rsidRPr="00876E09">
              <w:rPr>
                <w:rFonts w:eastAsia="Times New Roman" w:cs="Times New Roman"/>
                <w:sz w:val="18"/>
                <w:szCs w:val="18"/>
              </w:rPr>
              <w:t>100 348</w:t>
            </w:r>
          </w:p>
        </w:tc>
      </w:tr>
      <w:tr w:rsidR="00876E09" w:rsidRPr="00876E09" w14:paraId="3202D0AE" w14:textId="77777777" w:rsidTr="003A0BFD">
        <w:trPr>
          <w:trHeight w:val="276"/>
        </w:trPr>
        <w:tc>
          <w:tcPr>
            <w:tcW w:w="44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59269" w14:textId="77777777" w:rsidR="00876E09" w:rsidRPr="00876E09" w:rsidRDefault="00876E09" w:rsidP="00876E09">
            <w:pPr>
              <w:spacing w:after="0"/>
              <w:ind w:firstLine="0"/>
              <w:jc w:val="left"/>
              <w:rPr>
                <w:rFonts w:eastAsia="Times New Roman" w:cs="Times New Roman"/>
                <w:b/>
                <w:bCs/>
                <w:sz w:val="18"/>
                <w:szCs w:val="18"/>
              </w:rPr>
            </w:pPr>
            <w:r w:rsidRPr="00876E09">
              <w:rPr>
                <w:rFonts w:eastAsia="Times New Roman" w:cs="Times New Roman"/>
                <w:b/>
                <w:bCs/>
                <w:sz w:val="18"/>
                <w:szCs w:val="18"/>
              </w:rPr>
              <w:t>KOPĀ</w:t>
            </w:r>
          </w:p>
        </w:tc>
        <w:tc>
          <w:tcPr>
            <w:tcW w:w="869" w:type="dxa"/>
            <w:tcBorders>
              <w:top w:val="nil"/>
              <w:left w:val="nil"/>
              <w:bottom w:val="single" w:sz="4" w:space="0" w:color="auto"/>
              <w:right w:val="single" w:sz="4" w:space="0" w:color="auto"/>
            </w:tcBorders>
            <w:shd w:val="clear" w:color="auto" w:fill="auto"/>
            <w:noWrap/>
            <w:vAlign w:val="center"/>
            <w:hideMark/>
          </w:tcPr>
          <w:p w14:paraId="7C5EB3B0" w14:textId="77777777" w:rsidR="00876E09" w:rsidRPr="00876E09" w:rsidRDefault="00876E09" w:rsidP="00876E09">
            <w:pPr>
              <w:spacing w:after="0"/>
              <w:ind w:firstLine="0"/>
              <w:jc w:val="center"/>
              <w:rPr>
                <w:rFonts w:eastAsia="Times New Roman" w:cs="Times New Roman"/>
                <w:b/>
                <w:bCs/>
                <w:sz w:val="18"/>
                <w:szCs w:val="18"/>
              </w:rPr>
            </w:pPr>
            <w:r w:rsidRPr="00876E09">
              <w:rPr>
                <w:rFonts w:eastAsia="Times New Roman" w:cs="Times New Roman"/>
                <w:b/>
                <w:bCs/>
                <w:sz w:val="18"/>
                <w:szCs w:val="18"/>
              </w:rPr>
              <w:t>x</w:t>
            </w:r>
          </w:p>
        </w:tc>
        <w:tc>
          <w:tcPr>
            <w:tcW w:w="966" w:type="dxa"/>
            <w:tcBorders>
              <w:top w:val="nil"/>
              <w:left w:val="nil"/>
              <w:bottom w:val="single" w:sz="4" w:space="0" w:color="auto"/>
              <w:right w:val="single" w:sz="4" w:space="0" w:color="auto"/>
            </w:tcBorders>
            <w:shd w:val="clear" w:color="auto" w:fill="auto"/>
            <w:noWrap/>
            <w:vAlign w:val="center"/>
            <w:hideMark/>
          </w:tcPr>
          <w:p w14:paraId="58205634" w14:textId="77777777" w:rsidR="00876E09" w:rsidRPr="00876E09" w:rsidRDefault="00876E09" w:rsidP="00876E09">
            <w:pPr>
              <w:spacing w:after="0"/>
              <w:ind w:firstLine="0"/>
              <w:jc w:val="center"/>
              <w:rPr>
                <w:rFonts w:eastAsia="Times New Roman" w:cs="Times New Roman"/>
                <w:b/>
                <w:bCs/>
                <w:sz w:val="18"/>
                <w:szCs w:val="18"/>
              </w:rPr>
            </w:pPr>
            <w:r w:rsidRPr="00876E09">
              <w:rPr>
                <w:rFonts w:eastAsia="Times New Roman" w:cs="Times New Roman"/>
                <w:b/>
                <w:bCs/>
                <w:sz w:val="18"/>
                <w:szCs w:val="18"/>
              </w:rPr>
              <w:t>x</w:t>
            </w:r>
          </w:p>
        </w:tc>
        <w:tc>
          <w:tcPr>
            <w:tcW w:w="1107" w:type="dxa"/>
            <w:tcBorders>
              <w:top w:val="nil"/>
              <w:left w:val="nil"/>
              <w:bottom w:val="single" w:sz="4" w:space="0" w:color="auto"/>
              <w:right w:val="single" w:sz="4" w:space="0" w:color="auto"/>
            </w:tcBorders>
            <w:shd w:val="clear" w:color="auto" w:fill="auto"/>
            <w:noWrap/>
            <w:vAlign w:val="center"/>
            <w:hideMark/>
          </w:tcPr>
          <w:p w14:paraId="6B97FF0D" w14:textId="77777777" w:rsidR="00876E09" w:rsidRPr="00876E09" w:rsidRDefault="00876E09" w:rsidP="00876E09">
            <w:pPr>
              <w:spacing w:after="0"/>
              <w:ind w:firstLine="0"/>
              <w:jc w:val="right"/>
              <w:rPr>
                <w:rFonts w:eastAsia="Times New Roman" w:cs="Times New Roman"/>
                <w:b/>
                <w:bCs/>
                <w:sz w:val="18"/>
                <w:szCs w:val="18"/>
              </w:rPr>
            </w:pPr>
            <w:r w:rsidRPr="00876E09">
              <w:rPr>
                <w:rFonts w:eastAsia="Times New Roman" w:cs="Times New Roman"/>
                <w:b/>
                <w:bCs/>
                <w:sz w:val="18"/>
                <w:szCs w:val="18"/>
              </w:rPr>
              <w:t>66 558 281</w:t>
            </w:r>
          </w:p>
        </w:tc>
        <w:tc>
          <w:tcPr>
            <w:tcW w:w="1238" w:type="dxa"/>
            <w:tcBorders>
              <w:top w:val="nil"/>
              <w:left w:val="nil"/>
              <w:bottom w:val="single" w:sz="4" w:space="0" w:color="auto"/>
              <w:right w:val="nil"/>
            </w:tcBorders>
            <w:shd w:val="clear" w:color="auto" w:fill="auto"/>
            <w:noWrap/>
            <w:vAlign w:val="center"/>
            <w:hideMark/>
          </w:tcPr>
          <w:p w14:paraId="412080B8" w14:textId="77777777" w:rsidR="00876E09" w:rsidRPr="00876E09" w:rsidRDefault="00876E09" w:rsidP="00876E09">
            <w:pPr>
              <w:spacing w:after="0"/>
              <w:ind w:firstLine="0"/>
              <w:jc w:val="center"/>
              <w:rPr>
                <w:rFonts w:eastAsia="Times New Roman" w:cs="Times New Roman"/>
                <w:b/>
                <w:bCs/>
                <w:sz w:val="18"/>
                <w:szCs w:val="18"/>
              </w:rPr>
            </w:pPr>
            <w:r w:rsidRPr="00876E09">
              <w:rPr>
                <w:rFonts w:eastAsia="Times New Roman" w:cs="Times New Roman"/>
                <w:b/>
                <w:bCs/>
                <w:sz w:val="18"/>
                <w:szCs w:val="18"/>
              </w:rPr>
              <w:t>x</w:t>
            </w:r>
          </w:p>
        </w:tc>
        <w:tc>
          <w:tcPr>
            <w:tcW w:w="1171" w:type="dxa"/>
            <w:tcBorders>
              <w:top w:val="nil"/>
              <w:left w:val="single" w:sz="4" w:space="0" w:color="auto"/>
              <w:bottom w:val="single" w:sz="4" w:space="0" w:color="auto"/>
              <w:right w:val="single" w:sz="4" w:space="0" w:color="auto"/>
            </w:tcBorders>
            <w:shd w:val="clear" w:color="auto" w:fill="auto"/>
            <w:noWrap/>
            <w:vAlign w:val="center"/>
            <w:hideMark/>
          </w:tcPr>
          <w:p w14:paraId="16F6FB5F" w14:textId="77777777" w:rsidR="00876E09" w:rsidRPr="00876E09" w:rsidRDefault="00876E09" w:rsidP="00876E09">
            <w:pPr>
              <w:spacing w:after="0"/>
              <w:ind w:firstLine="0"/>
              <w:jc w:val="center"/>
              <w:rPr>
                <w:rFonts w:eastAsia="Times New Roman" w:cs="Times New Roman"/>
                <w:b/>
                <w:bCs/>
                <w:sz w:val="18"/>
                <w:szCs w:val="18"/>
              </w:rPr>
            </w:pPr>
            <w:r w:rsidRPr="00876E09">
              <w:rPr>
                <w:rFonts w:eastAsia="Times New Roman" w:cs="Times New Roman"/>
                <w:b/>
                <w:bCs/>
                <w:sz w:val="18"/>
                <w:szCs w:val="18"/>
              </w:rPr>
              <w:t>x</w:t>
            </w:r>
          </w:p>
        </w:tc>
        <w:tc>
          <w:tcPr>
            <w:tcW w:w="1126" w:type="dxa"/>
            <w:tcBorders>
              <w:top w:val="nil"/>
              <w:left w:val="nil"/>
              <w:bottom w:val="single" w:sz="4" w:space="0" w:color="auto"/>
              <w:right w:val="single" w:sz="4" w:space="0" w:color="auto"/>
            </w:tcBorders>
            <w:shd w:val="clear" w:color="auto" w:fill="auto"/>
            <w:noWrap/>
            <w:vAlign w:val="center"/>
            <w:hideMark/>
          </w:tcPr>
          <w:p w14:paraId="1C162DE7" w14:textId="77777777" w:rsidR="00876E09" w:rsidRPr="00876E09" w:rsidRDefault="00876E09" w:rsidP="00876E09">
            <w:pPr>
              <w:spacing w:after="0"/>
              <w:ind w:firstLine="0"/>
              <w:jc w:val="right"/>
              <w:rPr>
                <w:rFonts w:eastAsia="Times New Roman" w:cs="Times New Roman"/>
                <w:b/>
                <w:bCs/>
                <w:sz w:val="18"/>
                <w:szCs w:val="18"/>
              </w:rPr>
            </w:pPr>
            <w:r w:rsidRPr="00876E09">
              <w:rPr>
                <w:rFonts w:eastAsia="Times New Roman" w:cs="Times New Roman"/>
                <w:b/>
                <w:bCs/>
                <w:sz w:val="18"/>
                <w:szCs w:val="18"/>
              </w:rPr>
              <w:t>73 879 695</w:t>
            </w:r>
          </w:p>
        </w:tc>
        <w:tc>
          <w:tcPr>
            <w:tcW w:w="1191" w:type="dxa"/>
            <w:tcBorders>
              <w:top w:val="nil"/>
              <w:left w:val="nil"/>
              <w:bottom w:val="single" w:sz="4" w:space="0" w:color="auto"/>
              <w:right w:val="nil"/>
            </w:tcBorders>
            <w:shd w:val="clear" w:color="auto" w:fill="auto"/>
            <w:noWrap/>
            <w:vAlign w:val="center"/>
            <w:hideMark/>
          </w:tcPr>
          <w:p w14:paraId="19EBA7D9" w14:textId="77777777" w:rsidR="00876E09" w:rsidRPr="00876E09" w:rsidRDefault="00876E09" w:rsidP="00876E09">
            <w:pPr>
              <w:spacing w:after="0"/>
              <w:ind w:firstLine="0"/>
              <w:jc w:val="center"/>
              <w:rPr>
                <w:rFonts w:eastAsia="Times New Roman" w:cs="Times New Roman"/>
                <w:b/>
                <w:bCs/>
                <w:sz w:val="18"/>
                <w:szCs w:val="18"/>
              </w:rPr>
            </w:pPr>
            <w:r w:rsidRPr="00876E09">
              <w:rPr>
                <w:rFonts w:eastAsia="Times New Roman" w:cs="Times New Roman"/>
                <w:b/>
                <w:bCs/>
                <w:sz w:val="18"/>
                <w:szCs w:val="18"/>
              </w:rPr>
              <w:t>x</w:t>
            </w:r>
          </w:p>
        </w:tc>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0092FAC4" w14:textId="77777777" w:rsidR="00876E09" w:rsidRPr="00876E09" w:rsidRDefault="00876E09" w:rsidP="00876E09">
            <w:pPr>
              <w:spacing w:after="0"/>
              <w:ind w:firstLine="0"/>
              <w:jc w:val="center"/>
              <w:rPr>
                <w:rFonts w:eastAsia="Times New Roman" w:cs="Times New Roman"/>
                <w:b/>
                <w:bCs/>
                <w:sz w:val="18"/>
                <w:szCs w:val="18"/>
              </w:rPr>
            </w:pPr>
            <w:r w:rsidRPr="00876E09">
              <w:rPr>
                <w:rFonts w:eastAsia="Times New Roman" w:cs="Times New Roman"/>
                <w:b/>
                <w:bCs/>
                <w:sz w:val="18"/>
                <w:szCs w:val="18"/>
              </w:rPr>
              <w:t>x</w:t>
            </w:r>
          </w:p>
        </w:tc>
        <w:tc>
          <w:tcPr>
            <w:tcW w:w="1098" w:type="dxa"/>
            <w:tcBorders>
              <w:top w:val="nil"/>
              <w:left w:val="nil"/>
              <w:bottom w:val="single" w:sz="4" w:space="0" w:color="auto"/>
              <w:right w:val="single" w:sz="4" w:space="0" w:color="auto"/>
            </w:tcBorders>
            <w:shd w:val="clear" w:color="auto" w:fill="auto"/>
            <w:noWrap/>
            <w:vAlign w:val="center"/>
            <w:hideMark/>
          </w:tcPr>
          <w:p w14:paraId="21AAD6E5" w14:textId="77777777" w:rsidR="00876E09" w:rsidRPr="00876E09" w:rsidRDefault="00876E09" w:rsidP="00876E09">
            <w:pPr>
              <w:spacing w:after="0"/>
              <w:ind w:firstLine="0"/>
              <w:jc w:val="right"/>
              <w:rPr>
                <w:rFonts w:eastAsia="Times New Roman" w:cs="Times New Roman"/>
                <w:b/>
                <w:bCs/>
                <w:sz w:val="18"/>
                <w:szCs w:val="18"/>
              </w:rPr>
            </w:pPr>
            <w:r w:rsidRPr="00876E09">
              <w:rPr>
                <w:rFonts w:eastAsia="Times New Roman" w:cs="Times New Roman"/>
                <w:b/>
                <w:bCs/>
                <w:sz w:val="18"/>
                <w:szCs w:val="18"/>
              </w:rPr>
              <w:t>84 033 122</w:t>
            </w:r>
          </w:p>
        </w:tc>
      </w:tr>
    </w:tbl>
    <w:p w14:paraId="253FA6C6" w14:textId="4FD8CE95" w:rsidR="00C404D5" w:rsidRPr="00C404D5" w:rsidRDefault="004F6A3A" w:rsidP="00D84B9C">
      <w:pPr>
        <w:widowControl w:val="0"/>
        <w:spacing w:before="120"/>
        <w:ind w:firstLine="0"/>
        <w:rPr>
          <w:rFonts w:eastAsia="Calibri" w:cs="Times New Roman"/>
          <w:i/>
          <w:sz w:val="20"/>
        </w:rPr>
      </w:pPr>
      <w:r>
        <w:rPr>
          <w:rFonts w:eastAsia="Calibri" w:cs="Times New Roman"/>
          <w:i/>
          <w:sz w:val="20"/>
        </w:rPr>
        <w:t>Datu avots: Finanšu ministrija</w:t>
      </w:r>
    </w:p>
    <w:p w14:paraId="55FFE02F" w14:textId="23F115B4" w:rsidR="005E7346" w:rsidRDefault="005E7346" w:rsidP="00C404D5">
      <w:pPr>
        <w:widowControl w:val="0"/>
        <w:rPr>
          <w:rFonts w:eastAsia="Times New Roman" w:cs="Times New Roman"/>
          <w:b/>
          <w:color w:val="000000"/>
        </w:rPr>
      </w:pPr>
    </w:p>
    <w:p w14:paraId="5448510D" w14:textId="77777777" w:rsidR="005E7346" w:rsidRDefault="005E7346" w:rsidP="00401A5B">
      <w:pPr>
        <w:widowControl w:val="0"/>
        <w:jc w:val="center"/>
        <w:rPr>
          <w:rFonts w:eastAsia="Times New Roman" w:cs="Times New Roman"/>
          <w:b/>
          <w:color w:val="000000"/>
        </w:rPr>
      </w:pPr>
    </w:p>
    <w:p w14:paraId="755A41BA" w14:textId="3F76D9EF" w:rsidR="005E7346" w:rsidRDefault="005E7346" w:rsidP="00401A5B">
      <w:pPr>
        <w:widowControl w:val="0"/>
        <w:jc w:val="center"/>
        <w:rPr>
          <w:rFonts w:eastAsia="Times New Roman" w:cs="Times New Roman"/>
          <w:b/>
          <w:color w:val="000000"/>
        </w:rPr>
      </w:pPr>
    </w:p>
    <w:p w14:paraId="0785AC52" w14:textId="0EF757AC" w:rsidR="00890A0D" w:rsidRDefault="00890A0D" w:rsidP="00D84B9C">
      <w:pPr>
        <w:widowControl w:val="0"/>
        <w:ind w:firstLine="0"/>
        <w:rPr>
          <w:rFonts w:eastAsia="Times New Roman" w:cs="Times New Roman"/>
          <w:color w:val="000000"/>
          <w:sz w:val="28"/>
        </w:rPr>
      </w:pPr>
    </w:p>
    <w:p w14:paraId="22986CE4" w14:textId="675CC68A" w:rsidR="005E7346" w:rsidRPr="001D773D" w:rsidRDefault="004F6A3A" w:rsidP="000F6C00">
      <w:pPr>
        <w:widowControl w:val="0"/>
        <w:jc w:val="right"/>
        <w:rPr>
          <w:rFonts w:eastAsia="Times New Roman" w:cs="Times New Roman"/>
          <w:color w:val="000000"/>
        </w:rPr>
      </w:pPr>
      <w:r w:rsidRPr="001D773D">
        <w:rPr>
          <w:rFonts w:eastAsia="Times New Roman" w:cs="Times New Roman"/>
          <w:color w:val="000000"/>
        </w:rPr>
        <w:t>7</w:t>
      </w:r>
      <w:r w:rsidR="000F6C00" w:rsidRPr="001D773D">
        <w:rPr>
          <w:rFonts w:eastAsia="Times New Roman" w:cs="Times New Roman"/>
          <w:color w:val="000000"/>
        </w:rPr>
        <w:t>.</w:t>
      </w:r>
      <w:r w:rsidRPr="001D773D">
        <w:rPr>
          <w:rFonts w:eastAsia="Times New Roman" w:cs="Times New Roman"/>
          <w:color w:val="000000"/>
        </w:rPr>
        <w:t xml:space="preserve"> </w:t>
      </w:r>
      <w:r w:rsidR="000F6C00" w:rsidRPr="001D773D">
        <w:rPr>
          <w:rFonts w:eastAsia="Times New Roman" w:cs="Times New Roman"/>
          <w:color w:val="000000"/>
        </w:rPr>
        <w:t>pielikums</w:t>
      </w:r>
    </w:p>
    <w:p w14:paraId="4C962518" w14:textId="594ED5B4" w:rsidR="005E7346" w:rsidRPr="001D773D" w:rsidRDefault="001D773D" w:rsidP="000F6C00">
      <w:pPr>
        <w:widowControl w:val="0"/>
        <w:jc w:val="right"/>
        <w:rPr>
          <w:rFonts w:eastAsia="Times New Roman" w:cs="Times New Roman"/>
          <w:b/>
          <w:color w:val="000000"/>
        </w:rPr>
      </w:pPr>
      <w:r>
        <w:rPr>
          <w:rFonts w:eastAsia="Times New Roman" w:cs="Times New Roman"/>
          <w:b/>
          <w:color w:val="000000"/>
        </w:rPr>
        <w:t>Labklājības ministrijas</w:t>
      </w:r>
      <w:r w:rsidR="000F6C00" w:rsidRPr="001D773D">
        <w:rPr>
          <w:rFonts w:eastAsia="Times New Roman" w:cs="Times New Roman"/>
          <w:b/>
          <w:color w:val="000000"/>
        </w:rPr>
        <w:t xml:space="preserve">  pamatbudžeta programma 20.03.00 „Piemaksas pie vecuma un invaliditātes pensijām”</w:t>
      </w:r>
    </w:p>
    <w:tbl>
      <w:tblPr>
        <w:tblW w:w="13993" w:type="dxa"/>
        <w:tblLook w:val="04A0" w:firstRow="1" w:lastRow="0" w:firstColumn="1" w:lastColumn="0" w:noHBand="0" w:noVBand="1"/>
      </w:tblPr>
      <w:tblGrid>
        <w:gridCol w:w="4319"/>
        <w:gridCol w:w="853"/>
        <w:gridCol w:w="947"/>
        <w:gridCol w:w="1215"/>
        <w:gridCol w:w="1082"/>
        <w:gridCol w:w="1215"/>
        <w:gridCol w:w="1173"/>
        <w:gridCol w:w="1028"/>
        <w:gridCol w:w="947"/>
        <w:gridCol w:w="1214"/>
      </w:tblGrid>
      <w:tr w:rsidR="00E33B12" w:rsidRPr="00E33B12" w14:paraId="1BFB25A0" w14:textId="77777777" w:rsidTr="003A0BFD">
        <w:trPr>
          <w:trHeight w:val="660"/>
        </w:trPr>
        <w:tc>
          <w:tcPr>
            <w:tcW w:w="4425" w:type="dxa"/>
            <w:vMerge w:val="restart"/>
            <w:tcBorders>
              <w:top w:val="single" w:sz="4" w:space="0" w:color="auto"/>
              <w:left w:val="single" w:sz="4" w:space="0" w:color="auto"/>
              <w:right w:val="single" w:sz="4" w:space="0" w:color="auto"/>
            </w:tcBorders>
            <w:shd w:val="clear" w:color="auto" w:fill="9CC2E5" w:themeFill="accent1" w:themeFillTint="99"/>
            <w:noWrap/>
            <w:vAlign w:val="bottom"/>
            <w:hideMark/>
          </w:tcPr>
          <w:p w14:paraId="7AC33A24"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lastRenderedPageBreak/>
              <w:t> </w:t>
            </w:r>
          </w:p>
          <w:p w14:paraId="007AFCD8" w14:textId="2E9A752F"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Pabalsta veids</w:t>
            </w:r>
          </w:p>
        </w:tc>
        <w:tc>
          <w:tcPr>
            <w:tcW w:w="3076" w:type="dxa"/>
            <w:gridSpan w:val="3"/>
            <w:tcBorders>
              <w:top w:val="single" w:sz="4" w:space="0" w:color="auto"/>
              <w:left w:val="nil"/>
              <w:right w:val="single" w:sz="4" w:space="0" w:color="000000"/>
            </w:tcBorders>
            <w:shd w:val="clear" w:color="auto" w:fill="9CC2E5" w:themeFill="accent1" w:themeFillTint="99"/>
            <w:noWrap/>
            <w:vAlign w:val="center"/>
            <w:hideMark/>
          </w:tcPr>
          <w:p w14:paraId="0942A0F2" w14:textId="54180280"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2022.</w:t>
            </w:r>
            <w:r>
              <w:rPr>
                <w:rFonts w:eastAsia="Times New Roman" w:cs="Times New Roman"/>
                <w:sz w:val="18"/>
                <w:szCs w:val="18"/>
              </w:rPr>
              <w:t xml:space="preserve"> </w:t>
            </w:r>
            <w:r w:rsidRPr="00E33B12">
              <w:rPr>
                <w:rFonts w:eastAsia="Times New Roman" w:cs="Times New Roman"/>
                <w:sz w:val="18"/>
                <w:szCs w:val="18"/>
              </w:rPr>
              <w:t>gada projekts</w:t>
            </w:r>
          </w:p>
        </w:tc>
        <w:tc>
          <w:tcPr>
            <w:tcW w:w="3543" w:type="dxa"/>
            <w:gridSpan w:val="3"/>
            <w:tcBorders>
              <w:top w:val="single" w:sz="4" w:space="0" w:color="auto"/>
              <w:left w:val="nil"/>
              <w:right w:val="single" w:sz="4" w:space="0" w:color="000000"/>
            </w:tcBorders>
            <w:shd w:val="clear" w:color="auto" w:fill="9CC2E5" w:themeFill="accent1" w:themeFillTint="99"/>
            <w:noWrap/>
            <w:vAlign w:val="center"/>
            <w:hideMark/>
          </w:tcPr>
          <w:p w14:paraId="5C25196A" w14:textId="1BBE2C6C"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2023.</w:t>
            </w:r>
            <w:r>
              <w:rPr>
                <w:rFonts w:eastAsia="Times New Roman" w:cs="Times New Roman"/>
                <w:sz w:val="18"/>
                <w:szCs w:val="18"/>
              </w:rPr>
              <w:t xml:space="preserve"> </w:t>
            </w:r>
            <w:r w:rsidRPr="00E33B12">
              <w:rPr>
                <w:rFonts w:eastAsia="Times New Roman" w:cs="Times New Roman"/>
                <w:sz w:val="18"/>
                <w:szCs w:val="18"/>
              </w:rPr>
              <w:t>gada projekts</w:t>
            </w:r>
          </w:p>
        </w:tc>
        <w:tc>
          <w:tcPr>
            <w:tcW w:w="2949" w:type="dxa"/>
            <w:gridSpan w:val="3"/>
            <w:tcBorders>
              <w:top w:val="single" w:sz="4" w:space="0" w:color="auto"/>
              <w:left w:val="nil"/>
              <w:right w:val="single" w:sz="4" w:space="0" w:color="000000"/>
            </w:tcBorders>
            <w:shd w:val="clear" w:color="auto" w:fill="9CC2E5" w:themeFill="accent1" w:themeFillTint="99"/>
            <w:noWrap/>
            <w:vAlign w:val="center"/>
            <w:hideMark/>
          </w:tcPr>
          <w:p w14:paraId="164CD103" w14:textId="0D5E287C"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2024.</w:t>
            </w:r>
            <w:r>
              <w:rPr>
                <w:rFonts w:eastAsia="Times New Roman" w:cs="Times New Roman"/>
                <w:sz w:val="18"/>
                <w:szCs w:val="18"/>
              </w:rPr>
              <w:t xml:space="preserve"> </w:t>
            </w:r>
            <w:r w:rsidRPr="00E33B12">
              <w:rPr>
                <w:rFonts w:eastAsia="Times New Roman" w:cs="Times New Roman"/>
                <w:sz w:val="18"/>
                <w:szCs w:val="18"/>
              </w:rPr>
              <w:t>gada projekts</w:t>
            </w:r>
          </w:p>
        </w:tc>
      </w:tr>
      <w:tr w:rsidR="00E33B12" w:rsidRPr="00E33B12" w14:paraId="59F526B5" w14:textId="77777777" w:rsidTr="003A0BFD">
        <w:trPr>
          <w:trHeight w:val="480"/>
        </w:trPr>
        <w:tc>
          <w:tcPr>
            <w:tcW w:w="4425" w:type="dxa"/>
            <w:vMerge/>
            <w:tcBorders>
              <w:left w:val="single" w:sz="4" w:space="0" w:color="auto"/>
              <w:right w:val="single" w:sz="4" w:space="0" w:color="auto"/>
            </w:tcBorders>
            <w:shd w:val="clear" w:color="000000" w:fill="FFFFFF"/>
            <w:noWrap/>
            <w:vAlign w:val="center"/>
            <w:hideMark/>
          </w:tcPr>
          <w:p w14:paraId="0CDF342F" w14:textId="7656CB54" w:rsidR="00E33B12" w:rsidRPr="00E33B12" w:rsidRDefault="00E33B12" w:rsidP="00E33B12">
            <w:pPr>
              <w:spacing w:after="0"/>
              <w:ind w:firstLine="0"/>
              <w:jc w:val="center"/>
              <w:rPr>
                <w:rFonts w:eastAsia="Times New Roman" w:cs="Times New Roman"/>
                <w:sz w:val="18"/>
                <w:szCs w:val="18"/>
              </w:rPr>
            </w:pPr>
          </w:p>
        </w:tc>
        <w:tc>
          <w:tcPr>
            <w:tcW w:w="869" w:type="dxa"/>
            <w:vMerge w:val="restart"/>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69E1A65E"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Pabalsta apmērs vidēji mēnesī (</w:t>
            </w:r>
            <w:r w:rsidRPr="00E33B12">
              <w:rPr>
                <w:rFonts w:eastAsia="Times New Roman" w:cs="Times New Roman"/>
                <w:i/>
                <w:sz w:val="18"/>
                <w:szCs w:val="18"/>
              </w:rPr>
              <w:t>euro</w:t>
            </w:r>
            <w:r w:rsidRPr="00E33B12">
              <w:rPr>
                <w:rFonts w:eastAsia="Times New Roman" w:cs="Times New Roman"/>
                <w:sz w:val="18"/>
                <w:szCs w:val="18"/>
              </w:rPr>
              <w:t>)</w:t>
            </w:r>
          </w:p>
        </w:tc>
        <w:tc>
          <w:tcPr>
            <w:tcW w:w="966" w:type="dxa"/>
            <w:tcBorders>
              <w:top w:val="nil"/>
              <w:left w:val="nil"/>
              <w:bottom w:val="nil"/>
              <w:right w:val="single" w:sz="4" w:space="0" w:color="auto"/>
            </w:tcBorders>
            <w:shd w:val="clear" w:color="auto" w:fill="DEEAF6" w:themeFill="accent1" w:themeFillTint="33"/>
            <w:vAlign w:val="center"/>
            <w:hideMark/>
          </w:tcPr>
          <w:p w14:paraId="10B8664D"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Saņēmēju</w:t>
            </w:r>
            <w:r w:rsidRPr="00E33B12">
              <w:rPr>
                <w:rFonts w:eastAsia="Times New Roman" w:cs="Times New Roman"/>
                <w:sz w:val="18"/>
                <w:szCs w:val="18"/>
              </w:rPr>
              <w:br/>
              <w:t xml:space="preserve"> skaits</w:t>
            </w:r>
          </w:p>
        </w:tc>
        <w:tc>
          <w:tcPr>
            <w:tcW w:w="1241" w:type="dxa"/>
            <w:tcBorders>
              <w:top w:val="nil"/>
              <w:left w:val="nil"/>
              <w:bottom w:val="nil"/>
              <w:right w:val="single" w:sz="4" w:space="0" w:color="auto"/>
            </w:tcBorders>
            <w:shd w:val="clear" w:color="auto" w:fill="DEEAF6" w:themeFill="accent1" w:themeFillTint="33"/>
            <w:vAlign w:val="center"/>
            <w:hideMark/>
          </w:tcPr>
          <w:p w14:paraId="0D395F02"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Izdevumi kopā</w:t>
            </w:r>
          </w:p>
        </w:tc>
        <w:tc>
          <w:tcPr>
            <w:tcW w:w="1104" w:type="dxa"/>
            <w:vMerge w:val="restart"/>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6CFE8AB1"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Pabalsta apmērs vidēji mēnesī (</w:t>
            </w:r>
            <w:r w:rsidRPr="00E33B12">
              <w:rPr>
                <w:rFonts w:eastAsia="Times New Roman" w:cs="Times New Roman"/>
                <w:i/>
                <w:sz w:val="18"/>
                <w:szCs w:val="18"/>
              </w:rPr>
              <w:t>euro</w:t>
            </w:r>
            <w:r w:rsidRPr="00E33B12">
              <w:rPr>
                <w:rFonts w:eastAsia="Times New Roman" w:cs="Times New Roman"/>
                <w:sz w:val="18"/>
                <w:szCs w:val="18"/>
              </w:rPr>
              <w:t>)</w:t>
            </w:r>
          </w:p>
        </w:tc>
        <w:tc>
          <w:tcPr>
            <w:tcW w:w="1241" w:type="dxa"/>
            <w:tcBorders>
              <w:top w:val="nil"/>
              <w:left w:val="nil"/>
              <w:bottom w:val="nil"/>
              <w:right w:val="single" w:sz="4" w:space="0" w:color="auto"/>
            </w:tcBorders>
            <w:shd w:val="clear" w:color="auto" w:fill="DEEAF6" w:themeFill="accent1" w:themeFillTint="33"/>
            <w:vAlign w:val="center"/>
            <w:hideMark/>
          </w:tcPr>
          <w:p w14:paraId="7C1BA6A0"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Saņēmēju</w:t>
            </w:r>
            <w:r w:rsidRPr="00E33B12">
              <w:rPr>
                <w:rFonts w:eastAsia="Times New Roman" w:cs="Times New Roman"/>
                <w:sz w:val="18"/>
                <w:szCs w:val="18"/>
              </w:rPr>
              <w:br/>
              <w:t xml:space="preserve"> skaits</w:t>
            </w:r>
          </w:p>
        </w:tc>
        <w:tc>
          <w:tcPr>
            <w:tcW w:w="1198" w:type="dxa"/>
            <w:tcBorders>
              <w:top w:val="nil"/>
              <w:left w:val="nil"/>
              <w:bottom w:val="nil"/>
              <w:right w:val="single" w:sz="4" w:space="0" w:color="auto"/>
            </w:tcBorders>
            <w:shd w:val="clear" w:color="auto" w:fill="DEEAF6" w:themeFill="accent1" w:themeFillTint="33"/>
            <w:vAlign w:val="center"/>
            <w:hideMark/>
          </w:tcPr>
          <w:p w14:paraId="4BD451EB"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Izdevumi kopā</w:t>
            </w:r>
          </w:p>
        </w:tc>
        <w:tc>
          <w:tcPr>
            <w:tcW w:w="1049" w:type="dxa"/>
            <w:vMerge w:val="restart"/>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2B577FB6"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Pabalsta apmērs vidēji mēnesī (</w:t>
            </w:r>
            <w:r w:rsidRPr="00E33B12">
              <w:rPr>
                <w:rFonts w:eastAsia="Times New Roman" w:cs="Times New Roman"/>
                <w:i/>
                <w:sz w:val="18"/>
                <w:szCs w:val="18"/>
              </w:rPr>
              <w:t>euro</w:t>
            </w:r>
            <w:r w:rsidRPr="00E33B12">
              <w:rPr>
                <w:rFonts w:eastAsia="Times New Roman" w:cs="Times New Roman"/>
                <w:sz w:val="18"/>
                <w:szCs w:val="18"/>
              </w:rPr>
              <w:t>)</w:t>
            </w:r>
          </w:p>
        </w:tc>
        <w:tc>
          <w:tcPr>
            <w:tcW w:w="660" w:type="dxa"/>
            <w:tcBorders>
              <w:top w:val="nil"/>
              <w:left w:val="nil"/>
              <w:bottom w:val="nil"/>
              <w:right w:val="single" w:sz="4" w:space="0" w:color="auto"/>
            </w:tcBorders>
            <w:shd w:val="clear" w:color="auto" w:fill="DEEAF6" w:themeFill="accent1" w:themeFillTint="33"/>
            <w:vAlign w:val="center"/>
            <w:hideMark/>
          </w:tcPr>
          <w:p w14:paraId="56CB2CB4"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Saņēmēju</w:t>
            </w:r>
            <w:r w:rsidRPr="00E33B12">
              <w:rPr>
                <w:rFonts w:eastAsia="Times New Roman" w:cs="Times New Roman"/>
                <w:sz w:val="18"/>
                <w:szCs w:val="18"/>
              </w:rPr>
              <w:br/>
              <w:t xml:space="preserve"> skaits</w:t>
            </w:r>
          </w:p>
        </w:tc>
        <w:tc>
          <w:tcPr>
            <w:tcW w:w="1240" w:type="dxa"/>
            <w:tcBorders>
              <w:top w:val="nil"/>
              <w:left w:val="nil"/>
              <w:bottom w:val="nil"/>
              <w:right w:val="single" w:sz="4" w:space="0" w:color="auto"/>
            </w:tcBorders>
            <w:shd w:val="clear" w:color="auto" w:fill="DEEAF6" w:themeFill="accent1" w:themeFillTint="33"/>
            <w:vAlign w:val="center"/>
            <w:hideMark/>
          </w:tcPr>
          <w:p w14:paraId="4B7EC916"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Izdevumi kopā</w:t>
            </w:r>
          </w:p>
        </w:tc>
      </w:tr>
      <w:tr w:rsidR="00E33B12" w:rsidRPr="00E33B12" w14:paraId="11EA4AB0" w14:textId="77777777" w:rsidTr="003A0BFD">
        <w:trPr>
          <w:trHeight w:val="780"/>
        </w:trPr>
        <w:tc>
          <w:tcPr>
            <w:tcW w:w="4425" w:type="dxa"/>
            <w:tcBorders>
              <w:left w:val="single" w:sz="4" w:space="0" w:color="auto"/>
              <w:bottom w:val="single" w:sz="4" w:space="0" w:color="000000"/>
              <w:right w:val="single" w:sz="4" w:space="0" w:color="auto"/>
            </w:tcBorders>
            <w:shd w:val="clear" w:color="auto" w:fill="9CC2E5" w:themeFill="accent1" w:themeFillTint="99"/>
            <w:vAlign w:val="center"/>
            <w:hideMark/>
          </w:tcPr>
          <w:p w14:paraId="2CDAE62A" w14:textId="77777777" w:rsidR="00E33B12" w:rsidRPr="00E33B12" w:rsidRDefault="00E33B12" w:rsidP="00E33B12">
            <w:pPr>
              <w:spacing w:after="0"/>
              <w:ind w:firstLine="0"/>
              <w:jc w:val="left"/>
              <w:rPr>
                <w:rFonts w:eastAsia="Times New Roman" w:cs="Times New Roman"/>
                <w:sz w:val="18"/>
                <w:szCs w:val="18"/>
              </w:rPr>
            </w:pPr>
          </w:p>
        </w:tc>
        <w:tc>
          <w:tcPr>
            <w:tcW w:w="869" w:type="dxa"/>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64BCAF20" w14:textId="77777777" w:rsidR="00E33B12" w:rsidRPr="00E33B12" w:rsidRDefault="00E33B12" w:rsidP="00E33B12">
            <w:pPr>
              <w:spacing w:after="0"/>
              <w:ind w:firstLine="0"/>
              <w:jc w:val="left"/>
              <w:rPr>
                <w:rFonts w:eastAsia="Times New Roman" w:cs="Times New Roman"/>
                <w:sz w:val="18"/>
                <w:szCs w:val="18"/>
              </w:rPr>
            </w:pPr>
          </w:p>
        </w:tc>
        <w:tc>
          <w:tcPr>
            <w:tcW w:w="966" w:type="dxa"/>
            <w:tcBorders>
              <w:top w:val="nil"/>
              <w:left w:val="nil"/>
              <w:bottom w:val="single" w:sz="4" w:space="0" w:color="auto"/>
              <w:right w:val="single" w:sz="4" w:space="0" w:color="auto"/>
            </w:tcBorders>
            <w:shd w:val="clear" w:color="auto" w:fill="DEEAF6" w:themeFill="accent1" w:themeFillTint="33"/>
            <w:noWrap/>
            <w:hideMark/>
          </w:tcPr>
          <w:p w14:paraId="35973E9C"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(vid.mēn.)</w:t>
            </w:r>
          </w:p>
        </w:tc>
        <w:tc>
          <w:tcPr>
            <w:tcW w:w="1241" w:type="dxa"/>
            <w:tcBorders>
              <w:top w:val="nil"/>
              <w:left w:val="nil"/>
              <w:bottom w:val="single" w:sz="4" w:space="0" w:color="auto"/>
              <w:right w:val="single" w:sz="4" w:space="0" w:color="auto"/>
            </w:tcBorders>
            <w:shd w:val="clear" w:color="auto" w:fill="DEEAF6" w:themeFill="accent1" w:themeFillTint="33"/>
            <w:noWrap/>
            <w:hideMark/>
          </w:tcPr>
          <w:p w14:paraId="0649B44D"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w:t>
            </w:r>
            <w:r w:rsidRPr="00E33B12">
              <w:rPr>
                <w:rFonts w:eastAsia="Times New Roman" w:cs="Times New Roman"/>
                <w:i/>
                <w:sz w:val="18"/>
                <w:szCs w:val="18"/>
              </w:rPr>
              <w:t>euro</w:t>
            </w:r>
            <w:r w:rsidRPr="00E33B12">
              <w:rPr>
                <w:rFonts w:eastAsia="Times New Roman" w:cs="Times New Roman"/>
                <w:sz w:val="18"/>
                <w:szCs w:val="18"/>
              </w:rPr>
              <w:t>)</w:t>
            </w:r>
          </w:p>
        </w:tc>
        <w:tc>
          <w:tcPr>
            <w:tcW w:w="1104" w:type="dxa"/>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5496A857" w14:textId="77777777" w:rsidR="00E33B12" w:rsidRPr="00E33B12" w:rsidRDefault="00E33B12" w:rsidP="00E33B12">
            <w:pPr>
              <w:spacing w:after="0"/>
              <w:ind w:firstLine="0"/>
              <w:jc w:val="left"/>
              <w:rPr>
                <w:rFonts w:eastAsia="Times New Roman" w:cs="Times New Roman"/>
                <w:sz w:val="18"/>
                <w:szCs w:val="18"/>
              </w:rPr>
            </w:pPr>
          </w:p>
        </w:tc>
        <w:tc>
          <w:tcPr>
            <w:tcW w:w="1241" w:type="dxa"/>
            <w:tcBorders>
              <w:top w:val="nil"/>
              <w:left w:val="nil"/>
              <w:bottom w:val="single" w:sz="4" w:space="0" w:color="auto"/>
              <w:right w:val="single" w:sz="4" w:space="0" w:color="auto"/>
            </w:tcBorders>
            <w:shd w:val="clear" w:color="auto" w:fill="DEEAF6" w:themeFill="accent1" w:themeFillTint="33"/>
            <w:noWrap/>
            <w:hideMark/>
          </w:tcPr>
          <w:p w14:paraId="32C4FE8D"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(vid.mēn.)</w:t>
            </w:r>
          </w:p>
        </w:tc>
        <w:tc>
          <w:tcPr>
            <w:tcW w:w="1198" w:type="dxa"/>
            <w:tcBorders>
              <w:top w:val="nil"/>
              <w:left w:val="nil"/>
              <w:bottom w:val="single" w:sz="4" w:space="0" w:color="auto"/>
              <w:right w:val="single" w:sz="4" w:space="0" w:color="auto"/>
            </w:tcBorders>
            <w:shd w:val="clear" w:color="auto" w:fill="DEEAF6" w:themeFill="accent1" w:themeFillTint="33"/>
            <w:noWrap/>
            <w:hideMark/>
          </w:tcPr>
          <w:p w14:paraId="4A66451C"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w:t>
            </w:r>
            <w:r w:rsidRPr="00E33B12">
              <w:rPr>
                <w:rFonts w:eastAsia="Times New Roman" w:cs="Times New Roman"/>
                <w:i/>
                <w:sz w:val="18"/>
                <w:szCs w:val="18"/>
              </w:rPr>
              <w:t>euro</w:t>
            </w:r>
            <w:r w:rsidRPr="00E33B12">
              <w:rPr>
                <w:rFonts w:eastAsia="Times New Roman" w:cs="Times New Roman"/>
                <w:sz w:val="18"/>
                <w:szCs w:val="18"/>
              </w:rPr>
              <w:t>)</w:t>
            </w:r>
          </w:p>
        </w:tc>
        <w:tc>
          <w:tcPr>
            <w:tcW w:w="1049" w:type="dxa"/>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50760D80" w14:textId="77777777" w:rsidR="00E33B12" w:rsidRPr="00E33B12" w:rsidRDefault="00E33B12" w:rsidP="00E33B12">
            <w:pPr>
              <w:spacing w:after="0"/>
              <w:ind w:firstLine="0"/>
              <w:jc w:val="left"/>
              <w:rPr>
                <w:rFonts w:eastAsia="Times New Roman" w:cs="Times New Roman"/>
                <w:sz w:val="18"/>
                <w:szCs w:val="18"/>
              </w:rPr>
            </w:pPr>
          </w:p>
        </w:tc>
        <w:tc>
          <w:tcPr>
            <w:tcW w:w="660" w:type="dxa"/>
            <w:tcBorders>
              <w:top w:val="nil"/>
              <w:left w:val="nil"/>
              <w:bottom w:val="single" w:sz="4" w:space="0" w:color="auto"/>
              <w:right w:val="single" w:sz="4" w:space="0" w:color="auto"/>
            </w:tcBorders>
            <w:shd w:val="clear" w:color="auto" w:fill="DEEAF6" w:themeFill="accent1" w:themeFillTint="33"/>
            <w:noWrap/>
            <w:hideMark/>
          </w:tcPr>
          <w:p w14:paraId="5BF0C888"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(vid.mēn.)</w:t>
            </w:r>
          </w:p>
        </w:tc>
        <w:tc>
          <w:tcPr>
            <w:tcW w:w="1240" w:type="dxa"/>
            <w:tcBorders>
              <w:top w:val="nil"/>
              <w:left w:val="nil"/>
              <w:bottom w:val="single" w:sz="4" w:space="0" w:color="auto"/>
              <w:right w:val="single" w:sz="4" w:space="0" w:color="auto"/>
            </w:tcBorders>
            <w:shd w:val="clear" w:color="auto" w:fill="DEEAF6" w:themeFill="accent1" w:themeFillTint="33"/>
            <w:noWrap/>
            <w:hideMark/>
          </w:tcPr>
          <w:p w14:paraId="3F49EBDD"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w:t>
            </w:r>
            <w:r w:rsidRPr="00E33B12">
              <w:rPr>
                <w:rFonts w:eastAsia="Times New Roman" w:cs="Times New Roman"/>
                <w:i/>
                <w:sz w:val="18"/>
                <w:szCs w:val="18"/>
              </w:rPr>
              <w:t>euro</w:t>
            </w:r>
            <w:r w:rsidRPr="00E33B12">
              <w:rPr>
                <w:rFonts w:eastAsia="Times New Roman" w:cs="Times New Roman"/>
                <w:sz w:val="18"/>
                <w:szCs w:val="18"/>
              </w:rPr>
              <w:t>)</w:t>
            </w:r>
          </w:p>
        </w:tc>
      </w:tr>
      <w:tr w:rsidR="00E33B12" w:rsidRPr="00E33B12" w14:paraId="6D075076" w14:textId="77777777" w:rsidTr="003A0BFD">
        <w:trPr>
          <w:trHeight w:val="276"/>
        </w:trPr>
        <w:tc>
          <w:tcPr>
            <w:tcW w:w="4425" w:type="dxa"/>
            <w:tcBorders>
              <w:top w:val="nil"/>
              <w:left w:val="single" w:sz="4" w:space="0" w:color="auto"/>
              <w:bottom w:val="single" w:sz="4" w:space="0" w:color="auto"/>
              <w:right w:val="single" w:sz="4" w:space="0" w:color="auto"/>
            </w:tcBorders>
            <w:shd w:val="clear" w:color="000000" w:fill="FFFFFF"/>
            <w:noWrap/>
            <w:vAlign w:val="bottom"/>
            <w:hideMark/>
          </w:tcPr>
          <w:p w14:paraId="64400DC3"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1</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085CEB27"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2</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6FB5ED90"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3</w:t>
            </w:r>
          </w:p>
        </w:tc>
        <w:tc>
          <w:tcPr>
            <w:tcW w:w="1241" w:type="dxa"/>
            <w:tcBorders>
              <w:top w:val="single" w:sz="4" w:space="0" w:color="auto"/>
              <w:left w:val="nil"/>
              <w:bottom w:val="single" w:sz="4" w:space="0" w:color="auto"/>
              <w:right w:val="single" w:sz="4" w:space="0" w:color="auto"/>
            </w:tcBorders>
            <w:shd w:val="clear" w:color="auto" w:fill="auto"/>
            <w:noWrap/>
            <w:vAlign w:val="bottom"/>
            <w:hideMark/>
          </w:tcPr>
          <w:p w14:paraId="3167A892"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4</w:t>
            </w:r>
          </w:p>
        </w:tc>
        <w:tc>
          <w:tcPr>
            <w:tcW w:w="1104" w:type="dxa"/>
            <w:tcBorders>
              <w:top w:val="single" w:sz="4" w:space="0" w:color="auto"/>
              <w:left w:val="nil"/>
              <w:bottom w:val="single" w:sz="4" w:space="0" w:color="auto"/>
              <w:right w:val="single" w:sz="4" w:space="0" w:color="auto"/>
            </w:tcBorders>
            <w:shd w:val="clear" w:color="auto" w:fill="auto"/>
            <w:noWrap/>
            <w:vAlign w:val="bottom"/>
            <w:hideMark/>
          </w:tcPr>
          <w:p w14:paraId="70BABB3C"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5</w:t>
            </w:r>
          </w:p>
        </w:tc>
        <w:tc>
          <w:tcPr>
            <w:tcW w:w="1241" w:type="dxa"/>
            <w:tcBorders>
              <w:top w:val="single" w:sz="4" w:space="0" w:color="auto"/>
              <w:left w:val="nil"/>
              <w:bottom w:val="single" w:sz="4" w:space="0" w:color="auto"/>
              <w:right w:val="single" w:sz="4" w:space="0" w:color="auto"/>
            </w:tcBorders>
            <w:shd w:val="clear" w:color="auto" w:fill="auto"/>
            <w:noWrap/>
            <w:vAlign w:val="bottom"/>
            <w:hideMark/>
          </w:tcPr>
          <w:p w14:paraId="46ADD09A"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6</w:t>
            </w:r>
          </w:p>
        </w:tc>
        <w:tc>
          <w:tcPr>
            <w:tcW w:w="1198" w:type="dxa"/>
            <w:tcBorders>
              <w:top w:val="single" w:sz="4" w:space="0" w:color="auto"/>
              <w:left w:val="nil"/>
              <w:bottom w:val="single" w:sz="4" w:space="0" w:color="auto"/>
              <w:right w:val="single" w:sz="4" w:space="0" w:color="auto"/>
            </w:tcBorders>
            <w:shd w:val="clear" w:color="auto" w:fill="auto"/>
            <w:noWrap/>
            <w:vAlign w:val="bottom"/>
            <w:hideMark/>
          </w:tcPr>
          <w:p w14:paraId="15287BB0"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7</w:t>
            </w:r>
          </w:p>
        </w:tc>
        <w:tc>
          <w:tcPr>
            <w:tcW w:w="1049" w:type="dxa"/>
            <w:tcBorders>
              <w:top w:val="single" w:sz="4" w:space="0" w:color="auto"/>
              <w:left w:val="nil"/>
              <w:bottom w:val="single" w:sz="4" w:space="0" w:color="auto"/>
              <w:right w:val="single" w:sz="4" w:space="0" w:color="auto"/>
            </w:tcBorders>
            <w:shd w:val="clear" w:color="auto" w:fill="auto"/>
            <w:noWrap/>
            <w:vAlign w:val="bottom"/>
            <w:hideMark/>
          </w:tcPr>
          <w:p w14:paraId="4D1DDD50"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8</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0DC01FC1"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1E8EF2DA" w14:textId="77777777" w:rsidR="00E33B12" w:rsidRPr="00E33B12" w:rsidRDefault="00E33B12" w:rsidP="00E33B12">
            <w:pPr>
              <w:spacing w:after="0"/>
              <w:ind w:firstLine="0"/>
              <w:jc w:val="center"/>
              <w:rPr>
                <w:rFonts w:eastAsia="Times New Roman" w:cs="Times New Roman"/>
                <w:sz w:val="18"/>
                <w:szCs w:val="18"/>
              </w:rPr>
            </w:pPr>
            <w:r w:rsidRPr="00E33B12">
              <w:rPr>
                <w:rFonts w:eastAsia="Times New Roman" w:cs="Times New Roman"/>
                <w:sz w:val="18"/>
                <w:szCs w:val="18"/>
              </w:rPr>
              <w:t>10</w:t>
            </w:r>
          </w:p>
        </w:tc>
      </w:tr>
      <w:tr w:rsidR="00E33B12" w:rsidRPr="00E33B12" w14:paraId="63C9BA4F" w14:textId="77777777" w:rsidTr="003A0BFD">
        <w:trPr>
          <w:trHeight w:val="276"/>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4CA6B2B5" w14:textId="77777777" w:rsidR="00E33B12" w:rsidRPr="00E33B12" w:rsidRDefault="00E33B12" w:rsidP="00E33B12">
            <w:pPr>
              <w:spacing w:after="0"/>
              <w:ind w:firstLine="0"/>
              <w:jc w:val="left"/>
              <w:rPr>
                <w:rFonts w:eastAsia="Times New Roman" w:cs="Times New Roman"/>
                <w:sz w:val="18"/>
                <w:szCs w:val="18"/>
              </w:rPr>
            </w:pPr>
            <w:r w:rsidRPr="00E33B12">
              <w:rPr>
                <w:rFonts w:eastAsia="Times New Roman" w:cs="Times New Roman"/>
                <w:sz w:val="18"/>
                <w:szCs w:val="18"/>
              </w:rPr>
              <w:t>Piemaksas pie vecuma pensijām</w:t>
            </w:r>
          </w:p>
        </w:tc>
        <w:tc>
          <w:tcPr>
            <w:tcW w:w="869" w:type="dxa"/>
            <w:tcBorders>
              <w:top w:val="nil"/>
              <w:left w:val="nil"/>
              <w:bottom w:val="single" w:sz="4" w:space="0" w:color="auto"/>
              <w:right w:val="single" w:sz="4" w:space="0" w:color="auto"/>
            </w:tcBorders>
            <w:shd w:val="clear" w:color="auto" w:fill="auto"/>
            <w:noWrap/>
            <w:vAlign w:val="bottom"/>
            <w:hideMark/>
          </w:tcPr>
          <w:p w14:paraId="32229CB3"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41,79</w:t>
            </w:r>
          </w:p>
        </w:tc>
        <w:tc>
          <w:tcPr>
            <w:tcW w:w="966" w:type="dxa"/>
            <w:tcBorders>
              <w:top w:val="nil"/>
              <w:left w:val="nil"/>
              <w:bottom w:val="single" w:sz="4" w:space="0" w:color="auto"/>
              <w:right w:val="single" w:sz="4" w:space="0" w:color="auto"/>
            </w:tcBorders>
            <w:shd w:val="clear" w:color="auto" w:fill="auto"/>
            <w:noWrap/>
            <w:vAlign w:val="bottom"/>
            <w:hideMark/>
          </w:tcPr>
          <w:p w14:paraId="74E25BC9"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296 354</w:t>
            </w:r>
          </w:p>
        </w:tc>
        <w:tc>
          <w:tcPr>
            <w:tcW w:w="1241" w:type="dxa"/>
            <w:tcBorders>
              <w:top w:val="nil"/>
              <w:left w:val="nil"/>
              <w:bottom w:val="single" w:sz="4" w:space="0" w:color="auto"/>
              <w:right w:val="single" w:sz="4" w:space="0" w:color="auto"/>
            </w:tcBorders>
            <w:shd w:val="clear" w:color="auto" w:fill="auto"/>
            <w:vAlign w:val="bottom"/>
            <w:hideMark/>
          </w:tcPr>
          <w:p w14:paraId="2AE82947"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148 618 882</w:t>
            </w:r>
          </w:p>
        </w:tc>
        <w:tc>
          <w:tcPr>
            <w:tcW w:w="1104" w:type="dxa"/>
            <w:tcBorders>
              <w:top w:val="nil"/>
              <w:left w:val="nil"/>
              <w:bottom w:val="single" w:sz="4" w:space="0" w:color="auto"/>
              <w:right w:val="single" w:sz="4" w:space="0" w:color="auto"/>
            </w:tcBorders>
            <w:shd w:val="clear" w:color="auto" w:fill="auto"/>
            <w:noWrap/>
            <w:vAlign w:val="bottom"/>
            <w:hideMark/>
          </w:tcPr>
          <w:p w14:paraId="27845AFE"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42,71</w:t>
            </w:r>
          </w:p>
        </w:tc>
        <w:tc>
          <w:tcPr>
            <w:tcW w:w="1241" w:type="dxa"/>
            <w:tcBorders>
              <w:top w:val="nil"/>
              <w:left w:val="nil"/>
              <w:bottom w:val="single" w:sz="4" w:space="0" w:color="auto"/>
              <w:right w:val="single" w:sz="4" w:space="0" w:color="auto"/>
            </w:tcBorders>
            <w:shd w:val="clear" w:color="auto" w:fill="auto"/>
            <w:noWrap/>
            <w:vAlign w:val="bottom"/>
            <w:hideMark/>
          </w:tcPr>
          <w:p w14:paraId="1BA37FB8"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281 654</w:t>
            </w:r>
          </w:p>
        </w:tc>
        <w:tc>
          <w:tcPr>
            <w:tcW w:w="1198" w:type="dxa"/>
            <w:tcBorders>
              <w:top w:val="nil"/>
              <w:left w:val="nil"/>
              <w:bottom w:val="single" w:sz="4" w:space="0" w:color="auto"/>
              <w:right w:val="single" w:sz="4" w:space="0" w:color="auto"/>
            </w:tcBorders>
            <w:shd w:val="clear" w:color="auto" w:fill="auto"/>
            <w:vAlign w:val="bottom"/>
            <w:hideMark/>
          </w:tcPr>
          <w:p w14:paraId="6A676738"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144 348 202</w:t>
            </w:r>
          </w:p>
        </w:tc>
        <w:tc>
          <w:tcPr>
            <w:tcW w:w="1049" w:type="dxa"/>
            <w:tcBorders>
              <w:top w:val="nil"/>
              <w:left w:val="nil"/>
              <w:bottom w:val="single" w:sz="4" w:space="0" w:color="auto"/>
              <w:right w:val="single" w:sz="4" w:space="0" w:color="auto"/>
            </w:tcBorders>
            <w:shd w:val="clear" w:color="auto" w:fill="auto"/>
            <w:noWrap/>
            <w:vAlign w:val="bottom"/>
            <w:hideMark/>
          </w:tcPr>
          <w:p w14:paraId="1BEFC416"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44,65</w:t>
            </w:r>
          </w:p>
        </w:tc>
        <w:tc>
          <w:tcPr>
            <w:tcW w:w="660" w:type="dxa"/>
            <w:tcBorders>
              <w:top w:val="nil"/>
              <w:left w:val="nil"/>
              <w:bottom w:val="single" w:sz="4" w:space="0" w:color="auto"/>
              <w:right w:val="single" w:sz="4" w:space="0" w:color="auto"/>
            </w:tcBorders>
            <w:shd w:val="clear" w:color="auto" w:fill="auto"/>
            <w:noWrap/>
            <w:vAlign w:val="bottom"/>
            <w:hideMark/>
          </w:tcPr>
          <w:p w14:paraId="58423351"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267 454</w:t>
            </w:r>
          </w:p>
        </w:tc>
        <w:tc>
          <w:tcPr>
            <w:tcW w:w="1240" w:type="dxa"/>
            <w:tcBorders>
              <w:top w:val="nil"/>
              <w:left w:val="nil"/>
              <w:bottom w:val="single" w:sz="4" w:space="0" w:color="auto"/>
              <w:right w:val="single" w:sz="4" w:space="0" w:color="auto"/>
            </w:tcBorders>
            <w:shd w:val="clear" w:color="auto" w:fill="auto"/>
            <w:vAlign w:val="bottom"/>
            <w:hideMark/>
          </w:tcPr>
          <w:p w14:paraId="7EB79485"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143 309 513</w:t>
            </w:r>
          </w:p>
        </w:tc>
      </w:tr>
      <w:tr w:rsidR="00E33B12" w:rsidRPr="00E33B12" w14:paraId="1E59D3E4" w14:textId="77777777" w:rsidTr="003A0BFD">
        <w:trPr>
          <w:trHeight w:val="276"/>
        </w:trPr>
        <w:tc>
          <w:tcPr>
            <w:tcW w:w="4425" w:type="dxa"/>
            <w:tcBorders>
              <w:top w:val="nil"/>
              <w:left w:val="single" w:sz="4" w:space="0" w:color="auto"/>
              <w:bottom w:val="nil"/>
              <w:right w:val="single" w:sz="4" w:space="0" w:color="auto"/>
            </w:tcBorders>
            <w:shd w:val="clear" w:color="auto" w:fill="auto"/>
            <w:noWrap/>
            <w:vAlign w:val="bottom"/>
            <w:hideMark/>
          </w:tcPr>
          <w:p w14:paraId="4CFD5C9D" w14:textId="77777777" w:rsidR="00E33B12" w:rsidRPr="00E33B12" w:rsidRDefault="00E33B12" w:rsidP="00E33B12">
            <w:pPr>
              <w:spacing w:after="0"/>
              <w:ind w:firstLine="0"/>
              <w:jc w:val="left"/>
              <w:rPr>
                <w:rFonts w:eastAsia="Times New Roman" w:cs="Times New Roman"/>
                <w:sz w:val="18"/>
                <w:szCs w:val="18"/>
              </w:rPr>
            </w:pPr>
            <w:r w:rsidRPr="00E33B12">
              <w:rPr>
                <w:rFonts w:eastAsia="Times New Roman" w:cs="Times New Roman"/>
                <w:sz w:val="18"/>
                <w:szCs w:val="18"/>
              </w:rPr>
              <w:t>Piemaksas pie invaliditātes pensijām</w:t>
            </w:r>
          </w:p>
        </w:tc>
        <w:tc>
          <w:tcPr>
            <w:tcW w:w="869" w:type="dxa"/>
            <w:tcBorders>
              <w:top w:val="nil"/>
              <w:left w:val="nil"/>
              <w:bottom w:val="single" w:sz="4" w:space="0" w:color="auto"/>
              <w:right w:val="single" w:sz="4" w:space="0" w:color="auto"/>
            </w:tcBorders>
            <w:shd w:val="clear" w:color="auto" w:fill="auto"/>
            <w:noWrap/>
            <w:vAlign w:val="bottom"/>
            <w:hideMark/>
          </w:tcPr>
          <w:p w14:paraId="2ED6CCCD"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12,22</w:t>
            </w:r>
          </w:p>
        </w:tc>
        <w:tc>
          <w:tcPr>
            <w:tcW w:w="966" w:type="dxa"/>
            <w:tcBorders>
              <w:top w:val="nil"/>
              <w:left w:val="nil"/>
              <w:bottom w:val="nil"/>
              <w:right w:val="single" w:sz="4" w:space="0" w:color="auto"/>
            </w:tcBorders>
            <w:shd w:val="clear" w:color="auto" w:fill="auto"/>
            <w:noWrap/>
            <w:vAlign w:val="bottom"/>
            <w:hideMark/>
          </w:tcPr>
          <w:p w14:paraId="017B9F2E"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24 155</w:t>
            </w:r>
          </w:p>
        </w:tc>
        <w:tc>
          <w:tcPr>
            <w:tcW w:w="1241" w:type="dxa"/>
            <w:tcBorders>
              <w:top w:val="nil"/>
              <w:left w:val="nil"/>
              <w:bottom w:val="nil"/>
              <w:right w:val="nil"/>
            </w:tcBorders>
            <w:shd w:val="clear" w:color="auto" w:fill="auto"/>
            <w:vAlign w:val="bottom"/>
            <w:hideMark/>
          </w:tcPr>
          <w:p w14:paraId="7E965EDB"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3 542 578</w:t>
            </w:r>
          </w:p>
        </w:tc>
        <w:tc>
          <w:tcPr>
            <w:tcW w:w="1104" w:type="dxa"/>
            <w:tcBorders>
              <w:top w:val="nil"/>
              <w:left w:val="single" w:sz="4" w:space="0" w:color="auto"/>
              <w:bottom w:val="single" w:sz="4" w:space="0" w:color="auto"/>
              <w:right w:val="single" w:sz="4" w:space="0" w:color="auto"/>
            </w:tcBorders>
            <w:shd w:val="clear" w:color="auto" w:fill="auto"/>
            <w:noWrap/>
            <w:vAlign w:val="bottom"/>
            <w:hideMark/>
          </w:tcPr>
          <w:p w14:paraId="69C1EBC5"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12,27</w:t>
            </w:r>
          </w:p>
        </w:tc>
        <w:tc>
          <w:tcPr>
            <w:tcW w:w="1241" w:type="dxa"/>
            <w:tcBorders>
              <w:top w:val="nil"/>
              <w:left w:val="nil"/>
              <w:bottom w:val="nil"/>
              <w:right w:val="single" w:sz="4" w:space="0" w:color="auto"/>
            </w:tcBorders>
            <w:shd w:val="clear" w:color="auto" w:fill="auto"/>
            <w:noWrap/>
            <w:vAlign w:val="bottom"/>
            <w:hideMark/>
          </w:tcPr>
          <w:p w14:paraId="4F7EE5D1"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22 063</w:t>
            </w:r>
          </w:p>
        </w:tc>
        <w:tc>
          <w:tcPr>
            <w:tcW w:w="1198" w:type="dxa"/>
            <w:tcBorders>
              <w:top w:val="nil"/>
              <w:left w:val="nil"/>
              <w:bottom w:val="nil"/>
              <w:right w:val="nil"/>
            </w:tcBorders>
            <w:shd w:val="clear" w:color="auto" w:fill="auto"/>
            <w:vAlign w:val="bottom"/>
            <w:hideMark/>
          </w:tcPr>
          <w:p w14:paraId="5243696D"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3 249 770</w:t>
            </w:r>
          </w:p>
        </w:tc>
        <w:tc>
          <w:tcPr>
            <w:tcW w:w="1049" w:type="dxa"/>
            <w:tcBorders>
              <w:top w:val="nil"/>
              <w:left w:val="single" w:sz="4" w:space="0" w:color="auto"/>
              <w:bottom w:val="single" w:sz="4" w:space="0" w:color="auto"/>
              <w:right w:val="single" w:sz="4" w:space="0" w:color="auto"/>
            </w:tcBorders>
            <w:shd w:val="clear" w:color="auto" w:fill="auto"/>
            <w:noWrap/>
            <w:vAlign w:val="bottom"/>
            <w:hideMark/>
          </w:tcPr>
          <w:p w14:paraId="7F306704"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12,50</w:t>
            </w:r>
          </w:p>
        </w:tc>
        <w:tc>
          <w:tcPr>
            <w:tcW w:w="660" w:type="dxa"/>
            <w:tcBorders>
              <w:top w:val="nil"/>
              <w:left w:val="nil"/>
              <w:bottom w:val="nil"/>
              <w:right w:val="single" w:sz="4" w:space="0" w:color="auto"/>
            </w:tcBorders>
            <w:shd w:val="clear" w:color="auto" w:fill="auto"/>
            <w:noWrap/>
            <w:vAlign w:val="bottom"/>
            <w:hideMark/>
          </w:tcPr>
          <w:p w14:paraId="7EECFE48"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20 143</w:t>
            </w:r>
          </w:p>
        </w:tc>
        <w:tc>
          <w:tcPr>
            <w:tcW w:w="1240" w:type="dxa"/>
            <w:tcBorders>
              <w:top w:val="nil"/>
              <w:left w:val="nil"/>
              <w:bottom w:val="single" w:sz="4" w:space="0" w:color="auto"/>
              <w:right w:val="single" w:sz="4" w:space="0" w:color="auto"/>
            </w:tcBorders>
            <w:shd w:val="clear" w:color="auto" w:fill="auto"/>
            <w:vAlign w:val="bottom"/>
            <w:hideMark/>
          </w:tcPr>
          <w:p w14:paraId="64E41DD8" w14:textId="77777777" w:rsidR="00E33B12" w:rsidRPr="00E33B12" w:rsidRDefault="00E33B12" w:rsidP="00E33B12">
            <w:pPr>
              <w:spacing w:after="0"/>
              <w:ind w:firstLine="0"/>
              <w:jc w:val="right"/>
              <w:rPr>
                <w:rFonts w:eastAsia="Times New Roman" w:cs="Times New Roman"/>
                <w:color w:val="000000"/>
                <w:sz w:val="18"/>
                <w:szCs w:val="18"/>
              </w:rPr>
            </w:pPr>
            <w:r w:rsidRPr="00E33B12">
              <w:rPr>
                <w:rFonts w:eastAsia="Times New Roman" w:cs="Times New Roman"/>
                <w:color w:val="000000"/>
                <w:sz w:val="18"/>
                <w:szCs w:val="18"/>
              </w:rPr>
              <w:t>3 022 191</w:t>
            </w:r>
          </w:p>
        </w:tc>
      </w:tr>
      <w:tr w:rsidR="00E33B12" w:rsidRPr="00E33B12" w14:paraId="61A75D3F" w14:textId="77777777" w:rsidTr="003A0BFD">
        <w:trPr>
          <w:trHeight w:val="276"/>
        </w:trPr>
        <w:tc>
          <w:tcPr>
            <w:tcW w:w="4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2A54C" w14:textId="77777777" w:rsidR="00E33B12" w:rsidRPr="00E33B12" w:rsidRDefault="00E33B12" w:rsidP="00E33B12">
            <w:pPr>
              <w:spacing w:after="0"/>
              <w:ind w:firstLine="0"/>
              <w:jc w:val="left"/>
              <w:rPr>
                <w:rFonts w:eastAsia="Times New Roman" w:cs="Times New Roman"/>
                <w:b/>
                <w:bCs/>
                <w:sz w:val="18"/>
                <w:szCs w:val="18"/>
              </w:rPr>
            </w:pPr>
            <w:r w:rsidRPr="00E33B12">
              <w:rPr>
                <w:rFonts w:eastAsia="Times New Roman" w:cs="Times New Roman"/>
                <w:b/>
                <w:bCs/>
                <w:sz w:val="18"/>
                <w:szCs w:val="18"/>
              </w:rPr>
              <w:t>KOPĀ</w:t>
            </w:r>
          </w:p>
        </w:tc>
        <w:tc>
          <w:tcPr>
            <w:tcW w:w="869" w:type="dxa"/>
            <w:tcBorders>
              <w:top w:val="nil"/>
              <w:left w:val="nil"/>
              <w:bottom w:val="single" w:sz="4" w:space="0" w:color="auto"/>
              <w:right w:val="nil"/>
            </w:tcBorders>
            <w:shd w:val="clear" w:color="auto" w:fill="auto"/>
            <w:noWrap/>
            <w:vAlign w:val="center"/>
            <w:hideMark/>
          </w:tcPr>
          <w:p w14:paraId="072C3BCA" w14:textId="77777777" w:rsidR="00E33B12" w:rsidRPr="00E33B12" w:rsidRDefault="00E33B12" w:rsidP="00E33B12">
            <w:pPr>
              <w:spacing w:after="0"/>
              <w:ind w:firstLine="0"/>
              <w:jc w:val="center"/>
              <w:rPr>
                <w:rFonts w:eastAsia="Times New Roman" w:cs="Times New Roman"/>
                <w:b/>
                <w:bCs/>
                <w:sz w:val="18"/>
                <w:szCs w:val="18"/>
              </w:rPr>
            </w:pPr>
            <w:r w:rsidRPr="00E33B12">
              <w:rPr>
                <w:rFonts w:eastAsia="Times New Roman" w:cs="Times New Roman"/>
                <w:b/>
                <w:bCs/>
                <w:sz w:val="18"/>
                <w:szCs w:val="18"/>
              </w:rPr>
              <w:t>x</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E6C81" w14:textId="77777777" w:rsidR="00E33B12" w:rsidRPr="00E33B12" w:rsidRDefault="00E33B12" w:rsidP="00E33B12">
            <w:pPr>
              <w:spacing w:after="0"/>
              <w:ind w:firstLine="0"/>
              <w:jc w:val="center"/>
              <w:rPr>
                <w:rFonts w:eastAsia="Times New Roman" w:cs="Times New Roman"/>
                <w:b/>
                <w:bCs/>
                <w:sz w:val="18"/>
                <w:szCs w:val="18"/>
              </w:rPr>
            </w:pPr>
            <w:r w:rsidRPr="00E33B12">
              <w:rPr>
                <w:rFonts w:eastAsia="Times New Roman" w:cs="Times New Roman"/>
                <w:b/>
                <w:bCs/>
                <w:sz w:val="18"/>
                <w:szCs w:val="18"/>
              </w:rPr>
              <w:t>x</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29956C94" w14:textId="77777777" w:rsidR="00E33B12" w:rsidRPr="00E33B12" w:rsidRDefault="00E33B12" w:rsidP="00E33B12">
            <w:pPr>
              <w:spacing w:after="0"/>
              <w:ind w:firstLine="0"/>
              <w:jc w:val="right"/>
              <w:rPr>
                <w:rFonts w:eastAsia="Times New Roman" w:cs="Times New Roman"/>
                <w:b/>
                <w:bCs/>
                <w:sz w:val="18"/>
                <w:szCs w:val="18"/>
              </w:rPr>
            </w:pPr>
            <w:r w:rsidRPr="00E33B12">
              <w:rPr>
                <w:rFonts w:eastAsia="Times New Roman" w:cs="Times New Roman"/>
                <w:b/>
                <w:bCs/>
                <w:sz w:val="18"/>
                <w:szCs w:val="18"/>
              </w:rPr>
              <w:t>152 161 460</w:t>
            </w:r>
          </w:p>
        </w:tc>
        <w:tc>
          <w:tcPr>
            <w:tcW w:w="1104" w:type="dxa"/>
            <w:tcBorders>
              <w:top w:val="nil"/>
              <w:left w:val="nil"/>
              <w:bottom w:val="single" w:sz="4" w:space="0" w:color="auto"/>
              <w:right w:val="nil"/>
            </w:tcBorders>
            <w:shd w:val="clear" w:color="auto" w:fill="auto"/>
            <w:noWrap/>
            <w:vAlign w:val="center"/>
            <w:hideMark/>
          </w:tcPr>
          <w:p w14:paraId="647329D4" w14:textId="77777777" w:rsidR="00E33B12" w:rsidRPr="00E33B12" w:rsidRDefault="00E33B12" w:rsidP="00E33B12">
            <w:pPr>
              <w:spacing w:after="0"/>
              <w:ind w:firstLine="0"/>
              <w:jc w:val="center"/>
              <w:rPr>
                <w:rFonts w:eastAsia="Times New Roman" w:cs="Times New Roman"/>
                <w:b/>
                <w:bCs/>
                <w:sz w:val="18"/>
                <w:szCs w:val="18"/>
              </w:rPr>
            </w:pPr>
            <w:r w:rsidRPr="00E33B12">
              <w:rPr>
                <w:rFonts w:eastAsia="Times New Roman" w:cs="Times New Roman"/>
                <w:b/>
                <w:bCs/>
                <w:sz w:val="18"/>
                <w:szCs w:val="18"/>
              </w:rPr>
              <w:t>x</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88F78" w14:textId="77777777" w:rsidR="00E33B12" w:rsidRPr="00E33B12" w:rsidRDefault="00E33B12" w:rsidP="00E33B12">
            <w:pPr>
              <w:spacing w:after="0"/>
              <w:ind w:firstLine="0"/>
              <w:jc w:val="center"/>
              <w:rPr>
                <w:rFonts w:eastAsia="Times New Roman" w:cs="Times New Roman"/>
                <w:b/>
                <w:bCs/>
                <w:sz w:val="18"/>
                <w:szCs w:val="18"/>
              </w:rPr>
            </w:pPr>
            <w:r w:rsidRPr="00E33B12">
              <w:rPr>
                <w:rFonts w:eastAsia="Times New Roman" w:cs="Times New Roman"/>
                <w:b/>
                <w:bCs/>
                <w:sz w:val="18"/>
                <w:szCs w:val="18"/>
              </w:rPr>
              <w:t>x</w:t>
            </w:r>
          </w:p>
        </w:tc>
        <w:tc>
          <w:tcPr>
            <w:tcW w:w="1198" w:type="dxa"/>
            <w:tcBorders>
              <w:top w:val="single" w:sz="4" w:space="0" w:color="auto"/>
              <w:left w:val="nil"/>
              <w:bottom w:val="single" w:sz="4" w:space="0" w:color="auto"/>
              <w:right w:val="single" w:sz="4" w:space="0" w:color="auto"/>
            </w:tcBorders>
            <w:shd w:val="clear" w:color="auto" w:fill="auto"/>
            <w:noWrap/>
            <w:vAlign w:val="center"/>
            <w:hideMark/>
          </w:tcPr>
          <w:p w14:paraId="1644C630" w14:textId="77777777" w:rsidR="00E33B12" w:rsidRPr="00E33B12" w:rsidRDefault="00E33B12" w:rsidP="00E33B12">
            <w:pPr>
              <w:spacing w:after="0"/>
              <w:ind w:firstLine="0"/>
              <w:jc w:val="right"/>
              <w:rPr>
                <w:rFonts w:eastAsia="Times New Roman" w:cs="Times New Roman"/>
                <w:b/>
                <w:bCs/>
                <w:sz w:val="18"/>
                <w:szCs w:val="18"/>
              </w:rPr>
            </w:pPr>
            <w:r w:rsidRPr="00E33B12">
              <w:rPr>
                <w:rFonts w:eastAsia="Times New Roman" w:cs="Times New Roman"/>
                <w:b/>
                <w:bCs/>
                <w:sz w:val="18"/>
                <w:szCs w:val="18"/>
              </w:rPr>
              <w:t>147 597 972</w:t>
            </w:r>
          </w:p>
        </w:tc>
        <w:tc>
          <w:tcPr>
            <w:tcW w:w="1049" w:type="dxa"/>
            <w:tcBorders>
              <w:top w:val="nil"/>
              <w:left w:val="nil"/>
              <w:bottom w:val="single" w:sz="4" w:space="0" w:color="auto"/>
              <w:right w:val="nil"/>
            </w:tcBorders>
            <w:shd w:val="clear" w:color="auto" w:fill="auto"/>
            <w:noWrap/>
            <w:vAlign w:val="center"/>
            <w:hideMark/>
          </w:tcPr>
          <w:p w14:paraId="6773DFE0" w14:textId="77777777" w:rsidR="00E33B12" w:rsidRPr="00E33B12" w:rsidRDefault="00E33B12" w:rsidP="00E33B12">
            <w:pPr>
              <w:spacing w:after="0"/>
              <w:ind w:firstLine="0"/>
              <w:jc w:val="center"/>
              <w:rPr>
                <w:rFonts w:eastAsia="Times New Roman" w:cs="Times New Roman"/>
                <w:b/>
                <w:bCs/>
                <w:sz w:val="18"/>
                <w:szCs w:val="18"/>
              </w:rPr>
            </w:pPr>
            <w:r w:rsidRPr="00E33B12">
              <w:rPr>
                <w:rFonts w:eastAsia="Times New Roman" w:cs="Times New Roman"/>
                <w:b/>
                <w:bCs/>
                <w:sz w:val="18"/>
                <w:szCs w:val="18"/>
              </w:rPr>
              <w:t>x</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0764E" w14:textId="77777777" w:rsidR="00E33B12" w:rsidRPr="00E33B12" w:rsidRDefault="00E33B12" w:rsidP="00E33B12">
            <w:pPr>
              <w:spacing w:after="0"/>
              <w:ind w:firstLine="0"/>
              <w:jc w:val="center"/>
              <w:rPr>
                <w:rFonts w:eastAsia="Times New Roman" w:cs="Times New Roman"/>
                <w:b/>
                <w:bCs/>
                <w:sz w:val="18"/>
                <w:szCs w:val="18"/>
              </w:rPr>
            </w:pPr>
            <w:r w:rsidRPr="00E33B12">
              <w:rPr>
                <w:rFonts w:eastAsia="Times New Roman" w:cs="Times New Roman"/>
                <w:b/>
                <w:bCs/>
                <w:sz w:val="18"/>
                <w:szCs w:val="18"/>
              </w:rPr>
              <w:t>x</w:t>
            </w:r>
          </w:p>
        </w:tc>
        <w:tc>
          <w:tcPr>
            <w:tcW w:w="1240" w:type="dxa"/>
            <w:tcBorders>
              <w:top w:val="nil"/>
              <w:left w:val="nil"/>
              <w:bottom w:val="single" w:sz="4" w:space="0" w:color="auto"/>
              <w:right w:val="single" w:sz="4" w:space="0" w:color="auto"/>
            </w:tcBorders>
            <w:shd w:val="clear" w:color="auto" w:fill="auto"/>
            <w:noWrap/>
            <w:vAlign w:val="center"/>
            <w:hideMark/>
          </w:tcPr>
          <w:p w14:paraId="06A777B0" w14:textId="77777777" w:rsidR="00E33B12" w:rsidRPr="00E33B12" w:rsidRDefault="00E33B12" w:rsidP="00E33B12">
            <w:pPr>
              <w:spacing w:after="0"/>
              <w:ind w:firstLine="0"/>
              <w:jc w:val="right"/>
              <w:rPr>
                <w:rFonts w:eastAsia="Times New Roman" w:cs="Times New Roman"/>
                <w:b/>
                <w:bCs/>
                <w:sz w:val="18"/>
                <w:szCs w:val="18"/>
              </w:rPr>
            </w:pPr>
            <w:r w:rsidRPr="00E33B12">
              <w:rPr>
                <w:rFonts w:eastAsia="Times New Roman" w:cs="Times New Roman"/>
                <w:b/>
                <w:bCs/>
                <w:sz w:val="18"/>
                <w:szCs w:val="18"/>
              </w:rPr>
              <w:t>146 331 704</w:t>
            </w:r>
          </w:p>
        </w:tc>
      </w:tr>
    </w:tbl>
    <w:p w14:paraId="036BEBDD" w14:textId="2D9DE86C" w:rsidR="004F6A3A" w:rsidRPr="00C404D5" w:rsidRDefault="00C404D5" w:rsidP="00D84B9C">
      <w:pPr>
        <w:widowControl w:val="0"/>
        <w:spacing w:before="120"/>
        <w:ind w:firstLine="0"/>
        <w:rPr>
          <w:rFonts w:eastAsia="Calibri" w:cs="Times New Roman"/>
          <w:i/>
          <w:sz w:val="20"/>
        </w:rPr>
      </w:pPr>
      <w:r w:rsidRPr="00C404D5">
        <w:rPr>
          <w:rFonts w:eastAsia="Calibri" w:cs="Times New Roman"/>
          <w:i/>
          <w:sz w:val="20"/>
        </w:rPr>
        <w:t xml:space="preserve">Datu avots: </w:t>
      </w:r>
      <w:r w:rsidR="004F6A3A">
        <w:rPr>
          <w:rFonts w:eastAsia="Calibri" w:cs="Times New Roman"/>
          <w:i/>
          <w:sz w:val="20"/>
        </w:rPr>
        <w:t>Finanšu ministrija</w:t>
      </w:r>
    </w:p>
    <w:p w14:paraId="14B7FAD2" w14:textId="3F177EE5" w:rsidR="00C404D5" w:rsidRPr="00C404D5" w:rsidRDefault="00C404D5" w:rsidP="00C404D5">
      <w:pPr>
        <w:widowControl w:val="0"/>
        <w:rPr>
          <w:rFonts w:eastAsia="Calibri" w:cs="Times New Roman"/>
          <w:i/>
          <w:sz w:val="20"/>
        </w:rPr>
      </w:pPr>
    </w:p>
    <w:p w14:paraId="76E85A5E" w14:textId="77777777" w:rsidR="005E7346" w:rsidRDefault="005E7346" w:rsidP="00C404D5">
      <w:pPr>
        <w:widowControl w:val="0"/>
        <w:rPr>
          <w:rFonts w:eastAsia="Times New Roman" w:cs="Times New Roman"/>
          <w:b/>
          <w:color w:val="000000"/>
        </w:rPr>
      </w:pPr>
    </w:p>
    <w:p w14:paraId="4ADFCC52" w14:textId="77777777" w:rsidR="005E7346" w:rsidRDefault="005E7346" w:rsidP="00401A5B">
      <w:pPr>
        <w:widowControl w:val="0"/>
        <w:jc w:val="center"/>
        <w:rPr>
          <w:rFonts w:eastAsia="Times New Roman" w:cs="Times New Roman"/>
          <w:b/>
          <w:color w:val="000000"/>
        </w:rPr>
      </w:pPr>
    </w:p>
    <w:p w14:paraId="06AE4F84" w14:textId="210C3120" w:rsidR="003F3FCD" w:rsidRDefault="003F3FCD" w:rsidP="00401A5B">
      <w:pPr>
        <w:widowControl w:val="0"/>
        <w:jc w:val="center"/>
        <w:rPr>
          <w:rFonts w:eastAsia="Times New Roman" w:cs="Times New Roman"/>
          <w:b/>
          <w:color w:val="000000"/>
        </w:rPr>
      </w:pPr>
    </w:p>
    <w:p w14:paraId="6BC560DB" w14:textId="39B4F8EC" w:rsidR="00890A0D" w:rsidRDefault="00890A0D" w:rsidP="00401A5B">
      <w:pPr>
        <w:widowControl w:val="0"/>
        <w:jc w:val="center"/>
        <w:rPr>
          <w:rFonts w:eastAsia="Times New Roman" w:cs="Times New Roman"/>
          <w:b/>
          <w:color w:val="000000"/>
        </w:rPr>
      </w:pPr>
    </w:p>
    <w:p w14:paraId="6EBE37D2" w14:textId="7FED6F40" w:rsidR="00D84B9C" w:rsidRDefault="00D84B9C" w:rsidP="00401A5B">
      <w:pPr>
        <w:widowControl w:val="0"/>
        <w:jc w:val="center"/>
        <w:rPr>
          <w:rFonts w:eastAsia="Times New Roman" w:cs="Times New Roman"/>
          <w:b/>
          <w:color w:val="000000"/>
        </w:rPr>
      </w:pPr>
    </w:p>
    <w:p w14:paraId="52D1F325" w14:textId="42059530" w:rsidR="00D84B9C" w:rsidRDefault="00D84B9C" w:rsidP="00401A5B">
      <w:pPr>
        <w:widowControl w:val="0"/>
        <w:jc w:val="center"/>
        <w:rPr>
          <w:rFonts w:eastAsia="Times New Roman" w:cs="Times New Roman"/>
          <w:b/>
          <w:color w:val="000000"/>
        </w:rPr>
      </w:pPr>
    </w:p>
    <w:p w14:paraId="6B392F32" w14:textId="77777777" w:rsidR="00D84B9C" w:rsidRDefault="00D84B9C" w:rsidP="00401A5B">
      <w:pPr>
        <w:widowControl w:val="0"/>
        <w:jc w:val="center"/>
        <w:rPr>
          <w:rFonts w:eastAsia="Times New Roman" w:cs="Times New Roman"/>
          <w:b/>
          <w:color w:val="000000"/>
        </w:rPr>
      </w:pPr>
    </w:p>
    <w:p w14:paraId="1E252ABD" w14:textId="5BD55CFA" w:rsidR="00890A0D" w:rsidRDefault="00890A0D" w:rsidP="00401A5B">
      <w:pPr>
        <w:widowControl w:val="0"/>
        <w:jc w:val="center"/>
        <w:rPr>
          <w:rFonts w:eastAsia="Times New Roman" w:cs="Times New Roman"/>
          <w:b/>
          <w:color w:val="000000"/>
        </w:rPr>
      </w:pPr>
    </w:p>
    <w:p w14:paraId="7F08F2D7" w14:textId="1F99A0ED" w:rsidR="00E33B12" w:rsidRPr="00B85700" w:rsidRDefault="00E33B12" w:rsidP="00B85700">
      <w:pPr>
        <w:widowControl w:val="0"/>
        <w:ind w:firstLine="0"/>
        <w:rPr>
          <w:rFonts w:eastAsia="Calibri" w:cs="Times New Roman"/>
          <w:i/>
          <w:sz w:val="20"/>
        </w:rPr>
      </w:pPr>
    </w:p>
    <w:p w14:paraId="0365C58B" w14:textId="6C0050A4" w:rsidR="003F3FCD" w:rsidRPr="005902C7" w:rsidRDefault="00B85700" w:rsidP="000F6C00">
      <w:pPr>
        <w:widowControl w:val="0"/>
        <w:ind w:right="111"/>
        <w:jc w:val="right"/>
        <w:rPr>
          <w:rFonts w:eastAsia="Times New Roman" w:cs="Times New Roman"/>
          <w:color w:val="000000"/>
        </w:rPr>
      </w:pPr>
      <w:r>
        <w:rPr>
          <w:rFonts w:eastAsia="Times New Roman" w:cs="Times New Roman"/>
          <w:color w:val="000000"/>
        </w:rPr>
        <w:t>8</w:t>
      </w:r>
      <w:r w:rsidR="000F6C00" w:rsidRPr="005902C7">
        <w:rPr>
          <w:rFonts w:eastAsia="Times New Roman" w:cs="Times New Roman"/>
          <w:color w:val="000000"/>
        </w:rPr>
        <w:t>.</w:t>
      </w:r>
      <w:r w:rsidR="004F6A3A" w:rsidRPr="005902C7">
        <w:rPr>
          <w:rFonts w:eastAsia="Times New Roman" w:cs="Times New Roman"/>
          <w:color w:val="000000"/>
        </w:rPr>
        <w:t xml:space="preserve"> </w:t>
      </w:r>
      <w:r w:rsidR="000F6C00" w:rsidRPr="005902C7">
        <w:rPr>
          <w:rFonts w:eastAsia="Times New Roman" w:cs="Times New Roman"/>
          <w:color w:val="000000"/>
        </w:rPr>
        <w:t>pielikums</w:t>
      </w:r>
    </w:p>
    <w:p w14:paraId="7258221C" w14:textId="4FA4EE13" w:rsidR="003F3FCD" w:rsidRPr="005902C7" w:rsidRDefault="000548A5" w:rsidP="000F6C00">
      <w:pPr>
        <w:widowControl w:val="0"/>
        <w:jc w:val="right"/>
        <w:rPr>
          <w:rFonts w:eastAsia="Times New Roman" w:cs="Times New Roman"/>
          <w:b/>
          <w:color w:val="000000"/>
        </w:rPr>
      </w:pPr>
      <w:r w:rsidRPr="005902C7">
        <w:rPr>
          <w:rFonts w:eastAsia="Times New Roman" w:cs="Times New Roman"/>
          <w:b/>
          <w:color w:val="000000"/>
        </w:rPr>
        <w:t>Valsts sociālās apdrošināšanas speciālā budžeta programma 04.00.00. "Sociālā apdrošināšana"</w:t>
      </w:r>
    </w:p>
    <w:tbl>
      <w:tblPr>
        <w:tblW w:w="13892" w:type="dxa"/>
        <w:tblInd w:w="-5" w:type="dxa"/>
        <w:tblLayout w:type="fixed"/>
        <w:tblLook w:val="04A0" w:firstRow="1" w:lastRow="0" w:firstColumn="1" w:lastColumn="0" w:noHBand="0" w:noVBand="1"/>
      </w:tblPr>
      <w:tblGrid>
        <w:gridCol w:w="4111"/>
        <w:gridCol w:w="1134"/>
        <w:gridCol w:w="992"/>
        <w:gridCol w:w="1276"/>
        <w:gridCol w:w="1134"/>
        <w:gridCol w:w="992"/>
        <w:gridCol w:w="1276"/>
        <w:gridCol w:w="851"/>
        <w:gridCol w:w="850"/>
        <w:gridCol w:w="1276"/>
      </w:tblGrid>
      <w:tr w:rsidR="005902C7" w:rsidRPr="005902C7" w14:paraId="2FDCDE4B" w14:textId="77777777" w:rsidTr="003A0BFD">
        <w:trPr>
          <w:trHeight w:val="780"/>
        </w:trPr>
        <w:tc>
          <w:tcPr>
            <w:tcW w:w="4111"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0ECFF144" w14:textId="77777777" w:rsidR="005902C7" w:rsidRPr="005902C7" w:rsidRDefault="005902C7" w:rsidP="005902C7">
            <w:pPr>
              <w:spacing w:after="0"/>
              <w:ind w:firstLine="0"/>
              <w:jc w:val="center"/>
              <w:rPr>
                <w:rFonts w:eastAsia="Times New Roman" w:cs="Times New Roman"/>
                <w:sz w:val="18"/>
                <w:szCs w:val="18"/>
              </w:rPr>
            </w:pPr>
            <w:r w:rsidRPr="005902C7">
              <w:rPr>
                <w:rFonts w:eastAsia="Times New Roman" w:cs="Times New Roman"/>
                <w:sz w:val="18"/>
                <w:szCs w:val="18"/>
              </w:rPr>
              <w:lastRenderedPageBreak/>
              <w:t>Pensijas/pabalsta/atlīdzības veids</w:t>
            </w:r>
          </w:p>
        </w:tc>
        <w:tc>
          <w:tcPr>
            <w:tcW w:w="3402" w:type="dxa"/>
            <w:gridSpan w:val="3"/>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5A677BD1" w14:textId="0609A322" w:rsidR="005902C7" w:rsidRPr="005902C7" w:rsidRDefault="005902C7" w:rsidP="005902C7">
            <w:pPr>
              <w:spacing w:after="0"/>
              <w:ind w:firstLine="0"/>
              <w:jc w:val="center"/>
              <w:rPr>
                <w:rFonts w:eastAsia="Times New Roman" w:cs="Times New Roman"/>
                <w:sz w:val="18"/>
                <w:szCs w:val="18"/>
              </w:rPr>
            </w:pPr>
            <w:r w:rsidRPr="005902C7">
              <w:rPr>
                <w:rFonts w:eastAsia="Times New Roman" w:cs="Times New Roman"/>
                <w:sz w:val="18"/>
                <w:szCs w:val="18"/>
              </w:rPr>
              <w:t>2022.</w:t>
            </w:r>
            <w:r>
              <w:rPr>
                <w:rFonts w:eastAsia="Times New Roman" w:cs="Times New Roman"/>
                <w:sz w:val="18"/>
                <w:szCs w:val="18"/>
              </w:rPr>
              <w:t xml:space="preserve"> </w:t>
            </w:r>
            <w:r w:rsidRPr="005902C7">
              <w:rPr>
                <w:rFonts w:eastAsia="Times New Roman" w:cs="Times New Roman"/>
                <w:sz w:val="18"/>
                <w:szCs w:val="18"/>
              </w:rPr>
              <w:t>gada projekts</w:t>
            </w:r>
          </w:p>
        </w:tc>
        <w:tc>
          <w:tcPr>
            <w:tcW w:w="3402" w:type="dxa"/>
            <w:gridSpan w:val="3"/>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F05F105" w14:textId="1B63387B" w:rsidR="005902C7" w:rsidRPr="005902C7" w:rsidRDefault="005902C7" w:rsidP="005902C7">
            <w:pPr>
              <w:spacing w:after="0"/>
              <w:ind w:firstLine="0"/>
              <w:jc w:val="center"/>
              <w:rPr>
                <w:rFonts w:eastAsia="Times New Roman" w:cs="Times New Roman"/>
                <w:sz w:val="18"/>
                <w:szCs w:val="18"/>
              </w:rPr>
            </w:pPr>
            <w:r w:rsidRPr="005902C7">
              <w:rPr>
                <w:rFonts w:eastAsia="Times New Roman" w:cs="Times New Roman"/>
                <w:sz w:val="18"/>
                <w:szCs w:val="18"/>
              </w:rPr>
              <w:t>2023.</w:t>
            </w:r>
            <w:r>
              <w:rPr>
                <w:rFonts w:eastAsia="Times New Roman" w:cs="Times New Roman"/>
                <w:sz w:val="18"/>
                <w:szCs w:val="18"/>
              </w:rPr>
              <w:t xml:space="preserve"> </w:t>
            </w:r>
            <w:r w:rsidRPr="005902C7">
              <w:rPr>
                <w:rFonts w:eastAsia="Times New Roman" w:cs="Times New Roman"/>
                <w:sz w:val="18"/>
                <w:szCs w:val="18"/>
              </w:rPr>
              <w:t>gada projekts</w:t>
            </w:r>
          </w:p>
        </w:tc>
        <w:tc>
          <w:tcPr>
            <w:tcW w:w="2977" w:type="dxa"/>
            <w:gridSpan w:val="3"/>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1FC1C77" w14:textId="300B71C6" w:rsidR="005902C7" w:rsidRPr="005902C7" w:rsidRDefault="005902C7" w:rsidP="005902C7">
            <w:pPr>
              <w:spacing w:after="0"/>
              <w:ind w:firstLine="0"/>
              <w:jc w:val="center"/>
              <w:rPr>
                <w:rFonts w:eastAsia="Times New Roman" w:cs="Times New Roman"/>
                <w:sz w:val="18"/>
                <w:szCs w:val="18"/>
              </w:rPr>
            </w:pPr>
            <w:r w:rsidRPr="005902C7">
              <w:rPr>
                <w:rFonts w:eastAsia="Times New Roman" w:cs="Times New Roman"/>
                <w:sz w:val="18"/>
                <w:szCs w:val="18"/>
              </w:rPr>
              <w:t>2024.</w:t>
            </w:r>
            <w:r>
              <w:rPr>
                <w:rFonts w:eastAsia="Times New Roman" w:cs="Times New Roman"/>
                <w:sz w:val="18"/>
                <w:szCs w:val="18"/>
              </w:rPr>
              <w:t xml:space="preserve"> </w:t>
            </w:r>
            <w:r w:rsidRPr="005902C7">
              <w:rPr>
                <w:rFonts w:eastAsia="Times New Roman" w:cs="Times New Roman"/>
                <w:sz w:val="18"/>
                <w:szCs w:val="18"/>
              </w:rPr>
              <w:t>gada projekts</w:t>
            </w:r>
          </w:p>
        </w:tc>
      </w:tr>
      <w:tr w:rsidR="004C587F" w:rsidRPr="005902C7" w14:paraId="753FEF86" w14:textId="77777777" w:rsidTr="003A0BFD">
        <w:trPr>
          <w:trHeight w:val="1155"/>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4748ADA6" w14:textId="77777777" w:rsidR="005902C7" w:rsidRPr="005902C7" w:rsidRDefault="005902C7" w:rsidP="005902C7">
            <w:pPr>
              <w:spacing w:after="0"/>
              <w:ind w:firstLine="0"/>
              <w:jc w:val="left"/>
              <w:rPr>
                <w:rFonts w:eastAsia="Times New Roman" w:cs="Times New Roman"/>
                <w:sz w:val="18"/>
                <w:szCs w:val="18"/>
              </w:rPr>
            </w:pPr>
          </w:p>
        </w:tc>
        <w:tc>
          <w:tcPr>
            <w:tcW w:w="1134" w:type="dxa"/>
            <w:tcBorders>
              <w:top w:val="nil"/>
              <w:left w:val="nil"/>
              <w:bottom w:val="single" w:sz="4" w:space="0" w:color="auto"/>
              <w:right w:val="single" w:sz="4" w:space="0" w:color="auto"/>
            </w:tcBorders>
            <w:shd w:val="clear" w:color="auto" w:fill="DEEAF6" w:themeFill="accent1" w:themeFillTint="33"/>
            <w:vAlign w:val="center"/>
            <w:hideMark/>
          </w:tcPr>
          <w:p w14:paraId="4A3AA14E" w14:textId="77777777" w:rsidR="005902C7" w:rsidRPr="005902C7" w:rsidRDefault="005902C7" w:rsidP="005902C7">
            <w:pPr>
              <w:spacing w:after="0"/>
              <w:ind w:firstLine="0"/>
              <w:jc w:val="center"/>
              <w:rPr>
                <w:rFonts w:eastAsia="Times New Roman" w:cs="Times New Roman"/>
                <w:sz w:val="18"/>
                <w:szCs w:val="18"/>
              </w:rPr>
            </w:pPr>
            <w:r w:rsidRPr="005902C7">
              <w:rPr>
                <w:rFonts w:eastAsia="Times New Roman" w:cs="Times New Roman"/>
                <w:sz w:val="18"/>
                <w:szCs w:val="18"/>
              </w:rPr>
              <w:t xml:space="preserve">Pensijas/ pabalsta/ atlīdzības apmērs vidēji mēnesī </w:t>
            </w:r>
            <w:r w:rsidRPr="005902C7">
              <w:rPr>
                <w:rFonts w:eastAsia="Times New Roman" w:cs="Times New Roman"/>
                <w:i/>
                <w:iCs/>
                <w:sz w:val="18"/>
                <w:szCs w:val="18"/>
              </w:rPr>
              <w:t>(euro)</w:t>
            </w:r>
          </w:p>
        </w:tc>
        <w:tc>
          <w:tcPr>
            <w:tcW w:w="992" w:type="dxa"/>
            <w:tcBorders>
              <w:top w:val="nil"/>
              <w:left w:val="nil"/>
              <w:bottom w:val="single" w:sz="4" w:space="0" w:color="auto"/>
              <w:right w:val="single" w:sz="4" w:space="0" w:color="auto"/>
            </w:tcBorders>
            <w:shd w:val="clear" w:color="auto" w:fill="DEEAF6" w:themeFill="accent1" w:themeFillTint="33"/>
            <w:vAlign w:val="center"/>
            <w:hideMark/>
          </w:tcPr>
          <w:p w14:paraId="464B0BAC" w14:textId="77777777" w:rsidR="005902C7" w:rsidRPr="005902C7" w:rsidRDefault="005902C7" w:rsidP="005902C7">
            <w:pPr>
              <w:spacing w:after="0"/>
              <w:ind w:firstLine="0"/>
              <w:jc w:val="center"/>
              <w:rPr>
                <w:rFonts w:eastAsia="Times New Roman" w:cs="Times New Roman"/>
                <w:sz w:val="18"/>
                <w:szCs w:val="18"/>
              </w:rPr>
            </w:pPr>
            <w:r w:rsidRPr="005902C7">
              <w:rPr>
                <w:rFonts w:eastAsia="Times New Roman" w:cs="Times New Roman"/>
                <w:sz w:val="18"/>
                <w:szCs w:val="18"/>
              </w:rPr>
              <w:t>Saņēmēju skaits (vidēji mēnesī)</w:t>
            </w:r>
          </w:p>
        </w:tc>
        <w:tc>
          <w:tcPr>
            <w:tcW w:w="1276" w:type="dxa"/>
            <w:tcBorders>
              <w:top w:val="nil"/>
              <w:left w:val="nil"/>
              <w:bottom w:val="single" w:sz="4" w:space="0" w:color="auto"/>
              <w:right w:val="single" w:sz="4" w:space="0" w:color="auto"/>
            </w:tcBorders>
            <w:shd w:val="clear" w:color="auto" w:fill="DEEAF6" w:themeFill="accent1" w:themeFillTint="33"/>
            <w:vAlign w:val="center"/>
            <w:hideMark/>
          </w:tcPr>
          <w:p w14:paraId="480B9343" w14:textId="77777777" w:rsidR="005902C7" w:rsidRPr="005902C7" w:rsidRDefault="005902C7" w:rsidP="005902C7">
            <w:pPr>
              <w:spacing w:after="0"/>
              <w:ind w:firstLine="0"/>
              <w:jc w:val="center"/>
              <w:rPr>
                <w:rFonts w:eastAsia="Times New Roman" w:cs="Times New Roman"/>
                <w:sz w:val="18"/>
                <w:szCs w:val="18"/>
              </w:rPr>
            </w:pPr>
            <w:r w:rsidRPr="005902C7">
              <w:rPr>
                <w:rFonts w:eastAsia="Times New Roman" w:cs="Times New Roman"/>
                <w:sz w:val="18"/>
                <w:szCs w:val="18"/>
              </w:rPr>
              <w:t xml:space="preserve">Izdevumi kopā </w:t>
            </w:r>
            <w:r w:rsidRPr="005902C7">
              <w:rPr>
                <w:rFonts w:eastAsia="Times New Roman" w:cs="Times New Roman"/>
                <w:i/>
                <w:iCs/>
                <w:sz w:val="18"/>
                <w:szCs w:val="18"/>
              </w:rPr>
              <w:t>(euro)</w:t>
            </w:r>
          </w:p>
        </w:tc>
        <w:tc>
          <w:tcPr>
            <w:tcW w:w="1134" w:type="dxa"/>
            <w:tcBorders>
              <w:top w:val="nil"/>
              <w:left w:val="nil"/>
              <w:bottom w:val="single" w:sz="4" w:space="0" w:color="auto"/>
              <w:right w:val="single" w:sz="4" w:space="0" w:color="auto"/>
            </w:tcBorders>
            <w:shd w:val="clear" w:color="auto" w:fill="DEEAF6" w:themeFill="accent1" w:themeFillTint="33"/>
            <w:vAlign w:val="center"/>
            <w:hideMark/>
          </w:tcPr>
          <w:p w14:paraId="7F1D39A4" w14:textId="77777777" w:rsidR="005902C7" w:rsidRPr="005902C7" w:rsidRDefault="005902C7" w:rsidP="005902C7">
            <w:pPr>
              <w:spacing w:after="0"/>
              <w:ind w:firstLine="0"/>
              <w:jc w:val="center"/>
              <w:rPr>
                <w:rFonts w:eastAsia="Times New Roman" w:cs="Times New Roman"/>
                <w:sz w:val="18"/>
                <w:szCs w:val="18"/>
              </w:rPr>
            </w:pPr>
            <w:r w:rsidRPr="005902C7">
              <w:rPr>
                <w:rFonts w:eastAsia="Times New Roman" w:cs="Times New Roman"/>
                <w:sz w:val="18"/>
                <w:szCs w:val="18"/>
              </w:rPr>
              <w:t xml:space="preserve">Pensijas/ pabalsta/ atlīdzības apmērs vidēji mēnesī </w:t>
            </w:r>
            <w:r w:rsidRPr="005902C7">
              <w:rPr>
                <w:rFonts w:eastAsia="Times New Roman" w:cs="Times New Roman"/>
                <w:i/>
                <w:iCs/>
                <w:sz w:val="18"/>
                <w:szCs w:val="18"/>
              </w:rPr>
              <w:t>(euro)</w:t>
            </w:r>
          </w:p>
        </w:tc>
        <w:tc>
          <w:tcPr>
            <w:tcW w:w="992" w:type="dxa"/>
            <w:tcBorders>
              <w:top w:val="nil"/>
              <w:left w:val="nil"/>
              <w:bottom w:val="single" w:sz="4" w:space="0" w:color="auto"/>
              <w:right w:val="single" w:sz="4" w:space="0" w:color="auto"/>
            </w:tcBorders>
            <w:shd w:val="clear" w:color="auto" w:fill="DEEAF6" w:themeFill="accent1" w:themeFillTint="33"/>
            <w:vAlign w:val="center"/>
            <w:hideMark/>
          </w:tcPr>
          <w:p w14:paraId="1F3953A6" w14:textId="77777777" w:rsidR="005902C7" w:rsidRPr="005902C7" w:rsidRDefault="005902C7" w:rsidP="005902C7">
            <w:pPr>
              <w:spacing w:after="0"/>
              <w:ind w:firstLine="0"/>
              <w:jc w:val="center"/>
              <w:rPr>
                <w:rFonts w:eastAsia="Times New Roman" w:cs="Times New Roman"/>
                <w:sz w:val="18"/>
                <w:szCs w:val="18"/>
              </w:rPr>
            </w:pPr>
            <w:r w:rsidRPr="005902C7">
              <w:rPr>
                <w:rFonts w:eastAsia="Times New Roman" w:cs="Times New Roman"/>
                <w:sz w:val="18"/>
                <w:szCs w:val="18"/>
              </w:rPr>
              <w:t>Saņēmēju skaits (vidēji mēnesī)</w:t>
            </w:r>
          </w:p>
        </w:tc>
        <w:tc>
          <w:tcPr>
            <w:tcW w:w="1276" w:type="dxa"/>
            <w:tcBorders>
              <w:top w:val="nil"/>
              <w:left w:val="nil"/>
              <w:bottom w:val="single" w:sz="4" w:space="0" w:color="auto"/>
              <w:right w:val="single" w:sz="4" w:space="0" w:color="auto"/>
            </w:tcBorders>
            <w:shd w:val="clear" w:color="auto" w:fill="DEEAF6" w:themeFill="accent1" w:themeFillTint="33"/>
            <w:vAlign w:val="center"/>
            <w:hideMark/>
          </w:tcPr>
          <w:p w14:paraId="754ABF93" w14:textId="77777777" w:rsidR="005902C7" w:rsidRPr="005902C7" w:rsidRDefault="005902C7" w:rsidP="005902C7">
            <w:pPr>
              <w:spacing w:after="0"/>
              <w:ind w:firstLine="0"/>
              <w:jc w:val="center"/>
              <w:rPr>
                <w:rFonts w:eastAsia="Times New Roman" w:cs="Times New Roman"/>
                <w:sz w:val="18"/>
                <w:szCs w:val="18"/>
              </w:rPr>
            </w:pPr>
            <w:r w:rsidRPr="005902C7">
              <w:rPr>
                <w:rFonts w:eastAsia="Times New Roman" w:cs="Times New Roman"/>
                <w:sz w:val="18"/>
                <w:szCs w:val="18"/>
              </w:rPr>
              <w:t xml:space="preserve">Izdevumi kopā </w:t>
            </w:r>
            <w:r w:rsidRPr="005902C7">
              <w:rPr>
                <w:rFonts w:eastAsia="Times New Roman" w:cs="Times New Roman"/>
                <w:i/>
                <w:iCs/>
                <w:sz w:val="18"/>
                <w:szCs w:val="18"/>
              </w:rPr>
              <w:t>(euro)</w:t>
            </w:r>
          </w:p>
        </w:tc>
        <w:tc>
          <w:tcPr>
            <w:tcW w:w="851" w:type="dxa"/>
            <w:tcBorders>
              <w:top w:val="nil"/>
              <w:left w:val="nil"/>
              <w:bottom w:val="single" w:sz="4" w:space="0" w:color="auto"/>
              <w:right w:val="single" w:sz="4" w:space="0" w:color="auto"/>
            </w:tcBorders>
            <w:shd w:val="clear" w:color="auto" w:fill="DEEAF6" w:themeFill="accent1" w:themeFillTint="33"/>
            <w:vAlign w:val="center"/>
            <w:hideMark/>
          </w:tcPr>
          <w:p w14:paraId="4FA4540D" w14:textId="77777777" w:rsidR="005902C7" w:rsidRPr="005902C7" w:rsidRDefault="005902C7" w:rsidP="005902C7">
            <w:pPr>
              <w:spacing w:after="0"/>
              <w:ind w:firstLine="0"/>
              <w:jc w:val="center"/>
              <w:rPr>
                <w:rFonts w:eastAsia="Times New Roman" w:cs="Times New Roman"/>
                <w:sz w:val="18"/>
                <w:szCs w:val="18"/>
              </w:rPr>
            </w:pPr>
            <w:r w:rsidRPr="005902C7">
              <w:rPr>
                <w:rFonts w:eastAsia="Times New Roman" w:cs="Times New Roman"/>
                <w:sz w:val="18"/>
                <w:szCs w:val="18"/>
              </w:rPr>
              <w:t xml:space="preserve">Pensijas/ pabalsta/ atlīdzības apmērs vidēji mēnesī </w:t>
            </w:r>
            <w:r w:rsidRPr="005902C7">
              <w:rPr>
                <w:rFonts w:eastAsia="Times New Roman" w:cs="Times New Roman"/>
                <w:i/>
                <w:iCs/>
                <w:sz w:val="18"/>
                <w:szCs w:val="18"/>
              </w:rPr>
              <w:t>(euro)</w:t>
            </w:r>
          </w:p>
        </w:tc>
        <w:tc>
          <w:tcPr>
            <w:tcW w:w="850" w:type="dxa"/>
            <w:tcBorders>
              <w:top w:val="nil"/>
              <w:left w:val="nil"/>
              <w:bottom w:val="single" w:sz="4" w:space="0" w:color="auto"/>
              <w:right w:val="single" w:sz="4" w:space="0" w:color="auto"/>
            </w:tcBorders>
            <w:shd w:val="clear" w:color="auto" w:fill="DEEAF6" w:themeFill="accent1" w:themeFillTint="33"/>
            <w:vAlign w:val="center"/>
            <w:hideMark/>
          </w:tcPr>
          <w:p w14:paraId="6E39550E" w14:textId="77777777" w:rsidR="005902C7" w:rsidRPr="005902C7" w:rsidRDefault="005902C7" w:rsidP="005902C7">
            <w:pPr>
              <w:spacing w:after="0"/>
              <w:ind w:firstLine="0"/>
              <w:jc w:val="center"/>
              <w:rPr>
                <w:rFonts w:eastAsia="Times New Roman" w:cs="Times New Roman"/>
                <w:sz w:val="18"/>
                <w:szCs w:val="18"/>
              </w:rPr>
            </w:pPr>
            <w:r w:rsidRPr="005902C7">
              <w:rPr>
                <w:rFonts w:eastAsia="Times New Roman" w:cs="Times New Roman"/>
                <w:sz w:val="18"/>
                <w:szCs w:val="18"/>
              </w:rPr>
              <w:t>Saņēmēju skaits (vidēji mēnesī)</w:t>
            </w:r>
          </w:p>
        </w:tc>
        <w:tc>
          <w:tcPr>
            <w:tcW w:w="1276" w:type="dxa"/>
            <w:tcBorders>
              <w:top w:val="nil"/>
              <w:left w:val="nil"/>
              <w:bottom w:val="single" w:sz="4" w:space="0" w:color="auto"/>
              <w:right w:val="single" w:sz="4" w:space="0" w:color="auto"/>
            </w:tcBorders>
            <w:shd w:val="clear" w:color="auto" w:fill="DEEAF6" w:themeFill="accent1" w:themeFillTint="33"/>
            <w:vAlign w:val="center"/>
            <w:hideMark/>
          </w:tcPr>
          <w:p w14:paraId="2880EE3A" w14:textId="77777777" w:rsidR="005902C7" w:rsidRPr="005902C7" w:rsidRDefault="005902C7" w:rsidP="005902C7">
            <w:pPr>
              <w:spacing w:after="0"/>
              <w:ind w:firstLine="0"/>
              <w:jc w:val="center"/>
              <w:rPr>
                <w:rFonts w:eastAsia="Times New Roman" w:cs="Times New Roman"/>
                <w:sz w:val="18"/>
                <w:szCs w:val="18"/>
              </w:rPr>
            </w:pPr>
            <w:r w:rsidRPr="005902C7">
              <w:rPr>
                <w:rFonts w:eastAsia="Times New Roman" w:cs="Times New Roman"/>
                <w:sz w:val="18"/>
                <w:szCs w:val="18"/>
              </w:rPr>
              <w:t xml:space="preserve">Izdevumi kopā </w:t>
            </w:r>
            <w:r w:rsidRPr="005902C7">
              <w:rPr>
                <w:rFonts w:eastAsia="Times New Roman" w:cs="Times New Roman"/>
                <w:i/>
                <w:iCs/>
                <w:sz w:val="18"/>
                <w:szCs w:val="18"/>
              </w:rPr>
              <w:t>(euro)</w:t>
            </w:r>
          </w:p>
        </w:tc>
      </w:tr>
      <w:tr w:rsidR="005902C7" w:rsidRPr="005902C7" w14:paraId="5ECAF137" w14:textId="77777777" w:rsidTr="003A0BFD">
        <w:trPr>
          <w:trHeight w:val="264"/>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30D4DA52"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70C85254"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2</w:t>
            </w:r>
          </w:p>
        </w:tc>
        <w:tc>
          <w:tcPr>
            <w:tcW w:w="992" w:type="dxa"/>
            <w:tcBorders>
              <w:top w:val="nil"/>
              <w:left w:val="nil"/>
              <w:bottom w:val="single" w:sz="4" w:space="0" w:color="auto"/>
              <w:right w:val="single" w:sz="4" w:space="0" w:color="auto"/>
            </w:tcBorders>
            <w:shd w:val="clear" w:color="auto" w:fill="auto"/>
            <w:noWrap/>
            <w:vAlign w:val="bottom"/>
            <w:hideMark/>
          </w:tcPr>
          <w:p w14:paraId="500B58DA"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3</w:t>
            </w:r>
          </w:p>
        </w:tc>
        <w:tc>
          <w:tcPr>
            <w:tcW w:w="1276" w:type="dxa"/>
            <w:tcBorders>
              <w:top w:val="nil"/>
              <w:left w:val="nil"/>
              <w:bottom w:val="single" w:sz="4" w:space="0" w:color="auto"/>
              <w:right w:val="single" w:sz="4" w:space="0" w:color="auto"/>
            </w:tcBorders>
            <w:shd w:val="clear" w:color="auto" w:fill="auto"/>
            <w:noWrap/>
            <w:vAlign w:val="bottom"/>
            <w:hideMark/>
          </w:tcPr>
          <w:p w14:paraId="5E5C723E"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14:paraId="1B97A691"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5</w:t>
            </w:r>
          </w:p>
        </w:tc>
        <w:tc>
          <w:tcPr>
            <w:tcW w:w="992" w:type="dxa"/>
            <w:tcBorders>
              <w:top w:val="nil"/>
              <w:left w:val="nil"/>
              <w:bottom w:val="single" w:sz="4" w:space="0" w:color="auto"/>
              <w:right w:val="single" w:sz="4" w:space="0" w:color="auto"/>
            </w:tcBorders>
            <w:shd w:val="clear" w:color="auto" w:fill="auto"/>
            <w:noWrap/>
            <w:vAlign w:val="bottom"/>
            <w:hideMark/>
          </w:tcPr>
          <w:p w14:paraId="23DDCDB0"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6</w:t>
            </w:r>
          </w:p>
        </w:tc>
        <w:tc>
          <w:tcPr>
            <w:tcW w:w="1276" w:type="dxa"/>
            <w:tcBorders>
              <w:top w:val="nil"/>
              <w:left w:val="nil"/>
              <w:bottom w:val="single" w:sz="4" w:space="0" w:color="auto"/>
              <w:right w:val="single" w:sz="4" w:space="0" w:color="auto"/>
            </w:tcBorders>
            <w:shd w:val="clear" w:color="auto" w:fill="auto"/>
            <w:noWrap/>
            <w:vAlign w:val="bottom"/>
            <w:hideMark/>
          </w:tcPr>
          <w:p w14:paraId="0F289795"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7</w:t>
            </w:r>
          </w:p>
        </w:tc>
        <w:tc>
          <w:tcPr>
            <w:tcW w:w="851" w:type="dxa"/>
            <w:tcBorders>
              <w:top w:val="nil"/>
              <w:left w:val="nil"/>
              <w:bottom w:val="single" w:sz="4" w:space="0" w:color="auto"/>
              <w:right w:val="single" w:sz="4" w:space="0" w:color="auto"/>
            </w:tcBorders>
            <w:shd w:val="clear" w:color="auto" w:fill="auto"/>
            <w:noWrap/>
            <w:vAlign w:val="bottom"/>
            <w:hideMark/>
          </w:tcPr>
          <w:p w14:paraId="234BDCEA"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8</w:t>
            </w:r>
          </w:p>
        </w:tc>
        <w:tc>
          <w:tcPr>
            <w:tcW w:w="850" w:type="dxa"/>
            <w:tcBorders>
              <w:top w:val="nil"/>
              <w:left w:val="nil"/>
              <w:bottom w:val="single" w:sz="4" w:space="0" w:color="auto"/>
              <w:right w:val="single" w:sz="4" w:space="0" w:color="auto"/>
            </w:tcBorders>
            <w:shd w:val="clear" w:color="auto" w:fill="auto"/>
            <w:noWrap/>
            <w:vAlign w:val="bottom"/>
            <w:hideMark/>
          </w:tcPr>
          <w:p w14:paraId="3066AFCF"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9</w:t>
            </w:r>
          </w:p>
        </w:tc>
        <w:tc>
          <w:tcPr>
            <w:tcW w:w="1276" w:type="dxa"/>
            <w:tcBorders>
              <w:top w:val="nil"/>
              <w:left w:val="nil"/>
              <w:bottom w:val="single" w:sz="4" w:space="0" w:color="auto"/>
              <w:right w:val="single" w:sz="4" w:space="0" w:color="auto"/>
            </w:tcBorders>
            <w:shd w:val="clear" w:color="auto" w:fill="auto"/>
            <w:noWrap/>
            <w:vAlign w:val="bottom"/>
            <w:hideMark/>
          </w:tcPr>
          <w:p w14:paraId="6E7377E1"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10</w:t>
            </w:r>
          </w:p>
        </w:tc>
      </w:tr>
      <w:tr w:rsidR="001D773D" w:rsidRPr="005902C7" w14:paraId="26D5D28A" w14:textId="77777777" w:rsidTr="003A0BFD">
        <w:trPr>
          <w:trHeight w:val="131"/>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2A94BC33" w14:textId="77777777" w:rsidR="005902C7" w:rsidRPr="00D84B9C" w:rsidRDefault="005902C7" w:rsidP="005902C7">
            <w:pPr>
              <w:spacing w:after="0"/>
              <w:ind w:firstLine="0"/>
              <w:jc w:val="left"/>
              <w:rPr>
                <w:rFonts w:eastAsia="Times New Roman" w:cs="Times New Roman"/>
                <w:b/>
                <w:bCs/>
                <w:sz w:val="18"/>
                <w:szCs w:val="18"/>
              </w:rPr>
            </w:pPr>
            <w:r w:rsidRPr="00D84B9C">
              <w:rPr>
                <w:rFonts w:eastAsia="Times New Roman" w:cs="Times New Roman"/>
                <w:b/>
                <w:bCs/>
                <w:sz w:val="18"/>
                <w:szCs w:val="18"/>
              </w:rPr>
              <w:t>04.01.00 Valsts pensiju speciālais budžets</w:t>
            </w:r>
          </w:p>
        </w:tc>
        <w:tc>
          <w:tcPr>
            <w:tcW w:w="1134" w:type="dxa"/>
            <w:tcBorders>
              <w:top w:val="nil"/>
              <w:left w:val="nil"/>
              <w:bottom w:val="single" w:sz="4" w:space="0" w:color="auto"/>
              <w:right w:val="single" w:sz="4" w:space="0" w:color="auto"/>
            </w:tcBorders>
            <w:shd w:val="clear" w:color="000000" w:fill="FFFFFF"/>
            <w:noWrap/>
            <w:vAlign w:val="bottom"/>
            <w:hideMark/>
          </w:tcPr>
          <w:p w14:paraId="2704B59D"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7AB80DA4"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1F042F8"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2 386 051 983</w:t>
            </w:r>
          </w:p>
        </w:tc>
        <w:tc>
          <w:tcPr>
            <w:tcW w:w="1134" w:type="dxa"/>
            <w:tcBorders>
              <w:top w:val="nil"/>
              <w:left w:val="nil"/>
              <w:bottom w:val="single" w:sz="4" w:space="0" w:color="auto"/>
              <w:right w:val="single" w:sz="4" w:space="0" w:color="auto"/>
            </w:tcBorders>
            <w:shd w:val="clear" w:color="000000" w:fill="FFFFFF"/>
            <w:noWrap/>
            <w:vAlign w:val="bottom"/>
            <w:hideMark/>
          </w:tcPr>
          <w:p w14:paraId="7945D744"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07604E3C"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14A60806"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2 501 707 165</w:t>
            </w:r>
          </w:p>
        </w:tc>
        <w:tc>
          <w:tcPr>
            <w:tcW w:w="851" w:type="dxa"/>
            <w:tcBorders>
              <w:top w:val="nil"/>
              <w:left w:val="nil"/>
              <w:bottom w:val="single" w:sz="4" w:space="0" w:color="auto"/>
              <w:right w:val="single" w:sz="4" w:space="0" w:color="auto"/>
            </w:tcBorders>
            <w:shd w:val="clear" w:color="000000" w:fill="FFFFFF"/>
            <w:noWrap/>
            <w:vAlign w:val="bottom"/>
            <w:hideMark/>
          </w:tcPr>
          <w:p w14:paraId="408E98CF"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398913BE"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5AC731FE"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2 672 445 541</w:t>
            </w:r>
          </w:p>
        </w:tc>
      </w:tr>
      <w:tr w:rsidR="001D773D" w:rsidRPr="005902C7" w14:paraId="36AC7C32" w14:textId="77777777" w:rsidTr="003A0BFD">
        <w:trPr>
          <w:trHeight w:val="191"/>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73FAB5DF" w14:textId="77777777" w:rsidR="005902C7" w:rsidRPr="00D84B9C" w:rsidRDefault="005902C7" w:rsidP="005902C7">
            <w:pPr>
              <w:spacing w:after="0"/>
              <w:ind w:firstLine="0"/>
              <w:jc w:val="left"/>
              <w:rPr>
                <w:rFonts w:eastAsia="Times New Roman" w:cs="Times New Roman"/>
                <w:sz w:val="18"/>
                <w:szCs w:val="18"/>
              </w:rPr>
            </w:pPr>
            <w:r w:rsidRPr="00D84B9C">
              <w:rPr>
                <w:rFonts w:eastAsia="Times New Roman" w:cs="Times New Roman"/>
                <w:sz w:val="18"/>
                <w:szCs w:val="18"/>
              </w:rPr>
              <w:t>Valsts pensijas – kopā</w:t>
            </w:r>
          </w:p>
        </w:tc>
        <w:tc>
          <w:tcPr>
            <w:tcW w:w="1134" w:type="dxa"/>
            <w:tcBorders>
              <w:top w:val="nil"/>
              <w:left w:val="nil"/>
              <w:bottom w:val="single" w:sz="4" w:space="0" w:color="auto"/>
              <w:right w:val="single" w:sz="4" w:space="0" w:color="auto"/>
            </w:tcBorders>
            <w:shd w:val="clear" w:color="000000" w:fill="FFFFFF"/>
            <w:noWrap/>
            <w:vAlign w:val="bottom"/>
            <w:hideMark/>
          </w:tcPr>
          <w:p w14:paraId="74201FA0"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0F6A2175"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7592415E"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2 351 212 082</w:t>
            </w:r>
          </w:p>
        </w:tc>
        <w:tc>
          <w:tcPr>
            <w:tcW w:w="1134" w:type="dxa"/>
            <w:tcBorders>
              <w:top w:val="nil"/>
              <w:left w:val="nil"/>
              <w:bottom w:val="single" w:sz="4" w:space="0" w:color="auto"/>
              <w:right w:val="single" w:sz="4" w:space="0" w:color="auto"/>
            </w:tcBorders>
            <w:shd w:val="clear" w:color="000000" w:fill="FFFFFF"/>
            <w:noWrap/>
            <w:vAlign w:val="bottom"/>
            <w:hideMark/>
          </w:tcPr>
          <w:p w14:paraId="06E2B860"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42C7ECDA"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0AD646F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2 464 754 502</w:t>
            </w:r>
          </w:p>
        </w:tc>
        <w:tc>
          <w:tcPr>
            <w:tcW w:w="851" w:type="dxa"/>
            <w:tcBorders>
              <w:top w:val="nil"/>
              <w:left w:val="nil"/>
              <w:bottom w:val="single" w:sz="4" w:space="0" w:color="auto"/>
              <w:right w:val="single" w:sz="4" w:space="0" w:color="auto"/>
            </w:tcBorders>
            <w:shd w:val="clear" w:color="000000" w:fill="FFFFFF"/>
            <w:noWrap/>
            <w:vAlign w:val="bottom"/>
            <w:hideMark/>
          </w:tcPr>
          <w:p w14:paraId="596CDDB9"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850" w:type="dxa"/>
            <w:tcBorders>
              <w:top w:val="nil"/>
              <w:left w:val="nil"/>
              <w:bottom w:val="single" w:sz="4" w:space="0" w:color="auto"/>
              <w:right w:val="single" w:sz="4" w:space="0" w:color="auto"/>
            </w:tcBorders>
            <w:shd w:val="clear" w:color="000000" w:fill="FFFFFF"/>
            <w:noWrap/>
            <w:vAlign w:val="bottom"/>
            <w:hideMark/>
          </w:tcPr>
          <w:p w14:paraId="4082EF4E"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7A2348C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2 633 128 752</w:t>
            </w:r>
          </w:p>
        </w:tc>
      </w:tr>
      <w:tr w:rsidR="005902C7" w:rsidRPr="005902C7" w14:paraId="6F38B71D" w14:textId="77777777" w:rsidTr="003A0BFD">
        <w:trPr>
          <w:trHeight w:val="225"/>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12256C19" w14:textId="77777777" w:rsidR="005902C7" w:rsidRPr="00D84B9C" w:rsidRDefault="005902C7" w:rsidP="005902C7">
            <w:pPr>
              <w:spacing w:after="0"/>
              <w:ind w:firstLineChars="100" w:firstLine="180"/>
              <w:jc w:val="left"/>
              <w:rPr>
                <w:rFonts w:eastAsia="Times New Roman" w:cs="Times New Roman"/>
                <w:i/>
                <w:iCs/>
                <w:sz w:val="18"/>
                <w:szCs w:val="18"/>
              </w:rPr>
            </w:pPr>
            <w:r w:rsidRPr="00D84B9C">
              <w:rPr>
                <w:rFonts w:eastAsia="Times New Roman" w:cs="Times New Roman"/>
                <w:i/>
                <w:iCs/>
                <w:sz w:val="18"/>
                <w:szCs w:val="18"/>
              </w:rPr>
              <w:t>tajā skaitā:</w:t>
            </w:r>
          </w:p>
        </w:tc>
        <w:tc>
          <w:tcPr>
            <w:tcW w:w="1134" w:type="dxa"/>
            <w:tcBorders>
              <w:top w:val="nil"/>
              <w:left w:val="nil"/>
              <w:bottom w:val="single" w:sz="4" w:space="0" w:color="auto"/>
              <w:right w:val="single" w:sz="4" w:space="0" w:color="auto"/>
            </w:tcBorders>
            <w:shd w:val="clear" w:color="auto" w:fill="auto"/>
            <w:noWrap/>
            <w:vAlign w:val="bottom"/>
            <w:hideMark/>
          </w:tcPr>
          <w:p w14:paraId="40B0BE1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57787AD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440DCD8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14:paraId="6092365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643C7FD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000AD0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34FAA42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0E79733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446124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r>
      <w:tr w:rsidR="005902C7" w:rsidRPr="005902C7" w14:paraId="40AB269B" w14:textId="77777777" w:rsidTr="003A0BFD">
        <w:trPr>
          <w:trHeight w:val="169"/>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6DD5B4A4"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Vecuma pensijas</w:t>
            </w:r>
          </w:p>
        </w:tc>
        <w:tc>
          <w:tcPr>
            <w:tcW w:w="1134" w:type="dxa"/>
            <w:tcBorders>
              <w:top w:val="nil"/>
              <w:left w:val="nil"/>
              <w:bottom w:val="single" w:sz="4" w:space="0" w:color="auto"/>
              <w:right w:val="single" w:sz="4" w:space="0" w:color="auto"/>
            </w:tcBorders>
            <w:shd w:val="clear" w:color="auto" w:fill="auto"/>
            <w:noWrap/>
            <w:vAlign w:val="bottom"/>
            <w:hideMark/>
          </w:tcPr>
          <w:p w14:paraId="3A7FE10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435,63</w:t>
            </w:r>
          </w:p>
        </w:tc>
        <w:tc>
          <w:tcPr>
            <w:tcW w:w="992" w:type="dxa"/>
            <w:tcBorders>
              <w:top w:val="nil"/>
              <w:left w:val="nil"/>
              <w:bottom w:val="single" w:sz="4" w:space="0" w:color="auto"/>
              <w:right w:val="single" w:sz="4" w:space="0" w:color="auto"/>
            </w:tcBorders>
            <w:shd w:val="clear" w:color="auto" w:fill="auto"/>
            <w:noWrap/>
            <w:vAlign w:val="bottom"/>
            <w:hideMark/>
          </w:tcPr>
          <w:p w14:paraId="56E7ACB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438 449</w:t>
            </w:r>
          </w:p>
        </w:tc>
        <w:tc>
          <w:tcPr>
            <w:tcW w:w="1276" w:type="dxa"/>
            <w:tcBorders>
              <w:top w:val="nil"/>
              <w:left w:val="nil"/>
              <w:bottom w:val="single" w:sz="4" w:space="0" w:color="auto"/>
              <w:right w:val="single" w:sz="4" w:space="0" w:color="auto"/>
            </w:tcBorders>
            <w:shd w:val="clear" w:color="auto" w:fill="auto"/>
            <w:noWrap/>
            <w:vAlign w:val="bottom"/>
            <w:hideMark/>
          </w:tcPr>
          <w:p w14:paraId="10D9E20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2 292 029 794</w:t>
            </w:r>
          </w:p>
        </w:tc>
        <w:tc>
          <w:tcPr>
            <w:tcW w:w="1134" w:type="dxa"/>
            <w:tcBorders>
              <w:top w:val="nil"/>
              <w:left w:val="nil"/>
              <w:bottom w:val="single" w:sz="4" w:space="0" w:color="auto"/>
              <w:right w:val="single" w:sz="4" w:space="0" w:color="auto"/>
            </w:tcBorders>
            <w:shd w:val="clear" w:color="auto" w:fill="auto"/>
            <w:noWrap/>
            <w:vAlign w:val="bottom"/>
            <w:hideMark/>
          </w:tcPr>
          <w:p w14:paraId="11C07EC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458,07</w:t>
            </w:r>
          </w:p>
        </w:tc>
        <w:tc>
          <w:tcPr>
            <w:tcW w:w="992" w:type="dxa"/>
            <w:tcBorders>
              <w:top w:val="nil"/>
              <w:left w:val="nil"/>
              <w:bottom w:val="single" w:sz="4" w:space="0" w:color="auto"/>
              <w:right w:val="single" w:sz="4" w:space="0" w:color="auto"/>
            </w:tcBorders>
            <w:shd w:val="clear" w:color="auto" w:fill="auto"/>
            <w:noWrap/>
            <w:vAlign w:val="bottom"/>
            <w:hideMark/>
          </w:tcPr>
          <w:p w14:paraId="20CBA10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437 241</w:t>
            </w:r>
          </w:p>
        </w:tc>
        <w:tc>
          <w:tcPr>
            <w:tcW w:w="1276" w:type="dxa"/>
            <w:tcBorders>
              <w:top w:val="nil"/>
              <w:left w:val="nil"/>
              <w:bottom w:val="single" w:sz="4" w:space="0" w:color="auto"/>
              <w:right w:val="single" w:sz="4" w:space="0" w:color="auto"/>
            </w:tcBorders>
            <w:shd w:val="clear" w:color="auto" w:fill="auto"/>
            <w:noWrap/>
            <w:vAlign w:val="bottom"/>
            <w:hideMark/>
          </w:tcPr>
          <w:p w14:paraId="3EEC9CF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2 403 421 169</w:t>
            </w:r>
          </w:p>
        </w:tc>
        <w:tc>
          <w:tcPr>
            <w:tcW w:w="851" w:type="dxa"/>
            <w:tcBorders>
              <w:top w:val="nil"/>
              <w:left w:val="nil"/>
              <w:bottom w:val="single" w:sz="4" w:space="0" w:color="auto"/>
              <w:right w:val="single" w:sz="4" w:space="0" w:color="auto"/>
            </w:tcBorders>
            <w:shd w:val="clear" w:color="auto" w:fill="auto"/>
            <w:noWrap/>
            <w:vAlign w:val="bottom"/>
            <w:hideMark/>
          </w:tcPr>
          <w:p w14:paraId="164ECEB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490,78</w:t>
            </w:r>
          </w:p>
        </w:tc>
        <w:tc>
          <w:tcPr>
            <w:tcW w:w="850" w:type="dxa"/>
            <w:tcBorders>
              <w:top w:val="nil"/>
              <w:left w:val="nil"/>
              <w:bottom w:val="single" w:sz="4" w:space="0" w:color="auto"/>
              <w:right w:val="single" w:sz="4" w:space="0" w:color="auto"/>
            </w:tcBorders>
            <w:shd w:val="clear" w:color="auto" w:fill="auto"/>
            <w:noWrap/>
            <w:vAlign w:val="bottom"/>
            <w:hideMark/>
          </w:tcPr>
          <w:p w14:paraId="685DA05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436 247</w:t>
            </w:r>
          </w:p>
        </w:tc>
        <w:tc>
          <w:tcPr>
            <w:tcW w:w="1276" w:type="dxa"/>
            <w:tcBorders>
              <w:top w:val="nil"/>
              <w:left w:val="nil"/>
              <w:bottom w:val="single" w:sz="4" w:space="0" w:color="auto"/>
              <w:right w:val="single" w:sz="4" w:space="0" w:color="auto"/>
            </w:tcBorders>
            <w:shd w:val="clear" w:color="auto" w:fill="auto"/>
            <w:noWrap/>
            <w:vAlign w:val="bottom"/>
            <w:hideMark/>
          </w:tcPr>
          <w:p w14:paraId="6ADD239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2 569 237 370</w:t>
            </w:r>
          </w:p>
        </w:tc>
      </w:tr>
      <w:tr w:rsidR="005902C7" w:rsidRPr="005902C7" w14:paraId="270BC75D" w14:textId="77777777" w:rsidTr="003A0BFD">
        <w:trPr>
          <w:trHeight w:val="244"/>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00F4DE8E"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Pensijas apgādnieka zaudējuma gadījumā</w:t>
            </w:r>
          </w:p>
        </w:tc>
        <w:tc>
          <w:tcPr>
            <w:tcW w:w="1134" w:type="dxa"/>
            <w:tcBorders>
              <w:top w:val="nil"/>
              <w:left w:val="nil"/>
              <w:bottom w:val="single" w:sz="4" w:space="0" w:color="auto"/>
              <w:right w:val="single" w:sz="4" w:space="0" w:color="auto"/>
            </w:tcBorders>
            <w:shd w:val="clear" w:color="auto" w:fill="auto"/>
            <w:noWrap/>
            <w:vAlign w:val="bottom"/>
            <w:hideMark/>
          </w:tcPr>
          <w:p w14:paraId="4D0AA3A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257,15</w:t>
            </w:r>
          </w:p>
        </w:tc>
        <w:tc>
          <w:tcPr>
            <w:tcW w:w="992" w:type="dxa"/>
            <w:tcBorders>
              <w:top w:val="nil"/>
              <w:left w:val="nil"/>
              <w:bottom w:val="single" w:sz="4" w:space="0" w:color="auto"/>
              <w:right w:val="single" w:sz="4" w:space="0" w:color="auto"/>
            </w:tcBorders>
            <w:shd w:val="clear" w:color="auto" w:fill="auto"/>
            <w:noWrap/>
            <w:vAlign w:val="bottom"/>
            <w:hideMark/>
          </w:tcPr>
          <w:p w14:paraId="2C364FF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14 757</w:t>
            </w:r>
          </w:p>
        </w:tc>
        <w:tc>
          <w:tcPr>
            <w:tcW w:w="1276" w:type="dxa"/>
            <w:tcBorders>
              <w:top w:val="nil"/>
              <w:left w:val="nil"/>
              <w:bottom w:val="single" w:sz="4" w:space="0" w:color="auto"/>
              <w:right w:val="single" w:sz="4" w:space="0" w:color="auto"/>
            </w:tcBorders>
            <w:shd w:val="clear" w:color="auto" w:fill="auto"/>
            <w:noWrap/>
            <w:vAlign w:val="bottom"/>
            <w:hideMark/>
          </w:tcPr>
          <w:p w14:paraId="3AA6581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45 537 489</w:t>
            </w:r>
          </w:p>
        </w:tc>
        <w:tc>
          <w:tcPr>
            <w:tcW w:w="1134" w:type="dxa"/>
            <w:tcBorders>
              <w:top w:val="nil"/>
              <w:left w:val="nil"/>
              <w:bottom w:val="single" w:sz="4" w:space="0" w:color="auto"/>
              <w:right w:val="single" w:sz="4" w:space="0" w:color="auto"/>
            </w:tcBorders>
            <w:shd w:val="clear" w:color="auto" w:fill="auto"/>
            <w:noWrap/>
            <w:vAlign w:val="bottom"/>
            <w:hideMark/>
          </w:tcPr>
          <w:p w14:paraId="1A8DA43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268,89</w:t>
            </w:r>
          </w:p>
        </w:tc>
        <w:tc>
          <w:tcPr>
            <w:tcW w:w="992" w:type="dxa"/>
            <w:tcBorders>
              <w:top w:val="nil"/>
              <w:left w:val="nil"/>
              <w:bottom w:val="single" w:sz="4" w:space="0" w:color="auto"/>
              <w:right w:val="single" w:sz="4" w:space="0" w:color="auto"/>
            </w:tcBorders>
            <w:shd w:val="clear" w:color="auto" w:fill="auto"/>
            <w:noWrap/>
            <w:vAlign w:val="bottom"/>
            <w:hideMark/>
          </w:tcPr>
          <w:p w14:paraId="46E1F7F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14 725</w:t>
            </w:r>
          </w:p>
        </w:tc>
        <w:tc>
          <w:tcPr>
            <w:tcW w:w="1276" w:type="dxa"/>
            <w:tcBorders>
              <w:top w:val="nil"/>
              <w:left w:val="nil"/>
              <w:bottom w:val="single" w:sz="4" w:space="0" w:color="auto"/>
              <w:right w:val="single" w:sz="4" w:space="0" w:color="auto"/>
            </w:tcBorders>
            <w:shd w:val="clear" w:color="auto" w:fill="auto"/>
            <w:noWrap/>
            <w:vAlign w:val="bottom"/>
            <w:hideMark/>
          </w:tcPr>
          <w:p w14:paraId="65F1E59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47 512 219</w:t>
            </w:r>
          </w:p>
        </w:tc>
        <w:tc>
          <w:tcPr>
            <w:tcW w:w="851" w:type="dxa"/>
            <w:tcBorders>
              <w:top w:val="nil"/>
              <w:left w:val="nil"/>
              <w:bottom w:val="single" w:sz="4" w:space="0" w:color="auto"/>
              <w:right w:val="single" w:sz="4" w:space="0" w:color="auto"/>
            </w:tcBorders>
            <w:shd w:val="clear" w:color="auto" w:fill="auto"/>
            <w:noWrap/>
            <w:vAlign w:val="bottom"/>
            <w:hideMark/>
          </w:tcPr>
          <w:p w14:paraId="0C00BFA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282,12</w:t>
            </w:r>
          </w:p>
        </w:tc>
        <w:tc>
          <w:tcPr>
            <w:tcW w:w="850" w:type="dxa"/>
            <w:tcBorders>
              <w:top w:val="nil"/>
              <w:left w:val="nil"/>
              <w:bottom w:val="single" w:sz="4" w:space="0" w:color="auto"/>
              <w:right w:val="single" w:sz="4" w:space="0" w:color="auto"/>
            </w:tcBorders>
            <w:shd w:val="clear" w:color="auto" w:fill="auto"/>
            <w:noWrap/>
            <w:vAlign w:val="bottom"/>
            <w:hideMark/>
          </w:tcPr>
          <w:p w14:paraId="13C5F4B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14 693</w:t>
            </w:r>
          </w:p>
        </w:tc>
        <w:tc>
          <w:tcPr>
            <w:tcW w:w="1276" w:type="dxa"/>
            <w:tcBorders>
              <w:top w:val="nil"/>
              <w:left w:val="nil"/>
              <w:bottom w:val="single" w:sz="4" w:space="0" w:color="auto"/>
              <w:right w:val="single" w:sz="4" w:space="0" w:color="auto"/>
            </w:tcBorders>
            <w:shd w:val="clear" w:color="auto" w:fill="auto"/>
            <w:noWrap/>
            <w:vAlign w:val="bottom"/>
            <w:hideMark/>
          </w:tcPr>
          <w:p w14:paraId="2C49D20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49 742 492</w:t>
            </w:r>
          </w:p>
        </w:tc>
      </w:tr>
      <w:tr w:rsidR="005902C7" w:rsidRPr="005902C7" w14:paraId="69C8C5CF" w14:textId="77777777" w:rsidTr="003A0BFD">
        <w:trPr>
          <w:trHeight w:val="133"/>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09EC0CAF"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Augstākās padomes deputātu pensijas</w:t>
            </w:r>
          </w:p>
        </w:tc>
        <w:tc>
          <w:tcPr>
            <w:tcW w:w="1134" w:type="dxa"/>
            <w:tcBorders>
              <w:top w:val="nil"/>
              <w:left w:val="nil"/>
              <w:bottom w:val="single" w:sz="4" w:space="0" w:color="auto"/>
              <w:right w:val="single" w:sz="4" w:space="0" w:color="auto"/>
            </w:tcBorders>
            <w:shd w:val="clear" w:color="auto" w:fill="auto"/>
            <w:noWrap/>
            <w:vAlign w:val="bottom"/>
            <w:hideMark/>
          </w:tcPr>
          <w:p w14:paraId="3FAF5D8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2 370,40</w:t>
            </w:r>
          </w:p>
        </w:tc>
        <w:tc>
          <w:tcPr>
            <w:tcW w:w="992" w:type="dxa"/>
            <w:tcBorders>
              <w:top w:val="nil"/>
              <w:left w:val="nil"/>
              <w:bottom w:val="single" w:sz="4" w:space="0" w:color="auto"/>
              <w:right w:val="single" w:sz="4" w:space="0" w:color="auto"/>
            </w:tcBorders>
            <w:shd w:val="clear" w:color="auto" w:fill="auto"/>
            <w:noWrap/>
            <w:vAlign w:val="bottom"/>
            <w:hideMark/>
          </w:tcPr>
          <w:p w14:paraId="45A3061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110</w:t>
            </w:r>
          </w:p>
        </w:tc>
        <w:tc>
          <w:tcPr>
            <w:tcW w:w="1276" w:type="dxa"/>
            <w:tcBorders>
              <w:top w:val="nil"/>
              <w:left w:val="nil"/>
              <w:bottom w:val="single" w:sz="4" w:space="0" w:color="auto"/>
              <w:right w:val="single" w:sz="4" w:space="0" w:color="auto"/>
            </w:tcBorders>
            <w:shd w:val="clear" w:color="auto" w:fill="auto"/>
            <w:noWrap/>
            <w:vAlign w:val="bottom"/>
            <w:hideMark/>
          </w:tcPr>
          <w:p w14:paraId="1A2D6D3C"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3 128 928</w:t>
            </w:r>
          </w:p>
        </w:tc>
        <w:tc>
          <w:tcPr>
            <w:tcW w:w="1134" w:type="dxa"/>
            <w:tcBorders>
              <w:top w:val="nil"/>
              <w:left w:val="nil"/>
              <w:bottom w:val="single" w:sz="4" w:space="0" w:color="auto"/>
              <w:right w:val="single" w:sz="4" w:space="0" w:color="auto"/>
            </w:tcBorders>
            <w:shd w:val="clear" w:color="auto" w:fill="auto"/>
            <w:noWrap/>
            <w:vAlign w:val="bottom"/>
            <w:hideMark/>
          </w:tcPr>
          <w:p w14:paraId="5BC4583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2 370,40</w:t>
            </w:r>
          </w:p>
        </w:tc>
        <w:tc>
          <w:tcPr>
            <w:tcW w:w="992" w:type="dxa"/>
            <w:tcBorders>
              <w:top w:val="nil"/>
              <w:left w:val="nil"/>
              <w:bottom w:val="single" w:sz="4" w:space="0" w:color="auto"/>
              <w:right w:val="single" w:sz="4" w:space="0" w:color="auto"/>
            </w:tcBorders>
            <w:shd w:val="clear" w:color="auto" w:fill="auto"/>
            <w:noWrap/>
            <w:vAlign w:val="bottom"/>
            <w:hideMark/>
          </w:tcPr>
          <w:p w14:paraId="1678D90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110</w:t>
            </w:r>
          </w:p>
        </w:tc>
        <w:tc>
          <w:tcPr>
            <w:tcW w:w="1276" w:type="dxa"/>
            <w:tcBorders>
              <w:top w:val="nil"/>
              <w:left w:val="nil"/>
              <w:bottom w:val="single" w:sz="4" w:space="0" w:color="auto"/>
              <w:right w:val="single" w:sz="4" w:space="0" w:color="auto"/>
            </w:tcBorders>
            <w:shd w:val="clear" w:color="auto" w:fill="auto"/>
            <w:noWrap/>
            <w:vAlign w:val="bottom"/>
            <w:hideMark/>
          </w:tcPr>
          <w:p w14:paraId="352B7B8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3 128 928</w:t>
            </w:r>
          </w:p>
        </w:tc>
        <w:tc>
          <w:tcPr>
            <w:tcW w:w="851" w:type="dxa"/>
            <w:tcBorders>
              <w:top w:val="nil"/>
              <w:left w:val="nil"/>
              <w:bottom w:val="single" w:sz="4" w:space="0" w:color="auto"/>
              <w:right w:val="single" w:sz="4" w:space="0" w:color="auto"/>
            </w:tcBorders>
            <w:shd w:val="clear" w:color="auto" w:fill="auto"/>
            <w:noWrap/>
            <w:vAlign w:val="bottom"/>
            <w:hideMark/>
          </w:tcPr>
          <w:p w14:paraId="602DA4AE"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2 370,40</w:t>
            </w:r>
          </w:p>
        </w:tc>
        <w:tc>
          <w:tcPr>
            <w:tcW w:w="850" w:type="dxa"/>
            <w:tcBorders>
              <w:top w:val="nil"/>
              <w:left w:val="nil"/>
              <w:bottom w:val="single" w:sz="4" w:space="0" w:color="auto"/>
              <w:right w:val="single" w:sz="4" w:space="0" w:color="auto"/>
            </w:tcBorders>
            <w:shd w:val="clear" w:color="auto" w:fill="auto"/>
            <w:noWrap/>
            <w:vAlign w:val="bottom"/>
            <w:hideMark/>
          </w:tcPr>
          <w:p w14:paraId="5213967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110</w:t>
            </w:r>
          </w:p>
        </w:tc>
        <w:tc>
          <w:tcPr>
            <w:tcW w:w="1276" w:type="dxa"/>
            <w:tcBorders>
              <w:top w:val="nil"/>
              <w:left w:val="nil"/>
              <w:bottom w:val="single" w:sz="4" w:space="0" w:color="auto"/>
              <w:right w:val="single" w:sz="4" w:space="0" w:color="auto"/>
            </w:tcBorders>
            <w:shd w:val="clear" w:color="auto" w:fill="auto"/>
            <w:noWrap/>
            <w:vAlign w:val="bottom"/>
            <w:hideMark/>
          </w:tcPr>
          <w:p w14:paraId="5480BC6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3 128 928</w:t>
            </w:r>
          </w:p>
        </w:tc>
      </w:tr>
      <w:tr w:rsidR="005902C7" w:rsidRPr="005902C7" w14:paraId="58C0874B" w14:textId="77777777" w:rsidTr="003A0BFD">
        <w:trPr>
          <w:trHeight w:val="193"/>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565982D8"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 xml:space="preserve">Izdienas pensijas </w:t>
            </w:r>
          </w:p>
        </w:tc>
        <w:tc>
          <w:tcPr>
            <w:tcW w:w="1134" w:type="dxa"/>
            <w:tcBorders>
              <w:top w:val="nil"/>
              <w:left w:val="nil"/>
              <w:bottom w:val="single" w:sz="4" w:space="0" w:color="auto"/>
              <w:right w:val="single" w:sz="4" w:space="0" w:color="auto"/>
            </w:tcBorders>
            <w:shd w:val="clear" w:color="auto" w:fill="auto"/>
            <w:noWrap/>
            <w:vAlign w:val="bottom"/>
            <w:hideMark/>
          </w:tcPr>
          <w:p w14:paraId="42FD80D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524,74</w:t>
            </w:r>
          </w:p>
        </w:tc>
        <w:tc>
          <w:tcPr>
            <w:tcW w:w="992" w:type="dxa"/>
            <w:tcBorders>
              <w:top w:val="nil"/>
              <w:left w:val="nil"/>
              <w:bottom w:val="single" w:sz="4" w:space="0" w:color="auto"/>
              <w:right w:val="single" w:sz="4" w:space="0" w:color="auto"/>
            </w:tcBorders>
            <w:shd w:val="clear" w:color="auto" w:fill="auto"/>
            <w:noWrap/>
            <w:vAlign w:val="bottom"/>
            <w:hideMark/>
          </w:tcPr>
          <w:p w14:paraId="1244B94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1 670</w:t>
            </w:r>
          </w:p>
        </w:tc>
        <w:tc>
          <w:tcPr>
            <w:tcW w:w="1276" w:type="dxa"/>
            <w:tcBorders>
              <w:top w:val="nil"/>
              <w:left w:val="nil"/>
              <w:bottom w:val="single" w:sz="4" w:space="0" w:color="auto"/>
              <w:right w:val="single" w:sz="4" w:space="0" w:color="auto"/>
            </w:tcBorders>
            <w:shd w:val="clear" w:color="auto" w:fill="auto"/>
            <w:noWrap/>
            <w:vAlign w:val="bottom"/>
            <w:hideMark/>
          </w:tcPr>
          <w:p w14:paraId="7184DEB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10 515 871</w:t>
            </w:r>
          </w:p>
        </w:tc>
        <w:tc>
          <w:tcPr>
            <w:tcW w:w="1134" w:type="dxa"/>
            <w:tcBorders>
              <w:top w:val="nil"/>
              <w:left w:val="nil"/>
              <w:bottom w:val="single" w:sz="4" w:space="0" w:color="auto"/>
              <w:right w:val="single" w:sz="4" w:space="0" w:color="auto"/>
            </w:tcBorders>
            <w:shd w:val="clear" w:color="auto" w:fill="auto"/>
            <w:noWrap/>
            <w:vAlign w:val="bottom"/>
            <w:hideMark/>
          </w:tcPr>
          <w:p w14:paraId="115FF67C"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566,44</w:t>
            </w:r>
          </w:p>
        </w:tc>
        <w:tc>
          <w:tcPr>
            <w:tcW w:w="992" w:type="dxa"/>
            <w:tcBorders>
              <w:top w:val="nil"/>
              <w:left w:val="nil"/>
              <w:bottom w:val="single" w:sz="4" w:space="0" w:color="auto"/>
              <w:right w:val="single" w:sz="4" w:space="0" w:color="auto"/>
            </w:tcBorders>
            <w:shd w:val="clear" w:color="auto" w:fill="auto"/>
            <w:noWrap/>
            <w:vAlign w:val="bottom"/>
            <w:hideMark/>
          </w:tcPr>
          <w:p w14:paraId="297F9FEE"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1 573</w:t>
            </w:r>
          </w:p>
        </w:tc>
        <w:tc>
          <w:tcPr>
            <w:tcW w:w="1276" w:type="dxa"/>
            <w:tcBorders>
              <w:top w:val="nil"/>
              <w:left w:val="nil"/>
              <w:bottom w:val="single" w:sz="4" w:space="0" w:color="auto"/>
              <w:right w:val="single" w:sz="4" w:space="0" w:color="auto"/>
            </w:tcBorders>
            <w:shd w:val="clear" w:color="auto" w:fill="auto"/>
            <w:noWrap/>
            <w:vAlign w:val="bottom"/>
            <w:hideMark/>
          </w:tcPr>
          <w:p w14:paraId="20273FBC"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10 692 186</w:t>
            </w:r>
          </w:p>
        </w:tc>
        <w:tc>
          <w:tcPr>
            <w:tcW w:w="851" w:type="dxa"/>
            <w:tcBorders>
              <w:top w:val="nil"/>
              <w:left w:val="nil"/>
              <w:bottom w:val="single" w:sz="4" w:space="0" w:color="auto"/>
              <w:right w:val="single" w:sz="4" w:space="0" w:color="auto"/>
            </w:tcBorders>
            <w:shd w:val="clear" w:color="auto" w:fill="auto"/>
            <w:noWrap/>
            <w:vAlign w:val="bottom"/>
            <w:hideMark/>
          </w:tcPr>
          <w:p w14:paraId="1CC4D3B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617,99</w:t>
            </w:r>
          </w:p>
        </w:tc>
        <w:tc>
          <w:tcPr>
            <w:tcW w:w="850" w:type="dxa"/>
            <w:tcBorders>
              <w:top w:val="nil"/>
              <w:left w:val="nil"/>
              <w:bottom w:val="single" w:sz="4" w:space="0" w:color="auto"/>
              <w:right w:val="single" w:sz="4" w:space="0" w:color="auto"/>
            </w:tcBorders>
            <w:shd w:val="clear" w:color="auto" w:fill="auto"/>
            <w:noWrap/>
            <w:vAlign w:val="bottom"/>
            <w:hideMark/>
          </w:tcPr>
          <w:p w14:paraId="45FA9A6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1 486</w:t>
            </w:r>
          </w:p>
        </w:tc>
        <w:tc>
          <w:tcPr>
            <w:tcW w:w="1276" w:type="dxa"/>
            <w:tcBorders>
              <w:top w:val="nil"/>
              <w:left w:val="nil"/>
              <w:bottom w:val="single" w:sz="4" w:space="0" w:color="auto"/>
              <w:right w:val="single" w:sz="4" w:space="0" w:color="auto"/>
            </w:tcBorders>
            <w:shd w:val="clear" w:color="auto" w:fill="auto"/>
            <w:noWrap/>
            <w:vAlign w:val="bottom"/>
            <w:hideMark/>
          </w:tcPr>
          <w:p w14:paraId="3A0123A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11 019 962</w:t>
            </w:r>
          </w:p>
        </w:tc>
      </w:tr>
      <w:tr w:rsidR="001D773D" w:rsidRPr="005902C7" w14:paraId="4E6E7DD0" w14:textId="77777777" w:rsidTr="003A0BFD">
        <w:trPr>
          <w:trHeight w:val="125"/>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6D131DBD" w14:textId="77777777" w:rsidR="005902C7" w:rsidRPr="00D84B9C" w:rsidRDefault="005902C7" w:rsidP="005902C7">
            <w:pPr>
              <w:spacing w:after="0"/>
              <w:ind w:firstLine="0"/>
              <w:jc w:val="left"/>
              <w:rPr>
                <w:rFonts w:eastAsia="Times New Roman" w:cs="Times New Roman"/>
                <w:sz w:val="18"/>
                <w:szCs w:val="18"/>
              </w:rPr>
            </w:pPr>
            <w:r w:rsidRPr="00D84B9C">
              <w:rPr>
                <w:rFonts w:eastAsia="Times New Roman" w:cs="Times New Roman"/>
                <w:sz w:val="18"/>
                <w:szCs w:val="18"/>
              </w:rPr>
              <w:t>Valsts sociālās apdrošināšanas pabalsti naudā – kopā</w:t>
            </w:r>
          </w:p>
        </w:tc>
        <w:tc>
          <w:tcPr>
            <w:tcW w:w="1134" w:type="dxa"/>
            <w:tcBorders>
              <w:top w:val="nil"/>
              <w:left w:val="nil"/>
              <w:bottom w:val="single" w:sz="4" w:space="0" w:color="auto"/>
              <w:right w:val="single" w:sz="4" w:space="0" w:color="auto"/>
            </w:tcBorders>
            <w:shd w:val="clear" w:color="000000" w:fill="FFFFFF"/>
            <w:noWrap/>
            <w:vAlign w:val="bottom"/>
            <w:hideMark/>
          </w:tcPr>
          <w:p w14:paraId="1168BF2B"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7A7A907C"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4B05EA4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34 072 435</w:t>
            </w:r>
          </w:p>
        </w:tc>
        <w:tc>
          <w:tcPr>
            <w:tcW w:w="1134" w:type="dxa"/>
            <w:tcBorders>
              <w:top w:val="nil"/>
              <w:left w:val="nil"/>
              <w:bottom w:val="single" w:sz="4" w:space="0" w:color="auto"/>
              <w:right w:val="single" w:sz="4" w:space="0" w:color="auto"/>
            </w:tcBorders>
            <w:shd w:val="clear" w:color="000000" w:fill="FFFFFF"/>
            <w:noWrap/>
            <w:vAlign w:val="bottom"/>
            <w:hideMark/>
          </w:tcPr>
          <w:p w14:paraId="3CF93168"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3EE9428A"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15AA873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36 183 830</w:t>
            </w:r>
          </w:p>
        </w:tc>
        <w:tc>
          <w:tcPr>
            <w:tcW w:w="851" w:type="dxa"/>
            <w:tcBorders>
              <w:top w:val="nil"/>
              <w:left w:val="nil"/>
              <w:bottom w:val="single" w:sz="4" w:space="0" w:color="auto"/>
              <w:right w:val="single" w:sz="4" w:space="0" w:color="auto"/>
            </w:tcBorders>
            <w:shd w:val="clear" w:color="000000" w:fill="FFFFFF"/>
            <w:noWrap/>
            <w:vAlign w:val="bottom"/>
            <w:hideMark/>
          </w:tcPr>
          <w:p w14:paraId="4A123613"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850" w:type="dxa"/>
            <w:tcBorders>
              <w:top w:val="nil"/>
              <w:left w:val="nil"/>
              <w:bottom w:val="single" w:sz="4" w:space="0" w:color="auto"/>
              <w:right w:val="single" w:sz="4" w:space="0" w:color="auto"/>
            </w:tcBorders>
            <w:shd w:val="clear" w:color="000000" w:fill="FFFFFF"/>
            <w:noWrap/>
            <w:vAlign w:val="bottom"/>
            <w:hideMark/>
          </w:tcPr>
          <w:p w14:paraId="37B162BA"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2B253BA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38 547 311</w:t>
            </w:r>
          </w:p>
        </w:tc>
      </w:tr>
      <w:tr w:rsidR="005902C7" w:rsidRPr="005902C7" w14:paraId="5E715E26" w14:textId="77777777" w:rsidTr="003A0BFD">
        <w:trPr>
          <w:trHeight w:val="185"/>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7FDD6FF9" w14:textId="77777777" w:rsidR="005902C7" w:rsidRPr="00D84B9C" w:rsidRDefault="005902C7" w:rsidP="005902C7">
            <w:pPr>
              <w:spacing w:after="0"/>
              <w:ind w:firstLineChars="100" w:firstLine="180"/>
              <w:jc w:val="left"/>
              <w:rPr>
                <w:rFonts w:eastAsia="Times New Roman" w:cs="Times New Roman"/>
                <w:i/>
                <w:iCs/>
                <w:sz w:val="18"/>
                <w:szCs w:val="18"/>
              </w:rPr>
            </w:pPr>
            <w:r w:rsidRPr="00D84B9C">
              <w:rPr>
                <w:rFonts w:eastAsia="Times New Roman" w:cs="Times New Roman"/>
                <w:i/>
                <w:iCs/>
                <w:sz w:val="18"/>
                <w:szCs w:val="18"/>
              </w:rPr>
              <w:t>tajā skaitā:</w:t>
            </w:r>
          </w:p>
        </w:tc>
        <w:tc>
          <w:tcPr>
            <w:tcW w:w="1134" w:type="dxa"/>
            <w:tcBorders>
              <w:top w:val="nil"/>
              <w:left w:val="nil"/>
              <w:bottom w:val="single" w:sz="4" w:space="0" w:color="auto"/>
              <w:right w:val="single" w:sz="4" w:space="0" w:color="auto"/>
            </w:tcBorders>
            <w:shd w:val="clear" w:color="auto" w:fill="auto"/>
            <w:noWrap/>
            <w:vAlign w:val="bottom"/>
            <w:hideMark/>
          </w:tcPr>
          <w:p w14:paraId="6D1D945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22D1F68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BEB4FD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14:paraId="3D61D64C"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6D6705A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24502AD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3289227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51FB582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2721A8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r>
      <w:tr w:rsidR="005902C7" w:rsidRPr="005902C7" w14:paraId="7394BE84" w14:textId="77777777" w:rsidTr="003A0BFD">
        <w:trPr>
          <w:trHeight w:val="118"/>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3E35CA38"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Apbedīšanas pabalsts</w:t>
            </w:r>
          </w:p>
        </w:tc>
        <w:tc>
          <w:tcPr>
            <w:tcW w:w="1134" w:type="dxa"/>
            <w:tcBorders>
              <w:top w:val="nil"/>
              <w:left w:val="nil"/>
              <w:bottom w:val="single" w:sz="4" w:space="0" w:color="auto"/>
              <w:right w:val="single" w:sz="4" w:space="0" w:color="auto"/>
            </w:tcBorders>
            <w:shd w:val="clear" w:color="auto" w:fill="auto"/>
            <w:noWrap/>
            <w:vAlign w:val="bottom"/>
            <w:hideMark/>
          </w:tcPr>
          <w:p w14:paraId="309BAE3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762,85</w:t>
            </w:r>
          </w:p>
        </w:tc>
        <w:tc>
          <w:tcPr>
            <w:tcW w:w="992" w:type="dxa"/>
            <w:tcBorders>
              <w:top w:val="nil"/>
              <w:left w:val="nil"/>
              <w:bottom w:val="single" w:sz="4" w:space="0" w:color="auto"/>
              <w:right w:val="single" w:sz="4" w:space="0" w:color="auto"/>
            </w:tcBorders>
            <w:shd w:val="clear" w:color="auto" w:fill="auto"/>
            <w:noWrap/>
            <w:vAlign w:val="bottom"/>
            <w:hideMark/>
          </w:tcPr>
          <w:p w14:paraId="5F76848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2 000</w:t>
            </w:r>
          </w:p>
        </w:tc>
        <w:tc>
          <w:tcPr>
            <w:tcW w:w="1276" w:type="dxa"/>
            <w:tcBorders>
              <w:top w:val="nil"/>
              <w:left w:val="nil"/>
              <w:bottom w:val="single" w:sz="4" w:space="0" w:color="auto"/>
              <w:right w:val="single" w:sz="4" w:space="0" w:color="auto"/>
            </w:tcBorders>
            <w:shd w:val="clear" w:color="auto" w:fill="auto"/>
            <w:noWrap/>
            <w:vAlign w:val="bottom"/>
            <w:hideMark/>
          </w:tcPr>
          <w:p w14:paraId="60C85E5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18 308 494</w:t>
            </w:r>
          </w:p>
        </w:tc>
        <w:tc>
          <w:tcPr>
            <w:tcW w:w="1134" w:type="dxa"/>
            <w:tcBorders>
              <w:top w:val="nil"/>
              <w:left w:val="nil"/>
              <w:bottom w:val="single" w:sz="4" w:space="0" w:color="auto"/>
              <w:right w:val="single" w:sz="4" w:space="0" w:color="auto"/>
            </w:tcBorders>
            <w:shd w:val="clear" w:color="auto" w:fill="auto"/>
            <w:noWrap/>
            <w:vAlign w:val="bottom"/>
            <w:hideMark/>
          </w:tcPr>
          <w:p w14:paraId="01D7AA7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810,24</w:t>
            </w:r>
          </w:p>
        </w:tc>
        <w:tc>
          <w:tcPr>
            <w:tcW w:w="992" w:type="dxa"/>
            <w:tcBorders>
              <w:top w:val="nil"/>
              <w:left w:val="nil"/>
              <w:bottom w:val="single" w:sz="4" w:space="0" w:color="auto"/>
              <w:right w:val="single" w:sz="4" w:space="0" w:color="auto"/>
            </w:tcBorders>
            <w:shd w:val="clear" w:color="auto" w:fill="auto"/>
            <w:noWrap/>
            <w:vAlign w:val="bottom"/>
            <w:hideMark/>
          </w:tcPr>
          <w:p w14:paraId="49B2501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2 000</w:t>
            </w:r>
          </w:p>
        </w:tc>
        <w:tc>
          <w:tcPr>
            <w:tcW w:w="1276" w:type="dxa"/>
            <w:tcBorders>
              <w:top w:val="nil"/>
              <w:left w:val="nil"/>
              <w:bottom w:val="single" w:sz="4" w:space="0" w:color="auto"/>
              <w:right w:val="single" w:sz="4" w:space="0" w:color="auto"/>
            </w:tcBorders>
            <w:shd w:val="clear" w:color="auto" w:fill="auto"/>
            <w:noWrap/>
            <w:vAlign w:val="bottom"/>
            <w:hideMark/>
          </w:tcPr>
          <w:p w14:paraId="58B6A40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19 445 662</w:t>
            </w:r>
          </w:p>
        </w:tc>
        <w:tc>
          <w:tcPr>
            <w:tcW w:w="851" w:type="dxa"/>
            <w:tcBorders>
              <w:top w:val="nil"/>
              <w:left w:val="nil"/>
              <w:bottom w:val="single" w:sz="4" w:space="0" w:color="auto"/>
              <w:right w:val="single" w:sz="4" w:space="0" w:color="auto"/>
            </w:tcBorders>
            <w:shd w:val="clear" w:color="auto" w:fill="auto"/>
            <w:noWrap/>
            <w:vAlign w:val="bottom"/>
            <w:hideMark/>
          </w:tcPr>
          <w:p w14:paraId="71BF50B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865,69</w:t>
            </w:r>
          </w:p>
        </w:tc>
        <w:tc>
          <w:tcPr>
            <w:tcW w:w="850" w:type="dxa"/>
            <w:tcBorders>
              <w:top w:val="nil"/>
              <w:left w:val="nil"/>
              <w:bottom w:val="single" w:sz="4" w:space="0" w:color="auto"/>
              <w:right w:val="single" w:sz="4" w:space="0" w:color="auto"/>
            </w:tcBorders>
            <w:shd w:val="clear" w:color="auto" w:fill="auto"/>
            <w:noWrap/>
            <w:vAlign w:val="bottom"/>
            <w:hideMark/>
          </w:tcPr>
          <w:p w14:paraId="53889B2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2 000</w:t>
            </w:r>
          </w:p>
        </w:tc>
        <w:tc>
          <w:tcPr>
            <w:tcW w:w="1276" w:type="dxa"/>
            <w:tcBorders>
              <w:top w:val="nil"/>
              <w:left w:val="nil"/>
              <w:bottom w:val="single" w:sz="4" w:space="0" w:color="auto"/>
              <w:right w:val="single" w:sz="4" w:space="0" w:color="auto"/>
            </w:tcBorders>
            <w:shd w:val="clear" w:color="auto" w:fill="auto"/>
            <w:noWrap/>
            <w:vAlign w:val="bottom"/>
            <w:hideMark/>
          </w:tcPr>
          <w:p w14:paraId="3AB602C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20 776 485</w:t>
            </w:r>
          </w:p>
        </w:tc>
      </w:tr>
      <w:tr w:rsidR="005902C7" w:rsidRPr="005902C7" w14:paraId="5E9A45A5" w14:textId="77777777" w:rsidTr="003A0BFD">
        <w:trPr>
          <w:trHeight w:val="383"/>
        </w:trPr>
        <w:tc>
          <w:tcPr>
            <w:tcW w:w="4111" w:type="dxa"/>
            <w:tcBorders>
              <w:top w:val="nil"/>
              <w:left w:val="single" w:sz="4" w:space="0" w:color="auto"/>
              <w:bottom w:val="single" w:sz="4" w:space="0" w:color="auto"/>
              <w:right w:val="single" w:sz="4" w:space="0" w:color="auto"/>
            </w:tcBorders>
            <w:shd w:val="clear" w:color="auto" w:fill="auto"/>
            <w:hideMark/>
          </w:tcPr>
          <w:p w14:paraId="2C5DB954" w14:textId="509CF1C3"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Kaitējuma atlīdzība Černobiļas AES avārijas rezultātā cietušajām personām</w:t>
            </w:r>
          </w:p>
        </w:tc>
        <w:tc>
          <w:tcPr>
            <w:tcW w:w="1134" w:type="dxa"/>
            <w:tcBorders>
              <w:top w:val="nil"/>
              <w:left w:val="nil"/>
              <w:bottom w:val="single" w:sz="4" w:space="0" w:color="auto"/>
              <w:right w:val="single" w:sz="4" w:space="0" w:color="auto"/>
            </w:tcBorders>
            <w:shd w:val="clear" w:color="auto" w:fill="auto"/>
            <w:noWrap/>
            <w:vAlign w:val="bottom"/>
            <w:hideMark/>
          </w:tcPr>
          <w:p w14:paraId="229B8A3C"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411,01</w:t>
            </w:r>
          </w:p>
        </w:tc>
        <w:tc>
          <w:tcPr>
            <w:tcW w:w="992" w:type="dxa"/>
            <w:tcBorders>
              <w:top w:val="nil"/>
              <w:left w:val="nil"/>
              <w:bottom w:val="single" w:sz="4" w:space="0" w:color="auto"/>
              <w:right w:val="single" w:sz="4" w:space="0" w:color="auto"/>
            </w:tcBorders>
            <w:shd w:val="clear" w:color="auto" w:fill="auto"/>
            <w:noWrap/>
            <w:vAlign w:val="bottom"/>
            <w:hideMark/>
          </w:tcPr>
          <w:p w14:paraId="4412D48C"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33</w:t>
            </w:r>
          </w:p>
        </w:tc>
        <w:tc>
          <w:tcPr>
            <w:tcW w:w="1276" w:type="dxa"/>
            <w:tcBorders>
              <w:top w:val="nil"/>
              <w:left w:val="nil"/>
              <w:bottom w:val="single" w:sz="4" w:space="0" w:color="auto"/>
              <w:right w:val="single" w:sz="4" w:space="0" w:color="auto"/>
            </w:tcBorders>
            <w:shd w:val="clear" w:color="auto" w:fill="auto"/>
            <w:noWrap/>
            <w:vAlign w:val="bottom"/>
            <w:hideMark/>
          </w:tcPr>
          <w:p w14:paraId="2170D3E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162 761</w:t>
            </w:r>
          </w:p>
        </w:tc>
        <w:tc>
          <w:tcPr>
            <w:tcW w:w="1134" w:type="dxa"/>
            <w:tcBorders>
              <w:top w:val="nil"/>
              <w:left w:val="nil"/>
              <w:bottom w:val="single" w:sz="4" w:space="0" w:color="auto"/>
              <w:right w:val="single" w:sz="4" w:space="0" w:color="auto"/>
            </w:tcBorders>
            <w:shd w:val="clear" w:color="auto" w:fill="auto"/>
            <w:noWrap/>
            <w:vAlign w:val="bottom"/>
            <w:hideMark/>
          </w:tcPr>
          <w:p w14:paraId="007E24F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438,20</w:t>
            </w:r>
          </w:p>
        </w:tc>
        <w:tc>
          <w:tcPr>
            <w:tcW w:w="992" w:type="dxa"/>
            <w:tcBorders>
              <w:top w:val="nil"/>
              <w:left w:val="nil"/>
              <w:bottom w:val="single" w:sz="4" w:space="0" w:color="auto"/>
              <w:right w:val="single" w:sz="4" w:space="0" w:color="auto"/>
            </w:tcBorders>
            <w:shd w:val="clear" w:color="auto" w:fill="auto"/>
            <w:noWrap/>
            <w:vAlign w:val="bottom"/>
            <w:hideMark/>
          </w:tcPr>
          <w:p w14:paraId="025D5F6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33</w:t>
            </w:r>
          </w:p>
        </w:tc>
        <w:tc>
          <w:tcPr>
            <w:tcW w:w="1276" w:type="dxa"/>
            <w:tcBorders>
              <w:top w:val="nil"/>
              <w:left w:val="nil"/>
              <w:bottom w:val="single" w:sz="4" w:space="0" w:color="auto"/>
              <w:right w:val="single" w:sz="4" w:space="0" w:color="auto"/>
            </w:tcBorders>
            <w:shd w:val="clear" w:color="auto" w:fill="auto"/>
            <w:noWrap/>
            <w:vAlign w:val="bottom"/>
            <w:hideMark/>
          </w:tcPr>
          <w:p w14:paraId="5322421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173 528</w:t>
            </w:r>
          </w:p>
        </w:tc>
        <w:tc>
          <w:tcPr>
            <w:tcW w:w="851" w:type="dxa"/>
            <w:tcBorders>
              <w:top w:val="nil"/>
              <w:left w:val="nil"/>
              <w:bottom w:val="single" w:sz="4" w:space="0" w:color="auto"/>
              <w:right w:val="single" w:sz="4" w:space="0" w:color="auto"/>
            </w:tcBorders>
            <w:shd w:val="clear" w:color="auto" w:fill="auto"/>
            <w:noWrap/>
            <w:vAlign w:val="bottom"/>
            <w:hideMark/>
          </w:tcPr>
          <w:p w14:paraId="644F71B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465,51</w:t>
            </w:r>
          </w:p>
        </w:tc>
        <w:tc>
          <w:tcPr>
            <w:tcW w:w="850" w:type="dxa"/>
            <w:tcBorders>
              <w:top w:val="nil"/>
              <w:left w:val="nil"/>
              <w:bottom w:val="single" w:sz="4" w:space="0" w:color="auto"/>
              <w:right w:val="single" w:sz="4" w:space="0" w:color="auto"/>
            </w:tcBorders>
            <w:shd w:val="clear" w:color="auto" w:fill="auto"/>
            <w:noWrap/>
            <w:vAlign w:val="bottom"/>
            <w:hideMark/>
          </w:tcPr>
          <w:p w14:paraId="56CA71E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33</w:t>
            </w:r>
          </w:p>
        </w:tc>
        <w:tc>
          <w:tcPr>
            <w:tcW w:w="1276" w:type="dxa"/>
            <w:tcBorders>
              <w:top w:val="nil"/>
              <w:left w:val="nil"/>
              <w:bottom w:val="single" w:sz="4" w:space="0" w:color="auto"/>
              <w:right w:val="single" w:sz="4" w:space="0" w:color="auto"/>
            </w:tcBorders>
            <w:shd w:val="clear" w:color="auto" w:fill="auto"/>
            <w:noWrap/>
            <w:vAlign w:val="bottom"/>
            <w:hideMark/>
          </w:tcPr>
          <w:p w14:paraId="2F800DB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184 342</w:t>
            </w:r>
          </w:p>
        </w:tc>
      </w:tr>
      <w:tr w:rsidR="005902C7" w:rsidRPr="005902C7" w14:paraId="4DC7B06B" w14:textId="77777777" w:rsidTr="003A0BFD">
        <w:trPr>
          <w:trHeight w:val="375"/>
        </w:trPr>
        <w:tc>
          <w:tcPr>
            <w:tcW w:w="4111" w:type="dxa"/>
            <w:tcBorders>
              <w:top w:val="nil"/>
              <w:left w:val="single" w:sz="4" w:space="0" w:color="auto"/>
              <w:bottom w:val="single" w:sz="4" w:space="0" w:color="auto"/>
              <w:right w:val="single" w:sz="4" w:space="0" w:color="auto"/>
            </w:tcBorders>
            <w:shd w:val="clear" w:color="auto" w:fill="auto"/>
            <w:hideMark/>
          </w:tcPr>
          <w:p w14:paraId="5F6EBEEE"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Pabalsts pensijas saņēmēja nāves gadījumā pārdzīvojušam laulātajam</w:t>
            </w:r>
          </w:p>
        </w:tc>
        <w:tc>
          <w:tcPr>
            <w:tcW w:w="1134" w:type="dxa"/>
            <w:tcBorders>
              <w:top w:val="nil"/>
              <w:left w:val="nil"/>
              <w:bottom w:val="single" w:sz="4" w:space="0" w:color="auto"/>
              <w:right w:val="single" w:sz="4" w:space="0" w:color="auto"/>
            </w:tcBorders>
            <w:shd w:val="clear" w:color="auto" w:fill="auto"/>
            <w:noWrap/>
            <w:vAlign w:val="bottom"/>
            <w:hideMark/>
          </w:tcPr>
          <w:p w14:paraId="369F913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216,68</w:t>
            </w:r>
          </w:p>
        </w:tc>
        <w:tc>
          <w:tcPr>
            <w:tcW w:w="992" w:type="dxa"/>
            <w:tcBorders>
              <w:top w:val="nil"/>
              <w:left w:val="nil"/>
              <w:bottom w:val="single" w:sz="4" w:space="0" w:color="auto"/>
              <w:right w:val="single" w:sz="4" w:space="0" w:color="auto"/>
            </w:tcBorders>
            <w:shd w:val="clear" w:color="auto" w:fill="auto"/>
            <w:noWrap/>
            <w:vAlign w:val="bottom"/>
            <w:hideMark/>
          </w:tcPr>
          <w:p w14:paraId="2291F1C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6 000</w:t>
            </w:r>
          </w:p>
        </w:tc>
        <w:tc>
          <w:tcPr>
            <w:tcW w:w="1276" w:type="dxa"/>
            <w:tcBorders>
              <w:top w:val="nil"/>
              <w:left w:val="nil"/>
              <w:bottom w:val="single" w:sz="4" w:space="0" w:color="auto"/>
              <w:right w:val="single" w:sz="4" w:space="0" w:color="auto"/>
            </w:tcBorders>
            <w:shd w:val="clear" w:color="auto" w:fill="auto"/>
            <w:noWrap/>
            <w:vAlign w:val="bottom"/>
            <w:hideMark/>
          </w:tcPr>
          <w:p w14:paraId="53F40A4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15 601 180</w:t>
            </w:r>
          </w:p>
        </w:tc>
        <w:tc>
          <w:tcPr>
            <w:tcW w:w="1134" w:type="dxa"/>
            <w:tcBorders>
              <w:top w:val="nil"/>
              <w:left w:val="nil"/>
              <w:bottom w:val="single" w:sz="4" w:space="0" w:color="auto"/>
              <w:right w:val="single" w:sz="4" w:space="0" w:color="auto"/>
            </w:tcBorders>
            <w:shd w:val="clear" w:color="auto" w:fill="auto"/>
            <w:noWrap/>
            <w:vAlign w:val="bottom"/>
            <w:hideMark/>
          </w:tcPr>
          <w:p w14:paraId="543AE9C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230,06</w:t>
            </w:r>
          </w:p>
        </w:tc>
        <w:tc>
          <w:tcPr>
            <w:tcW w:w="992" w:type="dxa"/>
            <w:tcBorders>
              <w:top w:val="nil"/>
              <w:left w:val="nil"/>
              <w:bottom w:val="single" w:sz="4" w:space="0" w:color="auto"/>
              <w:right w:val="single" w:sz="4" w:space="0" w:color="auto"/>
            </w:tcBorders>
            <w:shd w:val="clear" w:color="auto" w:fill="auto"/>
            <w:noWrap/>
            <w:vAlign w:val="bottom"/>
            <w:hideMark/>
          </w:tcPr>
          <w:p w14:paraId="7326988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6 000</w:t>
            </w:r>
          </w:p>
        </w:tc>
        <w:tc>
          <w:tcPr>
            <w:tcW w:w="1276" w:type="dxa"/>
            <w:tcBorders>
              <w:top w:val="nil"/>
              <w:left w:val="nil"/>
              <w:bottom w:val="single" w:sz="4" w:space="0" w:color="auto"/>
              <w:right w:val="single" w:sz="4" w:space="0" w:color="auto"/>
            </w:tcBorders>
            <w:shd w:val="clear" w:color="auto" w:fill="auto"/>
            <w:noWrap/>
            <w:vAlign w:val="bottom"/>
            <w:hideMark/>
          </w:tcPr>
          <w:p w14:paraId="2AB595A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16 564 640</w:t>
            </w:r>
          </w:p>
        </w:tc>
        <w:tc>
          <w:tcPr>
            <w:tcW w:w="851" w:type="dxa"/>
            <w:tcBorders>
              <w:top w:val="nil"/>
              <w:left w:val="nil"/>
              <w:bottom w:val="single" w:sz="4" w:space="0" w:color="auto"/>
              <w:right w:val="single" w:sz="4" w:space="0" w:color="auto"/>
            </w:tcBorders>
            <w:shd w:val="clear" w:color="auto" w:fill="auto"/>
            <w:noWrap/>
            <w:vAlign w:val="bottom"/>
            <w:hideMark/>
          </w:tcPr>
          <w:p w14:paraId="133C282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244,26</w:t>
            </w:r>
          </w:p>
        </w:tc>
        <w:tc>
          <w:tcPr>
            <w:tcW w:w="850" w:type="dxa"/>
            <w:tcBorders>
              <w:top w:val="nil"/>
              <w:left w:val="nil"/>
              <w:bottom w:val="single" w:sz="4" w:space="0" w:color="auto"/>
              <w:right w:val="single" w:sz="4" w:space="0" w:color="auto"/>
            </w:tcBorders>
            <w:shd w:val="clear" w:color="auto" w:fill="auto"/>
            <w:noWrap/>
            <w:vAlign w:val="bottom"/>
            <w:hideMark/>
          </w:tcPr>
          <w:p w14:paraId="05DC2D6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6 000</w:t>
            </w:r>
          </w:p>
        </w:tc>
        <w:tc>
          <w:tcPr>
            <w:tcW w:w="1276" w:type="dxa"/>
            <w:tcBorders>
              <w:top w:val="nil"/>
              <w:left w:val="nil"/>
              <w:bottom w:val="single" w:sz="4" w:space="0" w:color="auto"/>
              <w:right w:val="single" w:sz="4" w:space="0" w:color="auto"/>
            </w:tcBorders>
            <w:shd w:val="clear" w:color="auto" w:fill="auto"/>
            <w:noWrap/>
            <w:vAlign w:val="bottom"/>
            <w:hideMark/>
          </w:tcPr>
          <w:p w14:paraId="6AC6200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17 586 484</w:t>
            </w:r>
          </w:p>
        </w:tc>
      </w:tr>
      <w:tr w:rsidR="001D773D" w:rsidRPr="005902C7" w14:paraId="15EFA833" w14:textId="77777777" w:rsidTr="003A0BFD">
        <w:trPr>
          <w:trHeight w:val="175"/>
        </w:trPr>
        <w:tc>
          <w:tcPr>
            <w:tcW w:w="4111" w:type="dxa"/>
            <w:tcBorders>
              <w:top w:val="nil"/>
              <w:left w:val="single" w:sz="4" w:space="0" w:color="auto"/>
              <w:bottom w:val="single" w:sz="4" w:space="0" w:color="auto"/>
              <w:right w:val="single" w:sz="4" w:space="0" w:color="auto"/>
            </w:tcBorders>
            <w:shd w:val="clear" w:color="auto" w:fill="auto"/>
            <w:hideMark/>
          </w:tcPr>
          <w:p w14:paraId="00C7C6BA" w14:textId="77777777" w:rsidR="005902C7" w:rsidRPr="00D84B9C" w:rsidRDefault="005902C7" w:rsidP="005902C7">
            <w:pPr>
              <w:spacing w:after="0"/>
              <w:ind w:firstLine="0"/>
              <w:jc w:val="left"/>
              <w:rPr>
                <w:rFonts w:eastAsia="Times New Roman" w:cs="Times New Roman"/>
                <w:sz w:val="18"/>
                <w:szCs w:val="18"/>
              </w:rPr>
            </w:pPr>
            <w:r w:rsidRPr="00D84B9C">
              <w:rPr>
                <w:rFonts w:eastAsia="Times New Roman" w:cs="Times New Roman"/>
                <w:sz w:val="18"/>
                <w:szCs w:val="18"/>
              </w:rPr>
              <w:t>Valsts budžeta maksājumi - kopā</w:t>
            </w:r>
          </w:p>
        </w:tc>
        <w:tc>
          <w:tcPr>
            <w:tcW w:w="1134" w:type="dxa"/>
            <w:tcBorders>
              <w:top w:val="nil"/>
              <w:left w:val="nil"/>
              <w:bottom w:val="single" w:sz="4" w:space="0" w:color="auto"/>
              <w:right w:val="single" w:sz="4" w:space="0" w:color="auto"/>
            </w:tcBorders>
            <w:shd w:val="clear" w:color="000000" w:fill="FFFFFF"/>
            <w:noWrap/>
            <w:vAlign w:val="center"/>
            <w:hideMark/>
          </w:tcPr>
          <w:p w14:paraId="0B1F767C"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51112D44"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1B02743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767 466</w:t>
            </w:r>
          </w:p>
        </w:tc>
        <w:tc>
          <w:tcPr>
            <w:tcW w:w="1134" w:type="dxa"/>
            <w:tcBorders>
              <w:top w:val="nil"/>
              <w:left w:val="nil"/>
              <w:bottom w:val="single" w:sz="4" w:space="0" w:color="auto"/>
              <w:right w:val="single" w:sz="4" w:space="0" w:color="auto"/>
            </w:tcBorders>
            <w:shd w:val="clear" w:color="000000" w:fill="FFFFFF"/>
            <w:noWrap/>
            <w:vAlign w:val="center"/>
            <w:hideMark/>
          </w:tcPr>
          <w:p w14:paraId="4831305B"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2218ECC0"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313F457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768 833</w:t>
            </w:r>
          </w:p>
        </w:tc>
        <w:tc>
          <w:tcPr>
            <w:tcW w:w="851" w:type="dxa"/>
            <w:tcBorders>
              <w:top w:val="nil"/>
              <w:left w:val="nil"/>
              <w:bottom w:val="single" w:sz="4" w:space="0" w:color="auto"/>
              <w:right w:val="single" w:sz="4" w:space="0" w:color="auto"/>
            </w:tcBorders>
            <w:shd w:val="clear" w:color="000000" w:fill="FFFFFF"/>
            <w:noWrap/>
            <w:vAlign w:val="center"/>
            <w:hideMark/>
          </w:tcPr>
          <w:p w14:paraId="635987AD"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850" w:type="dxa"/>
            <w:tcBorders>
              <w:top w:val="nil"/>
              <w:left w:val="nil"/>
              <w:bottom w:val="single" w:sz="4" w:space="0" w:color="auto"/>
              <w:right w:val="single" w:sz="4" w:space="0" w:color="auto"/>
            </w:tcBorders>
            <w:shd w:val="clear" w:color="000000" w:fill="FFFFFF"/>
            <w:noWrap/>
            <w:vAlign w:val="bottom"/>
            <w:hideMark/>
          </w:tcPr>
          <w:p w14:paraId="7CB6EBAF"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107C91B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769 478</w:t>
            </w:r>
          </w:p>
        </w:tc>
      </w:tr>
      <w:tr w:rsidR="005902C7" w:rsidRPr="005902C7" w14:paraId="4C1306E3" w14:textId="77777777" w:rsidTr="003A0BFD">
        <w:trPr>
          <w:trHeight w:val="143"/>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26146A45" w14:textId="77777777" w:rsidR="005902C7" w:rsidRPr="00D84B9C" w:rsidRDefault="005902C7" w:rsidP="005902C7">
            <w:pPr>
              <w:spacing w:after="0"/>
              <w:ind w:firstLineChars="100" w:firstLine="180"/>
              <w:jc w:val="left"/>
              <w:rPr>
                <w:rFonts w:eastAsia="Times New Roman" w:cs="Times New Roman"/>
                <w:i/>
                <w:iCs/>
                <w:sz w:val="18"/>
                <w:szCs w:val="18"/>
              </w:rPr>
            </w:pPr>
            <w:r w:rsidRPr="00D84B9C">
              <w:rPr>
                <w:rFonts w:eastAsia="Times New Roman" w:cs="Times New Roman"/>
                <w:i/>
                <w:iCs/>
                <w:sz w:val="18"/>
                <w:szCs w:val="18"/>
              </w:rPr>
              <w:t>tajā skaitā:</w:t>
            </w:r>
          </w:p>
        </w:tc>
        <w:tc>
          <w:tcPr>
            <w:tcW w:w="1134" w:type="dxa"/>
            <w:tcBorders>
              <w:top w:val="nil"/>
              <w:left w:val="nil"/>
              <w:bottom w:val="single" w:sz="4" w:space="0" w:color="auto"/>
              <w:right w:val="single" w:sz="4" w:space="0" w:color="auto"/>
            </w:tcBorders>
            <w:shd w:val="clear" w:color="auto" w:fill="auto"/>
            <w:noWrap/>
            <w:vAlign w:val="bottom"/>
            <w:hideMark/>
          </w:tcPr>
          <w:p w14:paraId="783DA65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702255A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3DCF8C"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14:paraId="0E5017E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31B113D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152F7A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16F44FC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35A5A4D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2EB0B4C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r>
      <w:tr w:rsidR="005902C7" w:rsidRPr="005902C7" w14:paraId="6DC57450" w14:textId="77777777" w:rsidTr="003A0BFD">
        <w:trPr>
          <w:trHeight w:val="255"/>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10FC03D7" w14:textId="77777777" w:rsidR="005902C7" w:rsidRPr="00D84B9C" w:rsidRDefault="005902C7" w:rsidP="005902C7">
            <w:pPr>
              <w:spacing w:after="0"/>
              <w:ind w:firstLineChars="100" w:firstLine="180"/>
              <w:jc w:val="left"/>
              <w:rPr>
                <w:rFonts w:eastAsia="Times New Roman" w:cs="Times New Roman"/>
                <w:sz w:val="18"/>
                <w:szCs w:val="18"/>
              </w:rPr>
            </w:pPr>
            <w:r w:rsidRPr="00D84B9C">
              <w:rPr>
                <w:rFonts w:eastAsia="Times New Roman" w:cs="Times New Roman"/>
                <w:sz w:val="18"/>
                <w:szCs w:val="18"/>
              </w:rPr>
              <w:t xml:space="preserve">    Pārmaksāto sociālās apdrošināšanas iemaksu atmaksa</w:t>
            </w:r>
          </w:p>
        </w:tc>
        <w:tc>
          <w:tcPr>
            <w:tcW w:w="1134" w:type="dxa"/>
            <w:tcBorders>
              <w:top w:val="nil"/>
              <w:left w:val="nil"/>
              <w:bottom w:val="single" w:sz="4" w:space="0" w:color="auto"/>
              <w:right w:val="single" w:sz="4" w:space="0" w:color="auto"/>
            </w:tcBorders>
            <w:shd w:val="clear" w:color="auto" w:fill="auto"/>
            <w:noWrap/>
            <w:vAlign w:val="bottom"/>
            <w:hideMark/>
          </w:tcPr>
          <w:p w14:paraId="2F2C0C9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47ED0E7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C51023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267 466</w:t>
            </w:r>
          </w:p>
        </w:tc>
        <w:tc>
          <w:tcPr>
            <w:tcW w:w="1134" w:type="dxa"/>
            <w:tcBorders>
              <w:top w:val="nil"/>
              <w:left w:val="nil"/>
              <w:bottom w:val="single" w:sz="4" w:space="0" w:color="auto"/>
              <w:right w:val="single" w:sz="4" w:space="0" w:color="auto"/>
            </w:tcBorders>
            <w:shd w:val="clear" w:color="auto" w:fill="auto"/>
            <w:noWrap/>
            <w:vAlign w:val="bottom"/>
            <w:hideMark/>
          </w:tcPr>
          <w:p w14:paraId="7ACEABAE"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659D18F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56D28A3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268 833</w:t>
            </w:r>
          </w:p>
        </w:tc>
        <w:tc>
          <w:tcPr>
            <w:tcW w:w="851" w:type="dxa"/>
            <w:tcBorders>
              <w:top w:val="nil"/>
              <w:left w:val="nil"/>
              <w:bottom w:val="single" w:sz="4" w:space="0" w:color="auto"/>
              <w:right w:val="single" w:sz="4" w:space="0" w:color="auto"/>
            </w:tcBorders>
            <w:shd w:val="clear" w:color="auto" w:fill="auto"/>
            <w:noWrap/>
            <w:vAlign w:val="bottom"/>
            <w:hideMark/>
          </w:tcPr>
          <w:p w14:paraId="660DA12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33EBEC9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CE163F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269 478</w:t>
            </w:r>
          </w:p>
        </w:tc>
      </w:tr>
      <w:tr w:rsidR="001D773D" w:rsidRPr="005902C7" w14:paraId="5BD540C1" w14:textId="77777777" w:rsidTr="003A0BFD">
        <w:trPr>
          <w:trHeight w:val="315"/>
        </w:trPr>
        <w:tc>
          <w:tcPr>
            <w:tcW w:w="4111" w:type="dxa"/>
            <w:tcBorders>
              <w:top w:val="nil"/>
              <w:left w:val="single" w:sz="4" w:space="0" w:color="auto"/>
              <w:bottom w:val="single" w:sz="4" w:space="0" w:color="auto"/>
              <w:right w:val="single" w:sz="4" w:space="0" w:color="auto"/>
            </w:tcBorders>
            <w:shd w:val="clear" w:color="auto" w:fill="auto"/>
            <w:vAlign w:val="bottom"/>
            <w:hideMark/>
          </w:tcPr>
          <w:p w14:paraId="4B0C2310" w14:textId="3315F943" w:rsidR="005902C7" w:rsidRPr="00D84B9C" w:rsidRDefault="005902C7" w:rsidP="00EA7247">
            <w:pPr>
              <w:spacing w:after="0"/>
              <w:ind w:firstLine="0"/>
              <w:jc w:val="left"/>
              <w:rPr>
                <w:rFonts w:eastAsia="Times New Roman" w:cs="Times New Roman"/>
                <w:sz w:val="18"/>
                <w:szCs w:val="18"/>
              </w:rPr>
            </w:pPr>
            <w:r w:rsidRPr="00D84B9C">
              <w:rPr>
                <w:rFonts w:eastAsia="Times New Roman" w:cs="Times New Roman"/>
                <w:sz w:val="18"/>
                <w:szCs w:val="18"/>
              </w:rPr>
              <w:t xml:space="preserve">       Eiropas Savienības pensiju shēmai pārskai</w:t>
            </w:r>
            <w:r w:rsidR="00EA7247">
              <w:rPr>
                <w:rFonts w:eastAsia="Times New Roman" w:cs="Times New Roman"/>
                <w:sz w:val="18"/>
                <w:szCs w:val="18"/>
              </w:rPr>
              <w:t xml:space="preserve">tītais pensijas </w:t>
            </w:r>
            <w:r w:rsidRPr="00D84B9C">
              <w:rPr>
                <w:rFonts w:eastAsia="Times New Roman" w:cs="Times New Roman"/>
                <w:sz w:val="18"/>
                <w:szCs w:val="18"/>
              </w:rPr>
              <w:t>kapitāls</w:t>
            </w:r>
          </w:p>
        </w:tc>
        <w:tc>
          <w:tcPr>
            <w:tcW w:w="1134" w:type="dxa"/>
            <w:tcBorders>
              <w:top w:val="nil"/>
              <w:left w:val="nil"/>
              <w:bottom w:val="single" w:sz="4" w:space="0" w:color="auto"/>
              <w:right w:val="single" w:sz="4" w:space="0" w:color="auto"/>
            </w:tcBorders>
            <w:shd w:val="clear" w:color="auto" w:fill="auto"/>
            <w:noWrap/>
            <w:vAlign w:val="bottom"/>
            <w:hideMark/>
          </w:tcPr>
          <w:p w14:paraId="2BA9FC5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3342AC8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bottom"/>
            <w:hideMark/>
          </w:tcPr>
          <w:p w14:paraId="1FE0F0B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500 000</w:t>
            </w:r>
          </w:p>
        </w:tc>
        <w:tc>
          <w:tcPr>
            <w:tcW w:w="1134" w:type="dxa"/>
            <w:tcBorders>
              <w:top w:val="nil"/>
              <w:left w:val="nil"/>
              <w:bottom w:val="single" w:sz="4" w:space="0" w:color="auto"/>
              <w:right w:val="single" w:sz="4" w:space="0" w:color="auto"/>
            </w:tcBorders>
            <w:shd w:val="clear" w:color="auto" w:fill="auto"/>
            <w:noWrap/>
            <w:vAlign w:val="bottom"/>
            <w:hideMark/>
          </w:tcPr>
          <w:p w14:paraId="137E544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7073CE1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bottom"/>
            <w:hideMark/>
          </w:tcPr>
          <w:p w14:paraId="25B5CE8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500 000</w:t>
            </w:r>
          </w:p>
        </w:tc>
        <w:tc>
          <w:tcPr>
            <w:tcW w:w="851" w:type="dxa"/>
            <w:tcBorders>
              <w:top w:val="nil"/>
              <w:left w:val="nil"/>
              <w:bottom w:val="single" w:sz="4" w:space="0" w:color="auto"/>
              <w:right w:val="single" w:sz="4" w:space="0" w:color="auto"/>
            </w:tcBorders>
            <w:shd w:val="clear" w:color="auto" w:fill="auto"/>
            <w:noWrap/>
            <w:vAlign w:val="bottom"/>
            <w:hideMark/>
          </w:tcPr>
          <w:p w14:paraId="4ABFDA7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3D2C080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vAlign w:val="bottom"/>
            <w:hideMark/>
          </w:tcPr>
          <w:p w14:paraId="5D3BD7DE"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500 000</w:t>
            </w:r>
          </w:p>
        </w:tc>
      </w:tr>
      <w:tr w:rsidR="001D773D" w:rsidRPr="005902C7" w14:paraId="0D84B644" w14:textId="77777777" w:rsidTr="003A0BFD">
        <w:trPr>
          <w:trHeight w:val="276"/>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1F22158A" w14:textId="77777777" w:rsidR="005902C7" w:rsidRPr="00D84B9C" w:rsidRDefault="005902C7" w:rsidP="005902C7">
            <w:pPr>
              <w:spacing w:after="0"/>
              <w:ind w:firstLine="0"/>
              <w:jc w:val="left"/>
              <w:rPr>
                <w:rFonts w:eastAsia="Times New Roman" w:cs="Times New Roman"/>
                <w:b/>
                <w:bCs/>
                <w:sz w:val="18"/>
                <w:szCs w:val="18"/>
              </w:rPr>
            </w:pPr>
            <w:r w:rsidRPr="00D84B9C">
              <w:rPr>
                <w:rFonts w:eastAsia="Times New Roman" w:cs="Times New Roman"/>
                <w:b/>
                <w:bCs/>
                <w:sz w:val="18"/>
                <w:szCs w:val="18"/>
              </w:rPr>
              <w:t>04.02.00 Nodarbinātības speciālais budžets</w:t>
            </w:r>
          </w:p>
        </w:tc>
        <w:tc>
          <w:tcPr>
            <w:tcW w:w="1134" w:type="dxa"/>
            <w:tcBorders>
              <w:top w:val="nil"/>
              <w:left w:val="nil"/>
              <w:bottom w:val="single" w:sz="4" w:space="0" w:color="auto"/>
              <w:right w:val="single" w:sz="4" w:space="0" w:color="auto"/>
            </w:tcBorders>
            <w:shd w:val="clear" w:color="000000" w:fill="FFFFFF"/>
            <w:noWrap/>
            <w:vAlign w:val="bottom"/>
            <w:hideMark/>
          </w:tcPr>
          <w:p w14:paraId="79A11869"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343266B6"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C9B239F"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150 563 488</w:t>
            </w:r>
          </w:p>
        </w:tc>
        <w:tc>
          <w:tcPr>
            <w:tcW w:w="1134" w:type="dxa"/>
            <w:tcBorders>
              <w:top w:val="nil"/>
              <w:left w:val="nil"/>
              <w:bottom w:val="single" w:sz="4" w:space="0" w:color="auto"/>
              <w:right w:val="single" w:sz="4" w:space="0" w:color="auto"/>
            </w:tcBorders>
            <w:shd w:val="clear" w:color="000000" w:fill="FFFFFF"/>
            <w:noWrap/>
            <w:vAlign w:val="bottom"/>
            <w:hideMark/>
          </w:tcPr>
          <w:p w14:paraId="36B23386"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6D6F6E53"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6E84D67"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134 518 007</w:t>
            </w:r>
          </w:p>
        </w:tc>
        <w:tc>
          <w:tcPr>
            <w:tcW w:w="851" w:type="dxa"/>
            <w:tcBorders>
              <w:top w:val="nil"/>
              <w:left w:val="nil"/>
              <w:bottom w:val="single" w:sz="4" w:space="0" w:color="auto"/>
              <w:right w:val="single" w:sz="4" w:space="0" w:color="auto"/>
            </w:tcBorders>
            <w:shd w:val="clear" w:color="000000" w:fill="FFFFFF"/>
            <w:noWrap/>
            <w:vAlign w:val="bottom"/>
            <w:hideMark/>
          </w:tcPr>
          <w:p w14:paraId="78EE4DF1"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69311B79"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1BF7D3CA"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132 547 431</w:t>
            </w:r>
          </w:p>
        </w:tc>
      </w:tr>
      <w:tr w:rsidR="001D773D" w:rsidRPr="005902C7" w14:paraId="47464783" w14:textId="77777777" w:rsidTr="003A0BFD">
        <w:trPr>
          <w:trHeight w:val="276"/>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375105ED" w14:textId="77777777" w:rsidR="005902C7" w:rsidRPr="00D84B9C" w:rsidRDefault="005902C7" w:rsidP="005902C7">
            <w:pPr>
              <w:spacing w:after="0"/>
              <w:ind w:firstLine="0"/>
              <w:jc w:val="left"/>
              <w:rPr>
                <w:rFonts w:eastAsia="Times New Roman" w:cs="Times New Roman"/>
                <w:sz w:val="18"/>
                <w:szCs w:val="18"/>
              </w:rPr>
            </w:pPr>
            <w:r w:rsidRPr="00D84B9C">
              <w:rPr>
                <w:rFonts w:eastAsia="Times New Roman" w:cs="Times New Roman"/>
                <w:sz w:val="18"/>
                <w:szCs w:val="18"/>
              </w:rPr>
              <w:t>Valsts sociālās apdrošināšanas pabalsti naudā – kopā</w:t>
            </w:r>
          </w:p>
        </w:tc>
        <w:tc>
          <w:tcPr>
            <w:tcW w:w="1134" w:type="dxa"/>
            <w:tcBorders>
              <w:top w:val="nil"/>
              <w:left w:val="nil"/>
              <w:bottom w:val="single" w:sz="4" w:space="0" w:color="auto"/>
              <w:right w:val="single" w:sz="4" w:space="0" w:color="auto"/>
            </w:tcBorders>
            <w:shd w:val="clear" w:color="000000" w:fill="FFFFFF"/>
            <w:noWrap/>
            <w:vAlign w:val="bottom"/>
            <w:hideMark/>
          </w:tcPr>
          <w:p w14:paraId="3A5D29EB"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231DE787"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4D47E0A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47 088</w:t>
            </w:r>
          </w:p>
        </w:tc>
        <w:tc>
          <w:tcPr>
            <w:tcW w:w="1134" w:type="dxa"/>
            <w:tcBorders>
              <w:top w:val="nil"/>
              <w:left w:val="nil"/>
              <w:bottom w:val="single" w:sz="4" w:space="0" w:color="auto"/>
              <w:right w:val="single" w:sz="4" w:space="0" w:color="auto"/>
            </w:tcBorders>
            <w:shd w:val="clear" w:color="000000" w:fill="FFFFFF"/>
            <w:noWrap/>
            <w:vAlign w:val="bottom"/>
            <w:hideMark/>
          </w:tcPr>
          <w:p w14:paraId="5981A8B3"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5E31D2E9"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3875267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47 088</w:t>
            </w:r>
          </w:p>
        </w:tc>
        <w:tc>
          <w:tcPr>
            <w:tcW w:w="851" w:type="dxa"/>
            <w:tcBorders>
              <w:top w:val="nil"/>
              <w:left w:val="nil"/>
              <w:bottom w:val="single" w:sz="4" w:space="0" w:color="auto"/>
              <w:right w:val="single" w:sz="4" w:space="0" w:color="auto"/>
            </w:tcBorders>
            <w:shd w:val="clear" w:color="000000" w:fill="FFFFFF"/>
            <w:noWrap/>
            <w:vAlign w:val="bottom"/>
            <w:hideMark/>
          </w:tcPr>
          <w:p w14:paraId="01515357"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850" w:type="dxa"/>
            <w:tcBorders>
              <w:top w:val="nil"/>
              <w:left w:val="nil"/>
              <w:bottom w:val="single" w:sz="4" w:space="0" w:color="auto"/>
              <w:right w:val="single" w:sz="4" w:space="0" w:color="auto"/>
            </w:tcBorders>
            <w:shd w:val="clear" w:color="000000" w:fill="FFFFFF"/>
            <w:noWrap/>
            <w:vAlign w:val="bottom"/>
            <w:hideMark/>
          </w:tcPr>
          <w:p w14:paraId="27F6D53F"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435FA4E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47 088</w:t>
            </w:r>
          </w:p>
        </w:tc>
      </w:tr>
      <w:tr w:rsidR="005902C7" w:rsidRPr="005902C7" w14:paraId="183AD41F" w14:textId="77777777" w:rsidTr="003A0BFD">
        <w:trPr>
          <w:trHeight w:val="255"/>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6E324C0C" w14:textId="77777777" w:rsidR="005902C7" w:rsidRPr="00D84B9C" w:rsidRDefault="005902C7" w:rsidP="005902C7">
            <w:pPr>
              <w:spacing w:after="0"/>
              <w:ind w:firstLineChars="100" w:firstLine="180"/>
              <w:jc w:val="left"/>
              <w:rPr>
                <w:rFonts w:eastAsia="Times New Roman" w:cs="Times New Roman"/>
                <w:i/>
                <w:iCs/>
                <w:sz w:val="18"/>
                <w:szCs w:val="18"/>
              </w:rPr>
            </w:pPr>
            <w:r w:rsidRPr="00D84B9C">
              <w:rPr>
                <w:rFonts w:eastAsia="Times New Roman" w:cs="Times New Roman"/>
                <w:i/>
                <w:iCs/>
                <w:sz w:val="18"/>
                <w:szCs w:val="18"/>
              </w:rPr>
              <w:t>tajā skaitā:</w:t>
            </w:r>
          </w:p>
        </w:tc>
        <w:tc>
          <w:tcPr>
            <w:tcW w:w="1134" w:type="dxa"/>
            <w:tcBorders>
              <w:top w:val="nil"/>
              <w:left w:val="nil"/>
              <w:bottom w:val="single" w:sz="4" w:space="0" w:color="auto"/>
              <w:right w:val="single" w:sz="4" w:space="0" w:color="auto"/>
            </w:tcBorders>
            <w:shd w:val="clear" w:color="auto" w:fill="auto"/>
            <w:noWrap/>
            <w:vAlign w:val="bottom"/>
            <w:hideMark/>
          </w:tcPr>
          <w:p w14:paraId="1A9C51F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7A00151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36EAD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14:paraId="05DB931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53A5DB1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D34BD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71103C7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16EC42C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0CB745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r>
      <w:tr w:rsidR="005902C7" w:rsidRPr="005902C7" w14:paraId="31FDA2EE" w14:textId="77777777" w:rsidTr="003A0BFD">
        <w:trPr>
          <w:trHeight w:val="78"/>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23E86AAD"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lastRenderedPageBreak/>
              <w:t>Apbedīšanas pabalsts, ja miris bezdarbnieks</w:t>
            </w:r>
          </w:p>
        </w:tc>
        <w:tc>
          <w:tcPr>
            <w:tcW w:w="1134" w:type="dxa"/>
            <w:tcBorders>
              <w:top w:val="nil"/>
              <w:left w:val="nil"/>
              <w:bottom w:val="single" w:sz="4" w:space="0" w:color="auto"/>
              <w:right w:val="single" w:sz="4" w:space="0" w:color="auto"/>
            </w:tcBorders>
            <w:shd w:val="clear" w:color="auto" w:fill="auto"/>
            <w:noWrap/>
            <w:vAlign w:val="bottom"/>
            <w:hideMark/>
          </w:tcPr>
          <w:p w14:paraId="265143C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327,00</w:t>
            </w:r>
          </w:p>
        </w:tc>
        <w:tc>
          <w:tcPr>
            <w:tcW w:w="992" w:type="dxa"/>
            <w:tcBorders>
              <w:top w:val="nil"/>
              <w:left w:val="nil"/>
              <w:bottom w:val="single" w:sz="4" w:space="0" w:color="auto"/>
              <w:right w:val="single" w:sz="4" w:space="0" w:color="auto"/>
            </w:tcBorders>
            <w:shd w:val="clear" w:color="auto" w:fill="auto"/>
            <w:noWrap/>
            <w:vAlign w:val="bottom"/>
            <w:hideMark/>
          </w:tcPr>
          <w:p w14:paraId="16A2121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12</w:t>
            </w:r>
          </w:p>
        </w:tc>
        <w:tc>
          <w:tcPr>
            <w:tcW w:w="1276" w:type="dxa"/>
            <w:tcBorders>
              <w:top w:val="nil"/>
              <w:left w:val="nil"/>
              <w:bottom w:val="single" w:sz="4" w:space="0" w:color="auto"/>
              <w:right w:val="single" w:sz="4" w:space="0" w:color="auto"/>
            </w:tcBorders>
            <w:shd w:val="clear" w:color="auto" w:fill="auto"/>
            <w:noWrap/>
            <w:vAlign w:val="bottom"/>
            <w:hideMark/>
          </w:tcPr>
          <w:p w14:paraId="629C773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47 088</w:t>
            </w:r>
          </w:p>
        </w:tc>
        <w:tc>
          <w:tcPr>
            <w:tcW w:w="1134" w:type="dxa"/>
            <w:tcBorders>
              <w:top w:val="nil"/>
              <w:left w:val="nil"/>
              <w:bottom w:val="single" w:sz="4" w:space="0" w:color="auto"/>
              <w:right w:val="single" w:sz="4" w:space="0" w:color="auto"/>
            </w:tcBorders>
            <w:shd w:val="clear" w:color="auto" w:fill="auto"/>
            <w:noWrap/>
            <w:vAlign w:val="bottom"/>
            <w:hideMark/>
          </w:tcPr>
          <w:p w14:paraId="2796A1C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327,00</w:t>
            </w:r>
          </w:p>
        </w:tc>
        <w:tc>
          <w:tcPr>
            <w:tcW w:w="992" w:type="dxa"/>
            <w:tcBorders>
              <w:top w:val="nil"/>
              <w:left w:val="nil"/>
              <w:bottom w:val="single" w:sz="4" w:space="0" w:color="auto"/>
              <w:right w:val="single" w:sz="4" w:space="0" w:color="auto"/>
            </w:tcBorders>
            <w:shd w:val="clear" w:color="auto" w:fill="auto"/>
            <w:noWrap/>
            <w:vAlign w:val="bottom"/>
            <w:hideMark/>
          </w:tcPr>
          <w:p w14:paraId="58C85BC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12</w:t>
            </w:r>
          </w:p>
        </w:tc>
        <w:tc>
          <w:tcPr>
            <w:tcW w:w="1276" w:type="dxa"/>
            <w:tcBorders>
              <w:top w:val="nil"/>
              <w:left w:val="nil"/>
              <w:bottom w:val="single" w:sz="4" w:space="0" w:color="auto"/>
              <w:right w:val="single" w:sz="4" w:space="0" w:color="auto"/>
            </w:tcBorders>
            <w:shd w:val="clear" w:color="auto" w:fill="auto"/>
            <w:noWrap/>
            <w:vAlign w:val="bottom"/>
            <w:hideMark/>
          </w:tcPr>
          <w:p w14:paraId="1974D18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47 088</w:t>
            </w:r>
          </w:p>
        </w:tc>
        <w:tc>
          <w:tcPr>
            <w:tcW w:w="851" w:type="dxa"/>
            <w:tcBorders>
              <w:top w:val="nil"/>
              <w:left w:val="nil"/>
              <w:bottom w:val="single" w:sz="4" w:space="0" w:color="auto"/>
              <w:right w:val="single" w:sz="4" w:space="0" w:color="auto"/>
            </w:tcBorders>
            <w:shd w:val="clear" w:color="auto" w:fill="auto"/>
            <w:noWrap/>
            <w:vAlign w:val="bottom"/>
            <w:hideMark/>
          </w:tcPr>
          <w:p w14:paraId="31962C4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327,00</w:t>
            </w:r>
          </w:p>
        </w:tc>
        <w:tc>
          <w:tcPr>
            <w:tcW w:w="850" w:type="dxa"/>
            <w:tcBorders>
              <w:top w:val="nil"/>
              <w:left w:val="nil"/>
              <w:bottom w:val="single" w:sz="4" w:space="0" w:color="auto"/>
              <w:right w:val="single" w:sz="4" w:space="0" w:color="auto"/>
            </w:tcBorders>
            <w:shd w:val="clear" w:color="auto" w:fill="auto"/>
            <w:noWrap/>
            <w:vAlign w:val="bottom"/>
            <w:hideMark/>
          </w:tcPr>
          <w:p w14:paraId="692CDD7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12</w:t>
            </w:r>
          </w:p>
        </w:tc>
        <w:tc>
          <w:tcPr>
            <w:tcW w:w="1276" w:type="dxa"/>
            <w:tcBorders>
              <w:top w:val="nil"/>
              <w:left w:val="nil"/>
              <w:bottom w:val="single" w:sz="4" w:space="0" w:color="auto"/>
              <w:right w:val="single" w:sz="4" w:space="0" w:color="auto"/>
            </w:tcBorders>
            <w:shd w:val="clear" w:color="auto" w:fill="auto"/>
            <w:noWrap/>
            <w:vAlign w:val="bottom"/>
            <w:hideMark/>
          </w:tcPr>
          <w:p w14:paraId="79399B0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47 088</w:t>
            </w:r>
          </w:p>
        </w:tc>
      </w:tr>
      <w:tr w:rsidR="001D773D" w:rsidRPr="005902C7" w14:paraId="51906FAD" w14:textId="77777777" w:rsidTr="003A0BFD">
        <w:trPr>
          <w:trHeight w:val="7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6A604546" w14:textId="77777777" w:rsidR="005902C7" w:rsidRPr="00D84B9C" w:rsidRDefault="005902C7" w:rsidP="005902C7">
            <w:pPr>
              <w:spacing w:after="0"/>
              <w:ind w:firstLine="0"/>
              <w:jc w:val="left"/>
              <w:rPr>
                <w:rFonts w:eastAsia="Times New Roman" w:cs="Times New Roman"/>
                <w:sz w:val="18"/>
                <w:szCs w:val="18"/>
              </w:rPr>
            </w:pPr>
            <w:r w:rsidRPr="00D84B9C">
              <w:rPr>
                <w:rFonts w:eastAsia="Times New Roman" w:cs="Times New Roman"/>
                <w:sz w:val="18"/>
                <w:szCs w:val="18"/>
              </w:rPr>
              <w:t>Valsts nodarbinātības pabalsti naudā – kopā</w:t>
            </w:r>
          </w:p>
        </w:tc>
        <w:tc>
          <w:tcPr>
            <w:tcW w:w="1134" w:type="dxa"/>
            <w:tcBorders>
              <w:top w:val="nil"/>
              <w:left w:val="nil"/>
              <w:bottom w:val="single" w:sz="4" w:space="0" w:color="auto"/>
              <w:right w:val="single" w:sz="4" w:space="0" w:color="auto"/>
            </w:tcBorders>
            <w:shd w:val="clear" w:color="000000" w:fill="FFFFFF"/>
            <w:noWrap/>
            <w:vAlign w:val="bottom"/>
            <w:hideMark/>
          </w:tcPr>
          <w:p w14:paraId="0A4E6CD8"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7DB248D9"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3BA1976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150 378 048</w:t>
            </w:r>
          </w:p>
        </w:tc>
        <w:tc>
          <w:tcPr>
            <w:tcW w:w="1134" w:type="dxa"/>
            <w:tcBorders>
              <w:top w:val="nil"/>
              <w:left w:val="nil"/>
              <w:bottom w:val="single" w:sz="4" w:space="0" w:color="auto"/>
              <w:right w:val="single" w:sz="4" w:space="0" w:color="auto"/>
            </w:tcBorders>
            <w:shd w:val="clear" w:color="000000" w:fill="FFFFFF"/>
            <w:noWrap/>
            <w:vAlign w:val="bottom"/>
            <w:hideMark/>
          </w:tcPr>
          <w:p w14:paraId="41394977"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4DC44348"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7D55EDF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134 329 075</w:t>
            </w:r>
          </w:p>
        </w:tc>
        <w:tc>
          <w:tcPr>
            <w:tcW w:w="851" w:type="dxa"/>
            <w:tcBorders>
              <w:top w:val="nil"/>
              <w:left w:val="nil"/>
              <w:bottom w:val="single" w:sz="4" w:space="0" w:color="auto"/>
              <w:right w:val="single" w:sz="4" w:space="0" w:color="auto"/>
            </w:tcBorders>
            <w:shd w:val="clear" w:color="000000" w:fill="FFFFFF"/>
            <w:noWrap/>
            <w:vAlign w:val="bottom"/>
            <w:hideMark/>
          </w:tcPr>
          <w:p w14:paraId="6496B0CF"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850" w:type="dxa"/>
            <w:tcBorders>
              <w:top w:val="nil"/>
              <w:left w:val="nil"/>
              <w:bottom w:val="single" w:sz="4" w:space="0" w:color="auto"/>
              <w:right w:val="single" w:sz="4" w:space="0" w:color="auto"/>
            </w:tcBorders>
            <w:shd w:val="clear" w:color="000000" w:fill="FFFFFF"/>
            <w:noWrap/>
            <w:vAlign w:val="bottom"/>
            <w:hideMark/>
          </w:tcPr>
          <w:p w14:paraId="0409E91E"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0B40D74E"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132 360 093</w:t>
            </w:r>
          </w:p>
        </w:tc>
      </w:tr>
      <w:tr w:rsidR="005902C7" w:rsidRPr="005902C7" w14:paraId="3BB9AD7B" w14:textId="77777777" w:rsidTr="003A0BFD">
        <w:trPr>
          <w:trHeight w:val="7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2D191D5C"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Bezdarbnieka pabalsts</w:t>
            </w:r>
          </w:p>
        </w:tc>
        <w:tc>
          <w:tcPr>
            <w:tcW w:w="1134" w:type="dxa"/>
            <w:tcBorders>
              <w:top w:val="nil"/>
              <w:left w:val="nil"/>
              <w:bottom w:val="single" w:sz="4" w:space="0" w:color="auto"/>
              <w:right w:val="single" w:sz="4" w:space="0" w:color="auto"/>
            </w:tcBorders>
            <w:shd w:val="clear" w:color="auto" w:fill="auto"/>
            <w:noWrap/>
            <w:vAlign w:val="bottom"/>
            <w:hideMark/>
          </w:tcPr>
          <w:p w14:paraId="3788204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373,46</w:t>
            </w:r>
          </w:p>
        </w:tc>
        <w:tc>
          <w:tcPr>
            <w:tcW w:w="992" w:type="dxa"/>
            <w:tcBorders>
              <w:top w:val="nil"/>
              <w:left w:val="nil"/>
              <w:bottom w:val="single" w:sz="4" w:space="0" w:color="auto"/>
              <w:right w:val="single" w:sz="4" w:space="0" w:color="auto"/>
            </w:tcBorders>
            <w:shd w:val="clear" w:color="auto" w:fill="auto"/>
            <w:noWrap/>
            <w:vAlign w:val="bottom"/>
            <w:hideMark/>
          </w:tcPr>
          <w:p w14:paraId="7C4AECB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33 555</w:t>
            </w:r>
          </w:p>
        </w:tc>
        <w:tc>
          <w:tcPr>
            <w:tcW w:w="1276" w:type="dxa"/>
            <w:tcBorders>
              <w:top w:val="nil"/>
              <w:left w:val="nil"/>
              <w:bottom w:val="single" w:sz="4" w:space="0" w:color="auto"/>
              <w:right w:val="single" w:sz="4" w:space="0" w:color="auto"/>
            </w:tcBorders>
            <w:shd w:val="clear" w:color="auto" w:fill="auto"/>
            <w:noWrap/>
            <w:vAlign w:val="bottom"/>
            <w:hideMark/>
          </w:tcPr>
          <w:p w14:paraId="616795F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150 378 048</w:t>
            </w:r>
          </w:p>
        </w:tc>
        <w:tc>
          <w:tcPr>
            <w:tcW w:w="1134" w:type="dxa"/>
            <w:tcBorders>
              <w:top w:val="nil"/>
              <w:left w:val="nil"/>
              <w:bottom w:val="single" w:sz="4" w:space="0" w:color="auto"/>
              <w:right w:val="single" w:sz="4" w:space="0" w:color="auto"/>
            </w:tcBorders>
            <w:shd w:val="clear" w:color="auto" w:fill="auto"/>
            <w:noWrap/>
            <w:vAlign w:val="bottom"/>
            <w:hideMark/>
          </w:tcPr>
          <w:p w14:paraId="5DF1508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392,16</w:t>
            </w:r>
          </w:p>
        </w:tc>
        <w:tc>
          <w:tcPr>
            <w:tcW w:w="992" w:type="dxa"/>
            <w:tcBorders>
              <w:top w:val="nil"/>
              <w:left w:val="nil"/>
              <w:bottom w:val="single" w:sz="4" w:space="0" w:color="auto"/>
              <w:right w:val="single" w:sz="4" w:space="0" w:color="auto"/>
            </w:tcBorders>
            <w:shd w:val="clear" w:color="auto" w:fill="auto"/>
            <w:noWrap/>
            <w:vAlign w:val="bottom"/>
            <w:hideMark/>
          </w:tcPr>
          <w:p w14:paraId="0DABAB3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28 545</w:t>
            </w:r>
          </w:p>
        </w:tc>
        <w:tc>
          <w:tcPr>
            <w:tcW w:w="1276" w:type="dxa"/>
            <w:tcBorders>
              <w:top w:val="nil"/>
              <w:left w:val="nil"/>
              <w:bottom w:val="single" w:sz="4" w:space="0" w:color="auto"/>
              <w:right w:val="single" w:sz="4" w:space="0" w:color="auto"/>
            </w:tcBorders>
            <w:shd w:val="clear" w:color="auto" w:fill="auto"/>
            <w:noWrap/>
            <w:vAlign w:val="bottom"/>
            <w:hideMark/>
          </w:tcPr>
          <w:p w14:paraId="0DD4BBE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134 329 075</w:t>
            </w:r>
          </w:p>
        </w:tc>
        <w:tc>
          <w:tcPr>
            <w:tcW w:w="851" w:type="dxa"/>
            <w:tcBorders>
              <w:top w:val="nil"/>
              <w:left w:val="nil"/>
              <w:bottom w:val="single" w:sz="4" w:space="0" w:color="auto"/>
              <w:right w:val="single" w:sz="4" w:space="0" w:color="auto"/>
            </w:tcBorders>
            <w:shd w:val="clear" w:color="auto" w:fill="auto"/>
            <w:noWrap/>
            <w:vAlign w:val="bottom"/>
            <w:hideMark/>
          </w:tcPr>
          <w:p w14:paraId="3539024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411,77</w:t>
            </w:r>
          </w:p>
        </w:tc>
        <w:tc>
          <w:tcPr>
            <w:tcW w:w="850" w:type="dxa"/>
            <w:tcBorders>
              <w:top w:val="nil"/>
              <w:left w:val="nil"/>
              <w:bottom w:val="single" w:sz="4" w:space="0" w:color="auto"/>
              <w:right w:val="single" w:sz="4" w:space="0" w:color="auto"/>
            </w:tcBorders>
            <w:shd w:val="clear" w:color="auto" w:fill="auto"/>
            <w:noWrap/>
            <w:vAlign w:val="bottom"/>
            <w:hideMark/>
          </w:tcPr>
          <w:p w14:paraId="67193F9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26 787</w:t>
            </w:r>
          </w:p>
        </w:tc>
        <w:tc>
          <w:tcPr>
            <w:tcW w:w="1276" w:type="dxa"/>
            <w:tcBorders>
              <w:top w:val="nil"/>
              <w:left w:val="nil"/>
              <w:bottom w:val="single" w:sz="4" w:space="0" w:color="auto"/>
              <w:right w:val="single" w:sz="4" w:space="0" w:color="auto"/>
            </w:tcBorders>
            <w:shd w:val="clear" w:color="auto" w:fill="auto"/>
            <w:noWrap/>
            <w:vAlign w:val="bottom"/>
            <w:hideMark/>
          </w:tcPr>
          <w:p w14:paraId="4EA8C5D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132 360 093</w:t>
            </w:r>
          </w:p>
        </w:tc>
      </w:tr>
      <w:tr w:rsidR="001D773D" w:rsidRPr="005902C7" w14:paraId="2CE27254" w14:textId="77777777" w:rsidTr="003A0BFD">
        <w:trPr>
          <w:trHeight w:val="144"/>
        </w:trPr>
        <w:tc>
          <w:tcPr>
            <w:tcW w:w="4111" w:type="dxa"/>
            <w:tcBorders>
              <w:top w:val="nil"/>
              <w:left w:val="single" w:sz="4" w:space="0" w:color="auto"/>
              <w:bottom w:val="single" w:sz="4" w:space="0" w:color="auto"/>
              <w:right w:val="single" w:sz="4" w:space="0" w:color="auto"/>
            </w:tcBorders>
            <w:shd w:val="clear" w:color="auto" w:fill="auto"/>
            <w:hideMark/>
          </w:tcPr>
          <w:p w14:paraId="5D411742" w14:textId="77777777" w:rsidR="005902C7" w:rsidRPr="00D84B9C" w:rsidRDefault="005902C7" w:rsidP="005902C7">
            <w:pPr>
              <w:spacing w:after="0"/>
              <w:ind w:firstLine="0"/>
              <w:jc w:val="left"/>
              <w:rPr>
                <w:rFonts w:eastAsia="Times New Roman" w:cs="Times New Roman"/>
                <w:sz w:val="18"/>
                <w:szCs w:val="18"/>
              </w:rPr>
            </w:pPr>
            <w:r w:rsidRPr="00D84B9C">
              <w:rPr>
                <w:rFonts w:eastAsia="Times New Roman" w:cs="Times New Roman"/>
                <w:sz w:val="18"/>
                <w:szCs w:val="18"/>
              </w:rPr>
              <w:t>Valsts budžeta maksājumi - kopā</w:t>
            </w:r>
          </w:p>
        </w:tc>
        <w:tc>
          <w:tcPr>
            <w:tcW w:w="1134" w:type="dxa"/>
            <w:tcBorders>
              <w:top w:val="nil"/>
              <w:left w:val="nil"/>
              <w:bottom w:val="single" w:sz="4" w:space="0" w:color="auto"/>
              <w:right w:val="single" w:sz="4" w:space="0" w:color="auto"/>
            </w:tcBorders>
            <w:shd w:val="clear" w:color="000000" w:fill="FFFFFF"/>
            <w:noWrap/>
            <w:vAlign w:val="center"/>
            <w:hideMark/>
          </w:tcPr>
          <w:p w14:paraId="25261512"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41032210"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303EA77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138 352</w:t>
            </w:r>
          </w:p>
        </w:tc>
        <w:tc>
          <w:tcPr>
            <w:tcW w:w="1134" w:type="dxa"/>
            <w:tcBorders>
              <w:top w:val="nil"/>
              <w:left w:val="nil"/>
              <w:bottom w:val="single" w:sz="4" w:space="0" w:color="auto"/>
              <w:right w:val="single" w:sz="4" w:space="0" w:color="auto"/>
            </w:tcBorders>
            <w:shd w:val="clear" w:color="000000" w:fill="FFFFFF"/>
            <w:noWrap/>
            <w:vAlign w:val="center"/>
            <w:hideMark/>
          </w:tcPr>
          <w:p w14:paraId="6EAA558B"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17A097E1"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06EF594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141 844</w:t>
            </w:r>
          </w:p>
        </w:tc>
        <w:tc>
          <w:tcPr>
            <w:tcW w:w="851" w:type="dxa"/>
            <w:tcBorders>
              <w:top w:val="nil"/>
              <w:left w:val="nil"/>
              <w:bottom w:val="single" w:sz="4" w:space="0" w:color="auto"/>
              <w:right w:val="single" w:sz="4" w:space="0" w:color="auto"/>
            </w:tcBorders>
            <w:shd w:val="clear" w:color="000000" w:fill="FFFFFF"/>
            <w:noWrap/>
            <w:vAlign w:val="center"/>
            <w:hideMark/>
          </w:tcPr>
          <w:p w14:paraId="273F9CCE"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850" w:type="dxa"/>
            <w:tcBorders>
              <w:top w:val="nil"/>
              <w:left w:val="nil"/>
              <w:bottom w:val="single" w:sz="4" w:space="0" w:color="auto"/>
              <w:right w:val="single" w:sz="4" w:space="0" w:color="auto"/>
            </w:tcBorders>
            <w:shd w:val="clear" w:color="000000" w:fill="FFFFFF"/>
            <w:noWrap/>
            <w:vAlign w:val="bottom"/>
            <w:hideMark/>
          </w:tcPr>
          <w:p w14:paraId="4E6F5949"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20C1262E"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140 250</w:t>
            </w:r>
          </w:p>
        </w:tc>
      </w:tr>
      <w:tr w:rsidR="005902C7" w:rsidRPr="005902C7" w14:paraId="14FC1DC3" w14:textId="77777777" w:rsidTr="003A0BFD">
        <w:trPr>
          <w:trHeight w:val="7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0648BC2A" w14:textId="77777777" w:rsidR="005902C7" w:rsidRPr="00D84B9C" w:rsidRDefault="005902C7" w:rsidP="005902C7">
            <w:pPr>
              <w:spacing w:after="0"/>
              <w:ind w:firstLineChars="100" w:firstLine="180"/>
              <w:jc w:val="left"/>
              <w:rPr>
                <w:rFonts w:eastAsia="Times New Roman" w:cs="Times New Roman"/>
                <w:i/>
                <w:iCs/>
                <w:sz w:val="18"/>
                <w:szCs w:val="18"/>
              </w:rPr>
            </w:pPr>
            <w:r w:rsidRPr="00D84B9C">
              <w:rPr>
                <w:rFonts w:eastAsia="Times New Roman" w:cs="Times New Roman"/>
                <w:i/>
                <w:iCs/>
                <w:sz w:val="18"/>
                <w:szCs w:val="18"/>
              </w:rPr>
              <w:t>tajā skaitā:</w:t>
            </w:r>
          </w:p>
        </w:tc>
        <w:tc>
          <w:tcPr>
            <w:tcW w:w="1134" w:type="dxa"/>
            <w:tcBorders>
              <w:top w:val="nil"/>
              <w:left w:val="nil"/>
              <w:bottom w:val="single" w:sz="4" w:space="0" w:color="auto"/>
              <w:right w:val="single" w:sz="4" w:space="0" w:color="auto"/>
            </w:tcBorders>
            <w:shd w:val="clear" w:color="auto" w:fill="auto"/>
            <w:noWrap/>
            <w:vAlign w:val="bottom"/>
            <w:hideMark/>
          </w:tcPr>
          <w:p w14:paraId="2F673AD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26497B6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C0F55A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14:paraId="2356264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3B079BF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2DF6CCE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701EF3DC"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6E7E1F2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77D178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r>
      <w:tr w:rsidR="005902C7" w:rsidRPr="005902C7" w14:paraId="32178738" w14:textId="77777777" w:rsidTr="003A0BFD">
        <w:trPr>
          <w:trHeight w:val="255"/>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270E9097" w14:textId="77777777" w:rsidR="005902C7" w:rsidRPr="00D84B9C" w:rsidRDefault="005902C7" w:rsidP="00EA7247">
            <w:pPr>
              <w:spacing w:after="0"/>
              <w:ind w:left="321" w:hanging="284"/>
              <w:jc w:val="left"/>
              <w:rPr>
                <w:rFonts w:eastAsia="Times New Roman" w:cs="Times New Roman"/>
                <w:sz w:val="18"/>
                <w:szCs w:val="18"/>
              </w:rPr>
            </w:pPr>
            <w:r w:rsidRPr="00D84B9C">
              <w:rPr>
                <w:rFonts w:eastAsia="Times New Roman" w:cs="Times New Roman"/>
                <w:sz w:val="18"/>
                <w:szCs w:val="18"/>
              </w:rPr>
              <w:t xml:space="preserve">    Pārmaksāto sociālās apdrošināšanas iemaksu atmaksa</w:t>
            </w:r>
          </w:p>
        </w:tc>
        <w:tc>
          <w:tcPr>
            <w:tcW w:w="1134" w:type="dxa"/>
            <w:tcBorders>
              <w:top w:val="nil"/>
              <w:left w:val="nil"/>
              <w:bottom w:val="single" w:sz="4" w:space="0" w:color="auto"/>
              <w:right w:val="single" w:sz="4" w:space="0" w:color="auto"/>
            </w:tcBorders>
            <w:shd w:val="clear" w:color="auto" w:fill="auto"/>
            <w:noWrap/>
            <w:vAlign w:val="bottom"/>
            <w:hideMark/>
          </w:tcPr>
          <w:p w14:paraId="74CDC70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155906A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1361D81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13 210</w:t>
            </w:r>
          </w:p>
        </w:tc>
        <w:tc>
          <w:tcPr>
            <w:tcW w:w="1134" w:type="dxa"/>
            <w:tcBorders>
              <w:top w:val="nil"/>
              <w:left w:val="nil"/>
              <w:bottom w:val="single" w:sz="4" w:space="0" w:color="auto"/>
              <w:right w:val="single" w:sz="4" w:space="0" w:color="auto"/>
            </w:tcBorders>
            <w:shd w:val="clear" w:color="auto" w:fill="auto"/>
            <w:noWrap/>
            <w:vAlign w:val="bottom"/>
            <w:hideMark/>
          </w:tcPr>
          <w:p w14:paraId="2BAAC70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51A198D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F70D59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16 702</w:t>
            </w:r>
          </w:p>
        </w:tc>
        <w:tc>
          <w:tcPr>
            <w:tcW w:w="851" w:type="dxa"/>
            <w:tcBorders>
              <w:top w:val="nil"/>
              <w:left w:val="nil"/>
              <w:bottom w:val="single" w:sz="4" w:space="0" w:color="auto"/>
              <w:right w:val="single" w:sz="4" w:space="0" w:color="auto"/>
            </w:tcBorders>
            <w:shd w:val="clear" w:color="auto" w:fill="auto"/>
            <w:noWrap/>
            <w:vAlign w:val="bottom"/>
            <w:hideMark/>
          </w:tcPr>
          <w:p w14:paraId="66BE836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35C4E5A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5DAC326E"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15 108</w:t>
            </w:r>
          </w:p>
        </w:tc>
      </w:tr>
      <w:tr w:rsidR="005902C7" w:rsidRPr="005902C7" w14:paraId="24532BA9" w14:textId="77777777" w:rsidTr="003A0BFD">
        <w:trPr>
          <w:trHeight w:val="429"/>
        </w:trPr>
        <w:tc>
          <w:tcPr>
            <w:tcW w:w="4111" w:type="dxa"/>
            <w:tcBorders>
              <w:top w:val="nil"/>
              <w:left w:val="single" w:sz="4" w:space="0" w:color="auto"/>
              <w:bottom w:val="single" w:sz="4" w:space="0" w:color="auto"/>
              <w:right w:val="single" w:sz="4" w:space="0" w:color="auto"/>
            </w:tcBorders>
            <w:shd w:val="clear" w:color="auto" w:fill="auto"/>
            <w:vAlign w:val="bottom"/>
            <w:hideMark/>
          </w:tcPr>
          <w:p w14:paraId="4BAB4057" w14:textId="497FEFF3" w:rsidR="005902C7" w:rsidRPr="00D84B9C" w:rsidRDefault="00EA7247" w:rsidP="00EA7247">
            <w:pPr>
              <w:spacing w:after="0"/>
              <w:ind w:left="179" w:hanging="142"/>
              <w:jc w:val="left"/>
              <w:rPr>
                <w:rFonts w:eastAsia="Times New Roman" w:cs="Times New Roman"/>
                <w:sz w:val="18"/>
                <w:szCs w:val="18"/>
              </w:rPr>
            </w:pPr>
            <w:r>
              <w:rPr>
                <w:rFonts w:eastAsia="Times New Roman" w:cs="Times New Roman"/>
                <w:sz w:val="18"/>
                <w:szCs w:val="18"/>
              </w:rPr>
              <w:t xml:space="preserve">    </w:t>
            </w:r>
            <w:r w:rsidR="005902C7" w:rsidRPr="00D84B9C">
              <w:rPr>
                <w:rFonts w:eastAsia="Times New Roman" w:cs="Times New Roman"/>
                <w:sz w:val="18"/>
                <w:szCs w:val="18"/>
              </w:rPr>
              <w:t>Eiropas Savienības pensiju shēmai</w:t>
            </w:r>
            <w:r>
              <w:rPr>
                <w:rFonts w:eastAsia="Times New Roman" w:cs="Times New Roman"/>
                <w:sz w:val="18"/>
                <w:szCs w:val="18"/>
              </w:rPr>
              <w:t xml:space="preserve"> pārskaitītais pensijas </w:t>
            </w:r>
            <w:r w:rsidR="005902C7" w:rsidRPr="00D84B9C">
              <w:rPr>
                <w:rFonts w:eastAsia="Times New Roman" w:cs="Times New Roman"/>
                <w:sz w:val="18"/>
                <w:szCs w:val="18"/>
              </w:rPr>
              <w:t>kapitāls</w:t>
            </w:r>
          </w:p>
        </w:tc>
        <w:tc>
          <w:tcPr>
            <w:tcW w:w="1134" w:type="dxa"/>
            <w:tcBorders>
              <w:top w:val="nil"/>
              <w:left w:val="nil"/>
              <w:bottom w:val="single" w:sz="4" w:space="0" w:color="auto"/>
              <w:right w:val="single" w:sz="4" w:space="0" w:color="auto"/>
            </w:tcBorders>
            <w:shd w:val="clear" w:color="auto" w:fill="auto"/>
            <w:noWrap/>
            <w:vAlign w:val="bottom"/>
            <w:hideMark/>
          </w:tcPr>
          <w:p w14:paraId="03D0310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64F4E6A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2242699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4 000</w:t>
            </w:r>
          </w:p>
        </w:tc>
        <w:tc>
          <w:tcPr>
            <w:tcW w:w="1134" w:type="dxa"/>
            <w:tcBorders>
              <w:top w:val="nil"/>
              <w:left w:val="nil"/>
              <w:bottom w:val="single" w:sz="4" w:space="0" w:color="auto"/>
              <w:right w:val="single" w:sz="4" w:space="0" w:color="auto"/>
            </w:tcBorders>
            <w:shd w:val="clear" w:color="auto" w:fill="auto"/>
            <w:noWrap/>
            <w:vAlign w:val="bottom"/>
            <w:hideMark/>
          </w:tcPr>
          <w:p w14:paraId="68D9B18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027C628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8DDCB9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4 000</w:t>
            </w:r>
          </w:p>
        </w:tc>
        <w:tc>
          <w:tcPr>
            <w:tcW w:w="851" w:type="dxa"/>
            <w:tcBorders>
              <w:top w:val="nil"/>
              <w:left w:val="nil"/>
              <w:bottom w:val="single" w:sz="4" w:space="0" w:color="auto"/>
              <w:right w:val="single" w:sz="4" w:space="0" w:color="auto"/>
            </w:tcBorders>
            <w:shd w:val="clear" w:color="auto" w:fill="auto"/>
            <w:noWrap/>
            <w:vAlign w:val="bottom"/>
            <w:hideMark/>
          </w:tcPr>
          <w:p w14:paraId="6FD8FA5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72089DE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4F9F10C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4 000</w:t>
            </w:r>
          </w:p>
        </w:tc>
      </w:tr>
      <w:tr w:rsidR="005902C7" w:rsidRPr="005902C7" w14:paraId="7C188384" w14:textId="77777777" w:rsidTr="003A0BFD">
        <w:trPr>
          <w:trHeight w:val="556"/>
        </w:trPr>
        <w:tc>
          <w:tcPr>
            <w:tcW w:w="4111" w:type="dxa"/>
            <w:tcBorders>
              <w:top w:val="nil"/>
              <w:left w:val="single" w:sz="4" w:space="0" w:color="auto"/>
              <w:bottom w:val="single" w:sz="4" w:space="0" w:color="auto"/>
              <w:right w:val="single" w:sz="4" w:space="0" w:color="auto"/>
            </w:tcBorders>
            <w:shd w:val="clear" w:color="000000" w:fill="FFFFFF"/>
            <w:hideMark/>
          </w:tcPr>
          <w:p w14:paraId="25BEC0EC" w14:textId="77777777" w:rsidR="005902C7" w:rsidRPr="00D84B9C" w:rsidRDefault="005902C7" w:rsidP="00EA7247">
            <w:pPr>
              <w:spacing w:after="0"/>
              <w:ind w:left="321" w:firstLine="0"/>
              <w:jc w:val="left"/>
              <w:rPr>
                <w:rFonts w:eastAsia="Times New Roman" w:cs="Times New Roman"/>
                <w:sz w:val="18"/>
                <w:szCs w:val="18"/>
              </w:rPr>
            </w:pPr>
            <w:r w:rsidRPr="00D84B9C">
              <w:rPr>
                <w:rFonts w:eastAsia="Times New Roman" w:cs="Times New Roman"/>
                <w:sz w:val="18"/>
                <w:szCs w:val="18"/>
              </w:rPr>
              <w:t xml:space="preserve">Pārējie klasifikācijā neminētie no valsts un pašvaldību budžeta veiktie maksājumi iedzīvotājiem naudā  </w:t>
            </w:r>
          </w:p>
        </w:tc>
        <w:tc>
          <w:tcPr>
            <w:tcW w:w="1134" w:type="dxa"/>
            <w:tcBorders>
              <w:top w:val="nil"/>
              <w:left w:val="nil"/>
              <w:bottom w:val="single" w:sz="4" w:space="0" w:color="auto"/>
              <w:right w:val="single" w:sz="4" w:space="0" w:color="auto"/>
            </w:tcBorders>
            <w:shd w:val="clear" w:color="auto" w:fill="auto"/>
            <w:noWrap/>
            <w:vAlign w:val="bottom"/>
            <w:hideMark/>
          </w:tcPr>
          <w:p w14:paraId="21FBDF0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113,43</w:t>
            </w:r>
          </w:p>
        </w:tc>
        <w:tc>
          <w:tcPr>
            <w:tcW w:w="992" w:type="dxa"/>
            <w:tcBorders>
              <w:top w:val="nil"/>
              <w:left w:val="nil"/>
              <w:bottom w:val="single" w:sz="4" w:space="0" w:color="auto"/>
              <w:right w:val="single" w:sz="4" w:space="0" w:color="auto"/>
            </w:tcBorders>
            <w:shd w:val="clear" w:color="auto" w:fill="auto"/>
            <w:noWrap/>
            <w:vAlign w:val="bottom"/>
            <w:hideMark/>
          </w:tcPr>
          <w:p w14:paraId="56A6BE7E"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89</w:t>
            </w:r>
          </w:p>
        </w:tc>
        <w:tc>
          <w:tcPr>
            <w:tcW w:w="1276" w:type="dxa"/>
            <w:tcBorders>
              <w:top w:val="nil"/>
              <w:left w:val="nil"/>
              <w:bottom w:val="single" w:sz="4" w:space="0" w:color="auto"/>
              <w:right w:val="single" w:sz="4" w:space="0" w:color="auto"/>
            </w:tcBorders>
            <w:shd w:val="clear" w:color="auto" w:fill="auto"/>
            <w:noWrap/>
            <w:vAlign w:val="bottom"/>
            <w:hideMark/>
          </w:tcPr>
          <w:p w14:paraId="55E6CA2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121 142</w:t>
            </w:r>
          </w:p>
        </w:tc>
        <w:tc>
          <w:tcPr>
            <w:tcW w:w="1134" w:type="dxa"/>
            <w:tcBorders>
              <w:top w:val="nil"/>
              <w:left w:val="nil"/>
              <w:bottom w:val="single" w:sz="4" w:space="0" w:color="auto"/>
              <w:right w:val="single" w:sz="4" w:space="0" w:color="auto"/>
            </w:tcBorders>
            <w:shd w:val="clear" w:color="auto" w:fill="auto"/>
            <w:noWrap/>
            <w:vAlign w:val="bottom"/>
            <w:hideMark/>
          </w:tcPr>
          <w:p w14:paraId="11E626F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113,43</w:t>
            </w:r>
          </w:p>
        </w:tc>
        <w:tc>
          <w:tcPr>
            <w:tcW w:w="992" w:type="dxa"/>
            <w:tcBorders>
              <w:top w:val="nil"/>
              <w:left w:val="nil"/>
              <w:bottom w:val="single" w:sz="4" w:space="0" w:color="auto"/>
              <w:right w:val="single" w:sz="4" w:space="0" w:color="auto"/>
            </w:tcBorders>
            <w:shd w:val="clear" w:color="auto" w:fill="auto"/>
            <w:noWrap/>
            <w:vAlign w:val="bottom"/>
            <w:hideMark/>
          </w:tcPr>
          <w:p w14:paraId="4571A1AE"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89</w:t>
            </w:r>
          </w:p>
        </w:tc>
        <w:tc>
          <w:tcPr>
            <w:tcW w:w="1276" w:type="dxa"/>
            <w:tcBorders>
              <w:top w:val="nil"/>
              <w:left w:val="nil"/>
              <w:bottom w:val="single" w:sz="4" w:space="0" w:color="auto"/>
              <w:right w:val="single" w:sz="4" w:space="0" w:color="auto"/>
            </w:tcBorders>
            <w:shd w:val="clear" w:color="auto" w:fill="auto"/>
            <w:noWrap/>
            <w:vAlign w:val="bottom"/>
            <w:hideMark/>
          </w:tcPr>
          <w:p w14:paraId="335462C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121 142</w:t>
            </w:r>
          </w:p>
        </w:tc>
        <w:tc>
          <w:tcPr>
            <w:tcW w:w="851" w:type="dxa"/>
            <w:tcBorders>
              <w:top w:val="nil"/>
              <w:left w:val="nil"/>
              <w:bottom w:val="single" w:sz="4" w:space="0" w:color="auto"/>
              <w:right w:val="single" w:sz="4" w:space="0" w:color="auto"/>
            </w:tcBorders>
            <w:shd w:val="clear" w:color="auto" w:fill="auto"/>
            <w:noWrap/>
            <w:vAlign w:val="bottom"/>
            <w:hideMark/>
          </w:tcPr>
          <w:p w14:paraId="475E72F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113,43</w:t>
            </w:r>
          </w:p>
        </w:tc>
        <w:tc>
          <w:tcPr>
            <w:tcW w:w="850" w:type="dxa"/>
            <w:tcBorders>
              <w:top w:val="nil"/>
              <w:left w:val="nil"/>
              <w:bottom w:val="single" w:sz="4" w:space="0" w:color="auto"/>
              <w:right w:val="single" w:sz="4" w:space="0" w:color="auto"/>
            </w:tcBorders>
            <w:shd w:val="clear" w:color="auto" w:fill="auto"/>
            <w:noWrap/>
            <w:vAlign w:val="bottom"/>
            <w:hideMark/>
          </w:tcPr>
          <w:p w14:paraId="0D6C4AB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89</w:t>
            </w:r>
          </w:p>
        </w:tc>
        <w:tc>
          <w:tcPr>
            <w:tcW w:w="1276" w:type="dxa"/>
            <w:tcBorders>
              <w:top w:val="nil"/>
              <w:left w:val="nil"/>
              <w:bottom w:val="single" w:sz="4" w:space="0" w:color="auto"/>
              <w:right w:val="single" w:sz="4" w:space="0" w:color="auto"/>
            </w:tcBorders>
            <w:shd w:val="clear" w:color="auto" w:fill="auto"/>
            <w:noWrap/>
            <w:vAlign w:val="bottom"/>
            <w:hideMark/>
          </w:tcPr>
          <w:p w14:paraId="0E7A123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121 142</w:t>
            </w:r>
          </w:p>
        </w:tc>
      </w:tr>
      <w:tr w:rsidR="001D773D" w:rsidRPr="005902C7" w14:paraId="6728E9C9" w14:textId="77777777" w:rsidTr="003A0BFD">
        <w:trPr>
          <w:trHeight w:val="149"/>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537A551D" w14:textId="77777777" w:rsidR="005902C7" w:rsidRPr="00D84B9C" w:rsidRDefault="005902C7" w:rsidP="005902C7">
            <w:pPr>
              <w:spacing w:after="0"/>
              <w:ind w:firstLine="0"/>
              <w:jc w:val="left"/>
              <w:rPr>
                <w:rFonts w:eastAsia="Times New Roman" w:cs="Times New Roman"/>
                <w:b/>
                <w:bCs/>
                <w:sz w:val="18"/>
                <w:szCs w:val="18"/>
              </w:rPr>
            </w:pPr>
            <w:r w:rsidRPr="00D84B9C">
              <w:rPr>
                <w:rFonts w:eastAsia="Times New Roman" w:cs="Times New Roman"/>
                <w:b/>
                <w:bCs/>
                <w:sz w:val="18"/>
                <w:szCs w:val="18"/>
              </w:rPr>
              <w:t>04.03.00 Darba negadījumu speciālais budžets</w:t>
            </w:r>
          </w:p>
        </w:tc>
        <w:tc>
          <w:tcPr>
            <w:tcW w:w="1134" w:type="dxa"/>
            <w:tcBorders>
              <w:top w:val="nil"/>
              <w:left w:val="nil"/>
              <w:bottom w:val="single" w:sz="4" w:space="0" w:color="auto"/>
              <w:right w:val="single" w:sz="4" w:space="0" w:color="auto"/>
            </w:tcBorders>
            <w:shd w:val="clear" w:color="000000" w:fill="FFFFFF"/>
            <w:noWrap/>
            <w:vAlign w:val="bottom"/>
            <w:hideMark/>
          </w:tcPr>
          <w:p w14:paraId="1720249C"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47293DCD"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1434C61B"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75 286 762</w:t>
            </w:r>
          </w:p>
        </w:tc>
        <w:tc>
          <w:tcPr>
            <w:tcW w:w="1134" w:type="dxa"/>
            <w:tcBorders>
              <w:top w:val="nil"/>
              <w:left w:val="nil"/>
              <w:bottom w:val="single" w:sz="4" w:space="0" w:color="auto"/>
              <w:right w:val="single" w:sz="4" w:space="0" w:color="auto"/>
            </w:tcBorders>
            <w:shd w:val="clear" w:color="000000" w:fill="FFFFFF"/>
            <w:noWrap/>
            <w:vAlign w:val="bottom"/>
            <w:hideMark/>
          </w:tcPr>
          <w:p w14:paraId="47A0AB1C"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79D13EF0"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B68815C"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85 251 533</w:t>
            </w:r>
          </w:p>
        </w:tc>
        <w:tc>
          <w:tcPr>
            <w:tcW w:w="851" w:type="dxa"/>
            <w:tcBorders>
              <w:top w:val="nil"/>
              <w:left w:val="nil"/>
              <w:bottom w:val="single" w:sz="4" w:space="0" w:color="auto"/>
              <w:right w:val="single" w:sz="4" w:space="0" w:color="auto"/>
            </w:tcBorders>
            <w:shd w:val="clear" w:color="000000" w:fill="FFFFFF"/>
            <w:noWrap/>
            <w:vAlign w:val="bottom"/>
            <w:hideMark/>
          </w:tcPr>
          <w:p w14:paraId="23379026"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25A1C0AC"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4969492C"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95 458 586</w:t>
            </w:r>
          </w:p>
        </w:tc>
      </w:tr>
      <w:tr w:rsidR="001D773D" w:rsidRPr="005902C7" w14:paraId="707CF3CB" w14:textId="77777777" w:rsidTr="003A0BFD">
        <w:trPr>
          <w:trHeight w:val="139"/>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279DA4D4" w14:textId="77777777" w:rsidR="005902C7" w:rsidRPr="00D84B9C" w:rsidRDefault="005902C7" w:rsidP="005902C7">
            <w:pPr>
              <w:spacing w:after="0"/>
              <w:ind w:firstLine="0"/>
              <w:jc w:val="left"/>
              <w:rPr>
                <w:rFonts w:eastAsia="Times New Roman" w:cs="Times New Roman"/>
                <w:sz w:val="18"/>
                <w:szCs w:val="18"/>
              </w:rPr>
            </w:pPr>
            <w:r w:rsidRPr="00D84B9C">
              <w:rPr>
                <w:rFonts w:eastAsia="Times New Roman" w:cs="Times New Roman"/>
                <w:sz w:val="18"/>
                <w:szCs w:val="18"/>
              </w:rPr>
              <w:t>Valsts sociālās apdrošināšanas pabalsti naudā – kopā</w:t>
            </w:r>
          </w:p>
        </w:tc>
        <w:tc>
          <w:tcPr>
            <w:tcW w:w="1134" w:type="dxa"/>
            <w:tcBorders>
              <w:top w:val="nil"/>
              <w:left w:val="nil"/>
              <w:bottom w:val="single" w:sz="4" w:space="0" w:color="auto"/>
              <w:right w:val="single" w:sz="4" w:space="0" w:color="auto"/>
            </w:tcBorders>
            <w:shd w:val="clear" w:color="000000" w:fill="FFFFFF"/>
            <w:noWrap/>
            <w:vAlign w:val="bottom"/>
            <w:hideMark/>
          </w:tcPr>
          <w:p w14:paraId="65C92690"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70D96270"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5EA253C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75 276 866</w:t>
            </w:r>
          </w:p>
        </w:tc>
        <w:tc>
          <w:tcPr>
            <w:tcW w:w="1134" w:type="dxa"/>
            <w:tcBorders>
              <w:top w:val="nil"/>
              <w:left w:val="nil"/>
              <w:bottom w:val="single" w:sz="4" w:space="0" w:color="auto"/>
              <w:right w:val="single" w:sz="4" w:space="0" w:color="auto"/>
            </w:tcBorders>
            <w:shd w:val="clear" w:color="000000" w:fill="FFFFFF"/>
            <w:noWrap/>
            <w:vAlign w:val="bottom"/>
            <w:hideMark/>
          </w:tcPr>
          <w:p w14:paraId="1473F0B4"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3EE5D7D9"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12966AF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85 241 030</w:t>
            </w:r>
          </w:p>
        </w:tc>
        <w:tc>
          <w:tcPr>
            <w:tcW w:w="851" w:type="dxa"/>
            <w:tcBorders>
              <w:top w:val="nil"/>
              <w:left w:val="nil"/>
              <w:bottom w:val="single" w:sz="4" w:space="0" w:color="auto"/>
              <w:right w:val="single" w:sz="4" w:space="0" w:color="auto"/>
            </w:tcBorders>
            <w:shd w:val="clear" w:color="000000" w:fill="FFFFFF"/>
            <w:noWrap/>
            <w:vAlign w:val="bottom"/>
            <w:hideMark/>
          </w:tcPr>
          <w:p w14:paraId="2F932681"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850" w:type="dxa"/>
            <w:tcBorders>
              <w:top w:val="nil"/>
              <w:left w:val="nil"/>
              <w:bottom w:val="single" w:sz="4" w:space="0" w:color="auto"/>
              <w:right w:val="single" w:sz="4" w:space="0" w:color="auto"/>
            </w:tcBorders>
            <w:shd w:val="clear" w:color="000000" w:fill="FFFFFF"/>
            <w:noWrap/>
            <w:vAlign w:val="bottom"/>
            <w:hideMark/>
          </w:tcPr>
          <w:p w14:paraId="3B38FE5A"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1482943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95 447 172</w:t>
            </w:r>
          </w:p>
        </w:tc>
      </w:tr>
      <w:tr w:rsidR="005902C7" w:rsidRPr="005902C7" w14:paraId="1F6C248D" w14:textId="77777777" w:rsidTr="003A0BFD">
        <w:trPr>
          <w:trHeight w:val="203"/>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04A1AF95" w14:textId="77777777" w:rsidR="005902C7" w:rsidRPr="00D84B9C" w:rsidRDefault="005902C7" w:rsidP="005902C7">
            <w:pPr>
              <w:spacing w:after="0"/>
              <w:ind w:firstLineChars="100" w:firstLine="180"/>
              <w:jc w:val="left"/>
              <w:rPr>
                <w:rFonts w:eastAsia="Times New Roman" w:cs="Times New Roman"/>
                <w:i/>
                <w:iCs/>
                <w:sz w:val="18"/>
                <w:szCs w:val="18"/>
              </w:rPr>
            </w:pPr>
            <w:r w:rsidRPr="00D84B9C">
              <w:rPr>
                <w:rFonts w:eastAsia="Times New Roman" w:cs="Times New Roman"/>
                <w:i/>
                <w:iCs/>
                <w:sz w:val="18"/>
                <w:szCs w:val="18"/>
              </w:rPr>
              <w:t>tajā skaitā:</w:t>
            </w:r>
          </w:p>
        </w:tc>
        <w:tc>
          <w:tcPr>
            <w:tcW w:w="1134" w:type="dxa"/>
            <w:tcBorders>
              <w:top w:val="nil"/>
              <w:left w:val="nil"/>
              <w:bottom w:val="single" w:sz="4" w:space="0" w:color="auto"/>
              <w:right w:val="single" w:sz="4" w:space="0" w:color="auto"/>
            </w:tcBorders>
            <w:shd w:val="clear" w:color="auto" w:fill="auto"/>
            <w:noWrap/>
            <w:vAlign w:val="bottom"/>
            <w:hideMark/>
          </w:tcPr>
          <w:p w14:paraId="49D98BE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39D9975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B8F4D0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14:paraId="7389F0E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0DEAFFEC"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B68B0E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4A57D2F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2645B61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5B6727B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r>
      <w:tr w:rsidR="005902C7" w:rsidRPr="005902C7" w14:paraId="3D1AFC2B" w14:textId="77777777" w:rsidTr="003A0BFD">
        <w:trPr>
          <w:trHeight w:val="264"/>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12C2F31E"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Slimības pabalsts</w:t>
            </w:r>
          </w:p>
        </w:tc>
        <w:tc>
          <w:tcPr>
            <w:tcW w:w="1134" w:type="dxa"/>
            <w:tcBorders>
              <w:top w:val="nil"/>
              <w:left w:val="nil"/>
              <w:bottom w:val="single" w:sz="4" w:space="0" w:color="auto"/>
              <w:right w:val="single" w:sz="4" w:space="0" w:color="auto"/>
            </w:tcBorders>
            <w:shd w:val="clear" w:color="auto" w:fill="auto"/>
            <w:noWrap/>
            <w:vAlign w:val="bottom"/>
            <w:hideMark/>
          </w:tcPr>
          <w:p w14:paraId="5BF57AB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1 822,18</w:t>
            </w:r>
          </w:p>
        </w:tc>
        <w:tc>
          <w:tcPr>
            <w:tcW w:w="992" w:type="dxa"/>
            <w:tcBorders>
              <w:top w:val="nil"/>
              <w:left w:val="nil"/>
              <w:bottom w:val="single" w:sz="4" w:space="0" w:color="auto"/>
              <w:right w:val="single" w:sz="4" w:space="0" w:color="auto"/>
            </w:tcBorders>
            <w:shd w:val="clear" w:color="000000" w:fill="FFFFFF"/>
            <w:noWrap/>
            <w:vAlign w:val="bottom"/>
            <w:hideMark/>
          </w:tcPr>
          <w:p w14:paraId="7371E73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550</w:t>
            </w:r>
          </w:p>
        </w:tc>
        <w:tc>
          <w:tcPr>
            <w:tcW w:w="1276" w:type="dxa"/>
            <w:tcBorders>
              <w:top w:val="nil"/>
              <w:left w:val="nil"/>
              <w:bottom w:val="single" w:sz="4" w:space="0" w:color="auto"/>
              <w:right w:val="single" w:sz="4" w:space="0" w:color="auto"/>
            </w:tcBorders>
            <w:shd w:val="clear" w:color="auto" w:fill="auto"/>
            <w:noWrap/>
            <w:vAlign w:val="bottom"/>
            <w:hideMark/>
          </w:tcPr>
          <w:p w14:paraId="73C02B4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12 026 418</w:t>
            </w:r>
          </w:p>
        </w:tc>
        <w:tc>
          <w:tcPr>
            <w:tcW w:w="1134" w:type="dxa"/>
            <w:tcBorders>
              <w:top w:val="nil"/>
              <w:left w:val="nil"/>
              <w:bottom w:val="single" w:sz="4" w:space="0" w:color="auto"/>
              <w:right w:val="single" w:sz="4" w:space="0" w:color="auto"/>
            </w:tcBorders>
            <w:shd w:val="clear" w:color="auto" w:fill="auto"/>
            <w:noWrap/>
            <w:vAlign w:val="bottom"/>
            <w:hideMark/>
          </w:tcPr>
          <w:p w14:paraId="2E493E3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1 913,29</w:t>
            </w:r>
          </w:p>
        </w:tc>
        <w:tc>
          <w:tcPr>
            <w:tcW w:w="992" w:type="dxa"/>
            <w:tcBorders>
              <w:top w:val="nil"/>
              <w:left w:val="nil"/>
              <w:bottom w:val="single" w:sz="4" w:space="0" w:color="auto"/>
              <w:right w:val="single" w:sz="4" w:space="0" w:color="auto"/>
            </w:tcBorders>
            <w:shd w:val="clear" w:color="000000" w:fill="FFFFFF"/>
            <w:noWrap/>
            <w:vAlign w:val="bottom"/>
            <w:hideMark/>
          </w:tcPr>
          <w:p w14:paraId="4AE40AA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600</w:t>
            </w:r>
          </w:p>
        </w:tc>
        <w:tc>
          <w:tcPr>
            <w:tcW w:w="1276" w:type="dxa"/>
            <w:tcBorders>
              <w:top w:val="nil"/>
              <w:left w:val="nil"/>
              <w:bottom w:val="single" w:sz="4" w:space="0" w:color="auto"/>
              <w:right w:val="single" w:sz="4" w:space="0" w:color="auto"/>
            </w:tcBorders>
            <w:shd w:val="clear" w:color="auto" w:fill="auto"/>
            <w:noWrap/>
            <w:vAlign w:val="bottom"/>
            <w:hideMark/>
          </w:tcPr>
          <w:p w14:paraId="2979D0F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13 775 688</w:t>
            </w:r>
          </w:p>
        </w:tc>
        <w:tc>
          <w:tcPr>
            <w:tcW w:w="851" w:type="dxa"/>
            <w:tcBorders>
              <w:top w:val="nil"/>
              <w:left w:val="nil"/>
              <w:bottom w:val="single" w:sz="4" w:space="0" w:color="auto"/>
              <w:right w:val="single" w:sz="4" w:space="0" w:color="auto"/>
            </w:tcBorders>
            <w:shd w:val="clear" w:color="auto" w:fill="auto"/>
            <w:noWrap/>
            <w:vAlign w:val="bottom"/>
            <w:hideMark/>
          </w:tcPr>
          <w:p w14:paraId="41521F7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2 008,95</w:t>
            </w:r>
          </w:p>
        </w:tc>
        <w:tc>
          <w:tcPr>
            <w:tcW w:w="850" w:type="dxa"/>
            <w:tcBorders>
              <w:top w:val="nil"/>
              <w:left w:val="nil"/>
              <w:bottom w:val="single" w:sz="4" w:space="0" w:color="auto"/>
              <w:right w:val="single" w:sz="4" w:space="0" w:color="auto"/>
            </w:tcBorders>
            <w:shd w:val="clear" w:color="000000" w:fill="FFFFFF"/>
            <w:noWrap/>
            <w:vAlign w:val="bottom"/>
            <w:hideMark/>
          </w:tcPr>
          <w:p w14:paraId="068F127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630</w:t>
            </w:r>
          </w:p>
        </w:tc>
        <w:tc>
          <w:tcPr>
            <w:tcW w:w="1276" w:type="dxa"/>
            <w:tcBorders>
              <w:top w:val="nil"/>
              <w:left w:val="nil"/>
              <w:bottom w:val="single" w:sz="4" w:space="0" w:color="auto"/>
              <w:right w:val="single" w:sz="4" w:space="0" w:color="auto"/>
            </w:tcBorders>
            <w:shd w:val="clear" w:color="auto" w:fill="auto"/>
            <w:noWrap/>
            <w:vAlign w:val="bottom"/>
            <w:hideMark/>
          </w:tcPr>
          <w:p w14:paraId="39C45C7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15 187 640</w:t>
            </w:r>
          </w:p>
        </w:tc>
      </w:tr>
      <w:tr w:rsidR="005902C7" w:rsidRPr="005902C7" w14:paraId="2CADBF56" w14:textId="77777777" w:rsidTr="003A0BFD">
        <w:trPr>
          <w:trHeight w:val="139"/>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4F48E266"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Atlīdzība par darbspēju zaudējumu</w:t>
            </w:r>
          </w:p>
        </w:tc>
        <w:tc>
          <w:tcPr>
            <w:tcW w:w="1134" w:type="dxa"/>
            <w:tcBorders>
              <w:top w:val="nil"/>
              <w:left w:val="nil"/>
              <w:bottom w:val="single" w:sz="4" w:space="0" w:color="auto"/>
              <w:right w:val="single" w:sz="4" w:space="0" w:color="auto"/>
            </w:tcBorders>
            <w:shd w:val="clear" w:color="auto" w:fill="auto"/>
            <w:noWrap/>
            <w:vAlign w:val="bottom"/>
            <w:hideMark/>
          </w:tcPr>
          <w:p w14:paraId="3A2248A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404,30</w:t>
            </w:r>
          </w:p>
        </w:tc>
        <w:tc>
          <w:tcPr>
            <w:tcW w:w="992" w:type="dxa"/>
            <w:tcBorders>
              <w:top w:val="nil"/>
              <w:left w:val="nil"/>
              <w:bottom w:val="single" w:sz="4" w:space="0" w:color="auto"/>
              <w:right w:val="single" w:sz="4" w:space="0" w:color="auto"/>
            </w:tcBorders>
            <w:shd w:val="clear" w:color="000000" w:fill="FFFFFF"/>
            <w:noWrap/>
            <w:vAlign w:val="bottom"/>
            <w:hideMark/>
          </w:tcPr>
          <w:p w14:paraId="504A3A8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12 565</w:t>
            </w:r>
          </w:p>
        </w:tc>
        <w:tc>
          <w:tcPr>
            <w:tcW w:w="1276" w:type="dxa"/>
            <w:tcBorders>
              <w:top w:val="nil"/>
              <w:left w:val="nil"/>
              <w:bottom w:val="single" w:sz="4" w:space="0" w:color="auto"/>
              <w:right w:val="single" w:sz="4" w:space="0" w:color="auto"/>
            </w:tcBorders>
            <w:shd w:val="clear" w:color="auto" w:fill="auto"/>
            <w:noWrap/>
            <w:vAlign w:val="bottom"/>
            <w:hideMark/>
          </w:tcPr>
          <w:p w14:paraId="4AB55E8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60 961 020</w:t>
            </w:r>
          </w:p>
        </w:tc>
        <w:tc>
          <w:tcPr>
            <w:tcW w:w="1134" w:type="dxa"/>
            <w:tcBorders>
              <w:top w:val="nil"/>
              <w:left w:val="nil"/>
              <w:bottom w:val="single" w:sz="4" w:space="0" w:color="auto"/>
              <w:right w:val="single" w:sz="4" w:space="0" w:color="auto"/>
            </w:tcBorders>
            <w:shd w:val="clear" w:color="auto" w:fill="auto"/>
            <w:noWrap/>
            <w:vAlign w:val="bottom"/>
            <w:hideMark/>
          </w:tcPr>
          <w:p w14:paraId="2AF783E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429,52</w:t>
            </w:r>
          </w:p>
        </w:tc>
        <w:tc>
          <w:tcPr>
            <w:tcW w:w="992" w:type="dxa"/>
            <w:tcBorders>
              <w:top w:val="nil"/>
              <w:left w:val="nil"/>
              <w:bottom w:val="single" w:sz="4" w:space="0" w:color="auto"/>
              <w:right w:val="single" w:sz="4" w:space="0" w:color="auto"/>
            </w:tcBorders>
            <w:shd w:val="clear" w:color="000000" w:fill="FFFFFF"/>
            <w:noWrap/>
            <w:vAlign w:val="bottom"/>
            <w:hideMark/>
          </w:tcPr>
          <w:p w14:paraId="748C3D9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13 380</w:t>
            </w:r>
          </w:p>
        </w:tc>
        <w:tc>
          <w:tcPr>
            <w:tcW w:w="1276" w:type="dxa"/>
            <w:tcBorders>
              <w:top w:val="nil"/>
              <w:left w:val="nil"/>
              <w:bottom w:val="single" w:sz="4" w:space="0" w:color="auto"/>
              <w:right w:val="single" w:sz="4" w:space="0" w:color="auto"/>
            </w:tcBorders>
            <w:shd w:val="clear" w:color="auto" w:fill="auto"/>
            <w:noWrap/>
            <w:vAlign w:val="bottom"/>
            <w:hideMark/>
          </w:tcPr>
          <w:p w14:paraId="4323895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68 963 550</w:t>
            </w:r>
          </w:p>
        </w:tc>
        <w:tc>
          <w:tcPr>
            <w:tcW w:w="851" w:type="dxa"/>
            <w:tcBorders>
              <w:top w:val="nil"/>
              <w:left w:val="nil"/>
              <w:bottom w:val="single" w:sz="4" w:space="0" w:color="auto"/>
              <w:right w:val="single" w:sz="4" w:space="0" w:color="auto"/>
            </w:tcBorders>
            <w:shd w:val="clear" w:color="auto" w:fill="auto"/>
            <w:noWrap/>
            <w:vAlign w:val="bottom"/>
            <w:hideMark/>
          </w:tcPr>
          <w:p w14:paraId="4557E2E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455,48</w:t>
            </w:r>
          </w:p>
        </w:tc>
        <w:tc>
          <w:tcPr>
            <w:tcW w:w="850" w:type="dxa"/>
            <w:tcBorders>
              <w:top w:val="nil"/>
              <w:left w:val="nil"/>
              <w:bottom w:val="single" w:sz="4" w:space="0" w:color="auto"/>
              <w:right w:val="single" w:sz="4" w:space="0" w:color="auto"/>
            </w:tcBorders>
            <w:shd w:val="clear" w:color="000000" w:fill="FFFFFF"/>
            <w:noWrap/>
            <w:vAlign w:val="bottom"/>
            <w:hideMark/>
          </w:tcPr>
          <w:p w14:paraId="57A9C3F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14 184</w:t>
            </w:r>
          </w:p>
        </w:tc>
        <w:tc>
          <w:tcPr>
            <w:tcW w:w="1276" w:type="dxa"/>
            <w:tcBorders>
              <w:top w:val="nil"/>
              <w:left w:val="nil"/>
              <w:bottom w:val="single" w:sz="4" w:space="0" w:color="auto"/>
              <w:right w:val="single" w:sz="4" w:space="0" w:color="auto"/>
            </w:tcBorders>
            <w:shd w:val="clear" w:color="auto" w:fill="auto"/>
            <w:noWrap/>
            <w:vAlign w:val="bottom"/>
            <w:hideMark/>
          </w:tcPr>
          <w:p w14:paraId="26D0A09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77 526 799</w:t>
            </w:r>
          </w:p>
        </w:tc>
      </w:tr>
      <w:tr w:rsidR="005902C7" w:rsidRPr="005902C7" w14:paraId="24C71C21" w14:textId="77777777" w:rsidTr="003A0BFD">
        <w:trPr>
          <w:trHeight w:val="143"/>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20921119"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Atlīdzība par apgādnieka zaudējumu</w:t>
            </w:r>
          </w:p>
        </w:tc>
        <w:tc>
          <w:tcPr>
            <w:tcW w:w="1134" w:type="dxa"/>
            <w:tcBorders>
              <w:top w:val="nil"/>
              <w:left w:val="nil"/>
              <w:bottom w:val="single" w:sz="4" w:space="0" w:color="auto"/>
              <w:right w:val="single" w:sz="4" w:space="0" w:color="auto"/>
            </w:tcBorders>
            <w:shd w:val="clear" w:color="auto" w:fill="auto"/>
            <w:noWrap/>
            <w:vAlign w:val="bottom"/>
            <w:hideMark/>
          </w:tcPr>
          <w:p w14:paraId="1EA6B12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393,67</w:t>
            </w:r>
          </w:p>
        </w:tc>
        <w:tc>
          <w:tcPr>
            <w:tcW w:w="992" w:type="dxa"/>
            <w:tcBorders>
              <w:top w:val="nil"/>
              <w:left w:val="nil"/>
              <w:bottom w:val="single" w:sz="4" w:space="0" w:color="auto"/>
              <w:right w:val="single" w:sz="4" w:space="0" w:color="auto"/>
            </w:tcBorders>
            <w:shd w:val="clear" w:color="000000" w:fill="FFFFFF"/>
            <w:noWrap/>
            <w:vAlign w:val="bottom"/>
            <w:hideMark/>
          </w:tcPr>
          <w:p w14:paraId="7BE7843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57</w:t>
            </w:r>
          </w:p>
        </w:tc>
        <w:tc>
          <w:tcPr>
            <w:tcW w:w="1276" w:type="dxa"/>
            <w:tcBorders>
              <w:top w:val="nil"/>
              <w:left w:val="nil"/>
              <w:bottom w:val="single" w:sz="4" w:space="0" w:color="auto"/>
              <w:right w:val="single" w:sz="4" w:space="0" w:color="auto"/>
            </w:tcBorders>
            <w:shd w:val="clear" w:color="auto" w:fill="auto"/>
            <w:noWrap/>
            <w:vAlign w:val="bottom"/>
            <w:hideMark/>
          </w:tcPr>
          <w:p w14:paraId="7BC89B7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269 269</w:t>
            </w:r>
          </w:p>
        </w:tc>
        <w:tc>
          <w:tcPr>
            <w:tcW w:w="1134" w:type="dxa"/>
            <w:tcBorders>
              <w:top w:val="nil"/>
              <w:left w:val="nil"/>
              <w:bottom w:val="single" w:sz="4" w:space="0" w:color="auto"/>
              <w:right w:val="single" w:sz="4" w:space="0" w:color="auto"/>
            </w:tcBorders>
            <w:shd w:val="clear" w:color="auto" w:fill="auto"/>
            <w:noWrap/>
            <w:vAlign w:val="bottom"/>
            <w:hideMark/>
          </w:tcPr>
          <w:p w14:paraId="5A00B10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418,17</w:t>
            </w:r>
          </w:p>
        </w:tc>
        <w:tc>
          <w:tcPr>
            <w:tcW w:w="992" w:type="dxa"/>
            <w:tcBorders>
              <w:top w:val="nil"/>
              <w:left w:val="nil"/>
              <w:bottom w:val="single" w:sz="4" w:space="0" w:color="auto"/>
              <w:right w:val="single" w:sz="4" w:space="0" w:color="auto"/>
            </w:tcBorders>
            <w:shd w:val="clear" w:color="000000" w:fill="FFFFFF"/>
            <w:noWrap/>
            <w:vAlign w:val="bottom"/>
            <w:hideMark/>
          </w:tcPr>
          <w:p w14:paraId="6794CF3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59</w:t>
            </w:r>
          </w:p>
        </w:tc>
        <w:tc>
          <w:tcPr>
            <w:tcW w:w="1276" w:type="dxa"/>
            <w:tcBorders>
              <w:top w:val="nil"/>
              <w:left w:val="nil"/>
              <w:bottom w:val="single" w:sz="4" w:space="0" w:color="auto"/>
              <w:right w:val="single" w:sz="4" w:space="0" w:color="auto"/>
            </w:tcBorders>
            <w:shd w:val="clear" w:color="auto" w:fill="auto"/>
            <w:noWrap/>
            <w:vAlign w:val="bottom"/>
            <w:hideMark/>
          </w:tcPr>
          <w:p w14:paraId="52DEFB4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296 064</w:t>
            </w:r>
          </w:p>
        </w:tc>
        <w:tc>
          <w:tcPr>
            <w:tcW w:w="851" w:type="dxa"/>
            <w:tcBorders>
              <w:top w:val="nil"/>
              <w:left w:val="nil"/>
              <w:bottom w:val="single" w:sz="4" w:space="0" w:color="auto"/>
              <w:right w:val="single" w:sz="4" w:space="0" w:color="auto"/>
            </w:tcBorders>
            <w:shd w:val="clear" w:color="auto" w:fill="auto"/>
            <w:noWrap/>
            <w:vAlign w:val="bottom"/>
            <w:hideMark/>
          </w:tcPr>
          <w:p w14:paraId="4F5A9B6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443,67</w:t>
            </w:r>
          </w:p>
        </w:tc>
        <w:tc>
          <w:tcPr>
            <w:tcW w:w="850" w:type="dxa"/>
            <w:tcBorders>
              <w:top w:val="nil"/>
              <w:left w:val="nil"/>
              <w:bottom w:val="single" w:sz="4" w:space="0" w:color="auto"/>
              <w:right w:val="single" w:sz="4" w:space="0" w:color="auto"/>
            </w:tcBorders>
            <w:shd w:val="clear" w:color="000000" w:fill="FFFFFF"/>
            <w:noWrap/>
            <w:vAlign w:val="bottom"/>
            <w:hideMark/>
          </w:tcPr>
          <w:p w14:paraId="6208724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61</w:t>
            </w:r>
          </w:p>
        </w:tc>
        <w:tc>
          <w:tcPr>
            <w:tcW w:w="1276" w:type="dxa"/>
            <w:tcBorders>
              <w:top w:val="nil"/>
              <w:left w:val="nil"/>
              <w:bottom w:val="single" w:sz="4" w:space="0" w:color="auto"/>
              <w:right w:val="single" w:sz="4" w:space="0" w:color="auto"/>
            </w:tcBorders>
            <w:shd w:val="clear" w:color="auto" w:fill="auto"/>
            <w:noWrap/>
            <w:vAlign w:val="bottom"/>
            <w:hideMark/>
          </w:tcPr>
          <w:p w14:paraId="79148F3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324 766</w:t>
            </w:r>
          </w:p>
        </w:tc>
      </w:tr>
      <w:tr w:rsidR="005902C7" w:rsidRPr="005902C7" w14:paraId="71B8AC00" w14:textId="77777777" w:rsidTr="003A0BFD">
        <w:trPr>
          <w:trHeight w:val="117"/>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058EEE3E"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Apbedīšanas pabalsts</w:t>
            </w:r>
          </w:p>
        </w:tc>
        <w:tc>
          <w:tcPr>
            <w:tcW w:w="1134" w:type="dxa"/>
            <w:tcBorders>
              <w:top w:val="nil"/>
              <w:left w:val="nil"/>
              <w:bottom w:val="single" w:sz="4" w:space="0" w:color="auto"/>
              <w:right w:val="single" w:sz="4" w:space="0" w:color="auto"/>
            </w:tcBorders>
            <w:shd w:val="clear" w:color="auto" w:fill="auto"/>
            <w:noWrap/>
            <w:vAlign w:val="bottom"/>
            <w:hideMark/>
          </w:tcPr>
          <w:p w14:paraId="5756623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1 495,31</w:t>
            </w:r>
          </w:p>
        </w:tc>
        <w:tc>
          <w:tcPr>
            <w:tcW w:w="992" w:type="dxa"/>
            <w:tcBorders>
              <w:top w:val="nil"/>
              <w:left w:val="nil"/>
              <w:bottom w:val="single" w:sz="4" w:space="0" w:color="auto"/>
              <w:right w:val="single" w:sz="4" w:space="0" w:color="auto"/>
            </w:tcBorders>
            <w:shd w:val="clear" w:color="000000" w:fill="FFFFFF"/>
            <w:noWrap/>
            <w:vAlign w:val="bottom"/>
            <w:hideMark/>
          </w:tcPr>
          <w:p w14:paraId="2803B45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w:t>
            </w:r>
          </w:p>
        </w:tc>
        <w:tc>
          <w:tcPr>
            <w:tcW w:w="1276" w:type="dxa"/>
            <w:tcBorders>
              <w:top w:val="nil"/>
              <w:left w:val="nil"/>
              <w:bottom w:val="single" w:sz="4" w:space="0" w:color="auto"/>
              <w:right w:val="single" w:sz="4" w:space="0" w:color="auto"/>
            </w:tcBorders>
            <w:shd w:val="clear" w:color="auto" w:fill="auto"/>
            <w:noWrap/>
            <w:vAlign w:val="bottom"/>
            <w:hideMark/>
          </w:tcPr>
          <w:p w14:paraId="312998C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89 719</w:t>
            </w:r>
          </w:p>
        </w:tc>
        <w:tc>
          <w:tcPr>
            <w:tcW w:w="1134" w:type="dxa"/>
            <w:tcBorders>
              <w:top w:val="nil"/>
              <w:left w:val="nil"/>
              <w:bottom w:val="single" w:sz="4" w:space="0" w:color="auto"/>
              <w:right w:val="single" w:sz="4" w:space="0" w:color="auto"/>
            </w:tcBorders>
            <w:shd w:val="clear" w:color="auto" w:fill="auto"/>
            <w:noWrap/>
            <w:vAlign w:val="bottom"/>
            <w:hideMark/>
          </w:tcPr>
          <w:p w14:paraId="23D73F8C"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1 654,38</w:t>
            </w:r>
          </w:p>
        </w:tc>
        <w:tc>
          <w:tcPr>
            <w:tcW w:w="992" w:type="dxa"/>
            <w:tcBorders>
              <w:top w:val="nil"/>
              <w:left w:val="nil"/>
              <w:bottom w:val="single" w:sz="4" w:space="0" w:color="auto"/>
              <w:right w:val="single" w:sz="4" w:space="0" w:color="auto"/>
            </w:tcBorders>
            <w:shd w:val="clear" w:color="000000" w:fill="FFFFFF"/>
            <w:noWrap/>
            <w:vAlign w:val="bottom"/>
            <w:hideMark/>
          </w:tcPr>
          <w:p w14:paraId="13ADA04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w:t>
            </w:r>
          </w:p>
        </w:tc>
        <w:tc>
          <w:tcPr>
            <w:tcW w:w="1276" w:type="dxa"/>
            <w:tcBorders>
              <w:top w:val="nil"/>
              <w:left w:val="nil"/>
              <w:bottom w:val="single" w:sz="4" w:space="0" w:color="auto"/>
              <w:right w:val="single" w:sz="4" w:space="0" w:color="auto"/>
            </w:tcBorders>
            <w:shd w:val="clear" w:color="auto" w:fill="auto"/>
            <w:noWrap/>
            <w:vAlign w:val="bottom"/>
            <w:hideMark/>
          </w:tcPr>
          <w:p w14:paraId="06E9682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99 263</w:t>
            </w:r>
          </w:p>
        </w:tc>
        <w:tc>
          <w:tcPr>
            <w:tcW w:w="851" w:type="dxa"/>
            <w:tcBorders>
              <w:top w:val="nil"/>
              <w:left w:val="nil"/>
              <w:bottom w:val="single" w:sz="4" w:space="0" w:color="auto"/>
              <w:right w:val="single" w:sz="4" w:space="0" w:color="auto"/>
            </w:tcBorders>
            <w:shd w:val="clear" w:color="auto" w:fill="auto"/>
            <w:noWrap/>
            <w:vAlign w:val="bottom"/>
            <w:hideMark/>
          </w:tcPr>
          <w:p w14:paraId="434E77A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1 830,23</w:t>
            </w:r>
          </w:p>
        </w:tc>
        <w:tc>
          <w:tcPr>
            <w:tcW w:w="850" w:type="dxa"/>
            <w:tcBorders>
              <w:top w:val="nil"/>
              <w:left w:val="nil"/>
              <w:bottom w:val="single" w:sz="4" w:space="0" w:color="auto"/>
              <w:right w:val="single" w:sz="4" w:space="0" w:color="auto"/>
            </w:tcBorders>
            <w:shd w:val="clear" w:color="000000" w:fill="FFFFFF"/>
            <w:noWrap/>
            <w:vAlign w:val="bottom"/>
            <w:hideMark/>
          </w:tcPr>
          <w:p w14:paraId="34509AA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w:t>
            </w:r>
          </w:p>
        </w:tc>
        <w:tc>
          <w:tcPr>
            <w:tcW w:w="1276" w:type="dxa"/>
            <w:tcBorders>
              <w:top w:val="nil"/>
              <w:left w:val="nil"/>
              <w:bottom w:val="single" w:sz="4" w:space="0" w:color="auto"/>
              <w:right w:val="single" w:sz="4" w:space="0" w:color="auto"/>
            </w:tcBorders>
            <w:shd w:val="clear" w:color="auto" w:fill="auto"/>
            <w:noWrap/>
            <w:vAlign w:val="bottom"/>
            <w:hideMark/>
          </w:tcPr>
          <w:p w14:paraId="1348FA5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109 814</w:t>
            </w:r>
          </w:p>
        </w:tc>
      </w:tr>
      <w:tr w:rsidR="005902C7" w:rsidRPr="005902C7" w14:paraId="0024B43A" w14:textId="77777777" w:rsidTr="003A0BFD">
        <w:trPr>
          <w:trHeight w:val="191"/>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54AB7861"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Pārējie pabalsti</w:t>
            </w:r>
          </w:p>
        </w:tc>
        <w:tc>
          <w:tcPr>
            <w:tcW w:w="1134" w:type="dxa"/>
            <w:tcBorders>
              <w:top w:val="nil"/>
              <w:left w:val="nil"/>
              <w:bottom w:val="single" w:sz="4" w:space="0" w:color="auto"/>
              <w:right w:val="single" w:sz="4" w:space="0" w:color="auto"/>
            </w:tcBorders>
            <w:shd w:val="clear" w:color="auto" w:fill="auto"/>
            <w:noWrap/>
            <w:vAlign w:val="bottom"/>
            <w:hideMark/>
          </w:tcPr>
          <w:p w14:paraId="51360F2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290,90</w:t>
            </w:r>
          </w:p>
        </w:tc>
        <w:tc>
          <w:tcPr>
            <w:tcW w:w="992" w:type="dxa"/>
            <w:tcBorders>
              <w:top w:val="nil"/>
              <w:left w:val="nil"/>
              <w:bottom w:val="single" w:sz="4" w:space="0" w:color="auto"/>
              <w:right w:val="single" w:sz="4" w:space="0" w:color="auto"/>
            </w:tcBorders>
            <w:shd w:val="clear" w:color="000000" w:fill="FFFFFF"/>
            <w:noWrap/>
            <w:vAlign w:val="bottom"/>
            <w:hideMark/>
          </w:tcPr>
          <w:p w14:paraId="21F05D4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553</w:t>
            </w:r>
          </w:p>
        </w:tc>
        <w:tc>
          <w:tcPr>
            <w:tcW w:w="1276" w:type="dxa"/>
            <w:tcBorders>
              <w:top w:val="nil"/>
              <w:left w:val="nil"/>
              <w:bottom w:val="single" w:sz="4" w:space="0" w:color="auto"/>
              <w:right w:val="single" w:sz="4" w:space="0" w:color="auto"/>
            </w:tcBorders>
            <w:shd w:val="clear" w:color="auto" w:fill="auto"/>
            <w:noWrap/>
            <w:vAlign w:val="bottom"/>
            <w:hideMark/>
          </w:tcPr>
          <w:p w14:paraId="1D374E4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1 930 440</w:t>
            </w:r>
          </w:p>
        </w:tc>
        <w:tc>
          <w:tcPr>
            <w:tcW w:w="1134" w:type="dxa"/>
            <w:tcBorders>
              <w:top w:val="nil"/>
              <w:left w:val="nil"/>
              <w:bottom w:val="single" w:sz="4" w:space="0" w:color="auto"/>
              <w:right w:val="single" w:sz="4" w:space="0" w:color="auto"/>
            </w:tcBorders>
            <w:shd w:val="clear" w:color="auto" w:fill="auto"/>
            <w:noWrap/>
            <w:vAlign w:val="bottom"/>
            <w:hideMark/>
          </w:tcPr>
          <w:p w14:paraId="6DC2B95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307,96</w:t>
            </w:r>
          </w:p>
        </w:tc>
        <w:tc>
          <w:tcPr>
            <w:tcW w:w="992" w:type="dxa"/>
            <w:tcBorders>
              <w:top w:val="nil"/>
              <w:left w:val="nil"/>
              <w:bottom w:val="single" w:sz="4" w:space="0" w:color="auto"/>
              <w:right w:val="single" w:sz="4" w:space="0" w:color="auto"/>
            </w:tcBorders>
            <w:shd w:val="clear" w:color="000000" w:fill="FFFFFF"/>
            <w:noWrap/>
            <w:vAlign w:val="bottom"/>
            <w:hideMark/>
          </w:tcPr>
          <w:p w14:paraId="624CCCE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570</w:t>
            </w:r>
          </w:p>
        </w:tc>
        <w:tc>
          <w:tcPr>
            <w:tcW w:w="1276" w:type="dxa"/>
            <w:tcBorders>
              <w:top w:val="nil"/>
              <w:left w:val="nil"/>
              <w:bottom w:val="single" w:sz="4" w:space="0" w:color="auto"/>
              <w:right w:val="single" w:sz="4" w:space="0" w:color="auto"/>
            </w:tcBorders>
            <w:shd w:val="clear" w:color="auto" w:fill="auto"/>
            <w:noWrap/>
            <w:vAlign w:val="bottom"/>
            <w:hideMark/>
          </w:tcPr>
          <w:p w14:paraId="375E218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2 106 465</w:t>
            </w:r>
          </w:p>
        </w:tc>
        <w:tc>
          <w:tcPr>
            <w:tcW w:w="851" w:type="dxa"/>
            <w:tcBorders>
              <w:top w:val="nil"/>
              <w:left w:val="nil"/>
              <w:bottom w:val="single" w:sz="4" w:space="0" w:color="auto"/>
              <w:right w:val="single" w:sz="4" w:space="0" w:color="auto"/>
            </w:tcBorders>
            <w:shd w:val="clear" w:color="auto" w:fill="auto"/>
            <w:noWrap/>
            <w:vAlign w:val="bottom"/>
            <w:hideMark/>
          </w:tcPr>
          <w:p w14:paraId="3138D67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326,26</w:t>
            </w:r>
          </w:p>
        </w:tc>
        <w:tc>
          <w:tcPr>
            <w:tcW w:w="850" w:type="dxa"/>
            <w:tcBorders>
              <w:top w:val="nil"/>
              <w:left w:val="nil"/>
              <w:bottom w:val="single" w:sz="4" w:space="0" w:color="auto"/>
              <w:right w:val="single" w:sz="4" w:space="0" w:color="auto"/>
            </w:tcBorders>
            <w:shd w:val="clear" w:color="000000" w:fill="FFFFFF"/>
            <w:noWrap/>
            <w:vAlign w:val="bottom"/>
            <w:hideMark/>
          </w:tcPr>
          <w:p w14:paraId="6C88635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587</w:t>
            </w:r>
          </w:p>
        </w:tc>
        <w:tc>
          <w:tcPr>
            <w:tcW w:w="1276" w:type="dxa"/>
            <w:tcBorders>
              <w:top w:val="nil"/>
              <w:left w:val="nil"/>
              <w:bottom w:val="single" w:sz="4" w:space="0" w:color="auto"/>
              <w:right w:val="single" w:sz="4" w:space="0" w:color="auto"/>
            </w:tcBorders>
            <w:shd w:val="clear" w:color="auto" w:fill="auto"/>
            <w:noWrap/>
            <w:vAlign w:val="bottom"/>
            <w:hideMark/>
          </w:tcPr>
          <w:p w14:paraId="47576E0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2 298 153</w:t>
            </w:r>
          </w:p>
        </w:tc>
      </w:tr>
      <w:tr w:rsidR="005902C7" w:rsidRPr="005902C7" w14:paraId="0FACFB14" w14:textId="77777777" w:rsidTr="003A0BFD">
        <w:trPr>
          <w:trHeight w:val="110"/>
        </w:trPr>
        <w:tc>
          <w:tcPr>
            <w:tcW w:w="4111" w:type="dxa"/>
            <w:tcBorders>
              <w:top w:val="nil"/>
              <w:left w:val="single" w:sz="4" w:space="0" w:color="auto"/>
              <w:bottom w:val="single" w:sz="4" w:space="0" w:color="auto"/>
              <w:right w:val="single" w:sz="4" w:space="0" w:color="auto"/>
            </w:tcBorders>
            <w:shd w:val="clear" w:color="auto" w:fill="auto"/>
            <w:hideMark/>
          </w:tcPr>
          <w:p w14:paraId="1B22B298" w14:textId="77777777" w:rsidR="005902C7" w:rsidRPr="00D84B9C" w:rsidRDefault="005902C7" w:rsidP="005902C7">
            <w:pPr>
              <w:spacing w:after="0"/>
              <w:ind w:firstLine="0"/>
              <w:jc w:val="left"/>
              <w:rPr>
                <w:rFonts w:eastAsia="Times New Roman" w:cs="Times New Roman"/>
                <w:sz w:val="18"/>
                <w:szCs w:val="18"/>
              </w:rPr>
            </w:pPr>
            <w:r w:rsidRPr="00D84B9C">
              <w:rPr>
                <w:rFonts w:eastAsia="Times New Roman" w:cs="Times New Roman"/>
                <w:sz w:val="18"/>
                <w:szCs w:val="18"/>
              </w:rPr>
              <w:t>Valsts budžeta maksājumi - kopā</w:t>
            </w:r>
          </w:p>
        </w:tc>
        <w:tc>
          <w:tcPr>
            <w:tcW w:w="1134" w:type="dxa"/>
            <w:tcBorders>
              <w:top w:val="nil"/>
              <w:left w:val="nil"/>
              <w:bottom w:val="single" w:sz="4" w:space="0" w:color="auto"/>
              <w:right w:val="single" w:sz="4" w:space="0" w:color="auto"/>
            </w:tcBorders>
            <w:shd w:val="clear" w:color="auto" w:fill="auto"/>
            <w:noWrap/>
            <w:vAlign w:val="center"/>
            <w:hideMark/>
          </w:tcPr>
          <w:p w14:paraId="1D2A3A6D"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auto" w:fill="auto"/>
            <w:noWrap/>
            <w:vAlign w:val="bottom"/>
            <w:hideMark/>
          </w:tcPr>
          <w:p w14:paraId="78103B37"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21BCA21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9 896</w:t>
            </w:r>
          </w:p>
        </w:tc>
        <w:tc>
          <w:tcPr>
            <w:tcW w:w="1134" w:type="dxa"/>
            <w:tcBorders>
              <w:top w:val="nil"/>
              <w:left w:val="nil"/>
              <w:bottom w:val="single" w:sz="4" w:space="0" w:color="auto"/>
              <w:right w:val="single" w:sz="4" w:space="0" w:color="auto"/>
            </w:tcBorders>
            <w:shd w:val="clear" w:color="auto" w:fill="auto"/>
            <w:noWrap/>
            <w:vAlign w:val="center"/>
            <w:hideMark/>
          </w:tcPr>
          <w:p w14:paraId="5CA348F6"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auto" w:fill="auto"/>
            <w:noWrap/>
            <w:vAlign w:val="bottom"/>
            <w:hideMark/>
          </w:tcPr>
          <w:p w14:paraId="7F32E1D3"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5E0E616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10 503</w:t>
            </w:r>
          </w:p>
        </w:tc>
        <w:tc>
          <w:tcPr>
            <w:tcW w:w="851" w:type="dxa"/>
            <w:tcBorders>
              <w:top w:val="nil"/>
              <w:left w:val="nil"/>
              <w:bottom w:val="single" w:sz="4" w:space="0" w:color="auto"/>
              <w:right w:val="single" w:sz="4" w:space="0" w:color="auto"/>
            </w:tcBorders>
            <w:shd w:val="clear" w:color="auto" w:fill="auto"/>
            <w:noWrap/>
            <w:vAlign w:val="center"/>
            <w:hideMark/>
          </w:tcPr>
          <w:p w14:paraId="68BB68BC"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850" w:type="dxa"/>
            <w:tcBorders>
              <w:top w:val="nil"/>
              <w:left w:val="nil"/>
              <w:bottom w:val="single" w:sz="4" w:space="0" w:color="auto"/>
              <w:right w:val="single" w:sz="4" w:space="0" w:color="auto"/>
            </w:tcBorders>
            <w:shd w:val="clear" w:color="auto" w:fill="auto"/>
            <w:noWrap/>
            <w:vAlign w:val="bottom"/>
            <w:hideMark/>
          </w:tcPr>
          <w:p w14:paraId="78ADD69A"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400EB7C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11 414</w:t>
            </w:r>
          </w:p>
        </w:tc>
      </w:tr>
      <w:tr w:rsidR="005902C7" w:rsidRPr="005902C7" w14:paraId="4AF60688" w14:textId="77777777" w:rsidTr="003A0BFD">
        <w:trPr>
          <w:trHeight w:val="7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7A28E110" w14:textId="77777777" w:rsidR="005902C7" w:rsidRPr="00D84B9C" w:rsidRDefault="005902C7" w:rsidP="005902C7">
            <w:pPr>
              <w:spacing w:after="0"/>
              <w:ind w:firstLineChars="100" w:firstLine="180"/>
              <w:jc w:val="left"/>
              <w:rPr>
                <w:rFonts w:eastAsia="Times New Roman" w:cs="Times New Roman"/>
                <w:i/>
                <w:iCs/>
                <w:sz w:val="18"/>
                <w:szCs w:val="18"/>
              </w:rPr>
            </w:pPr>
            <w:r w:rsidRPr="00D84B9C">
              <w:rPr>
                <w:rFonts w:eastAsia="Times New Roman" w:cs="Times New Roman"/>
                <w:i/>
                <w:iCs/>
                <w:sz w:val="18"/>
                <w:szCs w:val="18"/>
              </w:rPr>
              <w:t>tajā skaitā:</w:t>
            </w:r>
          </w:p>
        </w:tc>
        <w:tc>
          <w:tcPr>
            <w:tcW w:w="1134" w:type="dxa"/>
            <w:tcBorders>
              <w:top w:val="nil"/>
              <w:left w:val="nil"/>
              <w:bottom w:val="single" w:sz="4" w:space="0" w:color="auto"/>
              <w:right w:val="single" w:sz="4" w:space="0" w:color="auto"/>
            </w:tcBorders>
            <w:shd w:val="clear" w:color="auto" w:fill="auto"/>
            <w:noWrap/>
            <w:vAlign w:val="bottom"/>
            <w:hideMark/>
          </w:tcPr>
          <w:p w14:paraId="0D4F28D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30DF581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344225C"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14:paraId="67E6E46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1FD46FF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3D7A0C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723FFAE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1B88B55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6A1097E"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r>
      <w:tr w:rsidR="005902C7" w:rsidRPr="005902C7" w14:paraId="22FADC04" w14:textId="77777777" w:rsidTr="003A0BFD">
        <w:trPr>
          <w:trHeight w:val="255"/>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5B656E7D" w14:textId="77777777" w:rsidR="005902C7" w:rsidRPr="00D84B9C" w:rsidRDefault="005902C7" w:rsidP="00D84B9C">
            <w:pPr>
              <w:spacing w:after="0"/>
              <w:ind w:left="37" w:firstLine="0"/>
              <w:jc w:val="left"/>
              <w:rPr>
                <w:rFonts w:eastAsia="Times New Roman" w:cs="Times New Roman"/>
                <w:sz w:val="18"/>
                <w:szCs w:val="18"/>
              </w:rPr>
            </w:pPr>
            <w:r w:rsidRPr="00D84B9C">
              <w:rPr>
                <w:rFonts w:eastAsia="Times New Roman" w:cs="Times New Roman"/>
                <w:sz w:val="18"/>
                <w:szCs w:val="18"/>
              </w:rPr>
              <w:t xml:space="preserve">    Pārmaksāto sociālās apdrošināšanas iemaksu atmaksa</w:t>
            </w:r>
          </w:p>
        </w:tc>
        <w:tc>
          <w:tcPr>
            <w:tcW w:w="1134" w:type="dxa"/>
            <w:tcBorders>
              <w:top w:val="nil"/>
              <w:left w:val="nil"/>
              <w:bottom w:val="single" w:sz="4" w:space="0" w:color="auto"/>
              <w:right w:val="single" w:sz="4" w:space="0" w:color="auto"/>
            </w:tcBorders>
            <w:shd w:val="clear" w:color="auto" w:fill="auto"/>
            <w:noWrap/>
            <w:vAlign w:val="bottom"/>
            <w:hideMark/>
          </w:tcPr>
          <w:p w14:paraId="5D4C9E8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5F69A6A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32C700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7 896</w:t>
            </w:r>
          </w:p>
        </w:tc>
        <w:tc>
          <w:tcPr>
            <w:tcW w:w="1134" w:type="dxa"/>
            <w:tcBorders>
              <w:top w:val="nil"/>
              <w:left w:val="nil"/>
              <w:bottom w:val="single" w:sz="4" w:space="0" w:color="auto"/>
              <w:right w:val="single" w:sz="4" w:space="0" w:color="auto"/>
            </w:tcBorders>
            <w:shd w:val="clear" w:color="auto" w:fill="auto"/>
            <w:noWrap/>
            <w:vAlign w:val="bottom"/>
            <w:hideMark/>
          </w:tcPr>
          <w:p w14:paraId="0AD277F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4750F3D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7A7EA1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8 503</w:t>
            </w:r>
          </w:p>
        </w:tc>
        <w:tc>
          <w:tcPr>
            <w:tcW w:w="851" w:type="dxa"/>
            <w:tcBorders>
              <w:top w:val="nil"/>
              <w:left w:val="nil"/>
              <w:bottom w:val="single" w:sz="4" w:space="0" w:color="auto"/>
              <w:right w:val="single" w:sz="4" w:space="0" w:color="auto"/>
            </w:tcBorders>
            <w:shd w:val="clear" w:color="auto" w:fill="auto"/>
            <w:noWrap/>
            <w:vAlign w:val="bottom"/>
            <w:hideMark/>
          </w:tcPr>
          <w:p w14:paraId="4FCBF31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5E39431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55CFE11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9 414</w:t>
            </w:r>
          </w:p>
        </w:tc>
      </w:tr>
      <w:tr w:rsidR="005902C7" w:rsidRPr="005902C7" w14:paraId="20D56A97" w14:textId="77777777" w:rsidTr="003A0BFD">
        <w:trPr>
          <w:trHeight w:val="261"/>
        </w:trPr>
        <w:tc>
          <w:tcPr>
            <w:tcW w:w="4111" w:type="dxa"/>
            <w:tcBorders>
              <w:top w:val="nil"/>
              <w:left w:val="single" w:sz="4" w:space="0" w:color="auto"/>
              <w:bottom w:val="single" w:sz="4" w:space="0" w:color="auto"/>
              <w:right w:val="single" w:sz="4" w:space="0" w:color="auto"/>
            </w:tcBorders>
            <w:shd w:val="clear" w:color="auto" w:fill="auto"/>
            <w:vAlign w:val="bottom"/>
            <w:hideMark/>
          </w:tcPr>
          <w:p w14:paraId="0CD742D3" w14:textId="691066D8" w:rsidR="005902C7" w:rsidRPr="00D84B9C" w:rsidRDefault="005902C7" w:rsidP="00D84B9C">
            <w:pPr>
              <w:spacing w:after="0"/>
              <w:ind w:left="321" w:hanging="284"/>
              <w:jc w:val="left"/>
              <w:rPr>
                <w:rFonts w:eastAsia="Times New Roman" w:cs="Times New Roman"/>
                <w:sz w:val="18"/>
                <w:szCs w:val="18"/>
              </w:rPr>
            </w:pPr>
            <w:r w:rsidRPr="00D84B9C">
              <w:rPr>
                <w:rFonts w:eastAsia="Times New Roman" w:cs="Times New Roman"/>
                <w:sz w:val="18"/>
                <w:szCs w:val="18"/>
              </w:rPr>
              <w:t xml:space="preserve">       Eiropas Savienīb</w:t>
            </w:r>
            <w:r w:rsidR="00D84B9C">
              <w:rPr>
                <w:rFonts w:eastAsia="Times New Roman" w:cs="Times New Roman"/>
                <w:sz w:val="18"/>
                <w:szCs w:val="18"/>
              </w:rPr>
              <w:t xml:space="preserve">as pensiju shēmai pārskaitītais pensijas </w:t>
            </w:r>
            <w:r w:rsidRPr="00D84B9C">
              <w:rPr>
                <w:rFonts w:eastAsia="Times New Roman" w:cs="Times New Roman"/>
                <w:sz w:val="18"/>
                <w:szCs w:val="18"/>
              </w:rPr>
              <w:t>kapitāls</w:t>
            </w:r>
          </w:p>
        </w:tc>
        <w:tc>
          <w:tcPr>
            <w:tcW w:w="1134" w:type="dxa"/>
            <w:tcBorders>
              <w:top w:val="nil"/>
              <w:left w:val="nil"/>
              <w:bottom w:val="single" w:sz="4" w:space="0" w:color="auto"/>
              <w:right w:val="single" w:sz="4" w:space="0" w:color="auto"/>
            </w:tcBorders>
            <w:shd w:val="clear" w:color="auto" w:fill="auto"/>
            <w:noWrap/>
            <w:vAlign w:val="bottom"/>
            <w:hideMark/>
          </w:tcPr>
          <w:p w14:paraId="392B431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4BB88F4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25EA30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2 000</w:t>
            </w:r>
          </w:p>
        </w:tc>
        <w:tc>
          <w:tcPr>
            <w:tcW w:w="1134" w:type="dxa"/>
            <w:tcBorders>
              <w:top w:val="nil"/>
              <w:left w:val="nil"/>
              <w:bottom w:val="single" w:sz="4" w:space="0" w:color="auto"/>
              <w:right w:val="single" w:sz="4" w:space="0" w:color="auto"/>
            </w:tcBorders>
            <w:shd w:val="clear" w:color="auto" w:fill="auto"/>
            <w:noWrap/>
            <w:vAlign w:val="bottom"/>
            <w:hideMark/>
          </w:tcPr>
          <w:p w14:paraId="03A097B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42E8F0FE"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D7222DE"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2 000</w:t>
            </w:r>
          </w:p>
        </w:tc>
        <w:tc>
          <w:tcPr>
            <w:tcW w:w="851" w:type="dxa"/>
            <w:tcBorders>
              <w:top w:val="nil"/>
              <w:left w:val="nil"/>
              <w:bottom w:val="single" w:sz="4" w:space="0" w:color="auto"/>
              <w:right w:val="single" w:sz="4" w:space="0" w:color="auto"/>
            </w:tcBorders>
            <w:shd w:val="clear" w:color="auto" w:fill="auto"/>
            <w:noWrap/>
            <w:vAlign w:val="bottom"/>
            <w:hideMark/>
          </w:tcPr>
          <w:p w14:paraId="1EB0911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76B9FABC"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57D4FC0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2 000</w:t>
            </w:r>
          </w:p>
        </w:tc>
      </w:tr>
      <w:tr w:rsidR="001D773D" w:rsidRPr="005902C7" w14:paraId="18CC7886" w14:textId="77777777" w:rsidTr="003A0BFD">
        <w:trPr>
          <w:trHeight w:val="267"/>
        </w:trPr>
        <w:tc>
          <w:tcPr>
            <w:tcW w:w="4111" w:type="dxa"/>
            <w:tcBorders>
              <w:top w:val="nil"/>
              <w:left w:val="single" w:sz="4" w:space="0" w:color="auto"/>
              <w:bottom w:val="single" w:sz="4" w:space="0" w:color="auto"/>
              <w:right w:val="single" w:sz="4" w:space="0" w:color="auto"/>
            </w:tcBorders>
            <w:shd w:val="clear" w:color="auto" w:fill="auto"/>
            <w:vAlign w:val="bottom"/>
            <w:hideMark/>
          </w:tcPr>
          <w:p w14:paraId="3666F8B9" w14:textId="77777777" w:rsidR="005902C7" w:rsidRPr="00D84B9C" w:rsidRDefault="005902C7" w:rsidP="005902C7">
            <w:pPr>
              <w:spacing w:after="0"/>
              <w:ind w:firstLine="0"/>
              <w:jc w:val="left"/>
              <w:rPr>
                <w:rFonts w:eastAsia="Times New Roman" w:cs="Times New Roman"/>
                <w:b/>
                <w:bCs/>
                <w:sz w:val="18"/>
                <w:szCs w:val="18"/>
              </w:rPr>
            </w:pPr>
            <w:r w:rsidRPr="00D84B9C">
              <w:rPr>
                <w:rFonts w:eastAsia="Times New Roman" w:cs="Times New Roman"/>
                <w:b/>
                <w:bCs/>
                <w:sz w:val="18"/>
                <w:szCs w:val="18"/>
              </w:rPr>
              <w:t>04.04.00 Invaliditātes, maternitātes un slimības speciālais budžets</w:t>
            </w:r>
          </w:p>
        </w:tc>
        <w:tc>
          <w:tcPr>
            <w:tcW w:w="1134" w:type="dxa"/>
            <w:tcBorders>
              <w:top w:val="nil"/>
              <w:left w:val="nil"/>
              <w:bottom w:val="single" w:sz="4" w:space="0" w:color="auto"/>
              <w:right w:val="single" w:sz="4" w:space="0" w:color="auto"/>
            </w:tcBorders>
            <w:shd w:val="clear" w:color="000000" w:fill="FFFFFF"/>
            <w:noWrap/>
            <w:vAlign w:val="bottom"/>
            <w:hideMark/>
          </w:tcPr>
          <w:p w14:paraId="2760B131"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437A726D"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4B84A054"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741 514 369</w:t>
            </w:r>
          </w:p>
        </w:tc>
        <w:tc>
          <w:tcPr>
            <w:tcW w:w="1134" w:type="dxa"/>
            <w:tcBorders>
              <w:top w:val="nil"/>
              <w:left w:val="nil"/>
              <w:bottom w:val="single" w:sz="4" w:space="0" w:color="auto"/>
              <w:right w:val="single" w:sz="4" w:space="0" w:color="auto"/>
            </w:tcBorders>
            <w:shd w:val="clear" w:color="000000" w:fill="FFFFFF"/>
            <w:noWrap/>
            <w:vAlign w:val="bottom"/>
            <w:hideMark/>
          </w:tcPr>
          <w:p w14:paraId="3A07A376"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5216C3C0"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4E608D71"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784 515 547</w:t>
            </w:r>
          </w:p>
        </w:tc>
        <w:tc>
          <w:tcPr>
            <w:tcW w:w="851" w:type="dxa"/>
            <w:tcBorders>
              <w:top w:val="nil"/>
              <w:left w:val="nil"/>
              <w:bottom w:val="single" w:sz="4" w:space="0" w:color="auto"/>
              <w:right w:val="single" w:sz="4" w:space="0" w:color="auto"/>
            </w:tcBorders>
            <w:shd w:val="clear" w:color="000000" w:fill="FFFFFF"/>
            <w:noWrap/>
            <w:vAlign w:val="bottom"/>
            <w:hideMark/>
          </w:tcPr>
          <w:p w14:paraId="691F0915"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66AC4D15"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B161264"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835 164 318</w:t>
            </w:r>
          </w:p>
        </w:tc>
      </w:tr>
      <w:tr w:rsidR="001D773D" w:rsidRPr="005902C7" w14:paraId="1379B153" w14:textId="77777777" w:rsidTr="003A0BFD">
        <w:trPr>
          <w:trHeight w:val="131"/>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77385942" w14:textId="77777777" w:rsidR="005902C7" w:rsidRPr="00D84B9C" w:rsidRDefault="005902C7" w:rsidP="005902C7">
            <w:pPr>
              <w:spacing w:after="0"/>
              <w:ind w:firstLine="0"/>
              <w:jc w:val="left"/>
              <w:rPr>
                <w:rFonts w:eastAsia="Times New Roman" w:cs="Times New Roman"/>
                <w:sz w:val="18"/>
                <w:szCs w:val="18"/>
              </w:rPr>
            </w:pPr>
            <w:r w:rsidRPr="00D84B9C">
              <w:rPr>
                <w:rFonts w:eastAsia="Times New Roman" w:cs="Times New Roman"/>
                <w:sz w:val="18"/>
                <w:szCs w:val="18"/>
              </w:rPr>
              <w:t>Valsts pensijas – kopā</w:t>
            </w:r>
          </w:p>
        </w:tc>
        <w:tc>
          <w:tcPr>
            <w:tcW w:w="1134" w:type="dxa"/>
            <w:tcBorders>
              <w:top w:val="nil"/>
              <w:left w:val="nil"/>
              <w:bottom w:val="single" w:sz="4" w:space="0" w:color="auto"/>
              <w:right w:val="single" w:sz="4" w:space="0" w:color="auto"/>
            </w:tcBorders>
            <w:shd w:val="clear" w:color="000000" w:fill="FFFFFF"/>
            <w:noWrap/>
            <w:vAlign w:val="bottom"/>
            <w:hideMark/>
          </w:tcPr>
          <w:p w14:paraId="47C53C1A"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749F867C"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26F7497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226 243 788</w:t>
            </w:r>
          </w:p>
        </w:tc>
        <w:tc>
          <w:tcPr>
            <w:tcW w:w="1134" w:type="dxa"/>
            <w:tcBorders>
              <w:top w:val="nil"/>
              <w:left w:val="nil"/>
              <w:bottom w:val="single" w:sz="4" w:space="0" w:color="auto"/>
              <w:right w:val="single" w:sz="4" w:space="0" w:color="auto"/>
            </w:tcBorders>
            <w:shd w:val="clear" w:color="000000" w:fill="FFFFFF"/>
            <w:noWrap/>
            <w:vAlign w:val="bottom"/>
            <w:hideMark/>
          </w:tcPr>
          <w:p w14:paraId="77CA5556"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2838AECB"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2196609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239 897 236</w:t>
            </w:r>
          </w:p>
        </w:tc>
        <w:tc>
          <w:tcPr>
            <w:tcW w:w="851" w:type="dxa"/>
            <w:tcBorders>
              <w:top w:val="nil"/>
              <w:left w:val="nil"/>
              <w:bottom w:val="single" w:sz="4" w:space="0" w:color="auto"/>
              <w:right w:val="single" w:sz="4" w:space="0" w:color="auto"/>
            </w:tcBorders>
            <w:shd w:val="clear" w:color="000000" w:fill="FFFFFF"/>
            <w:noWrap/>
            <w:vAlign w:val="bottom"/>
            <w:hideMark/>
          </w:tcPr>
          <w:p w14:paraId="210529B9"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850" w:type="dxa"/>
            <w:tcBorders>
              <w:top w:val="nil"/>
              <w:left w:val="nil"/>
              <w:bottom w:val="single" w:sz="4" w:space="0" w:color="auto"/>
              <w:right w:val="single" w:sz="4" w:space="0" w:color="auto"/>
            </w:tcBorders>
            <w:shd w:val="clear" w:color="000000" w:fill="FFFFFF"/>
            <w:noWrap/>
            <w:vAlign w:val="bottom"/>
            <w:hideMark/>
          </w:tcPr>
          <w:p w14:paraId="5E1E6B02"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4FFC0C8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256 904 756</w:t>
            </w:r>
          </w:p>
        </w:tc>
      </w:tr>
      <w:tr w:rsidR="005902C7" w:rsidRPr="005902C7" w14:paraId="3DD2F6DE" w14:textId="77777777" w:rsidTr="003A0BFD">
        <w:trPr>
          <w:trHeight w:val="7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3E94708E" w14:textId="77777777" w:rsidR="005902C7" w:rsidRPr="00D84B9C" w:rsidRDefault="005902C7" w:rsidP="005902C7">
            <w:pPr>
              <w:spacing w:after="0"/>
              <w:ind w:firstLineChars="100" w:firstLine="180"/>
              <w:jc w:val="left"/>
              <w:rPr>
                <w:rFonts w:eastAsia="Times New Roman" w:cs="Times New Roman"/>
                <w:i/>
                <w:iCs/>
                <w:sz w:val="18"/>
                <w:szCs w:val="18"/>
              </w:rPr>
            </w:pPr>
            <w:r w:rsidRPr="00D84B9C">
              <w:rPr>
                <w:rFonts w:eastAsia="Times New Roman" w:cs="Times New Roman"/>
                <w:i/>
                <w:iCs/>
                <w:sz w:val="18"/>
                <w:szCs w:val="18"/>
              </w:rPr>
              <w:t>tajā skaitā:</w:t>
            </w:r>
          </w:p>
        </w:tc>
        <w:tc>
          <w:tcPr>
            <w:tcW w:w="1134" w:type="dxa"/>
            <w:tcBorders>
              <w:top w:val="nil"/>
              <w:left w:val="nil"/>
              <w:bottom w:val="single" w:sz="4" w:space="0" w:color="auto"/>
              <w:right w:val="single" w:sz="4" w:space="0" w:color="auto"/>
            </w:tcBorders>
            <w:shd w:val="clear" w:color="auto" w:fill="auto"/>
            <w:noWrap/>
            <w:vAlign w:val="bottom"/>
            <w:hideMark/>
          </w:tcPr>
          <w:p w14:paraId="5FAEC24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4E606E6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477E68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14:paraId="66D431C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7586332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86517D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194F6CB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17098BE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64481ED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r>
      <w:tr w:rsidR="005902C7" w:rsidRPr="005902C7" w14:paraId="1FC2E7C8" w14:textId="77777777" w:rsidTr="003A0BFD">
        <w:trPr>
          <w:trHeight w:val="123"/>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61556C4D"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Invaliditātes pensijas</w:t>
            </w:r>
          </w:p>
        </w:tc>
        <w:tc>
          <w:tcPr>
            <w:tcW w:w="1134" w:type="dxa"/>
            <w:tcBorders>
              <w:top w:val="nil"/>
              <w:left w:val="nil"/>
              <w:bottom w:val="single" w:sz="4" w:space="0" w:color="auto"/>
              <w:right w:val="single" w:sz="4" w:space="0" w:color="auto"/>
            </w:tcBorders>
            <w:shd w:val="clear" w:color="auto" w:fill="auto"/>
            <w:noWrap/>
            <w:vAlign w:val="bottom"/>
            <w:hideMark/>
          </w:tcPr>
          <w:p w14:paraId="2528B50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251,26</w:t>
            </w:r>
          </w:p>
        </w:tc>
        <w:tc>
          <w:tcPr>
            <w:tcW w:w="992" w:type="dxa"/>
            <w:tcBorders>
              <w:top w:val="nil"/>
              <w:left w:val="nil"/>
              <w:bottom w:val="single" w:sz="4" w:space="0" w:color="auto"/>
              <w:right w:val="single" w:sz="4" w:space="0" w:color="auto"/>
            </w:tcBorders>
            <w:shd w:val="clear" w:color="000000" w:fill="FFFFFF"/>
            <w:noWrap/>
            <w:vAlign w:val="bottom"/>
            <w:hideMark/>
          </w:tcPr>
          <w:p w14:paraId="25B53BA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74 757</w:t>
            </w:r>
          </w:p>
        </w:tc>
        <w:tc>
          <w:tcPr>
            <w:tcW w:w="1276" w:type="dxa"/>
            <w:tcBorders>
              <w:top w:val="nil"/>
              <w:left w:val="nil"/>
              <w:bottom w:val="single" w:sz="4" w:space="0" w:color="auto"/>
              <w:right w:val="single" w:sz="4" w:space="0" w:color="auto"/>
            </w:tcBorders>
            <w:shd w:val="clear" w:color="auto" w:fill="auto"/>
            <w:noWrap/>
            <w:vAlign w:val="bottom"/>
            <w:hideMark/>
          </w:tcPr>
          <w:p w14:paraId="34BDA63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225 403 427</w:t>
            </w:r>
          </w:p>
        </w:tc>
        <w:tc>
          <w:tcPr>
            <w:tcW w:w="1134" w:type="dxa"/>
            <w:tcBorders>
              <w:top w:val="nil"/>
              <w:left w:val="nil"/>
              <w:bottom w:val="single" w:sz="4" w:space="0" w:color="auto"/>
              <w:right w:val="single" w:sz="4" w:space="0" w:color="auto"/>
            </w:tcBorders>
            <w:shd w:val="clear" w:color="auto" w:fill="auto"/>
            <w:noWrap/>
            <w:vAlign w:val="bottom"/>
            <w:hideMark/>
          </w:tcPr>
          <w:p w14:paraId="6A9F840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263,89</w:t>
            </w:r>
          </w:p>
        </w:tc>
        <w:tc>
          <w:tcPr>
            <w:tcW w:w="992" w:type="dxa"/>
            <w:tcBorders>
              <w:top w:val="nil"/>
              <w:left w:val="nil"/>
              <w:bottom w:val="single" w:sz="4" w:space="0" w:color="auto"/>
              <w:right w:val="single" w:sz="4" w:space="0" w:color="auto"/>
            </w:tcBorders>
            <w:shd w:val="clear" w:color="000000" w:fill="FFFFFF"/>
            <w:noWrap/>
            <w:vAlign w:val="bottom"/>
            <w:hideMark/>
          </w:tcPr>
          <w:p w14:paraId="04998CF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75 511</w:t>
            </w:r>
          </w:p>
        </w:tc>
        <w:tc>
          <w:tcPr>
            <w:tcW w:w="1276" w:type="dxa"/>
            <w:tcBorders>
              <w:top w:val="nil"/>
              <w:left w:val="nil"/>
              <w:bottom w:val="single" w:sz="4" w:space="0" w:color="auto"/>
              <w:right w:val="single" w:sz="4" w:space="0" w:color="auto"/>
            </w:tcBorders>
            <w:shd w:val="clear" w:color="auto" w:fill="auto"/>
            <w:noWrap/>
            <w:vAlign w:val="bottom"/>
            <w:hideMark/>
          </w:tcPr>
          <w:p w14:paraId="11C09F1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239 122 145</w:t>
            </w:r>
          </w:p>
        </w:tc>
        <w:tc>
          <w:tcPr>
            <w:tcW w:w="851" w:type="dxa"/>
            <w:tcBorders>
              <w:top w:val="nil"/>
              <w:left w:val="nil"/>
              <w:bottom w:val="single" w:sz="4" w:space="0" w:color="auto"/>
              <w:right w:val="single" w:sz="4" w:space="0" w:color="auto"/>
            </w:tcBorders>
            <w:shd w:val="clear" w:color="auto" w:fill="auto"/>
            <w:noWrap/>
            <w:vAlign w:val="bottom"/>
            <w:hideMark/>
          </w:tcPr>
          <w:p w14:paraId="25A40F4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279,91</w:t>
            </w:r>
          </w:p>
        </w:tc>
        <w:tc>
          <w:tcPr>
            <w:tcW w:w="850" w:type="dxa"/>
            <w:tcBorders>
              <w:top w:val="nil"/>
              <w:left w:val="nil"/>
              <w:bottom w:val="single" w:sz="4" w:space="0" w:color="auto"/>
              <w:right w:val="single" w:sz="4" w:space="0" w:color="auto"/>
            </w:tcBorders>
            <w:shd w:val="clear" w:color="000000" w:fill="FFFFFF"/>
            <w:noWrap/>
            <w:vAlign w:val="bottom"/>
            <w:hideMark/>
          </w:tcPr>
          <w:p w14:paraId="21EAA2B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76 266</w:t>
            </w:r>
          </w:p>
        </w:tc>
        <w:tc>
          <w:tcPr>
            <w:tcW w:w="1276" w:type="dxa"/>
            <w:tcBorders>
              <w:top w:val="nil"/>
              <w:left w:val="nil"/>
              <w:bottom w:val="single" w:sz="4" w:space="0" w:color="auto"/>
              <w:right w:val="single" w:sz="4" w:space="0" w:color="auto"/>
            </w:tcBorders>
            <w:shd w:val="clear" w:color="auto" w:fill="auto"/>
            <w:noWrap/>
            <w:vAlign w:val="bottom"/>
            <w:hideMark/>
          </w:tcPr>
          <w:p w14:paraId="4170CF0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256 173 412</w:t>
            </w:r>
          </w:p>
        </w:tc>
      </w:tr>
      <w:tr w:rsidR="005902C7" w:rsidRPr="005902C7" w14:paraId="7741674A" w14:textId="77777777" w:rsidTr="003A0BFD">
        <w:trPr>
          <w:trHeight w:val="409"/>
        </w:trPr>
        <w:tc>
          <w:tcPr>
            <w:tcW w:w="4111" w:type="dxa"/>
            <w:tcBorders>
              <w:top w:val="nil"/>
              <w:left w:val="single" w:sz="4" w:space="0" w:color="auto"/>
              <w:bottom w:val="single" w:sz="4" w:space="0" w:color="auto"/>
              <w:right w:val="single" w:sz="4" w:space="0" w:color="auto"/>
            </w:tcBorders>
            <w:shd w:val="clear" w:color="auto" w:fill="auto"/>
            <w:vAlign w:val="bottom"/>
            <w:hideMark/>
          </w:tcPr>
          <w:p w14:paraId="1342ABE4" w14:textId="77777777" w:rsidR="005902C7" w:rsidRPr="00D84B9C" w:rsidRDefault="005902C7" w:rsidP="00D84B9C">
            <w:pPr>
              <w:spacing w:after="0"/>
              <w:ind w:left="321" w:firstLine="0"/>
              <w:jc w:val="left"/>
              <w:rPr>
                <w:rFonts w:eastAsia="Times New Roman" w:cs="Times New Roman"/>
                <w:sz w:val="18"/>
                <w:szCs w:val="18"/>
              </w:rPr>
            </w:pPr>
            <w:r w:rsidRPr="00D84B9C">
              <w:rPr>
                <w:rFonts w:eastAsia="Times New Roman" w:cs="Times New Roman"/>
                <w:sz w:val="18"/>
                <w:szCs w:val="18"/>
              </w:rPr>
              <w:t>Pensijas saskaņā ar speciāliem lēmumiem (pensija Černobiļas AES avārijas seku likvidācijas dalībniekam)</w:t>
            </w:r>
          </w:p>
        </w:tc>
        <w:tc>
          <w:tcPr>
            <w:tcW w:w="1134" w:type="dxa"/>
            <w:tcBorders>
              <w:top w:val="nil"/>
              <w:left w:val="nil"/>
              <w:bottom w:val="single" w:sz="4" w:space="0" w:color="auto"/>
              <w:right w:val="single" w:sz="4" w:space="0" w:color="auto"/>
            </w:tcBorders>
            <w:shd w:val="clear" w:color="auto" w:fill="auto"/>
            <w:noWrap/>
            <w:vAlign w:val="bottom"/>
            <w:hideMark/>
          </w:tcPr>
          <w:p w14:paraId="7FC9013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69,34</w:t>
            </w:r>
          </w:p>
        </w:tc>
        <w:tc>
          <w:tcPr>
            <w:tcW w:w="992" w:type="dxa"/>
            <w:tcBorders>
              <w:top w:val="nil"/>
              <w:left w:val="nil"/>
              <w:bottom w:val="single" w:sz="4" w:space="0" w:color="auto"/>
              <w:right w:val="single" w:sz="4" w:space="0" w:color="auto"/>
            </w:tcBorders>
            <w:shd w:val="clear" w:color="000000" w:fill="FFFFFF"/>
            <w:noWrap/>
            <w:vAlign w:val="bottom"/>
            <w:hideMark/>
          </w:tcPr>
          <w:p w14:paraId="5D3FE44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1 010</w:t>
            </w:r>
          </w:p>
        </w:tc>
        <w:tc>
          <w:tcPr>
            <w:tcW w:w="1276" w:type="dxa"/>
            <w:tcBorders>
              <w:top w:val="nil"/>
              <w:left w:val="nil"/>
              <w:bottom w:val="single" w:sz="4" w:space="0" w:color="auto"/>
              <w:right w:val="single" w:sz="4" w:space="0" w:color="auto"/>
            </w:tcBorders>
            <w:shd w:val="clear" w:color="auto" w:fill="auto"/>
            <w:noWrap/>
            <w:vAlign w:val="bottom"/>
            <w:hideMark/>
          </w:tcPr>
          <w:p w14:paraId="7725879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840 361</w:t>
            </w:r>
          </w:p>
        </w:tc>
        <w:tc>
          <w:tcPr>
            <w:tcW w:w="1134" w:type="dxa"/>
            <w:tcBorders>
              <w:top w:val="nil"/>
              <w:left w:val="nil"/>
              <w:bottom w:val="single" w:sz="4" w:space="0" w:color="auto"/>
              <w:right w:val="single" w:sz="4" w:space="0" w:color="auto"/>
            </w:tcBorders>
            <w:shd w:val="clear" w:color="auto" w:fill="auto"/>
            <w:noWrap/>
            <w:vAlign w:val="bottom"/>
            <w:hideMark/>
          </w:tcPr>
          <w:p w14:paraId="75CF286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71,85</w:t>
            </w:r>
          </w:p>
        </w:tc>
        <w:tc>
          <w:tcPr>
            <w:tcW w:w="992" w:type="dxa"/>
            <w:tcBorders>
              <w:top w:val="nil"/>
              <w:left w:val="nil"/>
              <w:bottom w:val="single" w:sz="4" w:space="0" w:color="auto"/>
              <w:right w:val="single" w:sz="4" w:space="0" w:color="auto"/>
            </w:tcBorders>
            <w:shd w:val="clear" w:color="000000" w:fill="FFFFFF"/>
            <w:noWrap/>
            <w:vAlign w:val="bottom"/>
            <w:hideMark/>
          </w:tcPr>
          <w:p w14:paraId="274E108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899</w:t>
            </w:r>
          </w:p>
        </w:tc>
        <w:tc>
          <w:tcPr>
            <w:tcW w:w="1276" w:type="dxa"/>
            <w:tcBorders>
              <w:top w:val="nil"/>
              <w:left w:val="nil"/>
              <w:bottom w:val="single" w:sz="4" w:space="0" w:color="auto"/>
              <w:right w:val="single" w:sz="4" w:space="0" w:color="auto"/>
            </w:tcBorders>
            <w:shd w:val="clear" w:color="auto" w:fill="auto"/>
            <w:noWrap/>
            <w:vAlign w:val="bottom"/>
            <w:hideMark/>
          </w:tcPr>
          <w:p w14:paraId="78DBB59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775 091</w:t>
            </w:r>
          </w:p>
        </w:tc>
        <w:tc>
          <w:tcPr>
            <w:tcW w:w="851" w:type="dxa"/>
            <w:tcBorders>
              <w:top w:val="nil"/>
              <w:left w:val="nil"/>
              <w:bottom w:val="single" w:sz="4" w:space="0" w:color="auto"/>
              <w:right w:val="single" w:sz="4" w:space="0" w:color="auto"/>
            </w:tcBorders>
            <w:shd w:val="clear" w:color="auto" w:fill="auto"/>
            <w:noWrap/>
            <w:vAlign w:val="bottom"/>
            <w:hideMark/>
          </w:tcPr>
          <w:p w14:paraId="1FD18F4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76,18</w:t>
            </w:r>
          </w:p>
        </w:tc>
        <w:tc>
          <w:tcPr>
            <w:tcW w:w="850" w:type="dxa"/>
            <w:tcBorders>
              <w:top w:val="nil"/>
              <w:left w:val="nil"/>
              <w:bottom w:val="single" w:sz="4" w:space="0" w:color="auto"/>
              <w:right w:val="single" w:sz="4" w:space="0" w:color="auto"/>
            </w:tcBorders>
            <w:shd w:val="clear" w:color="000000" w:fill="FFFFFF"/>
            <w:noWrap/>
            <w:vAlign w:val="bottom"/>
            <w:hideMark/>
          </w:tcPr>
          <w:p w14:paraId="4572B71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800</w:t>
            </w:r>
          </w:p>
        </w:tc>
        <w:tc>
          <w:tcPr>
            <w:tcW w:w="1276" w:type="dxa"/>
            <w:tcBorders>
              <w:top w:val="nil"/>
              <w:left w:val="nil"/>
              <w:bottom w:val="single" w:sz="4" w:space="0" w:color="auto"/>
              <w:right w:val="single" w:sz="4" w:space="0" w:color="auto"/>
            </w:tcBorders>
            <w:shd w:val="clear" w:color="auto" w:fill="auto"/>
            <w:noWrap/>
            <w:vAlign w:val="bottom"/>
            <w:hideMark/>
          </w:tcPr>
          <w:p w14:paraId="5CE5CEF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731 344</w:t>
            </w:r>
          </w:p>
        </w:tc>
      </w:tr>
      <w:tr w:rsidR="001D773D" w:rsidRPr="005902C7" w14:paraId="3F84A079" w14:textId="77777777" w:rsidTr="003A0BFD">
        <w:trPr>
          <w:trHeight w:val="108"/>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23247D5E" w14:textId="77777777" w:rsidR="005902C7" w:rsidRPr="00D84B9C" w:rsidRDefault="005902C7" w:rsidP="005902C7">
            <w:pPr>
              <w:spacing w:after="0"/>
              <w:ind w:firstLine="0"/>
              <w:jc w:val="left"/>
              <w:rPr>
                <w:rFonts w:eastAsia="Times New Roman" w:cs="Times New Roman"/>
                <w:sz w:val="18"/>
                <w:szCs w:val="18"/>
              </w:rPr>
            </w:pPr>
            <w:r w:rsidRPr="00D84B9C">
              <w:rPr>
                <w:rFonts w:eastAsia="Times New Roman" w:cs="Times New Roman"/>
                <w:sz w:val="18"/>
                <w:szCs w:val="18"/>
              </w:rPr>
              <w:t>Valsts sociālās apdrošināšanas pabalsti naudā – kopā</w:t>
            </w:r>
          </w:p>
        </w:tc>
        <w:tc>
          <w:tcPr>
            <w:tcW w:w="1134" w:type="dxa"/>
            <w:tcBorders>
              <w:top w:val="nil"/>
              <w:left w:val="nil"/>
              <w:bottom w:val="single" w:sz="4" w:space="0" w:color="auto"/>
              <w:right w:val="single" w:sz="4" w:space="0" w:color="auto"/>
            </w:tcBorders>
            <w:shd w:val="clear" w:color="000000" w:fill="FFFFFF"/>
            <w:noWrap/>
            <w:vAlign w:val="bottom"/>
            <w:hideMark/>
          </w:tcPr>
          <w:p w14:paraId="49EA3FD0"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3A9EDF09"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7BDF394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515 159 553</w:t>
            </w:r>
          </w:p>
        </w:tc>
        <w:tc>
          <w:tcPr>
            <w:tcW w:w="1134" w:type="dxa"/>
            <w:tcBorders>
              <w:top w:val="nil"/>
              <w:left w:val="nil"/>
              <w:bottom w:val="single" w:sz="4" w:space="0" w:color="auto"/>
              <w:right w:val="single" w:sz="4" w:space="0" w:color="auto"/>
            </w:tcBorders>
            <w:shd w:val="clear" w:color="000000" w:fill="FFFFFF"/>
            <w:noWrap/>
            <w:vAlign w:val="bottom"/>
            <w:hideMark/>
          </w:tcPr>
          <w:p w14:paraId="3DA45C6A"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657A1444"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176852A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544 512 749</w:t>
            </w:r>
          </w:p>
        </w:tc>
        <w:tc>
          <w:tcPr>
            <w:tcW w:w="851" w:type="dxa"/>
            <w:tcBorders>
              <w:top w:val="nil"/>
              <w:left w:val="nil"/>
              <w:bottom w:val="single" w:sz="4" w:space="0" w:color="auto"/>
              <w:right w:val="single" w:sz="4" w:space="0" w:color="auto"/>
            </w:tcBorders>
            <w:shd w:val="clear" w:color="000000" w:fill="FFFFFF"/>
            <w:noWrap/>
            <w:vAlign w:val="bottom"/>
            <w:hideMark/>
          </w:tcPr>
          <w:p w14:paraId="1838150F"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850" w:type="dxa"/>
            <w:tcBorders>
              <w:top w:val="nil"/>
              <w:left w:val="nil"/>
              <w:bottom w:val="single" w:sz="4" w:space="0" w:color="auto"/>
              <w:right w:val="single" w:sz="4" w:space="0" w:color="auto"/>
            </w:tcBorders>
            <w:shd w:val="clear" w:color="000000" w:fill="FFFFFF"/>
            <w:noWrap/>
            <w:vAlign w:val="bottom"/>
            <w:hideMark/>
          </w:tcPr>
          <w:p w14:paraId="3A8C96FF"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3E89977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578 153 962</w:t>
            </w:r>
          </w:p>
        </w:tc>
      </w:tr>
      <w:tr w:rsidR="005902C7" w:rsidRPr="005902C7" w14:paraId="5E8DB7D0" w14:textId="77777777" w:rsidTr="003A0BFD">
        <w:trPr>
          <w:trHeight w:val="27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5E0D1F8A" w14:textId="77777777" w:rsidR="005902C7" w:rsidRPr="00D84B9C" w:rsidRDefault="005902C7" w:rsidP="005902C7">
            <w:pPr>
              <w:spacing w:after="0"/>
              <w:ind w:firstLineChars="100" w:firstLine="180"/>
              <w:jc w:val="left"/>
              <w:rPr>
                <w:rFonts w:eastAsia="Times New Roman" w:cs="Times New Roman"/>
                <w:i/>
                <w:iCs/>
                <w:sz w:val="18"/>
                <w:szCs w:val="18"/>
              </w:rPr>
            </w:pPr>
            <w:r w:rsidRPr="00D84B9C">
              <w:rPr>
                <w:rFonts w:eastAsia="Times New Roman" w:cs="Times New Roman"/>
                <w:i/>
                <w:iCs/>
                <w:sz w:val="18"/>
                <w:szCs w:val="18"/>
              </w:rPr>
              <w:t>tajā skaitā:</w:t>
            </w:r>
          </w:p>
        </w:tc>
        <w:tc>
          <w:tcPr>
            <w:tcW w:w="1134" w:type="dxa"/>
            <w:tcBorders>
              <w:top w:val="nil"/>
              <w:left w:val="nil"/>
              <w:bottom w:val="single" w:sz="4" w:space="0" w:color="auto"/>
              <w:right w:val="single" w:sz="4" w:space="0" w:color="auto"/>
            </w:tcBorders>
            <w:shd w:val="clear" w:color="auto" w:fill="auto"/>
            <w:noWrap/>
            <w:vAlign w:val="bottom"/>
            <w:hideMark/>
          </w:tcPr>
          <w:p w14:paraId="387FEC51"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1E99AA95"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831D0B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14:paraId="7A2124B1"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6489922F"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CBA06E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57A72F4B"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43CE419D"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5AB7F70E"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r>
      <w:tr w:rsidR="005902C7" w:rsidRPr="005902C7" w14:paraId="63BD87F7" w14:textId="77777777" w:rsidTr="003A0BFD">
        <w:trPr>
          <w:trHeight w:val="276"/>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7DD19DB2"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Slimības pabalsts</w:t>
            </w:r>
          </w:p>
        </w:tc>
        <w:tc>
          <w:tcPr>
            <w:tcW w:w="1134" w:type="dxa"/>
            <w:tcBorders>
              <w:top w:val="nil"/>
              <w:left w:val="nil"/>
              <w:bottom w:val="single" w:sz="4" w:space="0" w:color="auto"/>
              <w:right w:val="single" w:sz="4" w:space="0" w:color="auto"/>
            </w:tcBorders>
            <w:shd w:val="clear" w:color="auto" w:fill="auto"/>
            <w:noWrap/>
            <w:vAlign w:val="bottom"/>
            <w:hideMark/>
          </w:tcPr>
          <w:p w14:paraId="6D9BAE8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1 192,25</w:t>
            </w:r>
          </w:p>
        </w:tc>
        <w:tc>
          <w:tcPr>
            <w:tcW w:w="992" w:type="dxa"/>
            <w:tcBorders>
              <w:top w:val="nil"/>
              <w:left w:val="nil"/>
              <w:bottom w:val="single" w:sz="4" w:space="0" w:color="auto"/>
              <w:right w:val="single" w:sz="4" w:space="0" w:color="auto"/>
            </w:tcBorders>
            <w:shd w:val="clear" w:color="auto" w:fill="auto"/>
            <w:noWrap/>
            <w:vAlign w:val="bottom"/>
            <w:hideMark/>
          </w:tcPr>
          <w:p w14:paraId="0883241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21 344</w:t>
            </w:r>
          </w:p>
        </w:tc>
        <w:tc>
          <w:tcPr>
            <w:tcW w:w="1276" w:type="dxa"/>
            <w:tcBorders>
              <w:top w:val="nil"/>
              <w:left w:val="nil"/>
              <w:bottom w:val="single" w:sz="4" w:space="0" w:color="auto"/>
              <w:right w:val="single" w:sz="4" w:space="0" w:color="auto"/>
            </w:tcBorders>
            <w:shd w:val="clear" w:color="auto" w:fill="auto"/>
            <w:noWrap/>
            <w:vAlign w:val="bottom"/>
            <w:hideMark/>
          </w:tcPr>
          <w:p w14:paraId="2A0B94D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305 368 405</w:t>
            </w:r>
          </w:p>
        </w:tc>
        <w:tc>
          <w:tcPr>
            <w:tcW w:w="1134" w:type="dxa"/>
            <w:tcBorders>
              <w:top w:val="nil"/>
              <w:left w:val="nil"/>
              <w:bottom w:val="single" w:sz="4" w:space="0" w:color="auto"/>
              <w:right w:val="single" w:sz="4" w:space="0" w:color="auto"/>
            </w:tcBorders>
            <w:shd w:val="clear" w:color="auto" w:fill="auto"/>
            <w:noWrap/>
            <w:vAlign w:val="bottom"/>
            <w:hideMark/>
          </w:tcPr>
          <w:p w14:paraId="1959CED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1 274,36</w:t>
            </w:r>
          </w:p>
        </w:tc>
        <w:tc>
          <w:tcPr>
            <w:tcW w:w="992" w:type="dxa"/>
            <w:tcBorders>
              <w:top w:val="nil"/>
              <w:left w:val="nil"/>
              <w:bottom w:val="single" w:sz="4" w:space="0" w:color="auto"/>
              <w:right w:val="single" w:sz="4" w:space="0" w:color="auto"/>
            </w:tcBorders>
            <w:shd w:val="clear" w:color="auto" w:fill="auto"/>
            <w:noWrap/>
            <w:vAlign w:val="bottom"/>
            <w:hideMark/>
          </w:tcPr>
          <w:p w14:paraId="256062E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20 917</w:t>
            </w:r>
          </w:p>
        </w:tc>
        <w:tc>
          <w:tcPr>
            <w:tcW w:w="1276" w:type="dxa"/>
            <w:tcBorders>
              <w:top w:val="nil"/>
              <w:left w:val="nil"/>
              <w:bottom w:val="single" w:sz="4" w:space="0" w:color="auto"/>
              <w:right w:val="single" w:sz="4" w:space="0" w:color="auto"/>
            </w:tcBorders>
            <w:shd w:val="clear" w:color="auto" w:fill="auto"/>
            <w:noWrap/>
            <w:vAlign w:val="bottom"/>
            <w:hideMark/>
          </w:tcPr>
          <w:p w14:paraId="7DBDE64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319 869 704</w:t>
            </w:r>
          </w:p>
        </w:tc>
        <w:tc>
          <w:tcPr>
            <w:tcW w:w="851" w:type="dxa"/>
            <w:tcBorders>
              <w:top w:val="nil"/>
              <w:left w:val="nil"/>
              <w:bottom w:val="single" w:sz="4" w:space="0" w:color="auto"/>
              <w:right w:val="single" w:sz="4" w:space="0" w:color="auto"/>
            </w:tcBorders>
            <w:shd w:val="clear" w:color="auto" w:fill="auto"/>
            <w:noWrap/>
            <w:vAlign w:val="bottom"/>
            <w:hideMark/>
          </w:tcPr>
          <w:p w14:paraId="7937B61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1 361,92</w:t>
            </w:r>
          </w:p>
        </w:tc>
        <w:tc>
          <w:tcPr>
            <w:tcW w:w="850" w:type="dxa"/>
            <w:tcBorders>
              <w:top w:val="nil"/>
              <w:left w:val="nil"/>
              <w:bottom w:val="single" w:sz="4" w:space="0" w:color="auto"/>
              <w:right w:val="single" w:sz="4" w:space="0" w:color="auto"/>
            </w:tcBorders>
            <w:shd w:val="clear" w:color="auto" w:fill="auto"/>
            <w:noWrap/>
            <w:vAlign w:val="bottom"/>
            <w:hideMark/>
          </w:tcPr>
          <w:p w14:paraId="69506B4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20 708</w:t>
            </w:r>
          </w:p>
        </w:tc>
        <w:tc>
          <w:tcPr>
            <w:tcW w:w="1276" w:type="dxa"/>
            <w:tcBorders>
              <w:top w:val="nil"/>
              <w:left w:val="nil"/>
              <w:bottom w:val="single" w:sz="4" w:space="0" w:color="auto"/>
              <w:right w:val="single" w:sz="4" w:space="0" w:color="auto"/>
            </w:tcBorders>
            <w:shd w:val="clear" w:color="auto" w:fill="auto"/>
            <w:noWrap/>
            <w:vAlign w:val="bottom"/>
            <w:hideMark/>
          </w:tcPr>
          <w:p w14:paraId="4D30C9E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338 431 511</w:t>
            </w:r>
          </w:p>
        </w:tc>
      </w:tr>
      <w:tr w:rsidR="005902C7" w:rsidRPr="005902C7" w14:paraId="37ADCDA7" w14:textId="77777777" w:rsidTr="003A0BFD">
        <w:trPr>
          <w:trHeight w:val="7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7915F6A7"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lastRenderedPageBreak/>
              <w:t>Maternitātes pabalsts</w:t>
            </w:r>
          </w:p>
        </w:tc>
        <w:tc>
          <w:tcPr>
            <w:tcW w:w="1134" w:type="dxa"/>
            <w:tcBorders>
              <w:top w:val="nil"/>
              <w:left w:val="nil"/>
              <w:bottom w:val="single" w:sz="4" w:space="0" w:color="auto"/>
              <w:right w:val="single" w:sz="4" w:space="0" w:color="auto"/>
            </w:tcBorders>
            <w:shd w:val="clear" w:color="auto" w:fill="auto"/>
            <w:noWrap/>
            <w:vAlign w:val="bottom"/>
            <w:hideMark/>
          </w:tcPr>
          <w:p w14:paraId="5AA4626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3 689,75</w:t>
            </w:r>
          </w:p>
        </w:tc>
        <w:tc>
          <w:tcPr>
            <w:tcW w:w="992" w:type="dxa"/>
            <w:tcBorders>
              <w:top w:val="nil"/>
              <w:left w:val="nil"/>
              <w:bottom w:val="single" w:sz="4" w:space="0" w:color="auto"/>
              <w:right w:val="single" w:sz="4" w:space="0" w:color="auto"/>
            </w:tcBorders>
            <w:shd w:val="clear" w:color="auto" w:fill="auto"/>
            <w:noWrap/>
            <w:vAlign w:val="bottom"/>
            <w:hideMark/>
          </w:tcPr>
          <w:p w14:paraId="6F5FB51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1 324</w:t>
            </w:r>
          </w:p>
        </w:tc>
        <w:tc>
          <w:tcPr>
            <w:tcW w:w="1276" w:type="dxa"/>
            <w:tcBorders>
              <w:top w:val="nil"/>
              <w:left w:val="nil"/>
              <w:bottom w:val="single" w:sz="4" w:space="0" w:color="auto"/>
              <w:right w:val="single" w:sz="4" w:space="0" w:color="auto"/>
            </w:tcBorders>
            <w:shd w:val="clear" w:color="auto" w:fill="auto"/>
            <w:noWrap/>
            <w:vAlign w:val="bottom"/>
            <w:hideMark/>
          </w:tcPr>
          <w:p w14:paraId="45B37C5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58 622 748</w:t>
            </w:r>
          </w:p>
        </w:tc>
        <w:tc>
          <w:tcPr>
            <w:tcW w:w="1134" w:type="dxa"/>
            <w:tcBorders>
              <w:top w:val="nil"/>
              <w:left w:val="nil"/>
              <w:bottom w:val="single" w:sz="4" w:space="0" w:color="auto"/>
              <w:right w:val="single" w:sz="4" w:space="0" w:color="auto"/>
            </w:tcBorders>
            <w:shd w:val="clear" w:color="auto" w:fill="auto"/>
            <w:noWrap/>
            <w:vAlign w:val="bottom"/>
            <w:hideMark/>
          </w:tcPr>
          <w:p w14:paraId="11B4E93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3 984,28</w:t>
            </w:r>
          </w:p>
        </w:tc>
        <w:tc>
          <w:tcPr>
            <w:tcW w:w="992" w:type="dxa"/>
            <w:tcBorders>
              <w:top w:val="nil"/>
              <w:left w:val="nil"/>
              <w:bottom w:val="single" w:sz="4" w:space="0" w:color="auto"/>
              <w:right w:val="single" w:sz="4" w:space="0" w:color="auto"/>
            </w:tcBorders>
            <w:shd w:val="clear" w:color="auto" w:fill="auto"/>
            <w:noWrap/>
            <w:vAlign w:val="bottom"/>
            <w:hideMark/>
          </w:tcPr>
          <w:p w14:paraId="6462FEB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1 324</w:t>
            </w:r>
          </w:p>
        </w:tc>
        <w:tc>
          <w:tcPr>
            <w:tcW w:w="1276" w:type="dxa"/>
            <w:tcBorders>
              <w:top w:val="nil"/>
              <w:left w:val="nil"/>
              <w:bottom w:val="single" w:sz="4" w:space="0" w:color="auto"/>
              <w:right w:val="single" w:sz="4" w:space="0" w:color="auto"/>
            </w:tcBorders>
            <w:shd w:val="clear" w:color="auto" w:fill="auto"/>
            <w:noWrap/>
            <w:vAlign w:val="bottom"/>
            <w:hideMark/>
          </w:tcPr>
          <w:p w14:paraId="44D2FE1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63 302 241</w:t>
            </w:r>
          </w:p>
        </w:tc>
        <w:tc>
          <w:tcPr>
            <w:tcW w:w="851" w:type="dxa"/>
            <w:tcBorders>
              <w:top w:val="nil"/>
              <w:left w:val="nil"/>
              <w:bottom w:val="single" w:sz="4" w:space="0" w:color="auto"/>
              <w:right w:val="single" w:sz="4" w:space="0" w:color="auto"/>
            </w:tcBorders>
            <w:shd w:val="clear" w:color="auto" w:fill="auto"/>
            <w:noWrap/>
            <w:vAlign w:val="bottom"/>
            <w:hideMark/>
          </w:tcPr>
          <w:p w14:paraId="6D69732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4 216,74</w:t>
            </w:r>
          </w:p>
        </w:tc>
        <w:tc>
          <w:tcPr>
            <w:tcW w:w="850" w:type="dxa"/>
            <w:tcBorders>
              <w:top w:val="nil"/>
              <w:left w:val="nil"/>
              <w:bottom w:val="single" w:sz="4" w:space="0" w:color="auto"/>
              <w:right w:val="single" w:sz="4" w:space="0" w:color="auto"/>
            </w:tcBorders>
            <w:shd w:val="clear" w:color="auto" w:fill="auto"/>
            <w:noWrap/>
            <w:vAlign w:val="bottom"/>
            <w:hideMark/>
          </w:tcPr>
          <w:p w14:paraId="0173294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1 324</w:t>
            </w:r>
          </w:p>
        </w:tc>
        <w:tc>
          <w:tcPr>
            <w:tcW w:w="1276" w:type="dxa"/>
            <w:tcBorders>
              <w:top w:val="nil"/>
              <w:left w:val="nil"/>
              <w:bottom w:val="single" w:sz="4" w:space="0" w:color="auto"/>
              <w:right w:val="single" w:sz="4" w:space="0" w:color="auto"/>
            </w:tcBorders>
            <w:shd w:val="clear" w:color="auto" w:fill="auto"/>
            <w:noWrap/>
            <w:vAlign w:val="bottom"/>
            <w:hideMark/>
          </w:tcPr>
          <w:p w14:paraId="3A039D1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66 995 565</w:t>
            </w:r>
          </w:p>
        </w:tc>
      </w:tr>
      <w:tr w:rsidR="005902C7" w:rsidRPr="005902C7" w14:paraId="61BA5657" w14:textId="77777777" w:rsidTr="003A0BFD">
        <w:trPr>
          <w:trHeight w:val="12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21B74641"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Apbedīšanas pabalsts</w:t>
            </w:r>
          </w:p>
        </w:tc>
        <w:tc>
          <w:tcPr>
            <w:tcW w:w="1134" w:type="dxa"/>
            <w:tcBorders>
              <w:top w:val="nil"/>
              <w:left w:val="nil"/>
              <w:bottom w:val="single" w:sz="4" w:space="0" w:color="auto"/>
              <w:right w:val="single" w:sz="4" w:space="0" w:color="auto"/>
            </w:tcBorders>
            <w:shd w:val="clear" w:color="auto" w:fill="auto"/>
            <w:noWrap/>
            <w:vAlign w:val="bottom"/>
            <w:hideMark/>
          </w:tcPr>
          <w:p w14:paraId="0F0EE323"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1 697,96</w:t>
            </w:r>
          </w:p>
        </w:tc>
        <w:tc>
          <w:tcPr>
            <w:tcW w:w="992" w:type="dxa"/>
            <w:tcBorders>
              <w:top w:val="nil"/>
              <w:left w:val="nil"/>
              <w:bottom w:val="single" w:sz="4" w:space="0" w:color="auto"/>
              <w:right w:val="single" w:sz="4" w:space="0" w:color="auto"/>
            </w:tcBorders>
            <w:shd w:val="clear" w:color="auto" w:fill="auto"/>
            <w:noWrap/>
            <w:vAlign w:val="bottom"/>
            <w:hideMark/>
          </w:tcPr>
          <w:p w14:paraId="492C800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242</w:t>
            </w:r>
          </w:p>
        </w:tc>
        <w:tc>
          <w:tcPr>
            <w:tcW w:w="1276" w:type="dxa"/>
            <w:tcBorders>
              <w:top w:val="nil"/>
              <w:left w:val="nil"/>
              <w:bottom w:val="single" w:sz="4" w:space="0" w:color="auto"/>
              <w:right w:val="single" w:sz="4" w:space="0" w:color="auto"/>
            </w:tcBorders>
            <w:shd w:val="clear" w:color="auto" w:fill="auto"/>
            <w:noWrap/>
            <w:vAlign w:val="bottom"/>
            <w:hideMark/>
          </w:tcPr>
          <w:p w14:paraId="4B39070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4 930 882</w:t>
            </w:r>
          </w:p>
        </w:tc>
        <w:tc>
          <w:tcPr>
            <w:tcW w:w="1134" w:type="dxa"/>
            <w:tcBorders>
              <w:top w:val="nil"/>
              <w:left w:val="nil"/>
              <w:bottom w:val="single" w:sz="4" w:space="0" w:color="auto"/>
              <w:right w:val="single" w:sz="4" w:space="0" w:color="auto"/>
            </w:tcBorders>
            <w:shd w:val="clear" w:color="auto" w:fill="auto"/>
            <w:noWrap/>
            <w:vAlign w:val="bottom"/>
            <w:hideMark/>
          </w:tcPr>
          <w:p w14:paraId="65CF79F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1 799,32</w:t>
            </w:r>
          </w:p>
        </w:tc>
        <w:tc>
          <w:tcPr>
            <w:tcW w:w="992" w:type="dxa"/>
            <w:tcBorders>
              <w:top w:val="nil"/>
              <w:left w:val="nil"/>
              <w:bottom w:val="single" w:sz="4" w:space="0" w:color="auto"/>
              <w:right w:val="single" w:sz="4" w:space="0" w:color="auto"/>
            </w:tcBorders>
            <w:shd w:val="clear" w:color="auto" w:fill="auto"/>
            <w:noWrap/>
            <w:vAlign w:val="bottom"/>
            <w:hideMark/>
          </w:tcPr>
          <w:p w14:paraId="63881F6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254</w:t>
            </w:r>
          </w:p>
        </w:tc>
        <w:tc>
          <w:tcPr>
            <w:tcW w:w="1276" w:type="dxa"/>
            <w:tcBorders>
              <w:top w:val="nil"/>
              <w:left w:val="nil"/>
              <w:bottom w:val="single" w:sz="4" w:space="0" w:color="auto"/>
              <w:right w:val="single" w:sz="4" w:space="0" w:color="auto"/>
            </w:tcBorders>
            <w:shd w:val="clear" w:color="auto" w:fill="auto"/>
            <w:noWrap/>
            <w:vAlign w:val="bottom"/>
            <w:hideMark/>
          </w:tcPr>
          <w:p w14:paraId="78297E3E"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5 484 335</w:t>
            </w:r>
          </w:p>
        </w:tc>
        <w:tc>
          <w:tcPr>
            <w:tcW w:w="851" w:type="dxa"/>
            <w:tcBorders>
              <w:top w:val="nil"/>
              <w:left w:val="nil"/>
              <w:bottom w:val="single" w:sz="4" w:space="0" w:color="auto"/>
              <w:right w:val="single" w:sz="4" w:space="0" w:color="auto"/>
            </w:tcBorders>
            <w:shd w:val="clear" w:color="auto" w:fill="auto"/>
            <w:noWrap/>
            <w:vAlign w:val="bottom"/>
            <w:hideMark/>
          </w:tcPr>
          <w:p w14:paraId="6ADD09D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1 907,78</w:t>
            </w:r>
          </w:p>
        </w:tc>
        <w:tc>
          <w:tcPr>
            <w:tcW w:w="850" w:type="dxa"/>
            <w:tcBorders>
              <w:top w:val="nil"/>
              <w:left w:val="nil"/>
              <w:bottom w:val="single" w:sz="4" w:space="0" w:color="auto"/>
              <w:right w:val="single" w:sz="4" w:space="0" w:color="auto"/>
            </w:tcBorders>
            <w:shd w:val="clear" w:color="auto" w:fill="auto"/>
            <w:noWrap/>
            <w:vAlign w:val="bottom"/>
            <w:hideMark/>
          </w:tcPr>
          <w:p w14:paraId="3CCF0D3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267</w:t>
            </w:r>
          </w:p>
        </w:tc>
        <w:tc>
          <w:tcPr>
            <w:tcW w:w="1276" w:type="dxa"/>
            <w:tcBorders>
              <w:top w:val="nil"/>
              <w:left w:val="nil"/>
              <w:bottom w:val="single" w:sz="4" w:space="0" w:color="auto"/>
              <w:right w:val="single" w:sz="4" w:space="0" w:color="auto"/>
            </w:tcBorders>
            <w:shd w:val="clear" w:color="auto" w:fill="auto"/>
            <w:noWrap/>
            <w:vAlign w:val="bottom"/>
            <w:hideMark/>
          </w:tcPr>
          <w:p w14:paraId="6E3AD2E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6 112 521</w:t>
            </w:r>
          </w:p>
        </w:tc>
      </w:tr>
      <w:tr w:rsidR="005902C7" w:rsidRPr="005902C7" w14:paraId="782C70B1" w14:textId="77777777" w:rsidTr="003A0BFD">
        <w:trPr>
          <w:trHeight w:val="401"/>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448F20D8" w14:textId="77777777" w:rsidR="005902C7" w:rsidRPr="00D84B9C" w:rsidRDefault="005902C7" w:rsidP="00EA7247">
            <w:pPr>
              <w:spacing w:after="0"/>
              <w:ind w:left="321" w:firstLine="0"/>
              <w:jc w:val="left"/>
              <w:rPr>
                <w:rFonts w:eastAsia="Times New Roman" w:cs="Times New Roman"/>
                <w:sz w:val="18"/>
                <w:szCs w:val="18"/>
              </w:rPr>
            </w:pPr>
            <w:r w:rsidRPr="00D84B9C">
              <w:rPr>
                <w:rFonts w:eastAsia="Times New Roman" w:cs="Times New Roman"/>
                <w:sz w:val="18"/>
                <w:szCs w:val="18"/>
              </w:rPr>
              <w:t>Kaitējuma atlīdzība Černobiļas AES avārijas rezultātā cietušajām personām</w:t>
            </w:r>
          </w:p>
        </w:tc>
        <w:tc>
          <w:tcPr>
            <w:tcW w:w="1134" w:type="dxa"/>
            <w:tcBorders>
              <w:top w:val="nil"/>
              <w:left w:val="nil"/>
              <w:bottom w:val="single" w:sz="4" w:space="0" w:color="auto"/>
              <w:right w:val="single" w:sz="4" w:space="0" w:color="auto"/>
            </w:tcBorders>
            <w:shd w:val="clear" w:color="auto" w:fill="auto"/>
            <w:noWrap/>
            <w:vAlign w:val="bottom"/>
            <w:hideMark/>
          </w:tcPr>
          <w:p w14:paraId="41EBE51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278,26</w:t>
            </w:r>
          </w:p>
        </w:tc>
        <w:tc>
          <w:tcPr>
            <w:tcW w:w="992" w:type="dxa"/>
            <w:tcBorders>
              <w:top w:val="nil"/>
              <w:left w:val="nil"/>
              <w:bottom w:val="single" w:sz="4" w:space="0" w:color="auto"/>
              <w:right w:val="single" w:sz="4" w:space="0" w:color="auto"/>
            </w:tcBorders>
            <w:shd w:val="clear" w:color="auto" w:fill="auto"/>
            <w:noWrap/>
            <w:vAlign w:val="bottom"/>
            <w:hideMark/>
          </w:tcPr>
          <w:p w14:paraId="11C1AA4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2 369</w:t>
            </w:r>
          </w:p>
        </w:tc>
        <w:tc>
          <w:tcPr>
            <w:tcW w:w="1276" w:type="dxa"/>
            <w:tcBorders>
              <w:top w:val="nil"/>
              <w:left w:val="nil"/>
              <w:bottom w:val="single" w:sz="4" w:space="0" w:color="auto"/>
              <w:right w:val="single" w:sz="4" w:space="0" w:color="auto"/>
            </w:tcBorders>
            <w:shd w:val="clear" w:color="auto" w:fill="auto"/>
            <w:noWrap/>
            <w:vAlign w:val="bottom"/>
            <w:hideMark/>
          </w:tcPr>
          <w:p w14:paraId="4DAD713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7 910 375</w:t>
            </w:r>
          </w:p>
        </w:tc>
        <w:tc>
          <w:tcPr>
            <w:tcW w:w="1134" w:type="dxa"/>
            <w:tcBorders>
              <w:top w:val="nil"/>
              <w:left w:val="nil"/>
              <w:bottom w:val="single" w:sz="4" w:space="0" w:color="auto"/>
              <w:right w:val="single" w:sz="4" w:space="0" w:color="auto"/>
            </w:tcBorders>
            <w:shd w:val="clear" w:color="auto" w:fill="auto"/>
            <w:noWrap/>
            <w:vAlign w:val="bottom"/>
            <w:hideMark/>
          </w:tcPr>
          <w:p w14:paraId="11DCBFD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289,71</w:t>
            </w:r>
          </w:p>
        </w:tc>
        <w:tc>
          <w:tcPr>
            <w:tcW w:w="992" w:type="dxa"/>
            <w:tcBorders>
              <w:top w:val="nil"/>
              <w:left w:val="nil"/>
              <w:bottom w:val="single" w:sz="4" w:space="0" w:color="auto"/>
              <w:right w:val="single" w:sz="4" w:space="0" w:color="auto"/>
            </w:tcBorders>
            <w:shd w:val="clear" w:color="auto" w:fill="auto"/>
            <w:noWrap/>
            <w:vAlign w:val="bottom"/>
            <w:hideMark/>
          </w:tcPr>
          <w:p w14:paraId="5CB78C4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2 392</w:t>
            </w:r>
          </w:p>
        </w:tc>
        <w:tc>
          <w:tcPr>
            <w:tcW w:w="1276" w:type="dxa"/>
            <w:tcBorders>
              <w:top w:val="nil"/>
              <w:left w:val="nil"/>
              <w:bottom w:val="single" w:sz="4" w:space="0" w:color="auto"/>
              <w:right w:val="single" w:sz="4" w:space="0" w:color="auto"/>
            </w:tcBorders>
            <w:shd w:val="clear" w:color="auto" w:fill="auto"/>
            <w:noWrap/>
            <w:vAlign w:val="bottom"/>
            <w:hideMark/>
          </w:tcPr>
          <w:p w14:paraId="088DEB2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8 315 836</w:t>
            </w:r>
          </w:p>
        </w:tc>
        <w:tc>
          <w:tcPr>
            <w:tcW w:w="851" w:type="dxa"/>
            <w:tcBorders>
              <w:top w:val="nil"/>
              <w:left w:val="nil"/>
              <w:bottom w:val="single" w:sz="4" w:space="0" w:color="auto"/>
              <w:right w:val="single" w:sz="4" w:space="0" w:color="auto"/>
            </w:tcBorders>
            <w:shd w:val="clear" w:color="auto" w:fill="auto"/>
            <w:noWrap/>
            <w:vAlign w:val="bottom"/>
            <w:hideMark/>
          </w:tcPr>
          <w:p w14:paraId="4782B25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302,81</w:t>
            </w:r>
          </w:p>
        </w:tc>
        <w:tc>
          <w:tcPr>
            <w:tcW w:w="850" w:type="dxa"/>
            <w:tcBorders>
              <w:top w:val="nil"/>
              <w:left w:val="nil"/>
              <w:bottom w:val="single" w:sz="4" w:space="0" w:color="auto"/>
              <w:right w:val="single" w:sz="4" w:space="0" w:color="auto"/>
            </w:tcBorders>
            <w:shd w:val="clear" w:color="auto" w:fill="auto"/>
            <w:noWrap/>
            <w:vAlign w:val="bottom"/>
            <w:hideMark/>
          </w:tcPr>
          <w:p w14:paraId="7C01CEBC"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2 416</w:t>
            </w:r>
          </w:p>
        </w:tc>
        <w:tc>
          <w:tcPr>
            <w:tcW w:w="1276" w:type="dxa"/>
            <w:tcBorders>
              <w:top w:val="nil"/>
              <w:left w:val="nil"/>
              <w:bottom w:val="single" w:sz="4" w:space="0" w:color="auto"/>
              <w:right w:val="single" w:sz="4" w:space="0" w:color="auto"/>
            </w:tcBorders>
            <w:shd w:val="clear" w:color="auto" w:fill="auto"/>
            <w:noWrap/>
            <w:vAlign w:val="bottom"/>
            <w:hideMark/>
          </w:tcPr>
          <w:p w14:paraId="6C64F58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8 779 068</w:t>
            </w:r>
          </w:p>
        </w:tc>
      </w:tr>
      <w:tr w:rsidR="005902C7" w:rsidRPr="005902C7" w14:paraId="194AC507" w14:textId="77777777" w:rsidTr="003A0BFD">
        <w:trPr>
          <w:trHeight w:val="7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BEC341B"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Paternitātes pabalsts</w:t>
            </w:r>
          </w:p>
        </w:tc>
        <w:tc>
          <w:tcPr>
            <w:tcW w:w="1134" w:type="dxa"/>
            <w:tcBorders>
              <w:top w:val="nil"/>
              <w:left w:val="nil"/>
              <w:bottom w:val="single" w:sz="4" w:space="0" w:color="auto"/>
              <w:right w:val="single" w:sz="4" w:space="0" w:color="auto"/>
            </w:tcBorders>
            <w:shd w:val="clear" w:color="auto" w:fill="auto"/>
            <w:noWrap/>
            <w:vAlign w:val="bottom"/>
            <w:hideMark/>
          </w:tcPr>
          <w:p w14:paraId="0F97C8C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432,20</w:t>
            </w:r>
          </w:p>
        </w:tc>
        <w:tc>
          <w:tcPr>
            <w:tcW w:w="992" w:type="dxa"/>
            <w:tcBorders>
              <w:top w:val="nil"/>
              <w:left w:val="nil"/>
              <w:bottom w:val="single" w:sz="4" w:space="0" w:color="auto"/>
              <w:right w:val="single" w:sz="4" w:space="0" w:color="auto"/>
            </w:tcBorders>
            <w:shd w:val="clear" w:color="auto" w:fill="auto"/>
            <w:noWrap/>
            <w:vAlign w:val="bottom"/>
            <w:hideMark/>
          </w:tcPr>
          <w:p w14:paraId="4CFD388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820</w:t>
            </w:r>
          </w:p>
        </w:tc>
        <w:tc>
          <w:tcPr>
            <w:tcW w:w="1276" w:type="dxa"/>
            <w:tcBorders>
              <w:top w:val="nil"/>
              <w:left w:val="nil"/>
              <w:bottom w:val="single" w:sz="4" w:space="0" w:color="auto"/>
              <w:right w:val="single" w:sz="4" w:space="0" w:color="auto"/>
            </w:tcBorders>
            <w:shd w:val="clear" w:color="auto" w:fill="auto"/>
            <w:noWrap/>
            <w:vAlign w:val="bottom"/>
            <w:hideMark/>
          </w:tcPr>
          <w:p w14:paraId="296E778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4 252 848</w:t>
            </w:r>
          </w:p>
        </w:tc>
        <w:tc>
          <w:tcPr>
            <w:tcW w:w="1134" w:type="dxa"/>
            <w:tcBorders>
              <w:top w:val="nil"/>
              <w:left w:val="nil"/>
              <w:bottom w:val="single" w:sz="4" w:space="0" w:color="auto"/>
              <w:right w:val="single" w:sz="4" w:space="0" w:color="auto"/>
            </w:tcBorders>
            <w:shd w:val="clear" w:color="auto" w:fill="auto"/>
            <w:noWrap/>
            <w:vAlign w:val="bottom"/>
            <w:hideMark/>
          </w:tcPr>
          <w:p w14:paraId="0DEC196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456,06</w:t>
            </w:r>
          </w:p>
        </w:tc>
        <w:tc>
          <w:tcPr>
            <w:tcW w:w="992" w:type="dxa"/>
            <w:tcBorders>
              <w:top w:val="nil"/>
              <w:left w:val="nil"/>
              <w:bottom w:val="single" w:sz="4" w:space="0" w:color="auto"/>
              <w:right w:val="single" w:sz="4" w:space="0" w:color="auto"/>
            </w:tcBorders>
            <w:shd w:val="clear" w:color="auto" w:fill="auto"/>
            <w:noWrap/>
            <w:vAlign w:val="bottom"/>
            <w:hideMark/>
          </w:tcPr>
          <w:p w14:paraId="3597A0C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845</w:t>
            </w:r>
          </w:p>
        </w:tc>
        <w:tc>
          <w:tcPr>
            <w:tcW w:w="1276" w:type="dxa"/>
            <w:tcBorders>
              <w:top w:val="nil"/>
              <w:left w:val="nil"/>
              <w:bottom w:val="single" w:sz="4" w:space="0" w:color="auto"/>
              <w:right w:val="single" w:sz="4" w:space="0" w:color="auto"/>
            </w:tcBorders>
            <w:shd w:val="clear" w:color="auto" w:fill="auto"/>
            <w:noWrap/>
            <w:vAlign w:val="bottom"/>
            <w:hideMark/>
          </w:tcPr>
          <w:p w14:paraId="150068C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4 624 448</w:t>
            </w:r>
          </w:p>
        </w:tc>
        <w:tc>
          <w:tcPr>
            <w:tcW w:w="851" w:type="dxa"/>
            <w:tcBorders>
              <w:top w:val="nil"/>
              <w:left w:val="nil"/>
              <w:bottom w:val="single" w:sz="4" w:space="0" w:color="auto"/>
              <w:right w:val="single" w:sz="4" w:space="0" w:color="auto"/>
            </w:tcBorders>
            <w:shd w:val="clear" w:color="auto" w:fill="auto"/>
            <w:noWrap/>
            <w:vAlign w:val="bottom"/>
            <w:hideMark/>
          </w:tcPr>
          <w:p w14:paraId="4BC1979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480,17</w:t>
            </w:r>
          </w:p>
        </w:tc>
        <w:tc>
          <w:tcPr>
            <w:tcW w:w="850" w:type="dxa"/>
            <w:tcBorders>
              <w:top w:val="nil"/>
              <w:left w:val="nil"/>
              <w:bottom w:val="single" w:sz="4" w:space="0" w:color="auto"/>
              <w:right w:val="single" w:sz="4" w:space="0" w:color="auto"/>
            </w:tcBorders>
            <w:shd w:val="clear" w:color="auto" w:fill="auto"/>
            <w:noWrap/>
            <w:vAlign w:val="bottom"/>
            <w:hideMark/>
          </w:tcPr>
          <w:p w14:paraId="5CE1D6F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871</w:t>
            </w:r>
          </w:p>
        </w:tc>
        <w:tc>
          <w:tcPr>
            <w:tcW w:w="1276" w:type="dxa"/>
            <w:tcBorders>
              <w:top w:val="nil"/>
              <w:left w:val="nil"/>
              <w:bottom w:val="single" w:sz="4" w:space="0" w:color="auto"/>
              <w:right w:val="single" w:sz="4" w:space="0" w:color="auto"/>
            </w:tcBorders>
            <w:shd w:val="clear" w:color="auto" w:fill="auto"/>
            <w:noWrap/>
            <w:vAlign w:val="bottom"/>
            <w:hideMark/>
          </w:tcPr>
          <w:p w14:paraId="5EFFE03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5 018 737</w:t>
            </w:r>
          </w:p>
        </w:tc>
      </w:tr>
      <w:tr w:rsidR="005902C7" w:rsidRPr="005902C7" w14:paraId="2FB03CCC" w14:textId="77777777" w:rsidTr="003A0BFD">
        <w:trPr>
          <w:trHeight w:val="118"/>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647565D9"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Darbā nodarītā kaitējuma atlīdzība</w:t>
            </w:r>
          </w:p>
        </w:tc>
        <w:tc>
          <w:tcPr>
            <w:tcW w:w="1134" w:type="dxa"/>
            <w:tcBorders>
              <w:top w:val="nil"/>
              <w:left w:val="nil"/>
              <w:bottom w:val="single" w:sz="4" w:space="0" w:color="auto"/>
              <w:right w:val="single" w:sz="4" w:space="0" w:color="auto"/>
            </w:tcBorders>
            <w:shd w:val="clear" w:color="auto" w:fill="auto"/>
            <w:noWrap/>
            <w:vAlign w:val="bottom"/>
            <w:hideMark/>
          </w:tcPr>
          <w:p w14:paraId="06D11A8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155,36</w:t>
            </w:r>
          </w:p>
        </w:tc>
        <w:tc>
          <w:tcPr>
            <w:tcW w:w="992" w:type="dxa"/>
            <w:tcBorders>
              <w:top w:val="nil"/>
              <w:left w:val="nil"/>
              <w:bottom w:val="single" w:sz="4" w:space="0" w:color="auto"/>
              <w:right w:val="single" w:sz="4" w:space="0" w:color="auto"/>
            </w:tcBorders>
            <w:shd w:val="clear" w:color="auto" w:fill="auto"/>
            <w:noWrap/>
            <w:vAlign w:val="bottom"/>
            <w:hideMark/>
          </w:tcPr>
          <w:p w14:paraId="1EF3D868"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1 020</w:t>
            </w:r>
          </w:p>
        </w:tc>
        <w:tc>
          <w:tcPr>
            <w:tcW w:w="1276" w:type="dxa"/>
            <w:tcBorders>
              <w:top w:val="nil"/>
              <w:left w:val="nil"/>
              <w:bottom w:val="single" w:sz="4" w:space="0" w:color="auto"/>
              <w:right w:val="single" w:sz="4" w:space="0" w:color="auto"/>
            </w:tcBorders>
            <w:shd w:val="clear" w:color="auto" w:fill="auto"/>
            <w:noWrap/>
            <w:vAlign w:val="bottom"/>
            <w:hideMark/>
          </w:tcPr>
          <w:p w14:paraId="0BC1D11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1 901 613</w:t>
            </w:r>
          </w:p>
        </w:tc>
        <w:tc>
          <w:tcPr>
            <w:tcW w:w="1134" w:type="dxa"/>
            <w:tcBorders>
              <w:top w:val="nil"/>
              <w:left w:val="nil"/>
              <w:bottom w:val="single" w:sz="4" w:space="0" w:color="auto"/>
              <w:right w:val="single" w:sz="4" w:space="0" w:color="auto"/>
            </w:tcBorders>
            <w:shd w:val="clear" w:color="auto" w:fill="auto"/>
            <w:noWrap/>
            <w:vAlign w:val="bottom"/>
            <w:hideMark/>
          </w:tcPr>
          <w:p w14:paraId="257E575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159,86</w:t>
            </w:r>
          </w:p>
        </w:tc>
        <w:tc>
          <w:tcPr>
            <w:tcW w:w="992" w:type="dxa"/>
            <w:tcBorders>
              <w:top w:val="nil"/>
              <w:left w:val="nil"/>
              <w:bottom w:val="single" w:sz="4" w:space="0" w:color="auto"/>
              <w:right w:val="single" w:sz="4" w:space="0" w:color="auto"/>
            </w:tcBorders>
            <w:shd w:val="clear" w:color="auto" w:fill="auto"/>
            <w:noWrap/>
            <w:vAlign w:val="bottom"/>
            <w:hideMark/>
          </w:tcPr>
          <w:p w14:paraId="7AEA4A9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1 020</w:t>
            </w:r>
          </w:p>
        </w:tc>
        <w:tc>
          <w:tcPr>
            <w:tcW w:w="1276" w:type="dxa"/>
            <w:tcBorders>
              <w:top w:val="nil"/>
              <w:left w:val="nil"/>
              <w:bottom w:val="single" w:sz="4" w:space="0" w:color="auto"/>
              <w:right w:val="single" w:sz="4" w:space="0" w:color="auto"/>
            </w:tcBorders>
            <w:shd w:val="clear" w:color="auto" w:fill="auto"/>
            <w:noWrap/>
            <w:vAlign w:val="bottom"/>
            <w:hideMark/>
          </w:tcPr>
          <w:p w14:paraId="093DACA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1 956 643</w:t>
            </w:r>
          </w:p>
        </w:tc>
        <w:tc>
          <w:tcPr>
            <w:tcW w:w="851" w:type="dxa"/>
            <w:tcBorders>
              <w:top w:val="nil"/>
              <w:left w:val="nil"/>
              <w:bottom w:val="single" w:sz="4" w:space="0" w:color="auto"/>
              <w:right w:val="single" w:sz="4" w:space="0" w:color="auto"/>
            </w:tcBorders>
            <w:shd w:val="clear" w:color="auto" w:fill="auto"/>
            <w:noWrap/>
            <w:vAlign w:val="bottom"/>
            <w:hideMark/>
          </w:tcPr>
          <w:p w14:paraId="1E16268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164,43</w:t>
            </w:r>
          </w:p>
        </w:tc>
        <w:tc>
          <w:tcPr>
            <w:tcW w:w="850" w:type="dxa"/>
            <w:tcBorders>
              <w:top w:val="nil"/>
              <w:left w:val="nil"/>
              <w:bottom w:val="single" w:sz="4" w:space="0" w:color="auto"/>
              <w:right w:val="single" w:sz="4" w:space="0" w:color="auto"/>
            </w:tcBorders>
            <w:shd w:val="clear" w:color="auto" w:fill="auto"/>
            <w:noWrap/>
            <w:vAlign w:val="bottom"/>
            <w:hideMark/>
          </w:tcPr>
          <w:p w14:paraId="52D05C3C"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1 020</w:t>
            </w:r>
          </w:p>
        </w:tc>
        <w:tc>
          <w:tcPr>
            <w:tcW w:w="1276" w:type="dxa"/>
            <w:tcBorders>
              <w:top w:val="nil"/>
              <w:left w:val="nil"/>
              <w:bottom w:val="single" w:sz="4" w:space="0" w:color="auto"/>
              <w:right w:val="single" w:sz="4" w:space="0" w:color="auto"/>
            </w:tcBorders>
            <w:shd w:val="clear" w:color="auto" w:fill="auto"/>
            <w:noWrap/>
            <w:vAlign w:val="bottom"/>
            <w:hideMark/>
          </w:tcPr>
          <w:p w14:paraId="1E6F522D"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2 012 579</w:t>
            </w:r>
          </w:p>
        </w:tc>
      </w:tr>
      <w:tr w:rsidR="005902C7" w:rsidRPr="005902C7" w14:paraId="259C3649" w14:textId="77777777" w:rsidTr="003A0BFD">
        <w:trPr>
          <w:trHeight w:val="177"/>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17193DA5" w14:textId="77777777" w:rsidR="005902C7" w:rsidRPr="00D84B9C" w:rsidRDefault="005902C7" w:rsidP="005902C7">
            <w:pPr>
              <w:spacing w:after="0"/>
              <w:ind w:firstLineChars="200" w:firstLine="360"/>
              <w:jc w:val="left"/>
              <w:rPr>
                <w:rFonts w:eastAsia="Times New Roman" w:cs="Times New Roman"/>
                <w:sz w:val="18"/>
                <w:szCs w:val="18"/>
              </w:rPr>
            </w:pPr>
            <w:r w:rsidRPr="00D84B9C">
              <w:rPr>
                <w:rFonts w:eastAsia="Times New Roman" w:cs="Times New Roman"/>
                <w:sz w:val="18"/>
                <w:szCs w:val="18"/>
              </w:rPr>
              <w:t>Vecāku pabalsts</w:t>
            </w:r>
          </w:p>
        </w:tc>
        <w:tc>
          <w:tcPr>
            <w:tcW w:w="1134" w:type="dxa"/>
            <w:tcBorders>
              <w:top w:val="nil"/>
              <w:left w:val="nil"/>
              <w:bottom w:val="single" w:sz="4" w:space="0" w:color="auto"/>
              <w:right w:val="single" w:sz="4" w:space="0" w:color="auto"/>
            </w:tcBorders>
            <w:shd w:val="clear" w:color="auto" w:fill="auto"/>
            <w:noWrap/>
            <w:vAlign w:val="bottom"/>
            <w:hideMark/>
          </w:tcPr>
          <w:p w14:paraId="3E5EAD1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521,51</w:t>
            </w:r>
          </w:p>
        </w:tc>
        <w:tc>
          <w:tcPr>
            <w:tcW w:w="992" w:type="dxa"/>
            <w:tcBorders>
              <w:top w:val="nil"/>
              <w:left w:val="nil"/>
              <w:bottom w:val="single" w:sz="4" w:space="0" w:color="auto"/>
              <w:right w:val="single" w:sz="4" w:space="0" w:color="auto"/>
            </w:tcBorders>
            <w:shd w:val="clear" w:color="auto" w:fill="auto"/>
            <w:noWrap/>
            <w:vAlign w:val="bottom"/>
            <w:hideMark/>
          </w:tcPr>
          <w:p w14:paraId="5124515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21 021</w:t>
            </w:r>
          </w:p>
        </w:tc>
        <w:tc>
          <w:tcPr>
            <w:tcW w:w="1276" w:type="dxa"/>
            <w:tcBorders>
              <w:top w:val="nil"/>
              <w:left w:val="nil"/>
              <w:bottom w:val="single" w:sz="4" w:space="0" w:color="auto"/>
              <w:right w:val="single" w:sz="4" w:space="0" w:color="auto"/>
            </w:tcBorders>
            <w:shd w:val="clear" w:color="auto" w:fill="auto"/>
            <w:noWrap/>
            <w:vAlign w:val="bottom"/>
            <w:hideMark/>
          </w:tcPr>
          <w:p w14:paraId="7951FAC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131 551 941</w:t>
            </w:r>
          </w:p>
        </w:tc>
        <w:tc>
          <w:tcPr>
            <w:tcW w:w="1134" w:type="dxa"/>
            <w:tcBorders>
              <w:top w:val="nil"/>
              <w:left w:val="nil"/>
              <w:bottom w:val="single" w:sz="4" w:space="0" w:color="auto"/>
              <w:right w:val="single" w:sz="4" w:space="0" w:color="auto"/>
            </w:tcBorders>
            <w:shd w:val="clear" w:color="auto" w:fill="auto"/>
            <w:noWrap/>
            <w:vAlign w:val="bottom"/>
            <w:hideMark/>
          </w:tcPr>
          <w:p w14:paraId="590DB12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556,27</w:t>
            </w:r>
          </w:p>
        </w:tc>
        <w:tc>
          <w:tcPr>
            <w:tcW w:w="992" w:type="dxa"/>
            <w:tcBorders>
              <w:top w:val="nil"/>
              <w:left w:val="nil"/>
              <w:bottom w:val="single" w:sz="4" w:space="0" w:color="auto"/>
              <w:right w:val="single" w:sz="4" w:space="0" w:color="auto"/>
            </w:tcBorders>
            <w:shd w:val="clear" w:color="auto" w:fill="auto"/>
            <w:noWrap/>
            <w:vAlign w:val="bottom"/>
            <w:hideMark/>
          </w:tcPr>
          <w:p w14:paraId="7D5111EE"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21 021</w:t>
            </w:r>
          </w:p>
        </w:tc>
        <w:tc>
          <w:tcPr>
            <w:tcW w:w="1276" w:type="dxa"/>
            <w:tcBorders>
              <w:top w:val="nil"/>
              <w:left w:val="nil"/>
              <w:bottom w:val="single" w:sz="4" w:space="0" w:color="auto"/>
              <w:right w:val="single" w:sz="4" w:space="0" w:color="auto"/>
            </w:tcBorders>
            <w:shd w:val="clear" w:color="auto" w:fill="auto"/>
            <w:noWrap/>
            <w:vAlign w:val="bottom"/>
            <w:hideMark/>
          </w:tcPr>
          <w:p w14:paraId="2A29DA96"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140 320 220</w:t>
            </w:r>
          </w:p>
        </w:tc>
        <w:tc>
          <w:tcPr>
            <w:tcW w:w="851" w:type="dxa"/>
            <w:tcBorders>
              <w:top w:val="nil"/>
              <w:left w:val="nil"/>
              <w:bottom w:val="single" w:sz="4" w:space="0" w:color="auto"/>
              <w:right w:val="single" w:sz="4" w:space="0" w:color="auto"/>
            </w:tcBorders>
            <w:shd w:val="clear" w:color="auto" w:fill="auto"/>
            <w:noWrap/>
            <w:vAlign w:val="bottom"/>
            <w:hideMark/>
          </w:tcPr>
          <w:p w14:paraId="22B3818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595,22</w:t>
            </w:r>
          </w:p>
        </w:tc>
        <w:tc>
          <w:tcPr>
            <w:tcW w:w="850" w:type="dxa"/>
            <w:tcBorders>
              <w:top w:val="nil"/>
              <w:left w:val="nil"/>
              <w:bottom w:val="single" w:sz="4" w:space="0" w:color="auto"/>
              <w:right w:val="single" w:sz="4" w:space="0" w:color="auto"/>
            </w:tcBorders>
            <w:shd w:val="clear" w:color="auto" w:fill="auto"/>
            <w:noWrap/>
            <w:vAlign w:val="bottom"/>
            <w:hideMark/>
          </w:tcPr>
          <w:p w14:paraId="5B7D44D4"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21 021</w:t>
            </w:r>
          </w:p>
        </w:tc>
        <w:tc>
          <w:tcPr>
            <w:tcW w:w="1276" w:type="dxa"/>
            <w:tcBorders>
              <w:top w:val="nil"/>
              <w:left w:val="nil"/>
              <w:bottom w:val="single" w:sz="4" w:space="0" w:color="auto"/>
              <w:right w:val="single" w:sz="4" w:space="0" w:color="auto"/>
            </w:tcBorders>
            <w:shd w:val="clear" w:color="auto" w:fill="auto"/>
            <w:noWrap/>
            <w:vAlign w:val="bottom"/>
            <w:hideMark/>
          </w:tcPr>
          <w:p w14:paraId="6FC64D9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150 145 435</w:t>
            </w:r>
          </w:p>
        </w:tc>
      </w:tr>
      <w:tr w:rsidR="005902C7" w:rsidRPr="005902C7" w14:paraId="637E9A9E" w14:textId="77777777" w:rsidTr="003A0BFD">
        <w:trPr>
          <w:trHeight w:val="251"/>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74DB5579" w14:textId="77777777" w:rsidR="005902C7" w:rsidRPr="00D84B9C" w:rsidRDefault="005902C7" w:rsidP="00D84B9C">
            <w:pPr>
              <w:spacing w:after="0"/>
              <w:ind w:left="321" w:firstLineChars="21" w:firstLine="38"/>
              <w:jc w:val="left"/>
              <w:rPr>
                <w:rFonts w:eastAsia="Times New Roman" w:cs="Times New Roman"/>
                <w:sz w:val="18"/>
                <w:szCs w:val="18"/>
              </w:rPr>
            </w:pPr>
            <w:r w:rsidRPr="00D84B9C">
              <w:rPr>
                <w:rFonts w:eastAsia="Times New Roman" w:cs="Times New Roman"/>
                <w:sz w:val="18"/>
                <w:szCs w:val="18"/>
              </w:rPr>
              <w:t>Pabalsts pensijas saņēmēja nāves gadījumā pārdzīvojušam laulātajam</w:t>
            </w:r>
          </w:p>
        </w:tc>
        <w:tc>
          <w:tcPr>
            <w:tcW w:w="1134" w:type="dxa"/>
            <w:tcBorders>
              <w:top w:val="nil"/>
              <w:left w:val="nil"/>
              <w:bottom w:val="single" w:sz="4" w:space="0" w:color="auto"/>
              <w:right w:val="single" w:sz="4" w:space="0" w:color="auto"/>
            </w:tcBorders>
            <w:shd w:val="clear" w:color="auto" w:fill="auto"/>
            <w:noWrap/>
            <w:vAlign w:val="bottom"/>
            <w:hideMark/>
          </w:tcPr>
          <w:p w14:paraId="1D6B03B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143,69</w:t>
            </w:r>
          </w:p>
        </w:tc>
        <w:tc>
          <w:tcPr>
            <w:tcW w:w="992" w:type="dxa"/>
            <w:tcBorders>
              <w:top w:val="nil"/>
              <w:left w:val="nil"/>
              <w:bottom w:val="single" w:sz="4" w:space="0" w:color="auto"/>
              <w:right w:val="single" w:sz="4" w:space="0" w:color="auto"/>
            </w:tcBorders>
            <w:shd w:val="clear" w:color="auto" w:fill="auto"/>
            <w:noWrap/>
            <w:vAlign w:val="bottom"/>
            <w:hideMark/>
          </w:tcPr>
          <w:p w14:paraId="2D792CD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360</w:t>
            </w:r>
          </w:p>
        </w:tc>
        <w:tc>
          <w:tcPr>
            <w:tcW w:w="1276" w:type="dxa"/>
            <w:tcBorders>
              <w:top w:val="nil"/>
              <w:left w:val="nil"/>
              <w:bottom w:val="single" w:sz="4" w:space="0" w:color="auto"/>
              <w:right w:val="single" w:sz="4" w:space="0" w:color="auto"/>
            </w:tcBorders>
            <w:shd w:val="clear" w:color="auto" w:fill="auto"/>
            <w:noWrap/>
            <w:vAlign w:val="bottom"/>
            <w:hideMark/>
          </w:tcPr>
          <w:p w14:paraId="1CB8F20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620 741</w:t>
            </w:r>
          </w:p>
        </w:tc>
        <w:tc>
          <w:tcPr>
            <w:tcW w:w="1134" w:type="dxa"/>
            <w:tcBorders>
              <w:top w:val="nil"/>
              <w:left w:val="nil"/>
              <w:bottom w:val="single" w:sz="4" w:space="0" w:color="auto"/>
              <w:right w:val="single" w:sz="4" w:space="0" w:color="auto"/>
            </w:tcBorders>
            <w:shd w:val="clear" w:color="auto" w:fill="auto"/>
            <w:noWrap/>
            <w:vAlign w:val="bottom"/>
            <w:hideMark/>
          </w:tcPr>
          <w:p w14:paraId="7E2A589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147,99</w:t>
            </w:r>
          </w:p>
        </w:tc>
        <w:tc>
          <w:tcPr>
            <w:tcW w:w="992" w:type="dxa"/>
            <w:tcBorders>
              <w:top w:val="nil"/>
              <w:left w:val="nil"/>
              <w:bottom w:val="single" w:sz="4" w:space="0" w:color="auto"/>
              <w:right w:val="single" w:sz="4" w:space="0" w:color="auto"/>
            </w:tcBorders>
            <w:shd w:val="clear" w:color="auto" w:fill="auto"/>
            <w:noWrap/>
            <w:vAlign w:val="bottom"/>
            <w:hideMark/>
          </w:tcPr>
          <w:p w14:paraId="3995E62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360</w:t>
            </w:r>
          </w:p>
        </w:tc>
        <w:tc>
          <w:tcPr>
            <w:tcW w:w="1276" w:type="dxa"/>
            <w:tcBorders>
              <w:top w:val="nil"/>
              <w:left w:val="nil"/>
              <w:bottom w:val="single" w:sz="4" w:space="0" w:color="auto"/>
              <w:right w:val="single" w:sz="4" w:space="0" w:color="auto"/>
            </w:tcBorders>
            <w:shd w:val="clear" w:color="auto" w:fill="auto"/>
            <w:noWrap/>
            <w:vAlign w:val="bottom"/>
            <w:hideMark/>
          </w:tcPr>
          <w:p w14:paraId="46AB810B"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639 322</w:t>
            </w:r>
          </w:p>
        </w:tc>
        <w:tc>
          <w:tcPr>
            <w:tcW w:w="851" w:type="dxa"/>
            <w:tcBorders>
              <w:top w:val="nil"/>
              <w:left w:val="nil"/>
              <w:bottom w:val="single" w:sz="4" w:space="0" w:color="auto"/>
              <w:right w:val="single" w:sz="4" w:space="0" w:color="auto"/>
            </w:tcBorders>
            <w:shd w:val="clear" w:color="auto" w:fill="auto"/>
            <w:noWrap/>
            <w:vAlign w:val="bottom"/>
            <w:hideMark/>
          </w:tcPr>
          <w:p w14:paraId="3C826E2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152,44</w:t>
            </w:r>
          </w:p>
        </w:tc>
        <w:tc>
          <w:tcPr>
            <w:tcW w:w="850" w:type="dxa"/>
            <w:tcBorders>
              <w:top w:val="nil"/>
              <w:left w:val="nil"/>
              <w:bottom w:val="single" w:sz="4" w:space="0" w:color="auto"/>
              <w:right w:val="single" w:sz="4" w:space="0" w:color="auto"/>
            </w:tcBorders>
            <w:shd w:val="clear" w:color="auto" w:fill="auto"/>
            <w:noWrap/>
            <w:vAlign w:val="bottom"/>
            <w:hideMark/>
          </w:tcPr>
          <w:p w14:paraId="72C85189"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360</w:t>
            </w:r>
          </w:p>
        </w:tc>
        <w:tc>
          <w:tcPr>
            <w:tcW w:w="1276" w:type="dxa"/>
            <w:tcBorders>
              <w:top w:val="nil"/>
              <w:left w:val="nil"/>
              <w:bottom w:val="single" w:sz="4" w:space="0" w:color="auto"/>
              <w:right w:val="single" w:sz="4" w:space="0" w:color="auto"/>
            </w:tcBorders>
            <w:shd w:val="clear" w:color="auto" w:fill="auto"/>
            <w:noWrap/>
            <w:vAlign w:val="bottom"/>
            <w:hideMark/>
          </w:tcPr>
          <w:p w14:paraId="09ECFBA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658 546</w:t>
            </w:r>
          </w:p>
        </w:tc>
      </w:tr>
      <w:tr w:rsidR="001D773D" w:rsidRPr="005902C7" w14:paraId="1D099617" w14:textId="77777777" w:rsidTr="003A0BFD">
        <w:trPr>
          <w:trHeight w:val="155"/>
        </w:trPr>
        <w:tc>
          <w:tcPr>
            <w:tcW w:w="4111" w:type="dxa"/>
            <w:tcBorders>
              <w:top w:val="nil"/>
              <w:left w:val="single" w:sz="4" w:space="0" w:color="auto"/>
              <w:bottom w:val="single" w:sz="4" w:space="0" w:color="auto"/>
              <w:right w:val="single" w:sz="4" w:space="0" w:color="auto"/>
            </w:tcBorders>
            <w:shd w:val="clear" w:color="auto" w:fill="auto"/>
            <w:hideMark/>
          </w:tcPr>
          <w:p w14:paraId="0AFE89A6" w14:textId="77777777" w:rsidR="005902C7" w:rsidRPr="00D84B9C" w:rsidRDefault="005902C7" w:rsidP="005902C7">
            <w:pPr>
              <w:spacing w:after="0"/>
              <w:ind w:firstLine="0"/>
              <w:jc w:val="left"/>
              <w:rPr>
                <w:rFonts w:eastAsia="Times New Roman" w:cs="Times New Roman"/>
                <w:sz w:val="18"/>
                <w:szCs w:val="18"/>
              </w:rPr>
            </w:pPr>
            <w:r w:rsidRPr="00D84B9C">
              <w:rPr>
                <w:rFonts w:eastAsia="Times New Roman" w:cs="Times New Roman"/>
                <w:sz w:val="18"/>
                <w:szCs w:val="18"/>
              </w:rPr>
              <w:t>Valsts budžeta maksājumi - kopā</w:t>
            </w:r>
          </w:p>
        </w:tc>
        <w:tc>
          <w:tcPr>
            <w:tcW w:w="1134" w:type="dxa"/>
            <w:tcBorders>
              <w:top w:val="nil"/>
              <w:left w:val="nil"/>
              <w:bottom w:val="single" w:sz="4" w:space="0" w:color="auto"/>
              <w:right w:val="single" w:sz="4" w:space="0" w:color="auto"/>
            </w:tcBorders>
            <w:shd w:val="clear" w:color="000000" w:fill="FFFFFF"/>
            <w:noWrap/>
            <w:vAlign w:val="center"/>
            <w:hideMark/>
          </w:tcPr>
          <w:p w14:paraId="61F36E82"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52E35CD3"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776CDE32"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111 028</w:t>
            </w:r>
          </w:p>
        </w:tc>
        <w:tc>
          <w:tcPr>
            <w:tcW w:w="1134" w:type="dxa"/>
            <w:tcBorders>
              <w:top w:val="nil"/>
              <w:left w:val="nil"/>
              <w:bottom w:val="single" w:sz="4" w:space="0" w:color="auto"/>
              <w:right w:val="single" w:sz="4" w:space="0" w:color="auto"/>
            </w:tcBorders>
            <w:shd w:val="clear" w:color="000000" w:fill="FFFFFF"/>
            <w:noWrap/>
            <w:vAlign w:val="center"/>
            <w:hideMark/>
          </w:tcPr>
          <w:p w14:paraId="2695124F"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992" w:type="dxa"/>
            <w:tcBorders>
              <w:top w:val="nil"/>
              <w:left w:val="nil"/>
              <w:bottom w:val="single" w:sz="4" w:space="0" w:color="auto"/>
              <w:right w:val="single" w:sz="4" w:space="0" w:color="auto"/>
            </w:tcBorders>
            <w:shd w:val="clear" w:color="000000" w:fill="FFFFFF"/>
            <w:noWrap/>
            <w:vAlign w:val="bottom"/>
            <w:hideMark/>
          </w:tcPr>
          <w:p w14:paraId="3FEC3B23"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64A590C5"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105 562</w:t>
            </w:r>
          </w:p>
        </w:tc>
        <w:tc>
          <w:tcPr>
            <w:tcW w:w="851" w:type="dxa"/>
            <w:tcBorders>
              <w:top w:val="nil"/>
              <w:left w:val="nil"/>
              <w:bottom w:val="single" w:sz="4" w:space="0" w:color="auto"/>
              <w:right w:val="single" w:sz="4" w:space="0" w:color="auto"/>
            </w:tcBorders>
            <w:shd w:val="clear" w:color="000000" w:fill="FFFFFF"/>
            <w:noWrap/>
            <w:vAlign w:val="center"/>
            <w:hideMark/>
          </w:tcPr>
          <w:p w14:paraId="3EAFB45A"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850" w:type="dxa"/>
            <w:tcBorders>
              <w:top w:val="nil"/>
              <w:left w:val="nil"/>
              <w:bottom w:val="single" w:sz="4" w:space="0" w:color="auto"/>
              <w:right w:val="single" w:sz="4" w:space="0" w:color="auto"/>
            </w:tcBorders>
            <w:shd w:val="clear" w:color="000000" w:fill="FFFFFF"/>
            <w:noWrap/>
            <w:vAlign w:val="bottom"/>
            <w:hideMark/>
          </w:tcPr>
          <w:p w14:paraId="75A6B1EA" w14:textId="77777777" w:rsidR="005902C7" w:rsidRPr="00D84B9C" w:rsidRDefault="005902C7" w:rsidP="005902C7">
            <w:pPr>
              <w:spacing w:after="0"/>
              <w:ind w:firstLine="0"/>
              <w:jc w:val="center"/>
              <w:rPr>
                <w:rFonts w:eastAsia="Times New Roman" w:cs="Times New Roman"/>
                <w:sz w:val="18"/>
                <w:szCs w:val="18"/>
              </w:rPr>
            </w:pPr>
            <w:r w:rsidRPr="00D84B9C">
              <w:rPr>
                <w:rFonts w:eastAsia="Times New Roman" w:cs="Times New Roman"/>
                <w:sz w:val="18"/>
                <w:szCs w:val="18"/>
              </w:rPr>
              <w:t>x</w:t>
            </w:r>
          </w:p>
        </w:tc>
        <w:tc>
          <w:tcPr>
            <w:tcW w:w="1276" w:type="dxa"/>
            <w:tcBorders>
              <w:top w:val="nil"/>
              <w:left w:val="nil"/>
              <w:bottom w:val="single" w:sz="4" w:space="0" w:color="auto"/>
              <w:right w:val="single" w:sz="4" w:space="0" w:color="auto"/>
            </w:tcBorders>
            <w:shd w:val="clear" w:color="auto" w:fill="auto"/>
            <w:noWrap/>
            <w:vAlign w:val="bottom"/>
            <w:hideMark/>
          </w:tcPr>
          <w:p w14:paraId="17045A5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105 600</w:t>
            </w:r>
          </w:p>
        </w:tc>
      </w:tr>
      <w:tr w:rsidR="005902C7" w:rsidRPr="005902C7" w14:paraId="7234BF63" w14:textId="77777777" w:rsidTr="003A0BFD">
        <w:trPr>
          <w:trHeight w:val="175"/>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13CFC0D5" w14:textId="77777777" w:rsidR="005902C7" w:rsidRPr="00D84B9C" w:rsidRDefault="005902C7" w:rsidP="005902C7">
            <w:pPr>
              <w:spacing w:after="0"/>
              <w:ind w:firstLineChars="100" w:firstLine="180"/>
              <w:jc w:val="left"/>
              <w:rPr>
                <w:rFonts w:eastAsia="Times New Roman" w:cs="Times New Roman"/>
                <w:i/>
                <w:iCs/>
                <w:sz w:val="18"/>
                <w:szCs w:val="18"/>
              </w:rPr>
            </w:pPr>
            <w:r w:rsidRPr="00D84B9C">
              <w:rPr>
                <w:rFonts w:eastAsia="Times New Roman" w:cs="Times New Roman"/>
                <w:i/>
                <w:iCs/>
                <w:sz w:val="18"/>
                <w:szCs w:val="18"/>
              </w:rPr>
              <w:t>tajā skaitā:</w:t>
            </w:r>
          </w:p>
        </w:tc>
        <w:tc>
          <w:tcPr>
            <w:tcW w:w="1134" w:type="dxa"/>
            <w:tcBorders>
              <w:top w:val="nil"/>
              <w:left w:val="nil"/>
              <w:bottom w:val="single" w:sz="4" w:space="0" w:color="auto"/>
              <w:right w:val="single" w:sz="4" w:space="0" w:color="auto"/>
            </w:tcBorders>
            <w:shd w:val="clear" w:color="auto" w:fill="auto"/>
            <w:noWrap/>
            <w:vAlign w:val="bottom"/>
            <w:hideMark/>
          </w:tcPr>
          <w:p w14:paraId="24256201"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492D83CC"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7226153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14:paraId="3A095665"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13443224"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A445390"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6A4695E6"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30F1898C"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D369667"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 </w:t>
            </w:r>
          </w:p>
        </w:tc>
      </w:tr>
      <w:tr w:rsidR="005902C7" w:rsidRPr="005902C7" w14:paraId="1CAD7DDA" w14:textId="77777777" w:rsidTr="003A0BFD">
        <w:trPr>
          <w:trHeight w:val="107"/>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6C9F2E3A" w14:textId="77777777" w:rsidR="005902C7" w:rsidRPr="00D84B9C" w:rsidRDefault="005902C7" w:rsidP="00D84B9C">
            <w:pPr>
              <w:spacing w:after="0"/>
              <w:ind w:firstLine="0"/>
              <w:jc w:val="left"/>
              <w:rPr>
                <w:rFonts w:eastAsia="Times New Roman" w:cs="Times New Roman"/>
                <w:sz w:val="18"/>
                <w:szCs w:val="18"/>
              </w:rPr>
            </w:pPr>
            <w:r w:rsidRPr="00D84B9C">
              <w:rPr>
                <w:rFonts w:eastAsia="Times New Roman" w:cs="Times New Roman"/>
                <w:sz w:val="18"/>
                <w:szCs w:val="18"/>
              </w:rPr>
              <w:t xml:space="preserve">    Pārmaksāto sociālās apdrošināšanas iemaksu atmaksa</w:t>
            </w:r>
          </w:p>
        </w:tc>
        <w:tc>
          <w:tcPr>
            <w:tcW w:w="1134" w:type="dxa"/>
            <w:tcBorders>
              <w:top w:val="nil"/>
              <w:left w:val="nil"/>
              <w:bottom w:val="single" w:sz="4" w:space="0" w:color="auto"/>
              <w:right w:val="single" w:sz="4" w:space="0" w:color="auto"/>
            </w:tcBorders>
            <w:shd w:val="clear" w:color="auto" w:fill="auto"/>
            <w:noWrap/>
            <w:vAlign w:val="bottom"/>
            <w:hideMark/>
          </w:tcPr>
          <w:p w14:paraId="31BD4B40"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45FCAA8B"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09277D9A"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91 028</w:t>
            </w:r>
          </w:p>
        </w:tc>
        <w:tc>
          <w:tcPr>
            <w:tcW w:w="1134" w:type="dxa"/>
            <w:tcBorders>
              <w:top w:val="nil"/>
              <w:left w:val="nil"/>
              <w:bottom w:val="single" w:sz="4" w:space="0" w:color="auto"/>
              <w:right w:val="single" w:sz="4" w:space="0" w:color="auto"/>
            </w:tcBorders>
            <w:shd w:val="clear" w:color="auto" w:fill="auto"/>
            <w:noWrap/>
            <w:vAlign w:val="bottom"/>
            <w:hideMark/>
          </w:tcPr>
          <w:p w14:paraId="4B0A2E06"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6094750B"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3A5B112C"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85 562</w:t>
            </w:r>
          </w:p>
        </w:tc>
        <w:tc>
          <w:tcPr>
            <w:tcW w:w="851" w:type="dxa"/>
            <w:tcBorders>
              <w:top w:val="nil"/>
              <w:left w:val="nil"/>
              <w:bottom w:val="single" w:sz="4" w:space="0" w:color="auto"/>
              <w:right w:val="single" w:sz="4" w:space="0" w:color="auto"/>
            </w:tcBorders>
            <w:shd w:val="clear" w:color="auto" w:fill="auto"/>
            <w:noWrap/>
            <w:vAlign w:val="bottom"/>
            <w:hideMark/>
          </w:tcPr>
          <w:p w14:paraId="52AE8738"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0C865F11"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single" w:sz="4" w:space="0" w:color="auto"/>
              <w:right w:val="single" w:sz="4" w:space="0" w:color="auto"/>
            </w:tcBorders>
            <w:shd w:val="clear" w:color="auto" w:fill="auto"/>
            <w:noWrap/>
            <w:vAlign w:val="bottom"/>
            <w:hideMark/>
          </w:tcPr>
          <w:p w14:paraId="19F9BBFC"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85 600</w:t>
            </w:r>
          </w:p>
        </w:tc>
      </w:tr>
      <w:tr w:rsidR="005902C7" w:rsidRPr="005902C7" w14:paraId="4A699100" w14:textId="77777777" w:rsidTr="003A0BFD">
        <w:trPr>
          <w:trHeight w:val="167"/>
        </w:trPr>
        <w:tc>
          <w:tcPr>
            <w:tcW w:w="4111" w:type="dxa"/>
            <w:tcBorders>
              <w:top w:val="nil"/>
              <w:left w:val="single" w:sz="4" w:space="0" w:color="auto"/>
              <w:bottom w:val="nil"/>
              <w:right w:val="single" w:sz="4" w:space="0" w:color="auto"/>
            </w:tcBorders>
            <w:shd w:val="clear" w:color="auto" w:fill="auto"/>
            <w:vAlign w:val="bottom"/>
            <w:hideMark/>
          </w:tcPr>
          <w:p w14:paraId="46C1DCBA" w14:textId="358EEE1C" w:rsidR="005902C7" w:rsidRPr="00D84B9C" w:rsidRDefault="005902C7" w:rsidP="00D84B9C">
            <w:pPr>
              <w:spacing w:after="0"/>
              <w:ind w:left="179" w:firstLine="0"/>
              <w:jc w:val="left"/>
              <w:rPr>
                <w:rFonts w:eastAsia="Times New Roman" w:cs="Times New Roman"/>
                <w:sz w:val="18"/>
                <w:szCs w:val="18"/>
              </w:rPr>
            </w:pPr>
            <w:r w:rsidRPr="00D84B9C">
              <w:rPr>
                <w:rFonts w:eastAsia="Times New Roman" w:cs="Times New Roman"/>
                <w:sz w:val="18"/>
                <w:szCs w:val="18"/>
              </w:rPr>
              <w:t>Eiropas Savienības pensiju shēm</w:t>
            </w:r>
            <w:r w:rsidR="00D84B9C">
              <w:rPr>
                <w:rFonts w:eastAsia="Times New Roman" w:cs="Times New Roman"/>
                <w:sz w:val="18"/>
                <w:szCs w:val="18"/>
              </w:rPr>
              <w:t>ai pārskaitītais pensijas</w:t>
            </w:r>
            <w:r w:rsidRPr="00D84B9C">
              <w:rPr>
                <w:rFonts w:eastAsia="Times New Roman" w:cs="Times New Roman"/>
                <w:sz w:val="18"/>
                <w:szCs w:val="18"/>
              </w:rPr>
              <w:t xml:space="preserve"> kapitāls</w:t>
            </w:r>
          </w:p>
        </w:tc>
        <w:tc>
          <w:tcPr>
            <w:tcW w:w="1134" w:type="dxa"/>
            <w:tcBorders>
              <w:top w:val="nil"/>
              <w:left w:val="nil"/>
              <w:bottom w:val="nil"/>
              <w:right w:val="single" w:sz="4" w:space="0" w:color="auto"/>
            </w:tcBorders>
            <w:shd w:val="clear" w:color="auto" w:fill="auto"/>
            <w:noWrap/>
            <w:vAlign w:val="bottom"/>
            <w:hideMark/>
          </w:tcPr>
          <w:p w14:paraId="163D9ED2"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992" w:type="dxa"/>
            <w:tcBorders>
              <w:top w:val="nil"/>
              <w:left w:val="nil"/>
              <w:bottom w:val="nil"/>
              <w:right w:val="single" w:sz="4" w:space="0" w:color="auto"/>
            </w:tcBorders>
            <w:shd w:val="clear" w:color="auto" w:fill="auto"/>
            <w:noWrap/>
            <w:vAlign w:val="bottom"/>
            <w:hideMark/>
          </w:tcPr>
          <w:p w14:paraId="55028A32"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nil"/>
              <w:right w:val="single" w:sz="4" w:space="0" w:color="auto"/>
            </w:tcBorders>
            <w:shd w:val="clear" w:color="auto" w:fill="auto"/>
            <w:noWrap/>
            <w:vAlign w:val="bottom"/>
            <w:hideMark/>
          </w:tcPr>
          <w:p w14:paraId="5D7C8AE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20 000</w:t>
            </w:r>
          </w:p>
        </w:tc>
        <w:tc>
          <w:tcPr>
            <w:tcW w:w="1134" w:type="dxa"/>
            <w:tcBorders>
              <w:top w:val="nil"/>
              <w:left w:val="nil"/>
              <w:bottom w:val="nil"/>
              <w:right w:val="single" w:sz="4" w:space="0" w:color="auto"/>
            </w:tcBorders>
            <w:shd w:val="clear" w:color="auto" w:fill="auto"/>
            <w:noWrap/>
            <w:vAlign w:val="bottom"/>
            <w:hideMark/>
          </w:tcPr>
          <w:p w14:paraId="0DEAECD0"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992" w:type="dxa"/>
            <w:tcBorders>
              <w:top w:val="nil"/>
              <w:left w:val="nil"/>
              <w:bottom w:val="nil"/>
              <w:right w:val="single" w:sz="4" w:space="0" w:color="auto"/>
            </w:tcBorders>
            <w:shd w:val="clear" w:color="auto" w:fill="auto"/>
            <w:noWrap/>
            <w:vAlign w:val="bottom"/>
            <w:hideMark/>
          </w:tcPr>
          <w:p w14:paraId="088B8FF4"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nil"/>
              <w:right w:val="single" w:sz="4" w:space="0" w:color="auto"/>
            </w:tcBorders>
            <w:shd w:val="clear" w:color="auto" w:fill="auto"/>
            <w:noWrap/>
            <w:vAlign w:val="bottom"/>
            <w:hideMark/>
          </w:tcPr>
          <w:p w14:paraId="6D1E3371"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20 000</w:t>
            </w:r>
          </w:p>
        </w:tc>
        <w:tc>
          <w:tcPr>
            <w:tcW w:w="851" w:type="dxa"/>
            <w:tcBorders>
              <w:top w:val="nil"/>
              <w:left w:val="nil"/>
              <w:bottom w:val="nil"/>
              <w:right w:val="single" w:sz="4" w:space="0" w:color="auto"/>
            </w:tcBorders>
            <w:shd w:val="clear" w:color="auto" w:fill="auto"/>
            <w:noWrap/>
            <w:vAlign w:val="bottom"/>
            <w:hideMark/>
          </w:tcPr>
          <w:p w14:paraId="3AA871E8"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850" w:type="dxa"/>
            <w:tcBorders>
              <w:top w:val="nil"/>
              <w:left w:val="nil"/>
              <w:bottom w:val="nil"/>
              <w:right w:val="single" w:sz="4" w:space="0" w:color="auto"/>
            </w:tcBorders>
            <w:shd w:val="clear" w:color="auto" w:fill="auto"/>
            <w:noWrap/>
            <w:vAlign w:val="bottom"/>
            <w:hideMark/>
          </w:tcPr>
          <w:p w14:paraId="6B26B4DC"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 </w:t>
            </w:r>
          </w:p>
        </w:tc>
        <w:tc>
          <w:tcPr>
            <w:tcW w:w="1276" w:type="dxa"/>
            <w:tcBorders>
              <w:top w:val="nil"/>
              <w:left w:val="nil"/>
              <w:bottom w:val="nil"/>
              <w:right w:val="single" w:sz="4" w:space="0" w:color="auto"/>
            </w:tcBorders>
            <w:shd w:val="clear" w:color="auto" w:fill="auto"/>
            <w:noWrap/>
            <w:vAlign w:val="bottom"/>
            <w:hideMark/>
          </w:tcPr>
          <w:p w14:paraId="46F5451F" w14:textId="77777777" w:rsidR="005902C7" w:rsidRPr="00D84B9C" w:rsidRDefault="005902C7" w:rsidP="005902C7">
            <w:pPr>
              <w:spacing w:after="0"/>
              <w:ind w:firstLine="0"/>
              <w:jc w:val="right"/>
              <w:rPr>
                <w:rFonts w:eastAsia="Times New Roman" w:cs="Times New Roman"/>
                <w:sz w:val="18"/>
                <w:szCs w:val="18"/>
              </w:rPr>
            </w:pPr>
            <w:r w:rsidRPr="00D84B9C">
              <w:rPr>
                <w:rFonts w:eastAsia="Times New Roman" w:cs="Times New Roman"/>
                <w:sz w:val="18"/>
                <w:szCs w:val="18"/>
              </w:rPr>
              <w:t>20 000</w:t>
            </w:r>
          </w:p>
        </w:tc>
      </w:tr>
      <w:tr w:rsidR="004C587F" w:rsidRPr="005902C7" w14:paraId="65E3C4FD" w14:textId="77777777" w:rsidTr="003A0BFD">
        <w:trPr>
          <w:trHeight w:val="187"/>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EC8591"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KOPĀ</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62CCD9F9"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x</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67D31E8A"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x</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2947825B"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3 353 416 602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76097F4"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x</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FB23CA4"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x</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3CD209E"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3 505 992 252</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2F691A5A"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x</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6E24B713" w14:textId="77777777" w:rsidR="005902C7" w:rsidRPr="00D84B9C" w:rsidRDefault="005902C7" w:rsidP="005902C7">
            <w:pPr>
              <w:spacing w:after="0"/>
              <w:ind w:firstLine="0"/>
              <w:jc w:val="center"/>
              <w:rPr>
                <w:rFonts w:eastAsia="Times New Roman" w:cs="Times New Roman"/>
                <w:b/>
                <w:bCs/>
                <w:sz w:val="18"/>
                <w:szCs w:val="18"/>
              </w:rPr>
            </w:pPr>
            <w:r w:rsidRPr="00D84B9C">
              <w:rPr>
                <w:rFonts w:eastAsia="Times New Roman" w:cs="Times New Roman"/>
                <w:b/>
                <w:bCs/>
                <w:sz w:val="18"/>
                <w:szCs w:val="18"/>
              </w:rPr>
              <w:t>x</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11903F94" w14:textId="77777777" w:rsidR="005902C7" w:rsidRPr="00D84B9C" w:rsidRDefault="005902C7" w:rsidP="005902C7">
            <w:pPr>
              <w:spacing w:after="0"/>
              <w:ind w:firstLine="0"/>
              <w:jc w:val="right"/>
              <w:rPr>
                <w:rFonts w:eastAsia="Times New Roman" w:cs="Times New Roman"/>
                <w:b/>
                <w:bCs/>
                <w:sz w:val="18"/>
                <w:szCs w:val="18"/>
              </w:rPr>
            </w:pPr>
            <w:r w:rsidRPr="00D84B9C">
              <w:rPr>
                <w:rFonts w:eastAsia="Times New Roman" w:cs="Times New Roman"/>
                <w:b/>
                <w:bCs/>
                <w:sz w:val="18"/>
                <w:szCs w:val="18"/>
              </w:rPr>
              <w:t>3 735 615 876</w:t>
            </w:r>
          </w:p>
        </w:tc>
      </w:tr>
    </w:tbl>
    <w:p w14:paraId="28078517" w14:textId="15DCE8EF" w:rsidR="00C404D5" w:rsidRPr="00C404D5" w:rsidRDefault="004F6A3A" w:rsidP="00EA7247">
      <w:pPr>
        <w:widowControl w:val="0"/>
        <w:spacing w:before="120"/>
        <w:ind w:firstLine="0"/>
        <w:rPr>
          <w:rFonts w:eastAsia="Calibri" w:cs="Times New Roman"/>
          <w:i/>
          <w:sz w:val="20"/>
        </w:rPr>
      </w:pPr>
      <w:r>
        <w:rPr>
          <w:rFonts w:eastAsia="Calibri" w:cs="Times New Roman"/>
          <w:i/>
          <w:sz w:val="20"/>
        </w:rPr>
        <w:t>Datu avots: Finanšu ministrija</w:t>
      </w:r>
    </w:p>
    <w:p w14:paraId="3A218A5A" w14:textId="77777777" w:rsidR="003F3FCD" w:rsidRDefault="003F3FCD" w:rsidP="00401A5B">
      <w:pPr>
        <w:widowControl w:val="0"/>
        <w:rPr>
          <w:rFonts w:eastAsia="Times New Roman" w:cs="Times New Roman"/>
        </w:rPr>
      </w:pPr>
    </w:p>
    <w:p w14:paraId="1844E05B" w14:textId="77777777" w:rsidR="003F3FCD" w:rsidRDefault="003F3FCD" w:rsidP="00401A5B">
      <w:pPr>
        <w:widowControl w:val="0"/>
        <w:rPr>
          <w:rFonts w:eastAsia="Times New Roman" w:cs="Times New Roman"/>
        </w:rPr>
      </w:pPr>
    </w:p>
    <w:p w14:paraId="48E18E82" w14:textId="09CDF10B" w:rsidR="003F3FCD" w:rsidRPr="005E7346" w:rsidRDefault="008E246B" w:rsidP="008E246B">
      <w:pPr>
        <w:widowControl w:val="0"/>
        <w:ind w:right="-924"/>
        <w:rPr>
          <w:rFonts w:eastAsia="Times New Roman" w:cs="Times New Roman"/>
          <w:sz w:val="28"/>
        </w:rPr>
      </w:pPr>
      <w:r>
        <w:rPr>
          <w:rFonts w:eastAsia="Times New Roman" w:cs="Times New Roman"/>
          <w:sz w:val="28"/>
        </w:rPr>
        <w:t>Finanšu ministrs</w:t>
      </w:r>
      <w:r w:rsidR="000548A5">
        <w:rPr>
          <w:rFonts w:eastAsia="Times New Roman" w:cs="Times New Roman"/>
          <w:sz w:val="28"/>
        </w:rPr>
        <w:tab/>
      </w:r>
      <w:r w:rsidR="000548A5">
        <w:rPr>
          <w:rFonts w:eastAsia="Times New Roman" w:cs="Times New Roman"/>
          <w:sz w:val="28"/>
        </w:rPr>
        <w:tab/>
        <w:t xml:space="preserve">  </w:t>
      </w:r>
      <w:r w:rsidR="000548A5">
        <w:rPr>
          <w:rFonts w:eastAsia="Times New Roman" w:cs="Times New Roman"/>
          <w:sz w:val="28"/>
        </w:rPr>
        <w:tab/>
      </w:r>
      <w:r w:rsidR="000548A5">
        <w:rPr>
          <w:rFonts w:eastAsia="Times New Roman" w:cs="Times New Roman"/>
          <w:sz w:val="28"/>
        </w:rPr>
        <w:tab/>
      </w:r>
      <w:r w:rsidR="000548A5">
        <w:rPr>
          <w:rFonts w:eastAsia="Times New Roman" w:cs="Times New Roman"/>
          <w:sz w:val="28"/>
        </w:rPr>
        <w:tab/>
        <w:t xml:space="preserve">                    </w:t>
      </w:r>
      <w:r>
        <w:rPr>
          <w:rFonts w:eastAsia="Times New Roman" w:cs="Times New Roman"/>
          <w:sz w:val="28"/>
        </w:rPr>
        <w:tab/>
      </w:r>
      <w:r>
        <w:rPr>
          <w:rFonts w:eastAsia="Times New Roman" w:cs="Times New Roman"/>
          <w:sz w:val="28"/>
        </w:rPr>
        <w:tab/>
      </w:r>
      <w:r>
        <w:rPr>
          <w:rFonts w:eastAsia="Times New Roman" w:cs="Times New Roman"/>
          <w:sz w:val="28"/>
        </w:rPr>
        <w:tab/>
      </w:r>
      <w:r>
        <w:rPr>
          <w:rFonts w:eastAsia="Times New Roman" w:cs="Times New Roman"/>
          <w:sz w:val="28"/>
        </w:rPr>
        <w:tab/>
      </w:r>
      <w:r>
        <w:rPr>
          <w:rFonts w:eastAsia="Times New Roman" w:cs="Times New Roman"/>
          <w:sz w:val="28"/>
        </w:rPr>
        <w:tab/>
      </w:r>
      <w:r>
        <w:rPr>
          <w:rFonts w:eastAsia="Times New Roman" w:cs="Times New Roman"/>
          <w:sz w:val="28"/>
        </w:rPr>
        <w:tab/>
      </w:r>
      <w:r>
        <w:rPr>
          <w:rFonts w:eastAsia="Times New Roman" w:cs="Times New Roman"/>
          <w:sz w:val="28"/>
        </w:rPr>
        <w:tab/>
      </w:r>
      <w:r w:rsidR="000548A5">
        <w:rPr>
          <w:rFonts w:eastAsia="Times New Roman" w:cs="Times New Roman"/>
          <w:sz w:val="28"/>
        </w:rPr>
        <w:t>J. Reirs</w:t>
      </w:r>
    </w:p>
    <w:sectPr w:rsidR="003F3FCD" w:rsidRPr="005E7346" w:rsidSect="003347CE">
      <w:pgSz w:w="16838" w:h="11906" w:orient="landscape" w:code="9"/>
      <w:pgMar w:top="1418"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9B975" w16cex:dateUtc="2021-10-07T15:22:00Z"/>
  <w16cex:commentExtensible w16cex:durableId="2509B0A2" w16cex:dateUtc="2021-10-07T14:45:00Z"/>
  <w16cex:commentExtensible w16cex:durableId="2509B153" w16cex:dateUtc="2021-10-07T14: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64FC55" w16cid:durableId="2509B975"/>
  <w16cid:commentId w16cid:paraId="63BB06C9" w16cid:durableId="2509AC2A"/>
  <w16cid:commentId w16cid:paraId="70B000AF" w16cid:durableId="2509B0A2"/>
  <w16cid:commentId w16cid:paraId="51154559" w16cid:durableId="2509B153"/>
  <w16cid:commentId w16cid:paraId="28ADE290" w16cid:durableId="2509AC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C00A5" w14:textId="77777777" w:rsidR="004565B8" w:rsidRDefault="004565B8" w:rsidP="00383CEF">
      <w:r>
        <w:separator/>
      </w:r>
    </w:p>
  </w:endnote>
  <w:endnote w:type="continuationSeparator" w:id="0">
    <w:p w14:paraId="78767CE8" w14:textId="77777777" w:rsidR="004565B8" w:rsidRDefault="004565B8" w:rsidP="00383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CF33B" w14:textId="77777777" w:rsidR="004565B8" w:rsidRDefault="004565B8" w:rsidP="00F2378C">
    <w:pPr>
      <w:pStyle w:val="Footer"/>
      <w:rPr>
        <w:rFonts w:cs="Times New Roman"/>
        <w:sz w:val="20"/>
      </w:rPr>
    </w:pPr>
  </w:p>
  <w:p w14:paraId="39DA6C9E" w14:textId="2AD1B6A0" w:rsidR="004565B8" w:rsidRPr="00CB62E1" w:rsidRDefault="004565B8" w:rsidP="000110A6">
    <w:pPr>
      <w:pStyle w:val="Footer"/>
      <w:ind w:firstLine="0"/>
      <w:rPr>
        <w:rFonts w:cs="Times New Roman"/>
        <w:noProof/>
        <w:sz w:val="20"/>
      </w:rPr>
    </w:pPr>
    <w:r w:rsidRPr="00CB62E1">
      <w:rPr>
        <w:rFonts w:cs="Times New Roman"/>
        <w:sz w:val="20"/>
      </w:rPr>
      <w:fldChar w:fldCharType="begin"/>
    </w:r>
    <w:r w:rsidRPr="00CB62E1">
      <w:rPr>
        <w:rFonts w:cs="Times New Roman"/>
        <w:sz w:val="20"/>
      </w:rPr>
      <w:instrText xml:space="preserve"> FILENAME   \* MERGEFORMAT </w:instrText>
    </w:r>
    <w:r w:rsidRPr="00CB62E1">
      <w:rPr>
        <w:rFonts w:cs="Times New Roman"/>
        <w:sz w:val="20"/>
      </w:rPr>
      <w:fldChar w:fldCharType="separate"/>
    </w:r>
    <w:r w:rsidR="00D1653C">
      <w:rPr>
        <w:rFonts w:cs="Times New Roman"/>
        <w:noProof/>
        <w:sz w:val="20"/>
      </w:rPr>
      <w:t>FMpask_1</w:t>
    </w:r>
    <w:r>
      <w:rPr>
        <w:rFonts w:cs="Times New Roman"/>
        <w:noProof/>
        <w:sz w:val="20"/>
      </w:rPr>
      <w:t>102021_VTBIL_2022_2024.docx</w:t>
    </w:r>
    <w:r w:rsidRPr="00CB62E1">
      <w:rPr>
        <w:rFonts w:cs="Times New Roman"/>
        <w:sz w:val="20"/>
      </w:rPr>
      <w:fldChar w:fldCharType="end"/>
    </w:r>
  </w:p>
  <w:p w14:paraId="0B85B1EF" w14:textId="77777777" w:rsidR="004565B8" w:rsidRDefault="004565B8" w:rsidP="00F2378C">
    <w:pPr>
      <w:pStyle w:val="Footer"/>
    </w:pPr>
  </w:p>
  <w:p w14:paraId="2307CAB5" w14:textId="77777777" w:rsidR="004565B8" w:rsidRDefault="004565B8" w:rsidP="00F23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FA538" w14:textId="77777777" w:rsidR="004565B8" w:rsidRDefault="004565B8" w:rsidP="00383CEF">
      <w:r>
        <w:separator/>
      </w:r>
    </w:p>
  </w:footnote>
  <w:footnote w:type="continuationSeparator" w:id="0">
    <w:p w14:paraId="755AC20D" w14:textId="77777777" w:rsidR="004565B8" w:rsidRDefault="004565B8" w:rsidP="00383CEF">
      <w:r>
        <w:continuationSeparator/>
      </w:r>
    </w:p>
  </w:footnote>
  <w:footnote w:id="1">
    <w:p w14:paraId="1D13E857" w14:textId="12290178" w:rsidR="004565B8" w:rsidRPr="00BA7FA7" w:rsidRDefault="004565B8" w:rsidP="000110A6">
      <w:pPr>
        <w:pStyle w:val="FootnoteText"/>
        <w:tabs>
          <w:tab w:val="left" w:pos="7185"/>
        </w:tabs>
        <w:ind w:firstLine="0"/>
        <w:rPr>
          <w:rFonts w:cs="Times New Roman"/>
        </w:rPr>
      </w:pPr>
      <w:r w:rsidRPr="000110A6">
        <w:rPr>
          <w:rStyle w:val="FootnoteReference"/>
          <w:rFonts w:cs="Times New Roman"/>
        </w:rPr>
        <w:footnoteRef/>
      </w:r>
      <w:r w:rsidRPr="000110A6">
        <w:rPr>
          <w:rFonts w:cs="Times New Roman"/>
        </w:rPr>
        <w:t xml:space="preserve"> Datu avoti: Ja nav norādīts citādi </w:t>
      </w:r>
      <w:r>
        <w:rPr>
          <w:rFonts w:cs="Times New Roman"/>
        </w:rPr>
        <w:t>–</w:t>
      </w:r>
      <w:r w:rsidRPr="000110A6">
        <w:rPr>
          <w:rFonts w:cs="Times New Roman"/>
        </w:rPr>
        <w:t xml:space="preserve"> </w:t>
      </w:r>
      <w:r>
        <w:rPr>
          <w:rFonts w:cs="Times New Roman"/>
        </w:rPr>
        <w:t>Centrālās statistiskas pārvaldes un Finanšu ministrijas</w:t>
      </w:r>
      <w:r w:rsidRPr="000110A6">
        <w:rPr>
          <w:rFonts w:cs="Times New Roman"/>
        </w:rPr>
        <w:t xml:space="preserve"> prognozes. Dati atbilstoši </w:t>
      </w:r>
      <w:r>
        <w:rPr>
          <w:rFonts w:cs="Times New Roman"/>
        </w:rPr>
        <w:t>Centrālās statistikas</w:t>
      </w:r>
      <w:r w:rsidRPr="000110A6">
        <w:rPr>
          <w:rFonts w:cs="Times New Roman"/>
        </w:rPr>
        <w:t xml:space="preserve"> datu bāzēs pieejamajai informācijai līdz 30.09.2020., iet</w:t>
      </w:r>
      <w:r>
        <w:rPr>
          <w:rFonts w:cs="Times New Roman"/>
        </w:rPr>
        <w:t>verot arī 30.09.2020. veikto iekšzemes kopprodukta</w:t>
      </w:r>
      <w:r w:rsidRPr="000110A6">
        <w:rPr>
          <w:rFonts w:cs="Times New Roman"/>
        </w:rPr>
        <w:t xml:space="preserve"> datu revīziju.</w:t>
      </w:r>
      <w:r w:rsidRPr="00BA7FA7">
        <w:rPr>
          <w:rFonts w:cs="Times New Roman"/>
        </w:rPr>
        <w:tab/>
      </w:r>
    </w:p>
  </w:footnote>
  <w:footnote w:id="2">
    <w:p w14:paraId="6D54D304" w14:textId="36B8643E" w:rsidR="004565B8" w:rsidRPr="00181CD3" w:rsidRDefault="004565B8" w:rsidP="007E74B0">
      <w:pPr>
        <w:pStyle w:val="FootnoteText"/>
        <w:ind w:left="142" w:hanging="142"/>
        <w:rPr>
          <w:rFonts w:cs="Times New Roman"/>
        </w:rPr>
      </w:pPr>
      <w:r w:rsidRPr="00181CD3">
        <w:rPr>
          <w:rFonts w:cs="Times New Roman"/>
          <w:vertAlign w:val="superscript"/>
        </w:rPr>
        <w:footnoteRef/>
      </w:r>
      <w:r w:rsidRPr="00181CD3">
        <w:rPr>
          <w:rFonts w:cs="Times New Roman"/>
          <w:vertAlign w:val="superscript"/>
        </w:rPr>
        <w:t xml:space="preserve"> </w:t>
      </w:r>
      <w:r w:rsidRPr="00181CD3">
        <w:rPr>
          <w:rFonts w:cs="Times New Roman"/>
        </w:rPr>
        <w:t xml:space="preserve">http://eur-lex.europa.eu: Jaunās regulas veido arī par Eiropas Semestra pamatu. </w:t>
      </w:r>
      <w:r>
        <w:rPr>
          <w:rFonts w:cs="Times New Roman"/>
        </w:rPr>
        <w:t>Eiropas Semestris ir Eiropas Savienības</w:t>
      </w:r>
      <w:r w:rsidRPr="00181CD3">
        <w:rPr>
          <w:rFonts w:cs="Times New Roman"/>
        </w:rPr>
        <w:t xml:space="preserve"> ekonomikas un budžeta politikas saskaņošanas ik</w:t>
      </w:r>
      <w:r>
        <w:rPr>
          <w:rFonts w:cs="Times New Roman"/>
        </w:rPr>
        <w:t>gadējais cikls, kura ietvaros Eiropas Savienības dalībvalstis saņem Eiropas K</w:t>
      </w:r>
      <w:r w:rsidRPr="00181CD3">
        <w:rPr>
          <w:rFonts w:cs="Times New Roman"/>
        </w:rPr>
        <w:t>omisijas ieteikumus - ieteikumi tiek sniegti Stabilitātes un izaugsmes pakta un makroekonomikas nelīdzsvarotības novēršanas procedūras kontekstā.</w:t>
      </w:r>
    </w:p>
  </w:footnote>
  <w:footnote w:id="3">
    <w:p w14:paraId="10790EBA" w14:textId="77777777" w:rsidR="004565B8" w:rsidRPr="00164009" w:rsidRDefault="004565B8" w:rsidP="007E74B0">
      <w:pPr>
        <w:pStyle w:val="FootnoteText"/>
        <w:ind w:left="142" w:hanging="142"/>
        <w:rPr>
          <w:rFonts w:cs="Times New Roman"/>
        </w:rPr>
      </w:pPr>
      <w:r w:rsidRPr="00164009">
        <w:rPr>
          <w:rStyle w:val="FootnoteReference"/>
          <w:rFonts w:cs="Times New Roman"/>
        </w:rPr>
        <w:footnoteRef/>
      </w:r>
      <w:r w:rsidRPr="00164009">
        <w:rPr>
          <w:rFonts w:cs="Times New Roman"/>
        </w:rPr>
        <w:t xml:space="preserve"> Nominālās vienības darbaspēka izmaksas (</w:t>
      </w:r>
      <w:r w:rsidRPr="00164009">
        <w:rPr>
          <w:rFonts w:cs="Times New Roman"/>
          <w:i/>
          <w:lang w:val="en-GB"/>
        </w:rPr>
        <w:t>Nominal Unit Labour Costs</w:t>
      </w:r>
      <w:r w:rsidRPr="00164009">
        <w:rPr>
          <w:rFonts w:cs="Times New Roman"/>
        </w:rPr>
        <w:t>) mēra vidējās darbaspēka izmaksas uz vienu saražoto produkcijas vienību</w:t>
      </w:r>
      <w:r>
        <w:rPr>
          <w:rFonts w:cs="Times New Roman"/>
        </w:rPr>
        <w:t>.</w:t>
      </w:r>
    </w:p>
  </w:footnote>
  <w:footnote w:id="4">
    <w:p w14:paraId="69A4886D" w14:textId="77777777" w:rsidR="004565B8" w:rsidRPr="00B94F9E" w:rsidRDefault="004565B8" w:rsidP="00D04420">
      <w:pPr>
        <w:pStyle w:val="FootnoteText"/>
        <w:ind w:left="142" w:hanging="142"/>
        <w:rPr>
          <w:rFonts w:eastAsiaTheme="minorHAnsi" w:cs="Times New Roman"/>
          <w:color w:val="000000"/>
        </w:rPr>
      </w:pPr>
      <w:r w:rsidRPr="00B94F9E">
        <w:rPr>
          <w:rFonts w:cs="Times New Roman"/>
          <w:vertAlign w:val="superscript"/>
        </w:rPr>
        <w:footnoteRef/>
      </w:r>
      <w:r w:rsidRPr="00B94F9E">
        <w:rPr>
          <w:rFonts w:cs="Times New Roman"/>
        </w:rPr>
        <w:t xml:space="preserve"> </w:t>
      </w:r>
      <w:hyperlink r:id="rId1" w:history="1">
        <w:r w:rsidRPr="00B94F9E">
          <w:rPr>
            <w:rFonts w:eastAsiaTheme="minorHAnsi" w:cs="Times New Roman"/>
            <w:color w:val="000000"/>
          </w:rPr>
          <w:t>http://ec.europa.eu/</w:t>
        </w:r>
      </w:hyperlink>
      <w:r w:rsidRPr="00B94F9E">
        <w:rPr>
          <w:rFonts w:eastAsiaTheme="minorHAnsi" w:cs="Times New Roman"/>
          <w:color w:val="000000"/>
        </w:rPr>
        <w:t xml:space="preserve">; </w:t>
      </w:r>
      <w:r w:rsidRPr="00D04420">
        <w:rPr>
          <w:rFonts w:eastAsiaTheme="minorHAnsi" w:cs="Times New Roman"/>
          <w:i/>
          <w:color w:val="000000"/>
          <w:lang w:val="en-GB"/>
        </w:rPr>
        <w:t>Alert Mechanism Report</w:t>
      </w:r>
      <w:r w:rsidRPr="00D04420">
        <w:rPr>
          <w:rFonts w:eastAsiaTheme="minorHAnsi" w:cs="Times New Roman"/>
          <w:i/>
          <w:color w:val="000000"/>
        </w:rPr>
        <w:t xml:space="preserve"> 2019</w:t>
      </w:r>
      <w:r w:rsidRPr="00B94F9E">
        <w:rPr>
          <w:rFonts w:eastAsiaTheme="minorHAnsi" w:cs="Times New Roman"/>
          <w:color w:val="000000"/>
        </w:rPr>
        <w:t xml:space="preserve"> </w:t>
      </w:r>
    </w:p>
  </w:footnote>
  <w:footnote w:id="5">
    <w:p w14:paraId="292E11F7" w14:textId="77777777" w:rsidR="004565B8" w:rsidRPr="006E4EE0" w:rsidRDefault="004565B8" w:rsidP="00CB1164">
      <w:pPr>
        <w:pStyle w:val="FootnoteText"/>
        <w:spacing w:after="0"/>
        <w:ind w:firstLine="0"/>
        <w:rPr>
          <w:rFonts w:cs="Times New Roman"/>
          <w:sz w:val="18"/>
        </w:rPr>
      </w:pPr>
      <w:r w:rsidRPr="00AC4200">
        <w:rPr>
          <w:rStyle w:val="FootnoteReference"/>
          <w:rFonts w:cs="Times New Roman"/>
          <w:sz w:val="18"/>
          <w:szCs w:val="18"/>
        </w:rPr>
        <w:footnoteRef/>
      </w:r>
      <w:r w:rsidRPr="00AC4200">
        <w:rPr>
          <w:rFonts w:cs="Times New Roman"/>
        </w:rPr>
        <w:t xml:space="preserve"> </w:t>
      </w:r>
      <w:r w:rsidRPr="006E4EE0">
        <w:rPr>
          <w:rFonts w:cs="Times New Roman"/>
          <w:sz w:val="18"/>
        </w:rPr>
        <w:t>2020</w:t>
      </w:r>
      <w:r>
        <w:rPr>
          <w:rFonts w:cs="Times New Roman"/>
          <w:sz w:val="18"/>
        </w:rPr>
        <w:t>. gad</w:t>
      </w:r>
      <w:r w:rsidRPr="006E4EE0">
        <w:rPr>
          <w:rFonts w:cs="Times New Roman"/>
          <w:sz w:val="18"/>
        </w:rPr>
        <w:t>a ziņojumā par Latviju tiek izmantoti 2018</w:t>
      </w:r>
      <w:r>
        <w:rPr>
          <w:rFonts w:cs="Times New Roman"/>
          <w:sz w:val="18"/>
        </w:rPr>
        <w:t>. gad</w:t>
      </w:r>
      <w:r w:rsidRPr="006E4EE0">
        <w:rPr>
          <w:rFonts w:cs="Times New Roman"/>
          <w:sz w:val="18"/>
        </w:rPr>
        <w:t>a statistikas dati</w:t>
      </w:r>
    </w:p>
  </w:footnote>
  <w:footnote w:id="6">
    <w:p w14:paraId="6773F55D" w14:textId="7788CA4F" w:rsidR="004565B8" w:rsidRPr="006E4EE0" w:rsidRDefault="004565B8" w:rsidP="00CB1164">
      <w:pPr>
        <w:pStyle w:val="FootnoteText"/>
        <w:spacing w:after="0"/>
        <w:ind w:left="142" w:hanging="142"/>
        <w:rPr>
          <w:sz w:val="18"/>
        </w:rPr>
      </w:pPr>
      <w:r w:rsidRPr="00AC4200">
        <w:rPr>
          <w:rStyle w:val="FootnoteReference"/>
          <w:rFonts w:cs="Times New Roman"/>
        </w:rPr>
        <w:footnoteRef/>
      </w:r>
      <w:r w:rsidRPr="00AC4200">
        <w:rPr>
          <w:rFonts w:cs="Times New Roman"/>
        </w:rPr>
        <w:t xml:space="preserve"> </w:t>
      </w:r>
      <w:r>
        <w:rPr>
          <w:rFonts w:cs="Times New Roman"/>
          <w:sz w:val="18"/>
          <w:lang w:val="en-US"/>
        </w:rPr>
        <w:t>P</w:t>
      </w:r>
      <w:r w:rsidRPr="006E4EE0">
        <w:rPr>
          <w:rFonts w:cs="Times New Roman"/>
          <w:sz w:val="18"/>
        </w:rPr>
        <w:t>ēdējā ailē ir norādīts p</w:t>
      </w:r>
      <w:r>
        <w:rPr>
          <w:rFonts w:cs="Times New Roman"/>
          <w:sz w:val="18"/>
        </w:rPr>
        <w:t>rovizorisks novērtējums par 2020. gad</w:t>
      </w:r>
      <w:r w:rsidRPr="006E4EE0">
        <w:rPr>
          <w:rFonts w:cs="Times New Roman"/>
          <w:sz w:val="18"/>
        </w:rPr>
        <w:t xml:space="preserve">u no </w:t>
      </w:r>
      <w:r w:rsidRPr="006E4EE0">
        <w:rPr>
          <w:rFonts w:cs="Times New Roman"/>
          <w:i/>
          <w:sz w:val="18"/>
        </w:rPr>
        <w:t>Eurostat</w:t>
      </w:r>
      <w:r w:rsidRPr="006E4EE0">
        <w:rPr>
          <w:rFonts w:cs="Times New Roman"/>
          <w:sz w:val="18"/>
        </w:rPr>
        <w:t xml:space="preserve"> datiem, kas tiks izmantots par pamatu 2021</w:t>
      </w:r>
      <w:r>
        <w:rPr>
          <w:rFonts w:cs="Times New Roman"/>
          <w:sz w:val="18"/>
        </w:rPr>
        <w:t>. gad</w:t>
      </w:r>
      <w:r w:rsidRPr="006E4EE0">
        <w:rPr>
          <w:rFonts w:cs="Times New Roman"/>
          <w:sz w:val="18"/>
        </w:rPr>
        <w:t xml:space="preserve">a </w:t>
      </w:r>
      <w:r w:rsidRPr="00CB1164">
        <w:rPr>
          <w:rFonts w:cs="Times New Roman"/>
          <w:sz w:val="18"/>
        </w:rPr>
        <w:t>Agrās brīdināšanas mehānisma</w:t>
      </w:r>
      <w:r w:rsidRPr="006E4EE0">
        <w:rPr>
          <w:rFonts w:cs="Times New Roman"/>
          <w:sz w:val="18"/>
        </w:rPr>
        <w:t xml:space="preserve"> ziņojuma sagat</w:t>
      </w:r>
      <w:r>
        <w:rPr>
          <w:rFonts w:cs="Times New Roman"/>
          <w:sz w:val="18"/>
        </w:rPr>
        <w:t>avošanā, kas tiks publicēts 2021. gad</w:t>
      </w:r>
      <w:r w:rsidRPr="006E4EE0">
        <w:rPr>
          <w:rFonts w:cs="Times New Roman"/>
          <w:sz w:val="18"/>
        </w:rPr>
        <w:t>a nogalē</w:t>
      </w:r>
    </w:p>
  </w:footnote>
  <w:footnote w:id="7">
    <w:p w14:paraId="22A5D5F4" w14:textId="77777777" w:rsidR="004565B8" w:rsidRPr="00B70782" w:rsidRDefault="004565B8" w:rsidP="001E5473">
      <w:pPr>
        <w:pStyle w:val="FootnoteText"/>
        <w:rPr>
          <w:sz w:val="16"/>
          <w:szCs w:val="16"/>
        </w:rPr>
      </w:pPr>
      <w:r w:rsidRPr="00B70782">
        <w:rPr>
          <w:rStyle w:val="FootnoteReference"/>
          <w:sz w:val="16"/>
          <w:szCs w:val="16"/>
        </w:rPr>
        <w:footnoteRef/>
      </w:r>
      <w:r w:rsidRPr="00B70782">
        <w:rPr>
          <w:sz w:val="16"/>
          <w:szCs w:val="16"/>
        </w:rPr>
        <w:t xml:space="preserve"> Procentu likmei saglabājoties kā bāzes sc</w:t>
      </w:r>
      <w:r>
        <w:rPr>
          <w:sz w:val="16"/>
          <w:szCs w:val="16"/>
        </w:rPr>
        <w:t>enārijā</w:t>
      </w:r>
      <w:r w:rsidRPr="00B70782">
        <w:rPr>
          <w:sz w:val="16"/>
          <w:szCs w:val="16"/>
        </w:rPr>
        <w:t>.</w:t>
      </w:r>
    </w:p>
  </w:footnote>
  <w:footnote w:id="8">
    <w:p w14:paraId="23DB9A09" w14:textId="77777777" w:rsidR="004565B8" w:rsidRPr="00B70782" w:rsidRDefault="004565B8" w:rsidP="00A45F1F">
      <w:pPr>
        <w:pStyle w:val="FootnoteText"/>
        <w:ind w:firstLine="0"/>
        <w:rPr>
          <w:sz w:val="16"/>
          <w:szCs w:val="16"/>
        </w:rPr>
      </w:pPr>
      <w:r w:rsidRPr="00B70782">
        <w:rPr>
          <w:rStyle w:val="FootnoteReference"/>
          <w:sz w:val="16"/>
          <w:szCs w:val="16"/>
        </w:rPr>
        <w:footnoteRef/>
      </w:r>
      <w:r w:rsidRPr="00B70782">
        <w:rPr>
          <w:sz w:val="16"/>
          <w:szCs w:val="16"/>
        </w:rPr>
        <w:t xml:space="preserve"> Procentu likmei saglabājoties kā bāzes sc</w:t>
      </w:r>
      <w:r>
        <w:rPr>
          <w:sz w:val="16"/>
          <w:szCs w:val="16"/>
        </w:rPr>
        <w:t>enārijā</w:t>
      </w:r>
      <w:r w:rsidRPr="00B70782">
        <w:rPr>
          <w:sz w:val="16"/>
          <w:szCs w:val="16"/>
        </w:rPr>
        <w:t>.</w:t>
      </w:r>
    </w:p>
  </w:footnote>
  <w:footnote w:id="9">
    <w:p w14:paraId="391AB394" w14:textId="151C56A2" w:rsidR="004565B8" w:rsidRPr="00DF1711" w:rsidRDefault="004565B8" w:rsidP="00C3141A">
      <w:pPr>
        <w:pStyle w:val="FootnoteText"/>
        <w:ind w:left="142" w:hanging="142"/>
        <w:rPr>
          <w:rFonts w:cs="Times New Roman"/>
        </w:rPr>
      </w:pPr>
      <w:r w:rsidRPr="00DF1711">
        <w:rPr>
          <w:rStyle w:val="FootnoteReference"/>
          <w:rFonts w:cs="Times New Roman"/>
        </w:rPr>
        <w:footnoteRef/>
      </w:r>
      <w:r w:rsidRPr="00DF1711">
        <w:rPr>
          <w:rFonts w:cs="Times New Roman"/>
        </w:rPr>
        <w:t xml:space="preserve"> Tabulā ir atspoguļotas attiecīgā gada prognozes, kas izstrādātas vienu gadu iepriekš (T-1). Piemēram, 202</w:t>
      </w:r>
      <w:r>
        <w:rPr>
          <w:rFonts w:cs="Times New Roman"/>
        </w:rPr>
        <w:t>1. gada prognozes ir izstrādātas 2020. gadā. Finanšu ministrijas</w:t>
      </w:r>
      <w:r w:rsidRPr="00DF1711">
        <w:rPr>
          <w:rFonts w:cs="Times New Roman"/>
        </w:rPr>
        <w:t xml:space="preserve"> prognozes ir attiecīgā gada budžeta prognozes, kas izstrādātas iepriekšējā gada jūnijā, izņemot 2015.</w:t>
      </w:r>
      <w:r>
        <w:rPr>
          <w:rFonts w:cs="Times New Roman"/>
        </w:rPr>
        <w:t xml:space="preserve"> un</w:t>
      </w:r>
      <w:r w:rsidRPr="00DF1711">
        <w:rPr>
          <w:rFonts w:cs="Times New Roman"/>
        </w:rPr>
        <w:t xml:space="preserve"> 2018</w:t>
      </w:r>
      <w:r>
        <w:rPr>
          <w:rFonts w:cs="Times New Roman"/>
        </w:rPr>
        <w:t>. gad</w:t>
      </w:r>
      <w:r w:rsidRPr="00DF1711">
        <w:rPr>
          <w:rFonts w:cs="Times New Roman"/>
        </w:rPr>
        <w:t>a budžetus, kad iepriekšējā gada rudenī notika Saeimas vēlēšanas un prognozes tika sag</w:t>
      </w:r>
      <w:r>
        <w:rPr>
          <w:rFonts w:cs="Times New Roman"/>
        </w:rPr>
        <w:t>atavotas vēlāk rudenī. OECD, Starptautiskais Valūtas fonda un Eiropas Komisijas</w:t>
      </w:r>
      <w:r w:rsidRPr="00DF1711">
        <w:rPr>
          <w:rFonts w:cs="Times New Roman"/>
        </w:rPr>
        <w:t xml:space="preserve"> prognozes ir minēto institūciju tekošajā gadā publicētās jaunākās (līdz attiecīgā gada jūnijam) prognozes par nākošo gadu.</w:t>
      </w:r>
    </w:p>
  </w:footnote>
  <w:footnote w:id="10">
    <w:p w14:paraId="364D33B2" w14:textId="0DA2C027" w:rsidR="004565B8" w:rsidRPr="00430BBA" w:rsidRDefault="004565B8" w:rsidP="00EB7D26">
      <w:pPr>
        <w:pStyle w:val="FootnoteText"/>
        <w:spacing w:after="0"/>
        <w:ind w:hanging="142"/>
        <w:rPr>
          <w:sz w:val="17"/>
          <w:szCs w:val="17"/>
        </w:rPr>
      </w:pPr>
      <w:r w:rsidRPr="00430BBA">
        <w:rPr>
          <w:rStyle w:val="FootnoteReference"/>
          <w:sz w:val="17"/>
          <w:szCs w:val="17"/>
        </w:rPr>
        <w:footnoteRef/>
      </w:r>
      <w:r w:rsidRPr="00430BBA">
        <w:rPr>
          <w:sz w:val="17"/>
          <w:szCs w:val="17"/>
        </w:rPr>
        <w:t xml:space="preserve"> </w:t>
      </w:r>
      <w:r>
        <w:rPr>
          <w:sz w:val="17"/>
          <w:szCs w:val="17"/>
        </w:rPr>
        <w:t>Eiro</w:t>
      </w:r>
      <w:r w:rsidRPr="00430BBA">
        <w:rPr>
          <w:sz w:val="17"/>
          <w:szCs w:val="17"/>
        </w:rPr>
        <w:t xml:space="preserve">pas Parlamenta un Padomes regula (ES) Nr. 549/2013 par </w:t>
      </w:r>
      <w:r>
        <w:rPr>
          <w:sz w:val="17"/>
          <w:szCs w:val="17"/>
        </w:rPr>
        <w:t>Eiro</w:t>
      </w:r>
      <w:r w:rsidRPr="00430BBA">
        <w:rPr>
          <w:sz w:val="17"/>
          <w:szCs w:val="17"/>
        </w:rPr>
        <w:t>pas nacionālo un reģionālo kontu sistēmu E</w:t>
      </w:r>
      <w:r>
        <w:rPr>
          <w:sz w:val="17"/>
          <w:szCs w:val="17"/>
        </w:rPr>
        <w:t xml:space="preserve">iropas </w:t>
      </w:r>
      <w:r w:rsidRPr="00430BBA">
        <w:rPr>
          <w:sz w:val="17"/>
          <w:szCs w:val="17"/>
        </w:rPr>
        <w:t>S</w:t>
      </w:r>
      <w:r>
        <w:rPr>
          <w:sz w:val="17"/>
          <w:szCs w:val="17"/>
        </w:rPr>
        <w:t>avienībā</w:t>
      </w:r>
      <w:r w:rsidRPr="00430BBA">
        <w:rPr>
          <w:sz w:val="17"/>
          <w:szCs w:val="17"/>
        </w:rPr>
        <w:t>.</w:t>
      </w:r>
    </w:p>
  </w:footnote>
  <w:footnote w:id="11">
    <w:p w14:paraId="4AC51538" w14:textId="35C264FB" w:rsidR="004565B8" w:rsidRPr="00430BBA" w:rsidRDefault="004565B8" w:rsidP="00EB7D26">
      <w:pPr>
        <w:pStyle w:val="FootnoteText"/>
        <w:spacing w:after="0"/>
        <w:ind w:hanging="142"/>
        <w:rPr>
          <w:sz w:val="17"/>
          <w:szCs w:val="17"/>
        </w:rPr>
      </w:pPr>
      <w:r w:rsidRPr="00430BBA">
        <w:rPr>
          <w:rStyle w:val="FootnoteReference"/>
          <w:sz w:val="17"/>
          <w:szCs w:val="17"/>
        </w:rPr>
        <w:footnoteRef/>
      </w:r>
      <w:r w:rsidRPr="00430BBA">
        <w:rPr>
          <w:sz w:val="17"/>
          <w:szCs w:val="17"/>
        </w:rPr>
        <w:t xml:space="preserve"> Valsts (S130130) vai pašvaldību struktūru (S130330) kontrolētās un finansētās komercsabiedrības. Kom</w:t>
      </w:r>
      <w:r>
        <w:rPr>
          <w:sz w:val="17"/>
          <w:szCs w:val="17"/>
        </w:rPr>
        <w:t>ersantu saraksts ir pieejams Centrālās statistikas pārvaldes</w:t>
      </w:r>
      <w:r w:rsidRPr="00430BBA">
        <w:rPr>
          <w:sz w:val="17"/>
          <w:szCs w:val="17"/>
        </w:rPr>
        <w:t xml:space="preserve"> tīmekļvietnē </w:t>
      </w:r>
      <w:r w:rsidRPr="00B42664">
        <w:rPr>
          <w:sz w:val="17"/>
          <w:szCs w:val="17"/>
        </w:rPr>
        <w:t>https://tools.csb.gov.lv/isk/lv</w:t>
      </w:r>
      <w:r w:rsidRPr="00430BBA">
        <w:rPr>
          <w:rStyle w:val="Hyperlink"/>
          <w:sz w:val="17"/>
          <w:szCs w:val="17"/>
        </w:rPr>
        <w:t>.</w:t>
      </w:r>
    </w:p>
  </w:footnote>
  <w:footnote w:id="12">
    <w:p w14:paraId="05CBF238" w14:textId="4B2ACB57" w:rsidR="004565B8" w:rsidRPr="00430BBA" w:rsidRDefault="004565B8" w:rsidP="00EB7D26">
      <w:pPr>
        <w:pStyle w:val="FootnoteText"/>
        <w:spacing w:after="0"/>
        <w:ind w:hanging="142"/>
        <w:rPr>
          <w:sz w:val="17"/>
          <w:szCs w:val="17"/>
        </w:rPr>
      </w:pPr>
      <w:r w:rsidRPr="00430BBA">
        <w:rPr>
          <w:rStyle w:val="FootnoteReference"/>
          <w:sz w:val="17"/>
          <w:szCs w:val="17"/>
        </w:rPr>
        <w:footnoteRef/>
      </w:r>
      <w:r w:rsidRPr="00430BBA">
        <w:rPr>
          <w:sz w:val="17"/>
          <w:szCs w:val="17"/>
        </w:rPr>
        <w:t xml:space="preserve"> No valsts budžeta daļēji finansēto atvasināto publisko personu (S130160) un budžeta nefinansēto iestāžu budžeti (S130150). Iestāžu saraksts pieejams turpat, </w:t>
      </w:r>
      <w:r>
        <w:rPr>
          <w:sz w:val="17"/>
          <w:szCs w:val="17"/>
        </w:rPr>
        <w:t>Centrālās statistikas pārvaldes</w:t>
      </w:r>
      <w:r w:rsidRPr="00430BBA">
        <w:rPr>
          <w:sz w:val="17"/>
          <w:szCs w:val="17"/>
        </w:rPr>
        <w:t xml:space="preserve"> tīmekļvietnē.</w:t>
      </w:r>
    </w:p>
  </w:footnote>
  <w:footnote w:id="13">
    <w:p w14:paraId="57172BA7" w14:textId="05264ECC" w:rsidR="004565B8" w:rsidRPr="000B7F23" w:rsidRDefault="004565B8" w:rsidP="00DB2540">
      <w:pPr>
        <w:pStyle w:val="FootnoteText"/>
        <w:ind w:left="142" w:hanging="142"/>
        <w:rPr>
          <w:sz w:val="17"/>
          <w:szCs w:val="17"/>
        </w:rPr>
      </w:pPr>
      <w:r w:rsidRPr="000B7F23">
        <w:rPr>
          <w:rStyle w:val="FootnoteReference"/>
          <w:sz w:val="17"/>
          <w:szCs w:val="17"/>
        </w:rPr>
        <w:footnoteRef/>
      </w:r>
      <w:r>
        <w:rPr>
          <w:sz w:val="17"/>
          <w:szCs w:val="17"/>
        </w:rPr>
        <w:t xml:space="preserve"> Atbilstoši Ministru kabineta</w:t>
      </w:r>
      <w:r w:rsidRPr="000B7F23">
        <w:rPr>
          <w:sz w:val="17"/>
          <w:szCs w:val="17"/>
        </w:rPr>
        <w:t xml:space="preserve"> 24.08.2021 informatīvajam ziņojumam “Par makroekonomisko rādītāju, ieņēmumu un vispārējās valdības budžeta bilances prognozēm 2022.-2024.</w:t>
      </w:r>
      <w:r>
        <w:rPr>
          <w:sz w:val="17"/>
          <w:szCs w:val="17"/>
        </w:rPr>
        <w:t xml:space="preserve"> </w:t>
      </w:r>
      <w:r w:rsidRPr="000B7F23">
        <w:rPr>
          <w:sz w:val="17"/>
          <w:szCs w:val="17"/>
        </w:rPr>
        <w:t>gadā</w:t>
      </w:r>
      <w:r>
        <w:rPr>
          <w:sz w:val="17"/>
          <w:szCs w:val="17"/>
        </w:rPr>
        <w:t>”</w:t>
      </w:r>
    </w:p>
  </w:footnote>
  <w:footnote w:id="14">
    <w:p w14:paraId="2EF2782A" w14:textId="669C2BB8" w:rsidR="004565B8" w:rsidRDefault="004565B8" w:rsidP="0090051F">
      <w:pPr>
        <w:pStyle w:val="FootnoteText"/>
        <w:ind w:hanging="142"/>
      </w:pPr>
      <w:r>
        <w:rPr>
          <w:rStyle w:val="FootnoteReference"/>
        </w:rPr>
        <w:footnoteRef/>
      </w:r>
      <w:r>
        <w:t xml:space="preserve"> </w:t>
      </w:r>
      <w:r>
        <w:rPr>
          <w:sz w:val="17"/>
          <w:szCs w:val="17"/>
        </w:rPr>
        <w:t>Atbilstoši Ministru kabineta</w:t>
      </w:r>
      <w:r w:rsidRPr="000B7F23">
        <w:rPr>
          <w:sz w:val="17"/>
          <w:szCs w:val="17"/>
        </w:rPr>
        <w:t xml:space="preserve"> 24.08.2021</w:t>
      </w:r>
      <w:r>
        <w:rPr>
          <w:sz w:val="17"/>
          <w:szCs w:val="17"/>
        </w:rPr>
        <w:t>.</w:t>
      </w:r>
      <w:r w:rsidRPr="000B7F23">
        <w:rPr>
          <w:sz w:val="17"/>
          <w:szCs w:val="17"/>
        </w:rPr>
        <w:t xml:space="preserve"> informatīvajam ziņojumam “Par makroekonomisko rādītāju, ieņēmumu un vispārējās valdības budžeta bilances prognozēm 2022.-2024.</w:t>
      </w:r>
      <w:r>
        <w:rPr>
          <w:sz w:val="17"/>
          <w:szCs w:val="17"/>
        </w:rPr>
        <w:t xml:space="preserve"> </w:t>
      </w:r>
      <w:r w:rsidRPr="000B7F23">
        <w:rPr>
          <w:sz w:val="17"/>
          <w:szCs w:val="17"/>
        </w:rPr>
        <w:t>gadā</w:t>
      </w:r>
      <w:r>
        <w:rPr>
          <w:sz w:val="17"/>
          <w:szCs w:val="17"/>
        </w:rPr>
        <w:t>”</w:t>
      </w:r>
    </w:p>
  </w:footnote>
  <w:footnote w:id="15">
    <w:p w14:paraId="26F8BC93" w14:textId="2970DA23" w:rsidR="004565B8" w:rsidRDefault="004565B8" w:rsidP="0090051F">
      <w:pPr>
        <w:pStyle w:val="FootnoteText"/>
        <w:ind w:hanging="142"/>
      </w:pPr>
      <w:r>
        <w:rPr>
          <w:rStyle w:val="FootnoteReference"/>
        </w:rPr>
        <w:footnoteRef/>
      </w:r>
      <w:r>
        <w:t xml:space="preserve"> </w:t>
      </w:r>
      <w:r>
        <w:rPr>
          <w:sz w:val="17"/>
          <w:szCs w:val="17"/>
        </w:rPr>
        <w:t>Atbilstoši Ministru kabineta</w:t>
      </w:r>
      <w:r w:rsidRPr="000B7F23">
        <w:rPr>
          <w:sz w:val="17"/>
          <w:szCs w:val="17"/>
        </w:rPr>
        <w:t xml:space="preserve"> 24.08.2021 informatīvajam ziņojumam “Par makroekonomisko rādītāju, ieņēmumu un vispārējās valdības budžeta bilances prognozēm 2022.-2024.</w:t>
      </w:r>
      <w:r>
        <w:rPr>
          <w:sz w:val="17"/>
          <w:szCs w:val="17"/>
        </w:rPr>
        <w:t xml:space="preserve"> </w:t>
      </w:r>
      <w:r w:rsidRPr="000B7F23">
        <w:rPr>
          <w:sz w:val="17"/>
          <w:szCs w:val="17"/>
        </w:rPr>
        <w:t>gadā</w:t>
      </w:r>
      <w:r>
        <w:rPr>
          <w:sz w:val="17"/>
          <w:szCs w:val="17"/>
        </w:rPr>
        <w:t>”</w:t>
      </w:r>
    </w:p>
  </w:footnote>
  <w:footnote w:id="16">
    <w:p w14:paraId="2B5805B5" w14:textId="77777777" w:rsidR="004565B8" w:rsidRPr="00430BBA" w:rsidRDefault="004565B8" w:rsidP="0090051F">
      <w:pPr>
        <w:pStyle w:val="FootnoteText"/>
        <w:spacing w:after="0"/>
        <w:ind w:firstLine="0"/>
        <w:rPr>
          <w:sz w:val="17"/>
          <w:szCs w:val="17"/>
        </w:rPr>
      </w:pPr>
      <w:r w:rsidRPr="00430BBA">
        <w:rPr>
          <w:rStyle w:val="FootnoteReference"/>
          <w:sz w:val="17"/>
          <w:szCs w:val="17"/>
        </w:rPr>
        <w:footnoteRef/>
      </w:r>
      <w:r w:rsidRPr="00430BBA">
        <w:rPr>
          <w:sz w:val="17"/>
          <w:szCs w:val="17"/>
        </w:rPr>
        <w:t xml:space="preserve"> Datu avots: AMECO.</w:t>
      </w:r>
    </w:p>
  </w:footnote>
  <w:footnote w:id="17">
    <w:p w14:paraId="6ADFBBC1" w14:textId="77777777" w:rsidR="004565B8" w:rsidRPr="00430BBA" w:rsidRDefault="004565B8" w:rsidP="0090051F">
      <w:pPr>
        <w:pStyle w:val="FootnoteText"/>
        <w:spacing w:after="0"/>
        <w:ind w:firstLine="0"/>
        <w:rPr>
          <w:sz w:val="17"/>
          <w:szCs w:val="17"/>
        </w:rPr>
      </w:pPr>
      <w:r w:rsidRPr="00430BBA">
        <w:rPr>
          <w:rStyle w:val="FootnoteReference"/>
          <w:sz w:val="17"/>
          <w:szCs w:val="17"/>
        </w:rPr>
        <w:footnoteRef/>
      </w:r>
      <w:r w:rsidRPr="00430BBA">
        <w:rPr>
          <w:sz w:val="17"/>
          <w:szCs w:val="17"/>
        </w:rPr>
        <w:t xml:space="preserve"> Nodokļu ieņēmumi atbilstoši EKS metodoloģijai (D.2 + D.5 + D.61 + D.91).</w:t>
      </w:r>
    </w:p>
  </w:footnote>
  <w:footnote w:id="18">
    <w:p w14:paraId="1C39F6F2" w14:textId="41CF2098" w:rsidR="004565B8" w:rsidRPr="00900767" w:rsidRDefault="004565B8" w:rsidP="00651B6D">
      <w:pPr>
        <w:pStyle w:val="FootnoteText"/>
        <w:ind w:firstLine="0"/>
        <w:rPr>
          <w:rFonts w:cs="Times New Roman"/>
        </w:rPr>
      </w:pPr>
      <w:r w:rsidRPr="00900767">
        <w:rPr>
          <w:rStyle w:val="FootnoteReference"/>
          <w:rFonts w:cs="Times New Roman"/>
        </w:rPr>
        <w:footnoteRef/>
      </w:r>
      <w:r w:rsidRPr="00900767">
        <w:rPr>
          <w:rFonts w:cs="Times New Roman"/>
        </w:rPr>
        <w:t xml:space="preserve"> Neieskaitot iemaks</w:t>
      </w:r>
      <w:r>
        <w:rPr>
          <w:rFonts w:cs="Times New Roman"/>
        </w:rPr>
        <w:t>as valsts fondēto pensiju shēmā.</w:t>
      </w:r>
    </w:p>
  </w:footnote>
  <w:footnote w:id="19">
    <w:p w14:paraId="3B0EF1B3" w14:textId="77777777" w:rsidR="004565B8" w:rsidRDefault="004565B8" w:rsidP="00316BA7">
      <w:pPr>
        <w:pStyle w:val="FootnoteText"/>
        <w:ind w:left="142" w:hanging="142"/>
      </w:pPr>
      <w:r>
        <w:rPr>
          <w:rStyle w:val="FootnoteReference"/>
        </w:rPr>
        <w:footnoteRef/>
      </w:r>
      <w:r>
        <w:t xml:space="preserve"> </w:t>
      </w:r>
      <w:r w:rsidRPr="00971BF3">
        <w:t>Neieskaitot valsts sociālās apdrošināšanas</w:t>
      </w:r>
      <w:r>
        <w:t xml:space="preserve"> obligātās</w:t>
      </w:r>
      <w:r w:rsidRPr="00971BF3">
        <w:t xml:space="preserve"> iemaksas fondēto pensiju shēmā</w:t>
      </w:r>
      <w:r>
        <w:t xml:space="preserve"> un solidaritātes nodokli pamatbudžetā</w:t>
      </w:r>
    </w:p>
  </w:footnote>
  <w:footnote w:id="20">
    <w:p w14:paraId="1DAA4F8D" w14:textId="357370DC" w:rsidR="004565B8" w:rsidRDefault="004565B8" w:rsidP="005B0C3F">
      <w:pPr>
        <w:pStyle w:val="FootnoteText"/>
        <w:spacing w:after="0"/>
        <w:ind w:left="142" w:hanging="142"/>
      </w:pPr>
      <w:r>
        <w:rPr>
          <w:rStyle w:val="FootnoteReference"/>
        </w:rPr>
        <w:footnoteRef/>
      </w:r>
      <w:r>
        <w:t xml:space="preserve"> </w:t>
      </w:r>
      <w:r>
        <w:rPr>
          <w:rFonts w:cs="Times New Roman"/>
        </w:rPr>
        <w:t xml:space="preserve">SURE - </w:t>
      </w:r>
      <w:r w:rsidRPr="005B0C3F">
        <w:rPr>
          <w:rFonts w:cs="Times New Roman"/>
          <w:i/>
        </w:rPr>
        <w:t>The temporary Support to mitigate Unemployment Risks in an Emergency</w:t>
      </w:r>
      <w:r w:rsidRPr="0007579E">
        <w:rPr>
          <w:rFonts w:cs="Times New Roman"/>
        </w:rPr>
        <w:t>/ pagaidu atbalsta instruments bezdarba risku mazināšanai ārkārtas situācijā</w:t>
      </w:r>
    </w:p>
  </w:footnote>
  <w:footnote w:id="21">
    <w:p w14:paraId="29BAA79F" w14:textId="77777777" w:rsidR="004565B8" w:rsidRPr="00FB4515" w:rsidRDefault="004565B8" w:rsidP="005B0C3F">
      <w:pPr>
        <w:pStyle w:val="FootnoteText"/>
        <w:ind w:left="142" w:hanging="142"/>
        <w:rPr>
          <w:rFonts w:cs="Times New Roman"/>
        </w:rPr>
      </w:pPr>
      <w:r w:rsidRPr="00FB4515">
        <w:rPr>
          <w:rStyle w:val="FootnoteReference"/>
          <w:rFonts w:cs="Times New Roman"/>
        </w:rPr>
        <w:footnoteRef/>
      </w:r>
      <w:r w:rsidRPr="00FB4515">
        <w:rPr>
          <w:rFonts w:cs="Times New Roman"/>
        </w:rPr>
        <w:t xml:space="preserve"> </w:t>
      </w:r>
      <w:r>
        <w:rPr>
          <w:rFonts w:cs="Times New Roman"/>
        </w:rPr>
        <w:t xml:space="preserve">Pēc nacionālās metodoloģijas, </w:t>
      </w:r>
      <w:r w:rsidRPr="00FB4515">
        <w:rPr>
          <w:rFonts w:cs="Times New Roman"/>
        </w:rPr>
        <w:t>ņemot vērā Valsts kases administrētajiem ārējiem aizņēmumiem un parāda vērtspapīriem piesaistīto atvasināto finanšu instrumentu valūtas rezultātu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534582"/>
      <w:docPartObj>
        <w:docPartGallery w:val="Page Numbers (Top of Page)"/>
        <w:docPartUnique/>
      </w:docPartObj>
    </w:sdtPr>
    <w:sdtEndPr>
      <w:rPr>
        <w:rFonts w:cs="Times New Roman"/>
        <w:noProof/>
        <w:szCs w:val="24"/>
      </w:rPr>
    </w:sdtEndPr>
    <w:sdtContent>
      <w:p w14:paraId="263BCA2D" w14:textId="2E612005" w:rsidR="004565B8" w:rsidRPr="00677573" w:rsidRDefault="004565B8">
        <w:pPr>
          <w:pStyle w:val="Header"/>
          <w:jc w:val="center"/>
          <w:rPr>
            <w:rFonts w:cs="Times New Roman"/>
            <w:szCs w:val="24"/>
          </w:rPr>
        </w:pPr>
        <w:r w:rsidRPr="00677573">
          <w:rPr>
            <w:rFonts w:cs="Times New Roman"/>
            <w:szCs w:val="24"/>
          </w:rPr>
          <w:fldChar w:fldCharType="begin"/>
        </w:r>
        <w:r w:rsidRPr="00677573">
          <w:rPr>
            <w:rFonts w:cs="Times New Roman"/>
            <w:szCs w:val="24"/>
          </w:rPr>
          <w:instrText xml:space="preserve"> PAGE   \* MERGEFORMAT </w:instrText>
        </w:r>
        <w:r w:rsidRPr="00677573">
          <w:rPr>
            <w:rFonts w:cs="Times New Roman"/>
            <w:szCs w:val="24"/>
          </w:rPr>
          <w:fldChar w:fldCharType="separate"/>
        </w:r>
        <w:r w:rsidR="00635652">
          <w:rPr>
            <w:rFonts w:cs="Times New Roman"/>
            <w:noProof/>
            <w:szCs w:val="24"/>
          </w:rPr>
          <w:t>133</w:t>
        </w:r>
        <w:r w:rsidRPr="00677573">
          <w:rPr>
            <w:rFonts w:cs="Times New Roman"/>
            <w:noProof/>
            <w:szCs w:val="24"/>
          </w:rPr>
          <w:fldChar w:fldCharType="end"/>
        </w:r>
      </w:p>
    </w:sdtContent>
  </w:sdt>
  <w:p w14:paraId="5EC7E9B3" w14:textId="77777777" w:rsidR="004565B8" w:rsidRDefault="00456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1B87"/>
    <w:multiLevelType w:val="hybridMultilevel"/>
    <w:tmpl w:val="14462D7E"/>
    <w:lvl w:ilvl="0" w:tplc="FC48DC70">
      <w:start w:val="1"/>
      <w:numFmt w:val="decimal"/>
      <w:lvlText w:val="%1."/>
      <w:lvlJc w:val="left"/>
      <w:pPr>
        <w:ind w:left="1440" w:hanging="360"/>
      </w:pPr>
      <w:rPr>
        <w:rFonts w:ascii="Times New Roman" w:hAnsi="Times New Roman" w:hint="default"/>
        <w:sz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4A97A5A"/>
    <w:multiLevelType w:val="multilevel"/>
    <w:tmpl w:val="79E25108"/>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C32C5C"/>
    <w:multiLevelType w:val="hybridMultilevel"/>
    <w:tmpl w:val="0EC6157E"/>
    <w:lvl w:ilvl="0" w:tplc="04260001">
      <w:start w:val="1"/>
      <w:numFmt w:val="bullet"/>
      <w:lvlText w:val=""/>
      <w:lvlJc w:val="left"/>
      <w:pPr>
        <w:ind w:left="1276" w:hanging="360"/>
      </w:pPr>
      <w:rPr>
        <w:rFonts w:ascii="Symbol" w:hAnsi="Symbol" w:hint="default"/>
      </w:rPr>
    </w:lvl>
    <w:lvl w:ilvl="1" w:tplc="04260003" w:tentative="1">
      <w:start w:val="1"/>
      <w:numFmt w:val="bullet"/>
      <w:lvlText w:val="o"/>
      <w:lvlJc w:val="left"/>
      <w:pPr>
        <w:ind w:left="1996" w:hanging="360"/>
      </w:pPr>
      <w:rPr>
        <w:rFonts w:ascii="Courier New" w:hAnsi="Courier New" w:cs="Courier New" w:hint="default"/>
      </w:rPr>
    </w:lvl>
    <w:lvl w:ilvl="2" w:tplc="04260005" w:tentative="1">
      <w:start w:val="1"/>
      <w:numFmt w:val="bullet"/>
      <w:lvlText w:val=""/>
      <w:lvlJc w:val="left"/>
      <w:pPr>
        <w:ind w:left="2716" w:hanging="360"/>
      </w:pPr>
      <w:rPr>
        <w:rFonts w:ascii="Wingdings" w:hAnsi="Wingdings" w:hint="default"/>
      </w:rPr>
    </w:lvl>
    <w:lvl w:ilvl="3" w:tplc="04260001" w:tentative="1">
      <w:start w:val="1"/>
      <w:numFmt w:val="bullet"/>
      <w:lvlText w:val=""/>
      <w:lvlJc w:val="left"/>
      <w:pPr>
        <w:ind w:left="3436" w:hanging="360"/>
      </w:pPr>
      <w:rPr>
        <w:rFonts w:ascii="Symbol" w:hAnsi="Symbol" w:hint="default"/>
      </w:rPr>
    </w:lvl>
    <w:lvl w:ilvl="4" w:tplc="04260003" w:tentative="1">
      <w:start w:val="1"/>
      <w:numFmt w:val="bullet"/>
      <w:lvlText w:val="o"/>
      <w:lvlJc w:val="left"/>
      <w:pPr>
        <w:ind w:left="4156" w:hanging="360"/>
      </w:pPr>
      <w:rPr>
        <w:rFonts w:ascii="Courier New" w:hAnsi="Courier New" w:cs="Courier New" w:hint="default"/>
      </w:rPr>
    </w:lvl>
    <w:lvl w:ilvl="5" w:tplc="04260005" w:tentative="1">
      <w:start w:val="1"/>
      <w:numFmt w:val="bullet"/>
      <w:lvlText w:val=""/>
      <w:lvlJc w:val="left"/>
      <w:pPr>
        <w:ind w:left="4876" w:hanging="360"/>
      </w:pPr>
      <w:rPr>
        <w:rFonts w:ascii="Wingdings" w:hAnsi="Wingdings" w:hint="default"/>
      </w:rPr>
    </w:lvl>
    <w:lvl w:ilvl="6" w:tplc="04260001" w:tentative="1">
      <w:start w:val="1"/>
      <w:numFmt w:val="bullet"/>
      <w:lvlText w:val=""/>
      <w:lvlJc w:val="left"/>
      <w:pPr>
        <w:ind w:left="5596" w:hanging="360"/>
      </w:pPr>
      <w:rPr>
        <w:rFonts w:ascii="Symbol" w:hAnsi="Symbol" w:hint="default"/>
      </w:rPr>
    </w:lvl>
    <w:lvl w:ilvl="7" w:tplc="04260003" w:tentative="1">
      <w:start w:val="1"/>
      <w:numFmt w:val="bullet"/>
      <w:lvlText w:val="o"/>
      <w:lvlJc w:val="left"/>
      <w:pPr>
        <w:ind w:left="6316" w:hanging="360"/>
      </w:pPr>
      <w:rPr>
        <w:rFonts w:ascii="Courier New" w:hAnsi="Courier New" w:cs="Courier New" w:hint="default"/>
      </w:rPr>
    </w:lvl>
    <w:lvl w:ilvl="8" w:tplc="04260005" w:tentative="1">
      <w:start w:val="1"/>
      <w:numFmt w:val="bullet"/>
      <w:lvlText w:val=""/>
      <w:lvlJc w:val="left"/>
      <w:pPr>
        <w:ind w:left="7036" w:hanging="360"/>
      </w:pPr>
      <w:rPr>
        <w:rFonts w:ascii="Wingdings" w:hAnsi="Wingdings" w:hint="default"/>
      </w:rPr>
    </w:lvl>
  </w:abstractNum>
  <w:abstractNum w:abstractNumId="3" w15:restartNumberingAfterBreak="0">
    <w:nsid w:val="0F1B3975"/>
    <w:multiLevelType w:val="hybridMultilevel"/>
    <w:tmpl w:val="0AB892E8"/>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11E9530B"/>
    <w:multiLevelType w:val="multilevel"/>
    <w:tmpl w:val="D83E567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467E14"/>
    <w:multiLevelType w:val="hybridMultilevel"/>
    <w:tmpl w:val="3454FF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D61DE7"/>
    <w:multiLevelType w:val="multilevel"/>
    <w:tmpl w:val="C02CE7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Heading3"/>
      <w:lvlText w:val="%1.%2.%3."/>
      <w:lvlJc w:val="left"/>
      <w:pPr>
        <w:ind w:left="362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714908"/>
    <w:multiLevelType w:val="multilevel"/>
    <w:tmpl w:val="86C0ED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A10AF7"/>
    <w:multiLevelType w:val="multilevel"/>
    <w:tmpl w:val="FFA0241E"/>
    <w:lvl w:ilvl="0">
      <w:start w:val="3"/>
      <w:numFmt w:val="decimal"/>
      <w:lvlText w:val="%1."/>
      <w:lvlJc w:val="left"/>
      <w:pPr>
        <w:ind w:left="675" w:hanging="675"/>
      </w:pPr>
      <w:rPr>
        <w:rFonts w:hint="default"/>
      </w:rPr>
    </w:lvl>
    <w:lvl w:ilvl="1">
      <w:start w:val="1"/>
      <w:numFmt w:val="decimal"/>
      <w:lvlText w:val="%1.%2."/>
      <w:lvlJc w:val="left"/>
      <w:pPr>
        <w:ind w:left="1925" w:hanging="720"/>
      </w:pPr>
      <w:rPr>
        <w:rFonts w:hint="default"/>
      </w:rPr>
    </w:lvl>
    <w:lvl w:ilvl="2">
      <w:start w:val="1"/>
      <w:numFmt w:val="decimal"/>
      <w:lvlText w:val="%1.%2.%3."/>
      <w:lvlJc w:val="left"/>
      <w:pPr>
        <w:ind w:left="1997" w:hanging="720"/>
      </w:pPr>
      <w:rPr>
        <w:rFonts w:ascii="Times New Roman" w:hAnsi="Times New Roman" w:cs="Times New Roman" w:hint="default"/>
      </w:rPr>
    </w:lvl>
    <w:lvl w:ilvl="3">
      <w:start w:val="1"/>
      <w:numFmt w:val="decimal"/>
      <w:lvlText w:val="%1.%2.%3.%4."/>
      <w:lvlJc w:val="left"/>
      <w:pPr>
        <w:ind w:left="4695" w:hanging="108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465" w:hanging="1440"/>
      </w:pPr>
      <w:rPr>
        <w:rFonts w:hint="default"/>
      </w:rPr>
    </w:lvl>
    <w:lvl w:ilvl="6">
      <w:start w:val="1"/>
      <w:numFmt w:val="decimal"/>
      <w:lvlText w:val="%1.%2.%3.%4.%5.%6.%7."/>
      <w:lvlJc w:val="left"/>
      <w:pPr>
        <w:ind w:left="9030" w:hanging="1800"/>
      </w:pPr>
      <w:rPr>
        <w:rFonts w:hint="default"/>
      </w:rPr>
    </w:lvl>
    <w:lvl w:ilvl="7">
      <w:start w:val="1"/>
      <w:numFmt w:val="decimal"/>
      <w:lvlText w:val="%1.%2.%3.%4.%5.%6.%7.%8."/>
      <w:lvlJc w:val="left"/>
      <w:pPr>
        <w:ind w:left="10235" w:hanging="1800"/>
      </w:pPr>
      <w:rPr>
        <w:rFonts w:hint="default"/>
      </w:rPr>
    </w:lvl>
    <w:lvl w:ilvl="8">
      <w:start w:val="1"/>
      <w:numFmt w:val="decimal"/>
      <w:lvlText w:val="%1.%2.%3.%4.%5.%6.%7.%8.%9."/>
      <w:lvlJc w:val="left"/>
      <w:pPr>
        <w:ind w:left="11800" w:hanging="2160"/>
      </w:pPr>
      <w:rPr>
        <w:rFonts w:hint="default"/>
      </w:rPr>
    </w:lvl>
  </w:abstractNum>
  <w:abstractNum w:abstractNumId="9" w15:restartNumberingAfterBreak="0">
    <w:nsid w:val="33550CB8"/>
    <w:multiLevelType w:val="hybridMultilevel"/>
    <w:tmpl w:val="2F8C974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8F424D0"/>
    <w:multiLevelType w:val="multilevel"/>
    <w:tmpl w:val="F9AA900C"/>
    <w:lvl w:ilvl="0">
      <w:start w:val="1"/>
      <w:numFmt w:val="decimal"/>
      <w:lvlRestart w:val="0"/>
      <w:pStyle w:val="Point123"/>
      <w:lvlText w:val="%1."/>
      <w:lvlJc w:val="left"/>
      <w:pPr>
        <w:tabs>
          <w:tab w:val="num" w:pos="567"/>
        </w:tabs>
        <w:ind w:left="567" w:hanging="567"/>
      </w:pPr>
      <w:rPr>
        <w:rFonts w:ascii="Times New Roman" w:eastAsia="Times New Roman" w:hAnsi="Times New Roman" w:cs="Times New Roman"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993"/>
        </w:tabs>
        <w:ind w:left="993"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1" w15:restartNumberingAfterBreak="0">
    <w:nsid w:val="4D364677"/>
    <w:multiLevelType w:val="hybridMultilevel"/>
    <w:tmpl w:val="0DE8C31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5BD6AB3"/>
    <w:multiLevelType w:val="hybridMultilevel"/>
    <w:tmpl w:val="2B4C623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6A4F3174"/>
    <w:multiLevelType w:val="hybridMultilevel"/>
    <w:tmpl w:val="4C04A2BE"/>
    <w:lvl w:ilvl="0" w:tplc="FF0877C0">
      <w:start w:val="1"/>
      <w:numFmt w:val="decimal"/>
      <w:lvlText w:val="%1."/>
      <w:lvlJc w:val="left"/>
      <w:pPr>
        <w:ind w:left="36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B2F3A62"/>
    <w:multiLevelType w:val="multilevel"/>
    <w:tmpl w:val="153AC7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5957D7"/>
    <w:multiLevelType w:val="hybridMultilevel"/>
    <w:tmpl w:val="545485F8"/>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7610109D"/>
    <w:multiLevelType w:val="multilevel"/>
    <w:tmpl w:val="1D442D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77920A1"/>
    <w:multiLevelType w:val="hybridMultilevel"/>
    <w:tmpl w:val="FAF8A23E"/>
    <w:lvl w:ilvl="0" w:tplc="04260005">
      <w:start w:val="1"/>
      <w:numFmt w:val="bullet"/>
      <w:lvlText w:val=""/>
      <w:lvlJc w:val="left"/>
      <w:pPr>
        <w:ind w:left="1069" w:hanging="360"/>
      </w:pPr>
      <w:rPr>
        <w:rFonts w:ascii="Wingdings" w:hAnsi="Wingding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7B0954A4"/>
    <w:multiLevelType w:val="hybridMultilevel"/>
    <w:tmpl w:val="ACBE9B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8"/>
  </w:num>
  <w:num w:numId="4">
    <w:abstractNumId w:val="2"/>
  </w:num>
  <w:num w:numId="5">
    <w:abstractNumId w:val="13"/>
  </w:num>
  <w:num w:numId="6">
    <w:abstractNumId w:val="10"/>
  </w:num>
  <w:num w:numId="7">
    <w:abstractNumId w:val="18"/>
  </w:num>
  <w:num w:numId="8">
    <w:abstractNumId w:val="0"/>
  </w:num>
  <w:num w:numId="9">
    <w:abstractNumId w:val="7"/>
  </w:num>
  <w:num w:numId="10">
    <w:abstractNumId w:val="6"/>
  </w:num>
  <w:num w:numId="11">
    <w:abstractNumId w:val="12"/>
  </w:num>
  <w:num w:numId="12">
    <w:abstractNumId w:val="16"/>
  </w:num>
  <w:num w:numId="13">
    <w:abstractNumId w:val="11"/>
  </w:num>
  <w:num w:numId="14">
    <w:abstractNumId w:val="14"/>
  </w:num>
  <w:num w:numId="15">
    <w:abstractNumId w:val="5"/>
  </w:num>
  <w:num w:numId="16">
    <w:abstractNumId w:val="9"/>
  </w:num>
  <w:num w:numId="17">
    <w:abstractNumId w:val="3"/>
  </w:num>
  <w:num w:numId="18">
    <w:abstractNumId w:val="15"/>
  </w:num>
  <w:num w:numId="1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s-ES" w:vendorID="64" w:dllVersion="6" w:nlCheck="1" w:checkStyle="0"/>
  <w:activeWritingStyle w:appName="MSWord" w:lang="en-US" w:vendorID="64" w:dllVersion="6" w:nlCheck="1" w:checkStyle="1"/>
  <w:activeWritingStyle w:appName="MSWord" w:lang="es-ES" w:vendorID="64" w:dllVersion="0" w:nlCheck="1" w:checkStyle="0"/>
  <w:activeWritingStyle w:appName="MSWord" w:lang="en-US" w:vendorID="64" w:dllVersion="0" w:nlCheck="1" w:checkStyle="0"/>
  <w:activeWritingStyle w:appName="MSWord" w:lang="es-ES" w:vendorID="64" w:dllVersion="131078" w:nlCheck="1" w:checkStyle="0"/>
  <w:defaultTabStop w:val="720"/>
  <w:doNotShadeFormData/>
  <w:characterSpacingControl w:val="doNotCompress"/>
  <w:hdrShapeDefaults>
    <o:shapedefaults v:ext="edit" spidmax="624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FCD"/>
    <w:rsid w:val="00003C17"/>
    <w:rsid w:val="00006347"/>
    <w:rsid w:val="000110A6"/>
    <w:rsid w:val="000226D6"/>
    <w:rsid w:val="00027929"/>
    <w:rsid w:val="000368AE"/>
    <w:rsid w:val="00040682"/>
    <w:rsid w:val="0004087E"/>
    <w:rsid w:val="000408CF"/>
    <w:rsid w:val="0005104E"/>
    <w:rsid w:val="00051573"/>
    <w:rsid w:val="000548A5"/>
    <w:rsid w:val="000556A3"/>
    <w:rsid w:val="0005600D"/>
    <w:rsid w:val="00062B9C"/>
    <w:rsid w:val="000671B6"/>
    <w:rsid w:val="000709B3"/>
    <w:rsid w:val="00071293"/>
    <w:rsid w:val="000736B9"/>
    <w:rsid w:val="000738ED"/>
    <w:rsid w:val="00077698"/>
    <w:rsid w:val="00080880"/>
    <w:rsid w:val="00080F5D"/>
    <w:rsid w:val="00090B27"/>
    <w:rsid w:val="00092745"/>
    <w:rsid w:val="00095088"/>
    <w:rsid w:val="00096494"/>
    <w:rsid w:val="000A284A"/>
    <w:rsid w:val="000A2DF9"/>
    <w:rsid w:val="000A3972"/>
    <w:rsid w:val="000C237C"/>
    <w:rsid w:val="000C25D0"/>
    <w:rsid w:val="000C2811"/>
    <w:rsid w:val="000C391E"/>
    <w:rsid w:val="000C3B1C"/>
    <w:rsid w:val="000C3EB5"/>
    <w:rsid w:val="000D017B"/>
    <w:rsid w:val="000D2620"/>
    <w:rsid w:val="000D4D00"/>
    <w:rsid w:val="000F0A11"/>
    <w:rsid w:val="000F6C00"/>
    <w:rsid w:val="0010115D"/>
    <w:rsid w:val="00112C33"/>
    <w:rsid w:val="00115108"/>
    <w:rsid w:val="00116FC6"/>
    <w:rsid w:val="0012299E"/>
    <w:rsid w:val="00122F78"/>
    <w:rsid w:val="00127E05"/>
    <w:rsid w:val="00134F91"/>
    <w:rsid w:val="00155DEF"/>
    <w:rsid w:val="001574CE"/>
    <w:rsid w:val="00160722"/>
    <w:rsid w:val="00170845"/>
    <w:rsid w:val="00170982"/>
    <w:rsid w:val="0017127D"/>
    <w:rsid w:val="00181A15"/>
    <w:rsid w:val="00181F59"/>
    <w:rsid w:val="00182ED0"/>
    <w:rsid w:val="0018367D"/>
    <w:rsid w:val="00186BB3"/>
    <w:rsid w:val="0019106F"/>
    <w:rsid w:val="0019312B"/>
    <w:rsid w:val="00195261"/>
    <w:rsid w:val="00195F8C"/>
    <w:rsid w:val="00196342"/>
    <w:rsid w:val="001A257A"/>
    <w:rsid w:val="001A4980"/>
    <w:rsid w:val="001B509F"/>
    <w:rsid w:val="001B743F"/>
    <w:rsid w:val="001B7888"/>
    <w:rsid w:val="001C5161"/>
    <w:rsid w:val="001C58DD"/>
    <w:rsid w:val="001D00AC"/>
    <w:rsid w:val="001D4063"/>
    <w:rsid w:val="001D6A54"/>
    <w:rsid w:val="001D773D"/>
    <w:rsid w:val="001E5473"/>
    <w:rsid w:val="001F2FAC"/>
    <w:rsid w:val="001F4280"/>
    <w:rsid w:val="002020BD"/>
    <w:rsid w:val="002065E6"/>
    <w:rsid w:val="0020678D"/>
    <w:rsid w:val="00222F32"/>
    <w:rsid w:val="00224245"/>
    <w:rsid w:val="00230E9D"/>
    <w:rsid w:val="00234CDA"/>
    <w:rsid w:val="002449BE"/>
    <w:rsid w:val="00247C4D"/>
    <w:rsid w:val="002519DD"/>
    <w:rsid w:val="00252700"/>
    <w:rsid w:val="00255306"/>
    <w:rsid w:val="002675A9"/>
    <w:rsid w:val="00275CCB"/>
    <w:rsid w:val="002805C7"/>
    <w:rsid w:val="002808B3"/>
    <w:rsid w:val="00286907"/>
    <w:rsid w:val="00287B03"/>
    <w:rsid w:val="00294C90"/>
    <w:rsid w:val="00294F87"/>
    <w:rsid w:val="00295172"/>
    <w:rsid w:val="00295F32"/>
    <w:rsid w:val="002A0876"/>
    <w:rsid w:val="002A0A3A"/>
    <w:rsid w:val="002A3640"/>
    <w:rsid w:val="002A7B17"/>
    <w:rsid w:val="002B2F86"/>
    <w:rsid w:val="002B3B96"/>
    <w:rsid w:val="002C516C"/>
    <w:rsid w:val="002D0756"/>
    <w:rsid w:val="002D09C3"/>
    <w:rsid w:val="002D0E5B"/>
    <w:rsid w:val="002E0F33"/>
    <w:rsid w:val="002E297C"/>
    <w:rsid w:val="002E38F8"/>
    <w:rsid w:val="002F1928"/>
    <w:rsid w:val="00302FF6"/>
    <w:rsid w:val="00303EDE"/>
    <w:rsid w:val="003075A7"/>
    <w:rsid w:val="00307A1B"/>
    <w:rsid w:val="0031027C"/>
    <w:rsid w:val="00316BA7"/>
    <w:rsid w:val="00322C7C"/>
    <w:rsid w:val="00325724"/>
    <w:rsid w:val="00326F4A"/>
    <w:rsid w:val="003347CE"/>
    <w:rsid w:val="003374E1"/>
    <w:rsid w:val="00337572"/>
    <w:rsid w:val="00341DF7"/>
    <w:rsid w:val="00344CED"/>
    <w:rsid w:val="00346EEF"/>
    <w:rsid w:val="00350B96"/>
    <w:rsid w:val="00351C3D"/>
    <w:rsid w:val="0036084D"/>
    <w:rsid w:val="00361D9C"/>
    <w:rsid w:val="003634C7"/>
    <w:rsid w:val="00380144"/>
    <w:rsid w:val="00380C17"/>
    <w:rsid w:val="003824E1"/>
    <w:rsid w:val="00383CEF"/>
    <w:rsid w:val="00392966"/>
    <w:rsid w:val="003A0250"/>
    <w:rsid w:val="003A0BFD"/>
    <w:rsid w:val="003B02F2"/>
    <w:rsid w:val="003B2348"/>
    <w:rsid w:val="003B3E80"/>
    <w:rsid w:val="003B42BD"/>
    <w:rsid w:val="003B4DAE"/>
    <w:rsid w:val="003C0B3A"/>
    <w:rsid w:val="003C54D9"/>
    <w:rsid w:val="003D0245"/>
    <w:rsid w:val="003D0817"/>
    <w:rsid w:val="003D46A0"/>
    <w:rsid w:val="003E040B"/>
    <w:rsid w:val="003E11E6"/>
    <w:rsid w:val="003F3F04"/>
    <w:rsid w:val="003F3FCD"/>
    <w:rsid w:val="003F678F"/>
    <w:rsid w:val="00400235"/>
    <w:rsid w:val="00401A5B"/>
    <w:rsid w:val="004023B2"/>
    <w:rsid w:val="00404885"/>
    <w:rsid w:val="004061C6"/>
    <w:rsid w:val="00407ECB"/>
    <w:rsid w:val="00417A17"/>
    <w:rsid w:val="00425AF5"/>
    <w:rsid w:val="0042606F"/>
    <w:rsid w:val="004303AB"/>
    <w:rsid w:val="00431958"/>
    <w:rsid w:val="004404AE"/>
    <w:rsid w:val="00455250"/>
    <w:rsid w:val="004565B8"/>
    <w:rsid w:val="00460DC2"/>
    <w:rsid w:val="004614E3"/>
    <w:rsid w:val="00463EE9"/>
    <w:rsid w:val="004646BD"/>
    <w:rsid w:val="0046585B"/>
    <w:rsid w:val="00466B29"/>
    <w:rsid w:val="004700FF"/>
    <w:rsid w:val="004728E1"/>
    <w:rsid w:val="00475381"/>
    <w:rsid w:val="004758FA"/>
    <w:rsid w:val="00483B2C"/>
    <w:rsid w:val="00494B95"/>
    <w:rsid w:val="004A747E"/>
    <w:rsid w:val="004A75B6"/>
    <w:rsid w:val="004C2FF6"/>
    <w:rsid w:val="004C587F"/>
    <w:rsid w:val="004C5F53"/>
    <w:rsid w:val="004D28CD"/>
    <w:rsid w:val="004D7DC6"/>
    <w:rsid w:val="004E1429"/>
    <w:rsid w:val="004E36CE"/>
    <w:rsid w:val="004E4194"/>
    <w:rsid w:val="004F391E"/>
    <w:rsid w:val="004F6A3A"/>
    <w:rsid w:val="00504360"/>
    <w:rsid w:val="00504D89"/>
    <w:rsid w:val="00510CBD"/>
    <w:rsid w:val="0052019B"/>
    <w:rsid w:val="00523556"/>
    <w:rsid w:val="00531B21"/>
    <w:rsid w:val="00531FC5"/>
    <w:rsid w:val="00541277"/>
    <w:rsid w:val="00542E7F"/>
    <w:rsid w:val="005433BD"/>
    <w:rsid w:val="00552647"/>
    <w:rsid w:val="00555C2A"/>
    <w:rsid w:val="00557196"/>
    <w:rsid w:val="0056028B"/>
    <w:rsid w:val="005603EA"/>
    <w:rsid w:val="005715BC"/>
    <w:rsid w:val="00571C4A"/>
    <w:rsid w:val="005730B1"/>
    <w:rsid w:val="005756C5"/>
    <w:rsid w:val="005774F8"/>
    <w:rsid w:val="005818AC"/>
    <w:rsid w:val="00581FF3"/>
    <w:rsid w:val="005902C7"/>
    <w:rsid w:val="005A37CD"/>
    <w:rsid w:val="005B0C3F"/>
    <w:rsid w:val="005C04B6"/>
    <w:rsid w:val="005C3151"/>
    <w:rsid w:val="005C4000"/>
    <w:rsid w:val="005C5F15"/>
    <w:rsid w:val="005D361F"/>
    <w:rsid w:val="005D494D"/>
    <w:rsid w:val="005D5F3A"/>
    <w:rsid w:val="005D60AE"/>
    <w:rsid w:val="005E2BAA"/>
    <w:rsid w:val="005E2E93"/>
    <w:rsid w:val="005E3FF5"/>
    <w:rsid w:val="005E7346"/>
    <w:rsid w:val="005F21ED"/>
    <w:rsid w:val="005F2557"/>
    <w:rsid w:val="005F33F1"/>
    <w:rsid w:val="0060189B"/>
    <w:rsid w:val="0060325A"/>
    <w:rsid w:val="00624BB8"/>
    <w:rsid w:val="006253F2"/>
    <w:rsid w:val="00626934"/>
    <w:rsid w:val="00631E41"/>
    <w:rsid w:val="00635652"/>
    <w:rsid w:val="00646171"/>
    <w:rsid w:val="00651B6D"/>
    <w:rsid w:val="00657FE0"/>
    <w:rsid w:val="00666D52"/>
    <w:rsid w:val="0066740D"/>
    <w:rsid w:val="006732AD"/>
    <w:rsid w:val="00677573"/>
    <w:rsid w:val="00681065"/>
    <w:rsid w:val="006932E0"/>
    <w:rsid w:val="00696B67"/>
    <w:rsid w:val="006A6E94"/>
    <w:rsid w:val="006B7E80"/>
    <w:rsid w:val="006C030A"/>
    <w:rsid w:val="006C28CA"/>
    <w:rsid w:val="006C2A58"/>
    <w:rsid w:val="006C5310"/>
    <w:rsid w:val="006C7EFD"/>
    <w:rsid w:val="006D0364"/>
    <w:rsid w:val="006D092C"/>
    <w:rsid w:val="006D0E53"/>
    <w:rsid w:val="006D25B8"/>
    <w:rsid w:val="006D43AF"/>
    <w:rsid w:val="006D472A"/>
    <w:rsid w:val="006E1592"/>
    <w:rsid w:val="006E256C"/>
    <w:rsid w:val="006E6F08"/>
    <w:rsid w:val="006F3E60"/>
    <w:rsid w:val="007002A7"/>
    <w:rsid w:val="00703D95"/>
    <w:rsid w:val="00717AA4"/>
    <w:rsid w:val="00730F30"/>
    <w:rsid w:val="00736AD3"/>
    <w:rsid w:val="007400C8"/>
    <w:rsid w:val="00744046"/>
    <w:rsid w:val="00750CD1"/>
    <w:rsid w:val="007550A7"/>
    <w:rsid w:val="00770462"/>
    <w:rsid w:val="0078543F"/>
    <w:rsid w:val="00792CED"/>
    <w:rsid w:val="007957DF"/>
    <w:rsid w:val="00795ABC"/>
    <w:rsid w:val="00796AFC"/>
    <w:rsid w:val="007A00CE"/>
    <w:rsid w:val="007A565C"/>
    <w:rsid w:val="007A5D9E"/>
    <w:rsid w:val="007B2901"/>
    <w:rsid w:val="007B5592"/>
    <w:rsid w:val="007C3C26"/>
    <w:rsid w:val="007D1882"/>
    <w:rsid w:val="007E74B0"/>
    <w:rsid w:val="007F305B"/>
    <w:rsid w:val="007F32E2"/>
    <w:rsid w:val="007F5702"/>
    <w:rsid w:val="00802180"/>
    <w:rsid w:val="00803F5A"/>
    <w:rsid w:val="00811E00"/>
    <w:rsid w:val="00815173"/>
    <w:rsid w:val="0082519F"/>
    <w:rsid w:val="00831E9C"/>
    <w:rsid w:val="00836A35"/>
    <w:rsid w:val="00841E7D"/>
    <w:rsid w:val="00856DBD"/>
    <w:rsid w:val="00862260"/>
    <w:rsid w:val="008643AC"/>
    <w:rsid w:val="00876E09"/>
    <w:rsid w:val="00883C11"/>
    <w:rsid w:val="00886A0C"/>
    <w:rsid w:val="00887336"/>
    <w:rsid w:val="00890173"/>
    <w:rsid w:val="0089036D"/>
    <w:rsid w:val="00890A0D"/>
    <w:rsid w:val="00891B25"/>
    <w:rsid w:val="00893CC1"/>
    <w:rsid w:val="0089579E"/>
    <w:rsid w:val="00896BEC"/>
    <w:rsid w:val="008A3E8E"/>
    <w:rsid w:val="008A4FF5"/>
    <w:rsid w:val="008B3D22"/>
    <w:rsid w:val="008B4213"/>
    <w:rsid w:val="008C052D"/>
    <w:rsid w:val="008C6453"/>
    <w:rsid w:val="008E246B"/>
    <w:rsid w:val="008E52E1"/>
    <w:rsid w:val="008E72AA"/>
    <w:rsid w:val="008F204C"/>
    <w:rsid w:val="008F5DAC"/>
    <w:rsid w:val="0090051F"/>
    <w:rsid w:val="00900F58"/>
    <w:rsid w:val="00903240"/>
    <w:rsid w:val="00913134"/>
    <w:rsid w:val="00913BD3"/>
    <w:rsid w:val="00915FCE"/>
    <w:rsid w:val="00921D7E"/>
    <w:rsid w:val="00934057"/>
    <w:rsid w:val="00934208"/>
    <w:rsid w:val="00934881"/>
    <w:rsid w:val="00941601"/>
    <w:rsid w:val="0095212B"/>
    <w:rsid w:val="00965128"/>
    <w:rsid w:val="00965B06"/>
    <w:rsid w:val="00972667"/>
    <w:rsid w:val="00972933"/>
    <w:rsid w:val="00973305"/>
    <w:rsid w:val="00973963"/>
    <w:rsid w:val="00983CAA"/>
    <w:rsid w:val="0098669F"/>
    <w:rsid w:val="00991C53"/>
    <w:rsid w:val="0099640B"/>
    <w:rsid w:val="009A5C2F"/>
    <w:rsid w:val="009A71A1"/>
    <w:rsid w:val="009B6093"/>
    <w:rsid w:val="009C340A"/>
    <w:rsid w:val="009C549B"/>
    <w:rsid w:val="009C5A27"/>
    <w:rsid w:val="009C6D09"/>
    <w:rsid w:val="009D05C2"/>
    <w:rsid w:val="009D4677"/>
    <w:rsid w:val="009D6584"/>
    <w:rsid w:val="009D6AA1"/>
    <w:rsid w:val="009E5822"/>
    <w:rsid w:val="009F0EC7"/>
    <w:rsid w:val="009F4D92"/>
    <w:rsid w:val="009F7EC4"/>
    <w:rsid w:val="00A22921"/>
    <w:rsid w:val="00A25A49"/>
    <w:rsid w:val="00A30414"/>
    <w:rsid w:val="00A44DAE"/>
    <w:rsid w:val="00A45F1F"/>
    <w:rsid w:val="00A47624"/>
    <w:rsid w:val="00A50F71"/>
    <w:rsid w:val="00A5237F"/>
    <w:rsid w:val="00A533F6"/>
    <w:rsid w:val="00A56986"/>
    <w:rsid w:val="00A575F0"/>
    <w:rsid w:val="00A60D47"/>
    <w:rsid w:val="00A7117E"/>
    <w:rsid w:val="00A72C53"/>
    <w:rsid w:val="00A80C7E"/>
    <w:rsid w:val="00AB2199"/>
    <w:rsid w:val="00AC087C"/>
    <w:rsid w:val="00AC183F"/>
    <w:rsid w:val="00AC361B"/>
    <w:rsid w:val="00AC6874"/>
    <w:rsid w:val="00AD4DF5"/>
    <w:rsid w:val="00AD6471"/>
    <w:rsid w:val="00AE01F6"/>
    <w:rsid w:val="00AE6155"/>
    <w:rsid w:val="00AF27E8"/>
    <w:rsid w:val="00B00E62"/>
    <w:rsid w:val="00B02A36"/>
    <w:rsid w:val="00B03690"/>
    <w:rsid w:val="00B10B1F"/>
    <w:rsid w:val="00B113AA"/>
    <w:rsid w:val="00B13890"/>
    <w:rsid w:val="00B13F77"/>
    <w:rsid w:val="00B243D9"/>
    <w:rsid w:val="00B40A9D"/>
    <w:rsid w:val="00B42FAE"/>
    <w:rsid w:val="00B44836"/>
    <w:rsid w:val="00B61732"/>
    <w:rsid w:val="00B754BB"/>
    <w:rsid w:val="00B75DA3"/>
    <w:rsid w:val="00B807E4"/>
    <w:rsid w:val="00B83E2A"/>
    <w:rsid w:val="00B85700"/>
    <w:rsid w:val="00B86188"/>
    <w:rsid w:val="00B87E24"/>
    <w:rsid w:val="00B95C60"/>
    <w:rsid w:val="00BA3601"/>
    <w:rsid w:val="00BA778A"/>
    <w:rsid w:val="00BC0C35"/>
    <w:rsid w:val="00BC3151"/>
    <w:rsid w:val="00BC3C19"/>
    <w:rsid w:val="00BC40AA"/>
    <w:rsid w:val="00BC779F"/>
    <w:rsid w:val="00BD4468"/>
    <w:rsid w:val="00BF3C9F"/>
    <w:rsid w:val="00BF47F5"/>
    <w:rsid w:val="00C1074F"/>
    <w:rsid w:val="00C12B42"/>
    <w:rsid w:val="00C25697"/>
    <w:rsid w:val="00C3141A"/>
    <w:rsid w:val="00C357ED"/>
    <w:rsid w:val="00C36D14"/>
    <w:rsid w:val="00C404D5"/>
    <w:rsid w:val="00C51225"/>
    <w:rsid w:val="00C51ADE"/>
    <w:rsid w:val="00C5231F"/>
    <w:rsid w:val="00C5278B"/>
    <w:rsid w:val="00C52BBA"/>
    <w:rsid w:val="00C52F8D"/>
    <w:rsid w:val="00C56B24"/>
    <w:rsid w:val="00C64291"/>
    <w:rsid w:val="00C655B7"/>
    <w:rsid w:val="00C657AF"/>
    <w:rsid w:val="00C729BC"/>
    <w:rsid w:val="00C83CB8"/>
    <w:rsid w:val="00C91D3E"/>
    <w:rsid w:val="00CA0DB9"/>
    <w:rsid w:val="00CA119A"/>
    <w:rsid w:val="00CA3224"/>
    <w:rsid w:val="00CA56AB"/>
    <w:rsid w:val="00CA66D3"/>
    <w:rsid w:val="00CA7774"/>
    <w:rsid w:val="00CB1164"/>
    <w:rsid w:val="00CB2D0F"/>
    <w:rsid w:val="00CC3C22"/>
    <w:rsid w:val="00CD50A6"/>
    <w:rsid w:val="00CF6E0C"/>
    <w:rsid w:val="00D04420"/>
    <w:rsid w:val="00D0442A"/>
    <w:rsid w:val="00D1653C"/>
    <w:rsid w:val="00D378E4"/>
    <w:rsid w:val="00D4108D"/>
    <w:rsid w:val="00D50EF9"/>
    <w:rsid w:val="00D56D87"/>
    <w:rsid w:val="00D57525"/>
    <w:rsid w:val="00D576BB"/>
    <w:rsid w:val="00D57DD6"/>
    <w:rsid w:val="00D60317"/>
    <w:rsid w:val="00D619F1"/>
    <w:rsid w:val="00D61E0C"/>
    <w:rsid w:val="00D61FC1"/>
    <w:rsid w:val="00D639E3"/>
    <w:rsid w:val="00D66195"/>
    <w:rsid w:val="00D73AE5"/>
    <w:rsid w:val="00D74388"/>
    <w:rsid w:val="00D84B9C"/>
    <w:rsid w:val="00D866E5"/>
    <w:rsid w:val="00D93343"/>
    <w:rsid w:val="00D93536"/>
    <w:rsid w:val="00D96A1E"/>
    <w:rsid w:val="00DA117B"/>
    <w:rsid w:val="00DA531D"/>
    <w:rsid w:val="00DA7941"/>
    <w:rsid w:val="00DB0C13"/>
    <w:rsid w:val="00DB2540"/>
    <w:rsid w:val="00DB596B"/>
    <w:rsid w:val="00DB5C3D"/>
    <w:rsid w:val="00DC5603"/>
    <w:rsid w:val="00DC73D6"/>
    <w:rsid w:val="00DD5211"/>
    <w:rsid w:val="00DF1C97"/>
    <w:rsid w:val="00DF70B4"/>
    <w:rsid w:val="00E0033D"/>
    <w:rsid w:val="00E00EF2"/>
    <w:rsid w:val="00E05D0D"/>
    <w:rsid w:val="00E15FB9"/>
    <w:rsid w:val="00E179A6"/>
    <w:rsid w:val="00E17E3F"/>
    <w:rsid w:val="00E33B12"/>
    <w:rsid w:val="00E50E54"/>
    <w:rsid w:val="00E56E24"/>
    <w:rsid w:val="00E60D52"/>
    <w:rsid w:val="00E613FE"/>
    <w:rsid w:val="00E62AB5"/>
    <w:rsid w:val="00E67A33"/>
    <w:rsid w:val="00E7378A"/>
    <w:rsid w:val="00E76C8B"/>
    <w:rsid w:val="00E862CD"/>
    <w:rsid w:val="00E8646E"/>
    <w:rsid w:val="00E90DC4"/>
    <w:rsid w:val="00E90EA4"/>
    <w:rsid w:val="00EA07DF"/>
    <w:rsid w:val="00EA7247"/>
    <w:rsid w:val="00EB2B95"/>
    <w:rsid w:val="00EB7D26"/>
    <w:rsid w:val="00EC328B"/>
    <w:rsid w:val="00EC73ED"/>
    <w:rsid w:val="00ED0152"/>
    <w:rsid w:val="00ED16E3"/>
    <w:rsid w:val="00ED235F"/>
    <w:rsid w:val="00EE4DA4"/>
    <w:rsid w:val="00EE5424"/>
    <w:rsid w:val="00EE6C6F"/>
    <w:rsid w:val="00EF2F67"/>
    <w:rsid w:val="00F2378C"/>
    <w:rsid w:val="00F266F7"/>
    <w:rsid w:val="00F30041"/>
    <w:rsid w:val="00F43687"/>
    <w:rsid w:val="00F5298F"/>
    <w:rsid w:val="00F65567"/>
    <w:rsid w:val="00F671F7"/>
    <w:rsid w:val="00F67ACA"/>
    <w:rsid w:val="00F70213"/>
    <w:rsid w:val="00F70A26"/>
    <w:rsid w:val="00F75A1F"/>
    <w:rsid w:val="00F77FDF"/>
    <w:rsid w:val="00F83A47"/>
    <w:rsid w:val="00FB2B77"/>
    <w:rsid w:val="00FB5161"/>
    <w:rsid w:val="00FB6B23"/>
    <w:rsid w:val="00FC0E12"/>
    <w:rsid w:val="00FC20F7"/>
    <w:rsid w:val="00FC4BBA"/>
    <w:rsid w:val="00FD0FBF"/>
    <w:rsid w:val="00FD3D18"/>
    <w:rsid w:val="00FD3F8E"/>
    <w:rsid w:val="00FD5F28"/>
    <w:rsid w:val="00FE5F68"/>
    <w:rsid w:val="00FF5643"/>
    <w:rsid w:val="00FF64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14:docId w14:val="7CDEFD68"/>
  <w15:docId w15:val="{0D606EF0-FB21-4B96-A9C0-9D58829C8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890"/>
    <w:pPr>
      <w:spacing w:after="120"/>
      <w:ind w:firstLine="720"/>
      <w:jc w:val="both"/>
    </w:pPr>
    <w:rPr>
      <w:rFonts w:ascii="Times New Roman" w:hAnsi="Times New Roman"/>
      <w:sz w:val="24"/>
    </w:rPr>
  </w:style>
  <w:style w:type="paragraph" w:styleId="Heading1">
    <w:name w:val="heading 1"/>
    <w:basedOn w:val="Normal"/>
    <w:next w:val="Normal"/>
    <w:link w:val="Heading1Char"/>
    <w:uiPriority w:val="9"/>
    <w:qFormat/>
    <w:rsid w:val="003C0B3A"/>
    <w:pPr>
      <w:keepNext/>
      <w:keepLines/>
      <w:spacing w:before="360"/>
      <w:ind w:firstLine="0"/>
      <w:outlineLvl w:val="0"/>
    </w:pPr>
    <w:rPr>
      <w:rFonts w:eastAsiaTheme="majorEastAsia"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4E36CE"/>
    <w:pPr>
      <w:keepNext/>
      <w:keepLines/>
      <w:spacing w:before="360"/>
      <w:ind w:firstLine="0"/>
      <w:outlineLvl w:val="1"/>
    </w:pPr>
    <w:rPr>
      <w:rFonts w:eastAsiaTheme="majorEastAsia" w:cstheme="majorBidi"/>
      <w:b/>
      <w:bCs/>
      <w:smallCaps/>
      <w:color w:val="000000" w:themeColor="text1"/>
      <w:sz w:val="32"/>
      <w:szCs w:val="28"/>
    </w:rPr>
  </w:style>
  <w:style w:type="paragraph" w:styleId="Heading3">
    <w:name w:val="heading 3"/>
    <w:basedOn w:val="Normal"/>
    <w:next w:val="Normal"/>
    <w:link w:val="Heading3Char"/>
    <w:uiPriority w:val="9"/>
    <w:unhideWhenUsed/>
    <w:qFormat/>
    <w:rsid w:val="00361D9C"/>
    <w:pPr>
      <w:keepNext/>
      <w:keepLines/>
      <w:numPr>
        <w:ilvl w:val="2"/>
        <w:numId w:val="10"/>
      </w:numPr>
      <w:spacing w:before="200"/>
      <w:jc w:val="center"/>
      <w:outlineLvl w:val="2"/>
    </w:pPr>
    <w:rPr>
      <w:rFonts w:eastAsia="Calibri" w:cs="Times New Roman"/>
      <w:b/>
      <w:bCs/>
      <w:color w:val="000000" w:themeColor="text1"/>
      <w:sz w:val="28"/>
      <w:szCs w:val="28"/>
    </w:rPr>
  </w:style>
  <w:style w:type="paragraph" w:styleId="Heading4">
    <w:name w:val="heading 4"/>
    <w:basedOn w:val="Normal"/>
    <w:next w:val="Normal"/>
    <w:link w:val="Heading4Char"/>
    <w:unhideWhenUsed/>
    <w:qFormat/>
    <w:rsid w:val="004D28CD"/>
    <w:pPr>
      <w:keepNext/>
      <w:keepLines/>
      <w:spacing w:before="200"/>
      <w:ind w:firstLine="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4D28CD"/>
    <w:pPr>
      <w:keepNext/>
      <w:keepLines/>
      <w:spacing w:before="200"/>
      <w:ind w:firstLine="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4D28CD"/>
    <w:pPr>
      <w:keepNext/>
      <w:keepLines/>
      <w:spacing w:before="200"/>
      <w:ind w:firstLine="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4D28CD"/>
    <w:pPr>
      <w:keepNext/>
      <w:keepLines/>
      <w:spacing w:before="200"/>
      <w:ind w:firstLine="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D28CD"/>
    <w:pPr>
      <w:keepNext/>
      <w:keepLines/>
      <w:spacing w:before="200"/>
      <w:ind w:firstLine="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D28CD"/>
    <w:pPr>
      <w:keepNext/>
      <w:keepLines/>
      <w:spacing w:before="200"/>
      <w:ind w:firstLine="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B3A"/>
    <w:rPr>
      <w:rFonts w:ascii="Times New Roman" w:eastAsiaTheme="majorEastAsia" w:hAnsi="Times New Roman" w:cstheme="majorBidi"/>
      <w:b/>
      <w:bCs/>
      <w:smallCaps/>
      <w:color w:val="000000" w:themeColor="text1"/>
      <w:sz w:val="36"/>
      <w:szCs w:val="36"/>
    </w:rPr>
  </w:style>
  <w:style w:type="paragraph" w:styleId="TOCHeading">
    <w:name w:val="TOC Heading"/>
    <w:basedOn w:val="Heading1"/>
    <w:next w:val="Normal"/>
    <w:uiPriority w:val="39"/>
    <w:unhideWhenUsed/>
    <w:qFormat/>
    <w:rsid w:val="004D28CD"/>
    <w:pPr>
      <w:outlineLvl w:val="9"/>
    </w:pPr>
  </w:style>
  <w:style w:type="character" w:customStyle="1" w:styleId="Heading2Char">
    <w:name w:val="Heading 2 Char"/>
    <w:basedOn w:val="DefaultParagraphFont"/>
    <w:link w:val="Heading2"/>
    <w:uiPriority w:val="9"/>
    <w:rsid w:val="004E36CE"/>
    <w:rPr>
      <w:rFonts w:ascii="Times New Roman" w:eastAsiaTheme="majorEastAsia" w:hAnsi="Times New Roman" w:cstheme="majorBidi"/>
      <w:b/>
      <w:bCs/>
      <w:smallCaps/>
      <w:color w:val="000000" w:themeColor="text1"/>
      <w:sz w:val="32"/>
      <w:szCs w:val="28"/>
    </w:rPr>
  </w:style>
  <w:style w:type="character" w:customStyle="1" w:styleId="Heading3Char">
    <w:name w:val="Heading 3 Char"/>
    <w:basedOn w:val="DefaultParagraphFont"/>
    <w:link w:val="Heading3"/>
    <w:uiPriority w:val="9"/>
    <w:rsid w:val="00361D9C"/>
    <w:rPr>
      <w:rFonts w:ascii="Times New Roman" w:eastAsia="Calibri" w:hAnsi="Times New Roman" w:cs="Times New Roman"/>
      <w:b/>
      <w:bCs/>
      <w:color w:val="000000" w:themeColor="text1"/>
      <w:sz w:val="28"/>
      <w:szCs w:val="28"/>
    </w:rPr>
  </w:style>
  <w:style w:type="character" w:customStyle="1" w:styleId="Heading4Char">
    <w:name w:val="Heading 4 Char"/>
    <w:basedOn w:val="DefaultParagraphFont"/>
    <w:link w:val="Heading4"/>
    <w:rsid w:val="004D28C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4D28C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4D28C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4D28C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D28C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D28C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D28CD"/>
    <w:pPr>
      <w:spacing w:after="200"/>
    </w:pPr>
    <w:rPr>
      <w:i/>
      <w:iCs/>
      <w:color w:val="44546A" w:themeColor="text2"/>
      <w:sz w:val="18"/>
      <w:szCs w:val="18"/>
    </w:rPr>
  </w:style>
  <w:style w:type="paragraph" w:styleId="Title">
    <w:name w:val="Title"/>
    <w:basedOn w:val="Normal"/>
    <w:next w:val="Normal"/>
    <w:link w:val="TitleChar"/>
    <w:uiPriority w:val="10"/>
    <w:qFormat/>
    <w:rsid w:val="004D28CD"/>
    <w:pPr>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4D28C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4D28CD"/>
    <w:pPr>
      <w:numPr>
        <w:ilvl w:val="1"/>
      </w:numPr>
      <w:ind w:firstLine="720"/>
    </w:pPr>
    <w:rPr>
      <w:color w:val="5A5A5A" w:themeColor="text1" w:themeTint="A5"/>
      <w:spacing w:val="10"/>
    </w:rPr>
  </w:style>
  <w:style w:type="character" w:customStyle="1" w:styleId="SubtitleChar">
    <w:name w:val="Subtitle Char"/>
    <w:basedOn w:val="DefaultParagraphFont"/>
    <w:link w:val="Subtitle"/>
    <w:uiPriority w:val="11"/>
    <w:rsid w:val="004D28CD"/>
    <w:rPr>
      <w:color w:val="5A5A5A" w:themeColor="text1" w:themeTint="A5"/>
      <w:spacing w:val="10"/>
    </w:rPr>
  </w:style>
  <w:style w:type="character" w:styleId="Strong">
    <w:name w:val="Strong"/>
    <w:basedOn w:val="DefaultParagraphFont"/>
    <w:uiPriority w:val="22"/>
    <w:qFormat/>
    <w:rsid w:val="004D28CD"/>
    <w:rPr>
      <w:b/>
      <w:bCs/>
      <w:color w:val="000000" w:themeColor="text1"/>
    </w:rPr>
  </w:style>
  <w:style w:type="character" w:styleId="Emphasis">
    <w:name w:val="Emphasis"/>
    <w:basedOn w:val="DefaultParagraphFont"/>
    <w:uiPriority w:val="20"/>
    <w:qFormat/>
    <w:rsid w:val="004D28CD"/>
    <w:rPr>
      <w:i/>
      <w:iCs/>
      <w:color w:val="auto"/>
    </w:rPr>
  </w:style>
  <w:style w:type="paragraph" w:styleId="NoSpacing">
    <w:name w:val="No Spacing"/>
    <w:uiPriority w:val="1"/>
    <w:qFormat/>
    <w:rsid w:val="004D28CD"/>
  </w:style>
  <w:style w:type="paragraph" w:styleId="Quote">
    <w:name w:val="Quote"/>
    <w:basedOn w:val="Normal"/>
    <w:next w:val="Normal"/>
    <w:link w:val="QuoteChar"/>
    <w:uiPriority w:val="29"/>
    <w:qFormat/>
    <w:rsid w:val="004D28CD"/>
    <w:pPr>
      <w:spacing w:before="160"/>
      <w:ind w:left="720" w:right="720"/>
    </w:pPr>
    <w:rPr>
      <w:i/>
      <w:iCs/>
      <w:color w:val="000000" w:themeColor="text1"/>
    </w:rPr>
  </w:style>
  <w:style w:type="character" w:customStyle="1" w:styleId="QuoteChar">
    <w:name w:val="Quote Char"/>
    <w:basedOn w:val="DefaultParagraphFont"/>
    <w:link w:val="Quote"/>
    <w:uiPriority w:val="29"/>
    <w:rsid w:val="004D28CD"/>
    <w:rPr>
      <w:i/>
      <w:iCs/>
      <w:color w:val="000000" w:themeColor="text1"/>
    </w:rPr>
  </w:style>
  <w:style w:type="paragraph" w:styleId="IntenseQuote">
    <w:name w:val="Intense Quote"/>
    <w:basedOn w:val="Normal"/>
    <w:next w:val="Normal"/>
    <w:link w:val="IntenseQuoteChar"/>
    <w:uiPriority w:val="30"/>
    <w:qFormat/>
    <w:rsid w:val="004D28C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4D28CD"/>
    <w:rPr>
      <w:color w:val="000000" w:themeColor="text1"/>
      <w:shd w:val="clear" w:color="auto" w:fill="F2F2F2" w:themeFill="background1" w:themeFillShade="F2"/>
    </w:rPr>
  </w:style>
  <w:style w:type="character" w:styleId="SubtleEmphasis">
    <w:name w:val="Subtle Emphasis"/>
    <w:basedOn w:val="DefaultParagraphFont"/>
    <w:uiPriority w:val="19"/>
    <w:qFormat/>
    <w:rsid w:val="004D28CD"/>
    <w:rPr>
      <w:i/>
      <w:iCs/>
      <w:color w:val="404040" w:themeColor="text1" w:themeTint="BF"/>
    </w:rPr>
  </w:style>
  <w:style w:type="character" w:styleId="IntenseEmphasis">
    <w:name w:val="Intense Emphasis"/>
    <w:basedOn w:val="DefaultParagraphFont"/>
    <w:uiPriority w:val="21"/>
    <w:qFormat/>
    <w:rsid w:val="004D28CD"/>
    <w:rPr>
      <w:b/>
      <w:bCs/>
      <w:i/>
      <w:iCs/>
      <w:caps/>
    </w:rPr>
  </w:style>
  <w:style w:type="character" w:styleId="SubtleReference">
    <w:name w:val="Subtle Reference"/>
    <w:basedOn w:val="DefaultParagraphFont"/>
    <w:uiPriority w:val="31"/>
    <w:qFormat/>
    <w:rsid w:val="004D28C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D28CD"/>
    <w:rPr>
      <w:b/>
      <w:bCs/>
      <w:smallCaps/>
      <w:u w:val="single"/>
    </w:rPr>
  </w:style>
  <w:style w:type="character" w:styleId="BookTitle">
    <w:name w:val="Book Title"/>
    <w:basedOn w:val="DefaultParagraphFont"/>
    <w:uiPriority w:val="33"/>
    <w:qFormat/>
    <w:rsid w:val="004D28CD"/>
    <w:rPr>
      <w:b w:val="0"/>
      <w:bCs w:val="0"/>
      <w:smallCaps/>
      <w:spacing w:val="5"/>
    </w:rPr>
  </w:style>
  <w:style w:type="paragraph" w:styleId="TOC1">
    <w:name w:val="toc 1"/>
    <w:basedOn w:val="Normal"/>
    <w:next w:val="Normal"/>
    <w:autoRedefine/>
    <w:uiPriority w:val="39"/>
    <w:unhideWhenUsed/>
    <w:rsid w:val="004565B8"/>
    <w:pPr>
      <w:tabs>
        <w:tab w:val="left" w:pos="284"/>
        <w:tab w:val="right" w:leader="dot" w:pos="9061"/>
      </w:tabs>
      <w:spacing w:after="100"/>
      <w:ind w:firstLine="0"/>
    </w:pPr>
  </w:style>
  <w:style w:type="paragraph" w:styleId="TOC2">
    <w:name w:val="toc 2"/>
    <w:basedOn w:val="Normal"/>
    <w:next w:val="Normal"/>
    <w:autoRedefine/>
    <w:uiPriority w:val="39"/>
    <w:unhideWhenUsed/>
    <w:rsid w:val="004565B8"/>
    <w:pPr>
      <w:tabs>
        <w:tab w:val="left" w:pos="851"/>
        <w:tab w:val="right" w:leader="dot" w:pos="9071"/>
      </w:tabs>
      <w:spacing w:after="100"/>
      <w:ind w:left="284" w:firstLine="0"/>
    </w:pPr>
  </w:style>
  <w:style w:type="character" w:styleId="Hyperlink">
    <w:name w:val="Hyperlink"/>
    <w:basedOn w:val="DefaultParagraphFont"/>
    <w:uiPriority w:val="99"/>
    <w:unhideWhenUsed/>
    <w:rsid w:val="00383CEF"/>
    <w:rPr>
      <w:color w:val="0563C1" w:themeColor="hyperlink"/>
      <w:u w:val="single"/>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Akapit z listą BS"/>
    <w:basedOn w:val="Normal"/>
    <w:link w:val="ListParagraphChar"/>
    <w:uiPriority w:val="34"/>
    <w:qFormat/>
    <w:rsid w:val="00383CEF"/>
    <w:pPr>
      <w:ind w:left="720"/>
      <w:contextualSpacing/>
    </w:pPr>
  </w:style>
  <w:style w:type="paragraph" w:styleId="FootnoteText">
    <w:name w:val="footnote text"/>
    <w:aliases w:val="Footnote,Fußnote,Fußnote Char Char Char,single space,ft Rakstz. Rakstz.,ft Rakstz.,ft,-E Fußnotentext,Fußnotentext Ursprung,Vēres teksts Char Char Char Char Char,Char Char Char Char Char Char Char Char Char Char Char Char,footnote tex,Char"/>
    <w:basedOn w:val="Normal"/>
    <w:link w:val="FootnoteTextChar"/>
    <w:uiPriority w:val="99"/>
    <w:unhideWhenUsed/>
    <w:qFormat/>
    <w:rsid w:val="00383CEF"/>
    <w:rPr>
      <w:sz w:val="20"/>
      <w:szCs w:val="20"/>
      <w:lang w:eastAsia="en-US"/>
    </w:rPr>
  </w:style>
  <w:style w:type="character" w:customStyle="1" w:styleId="FootnoteTextChar">
    <w:name w:val="Footnote Text Char"/>
    <w:aliases w:val="Footnote Char,Fußnote Char,Fußnote Char Char Char Char,single space Char,ft Rakstz. Rakstz. Char,ft Rakstz. Char,ft Char,-E Fußnotentext Char,Fußnotentext Ursprung Char,Vēres teksts Char Char Char Char Char Char,footnote tex Char"/>
    <w:basedOn w:val="DefaultParagraphFont"/>
    <w:link w:val="FootnoteText"/>
    <w:uiPriority w:val="99"/>
    <w:rsid w:val="00383CEF"/>
    <w:rPr>
      <w:sz w:val="20"/>
      <w:szCs w:val="20"/>
      <w:lang w:eastAsia="en-US"/>
    </w:rPr>
  </w:style>
  <w:style w:type="character" w:styleId="FootnoteReference">
    <w:name w:val="footnote reference"/>
    <w:aliases w:val="Footnote Reference Number,Footnote symbol,Footnote Reference Superscript,ftref,Footnote Refernece,Odwołanie przypisu,BVI fnr,Footnotes refss,SUPERS,Ref,de nota al pie,-E Fußnotenzeichen,Footnote reference number,Times 10 Point,E,E FNZ"/>
    <w:basedOn w:val="DefaultParagraphFont"/>
    <w:link w:val="Char2"/>
    <w:uiPriority w:val="99"/>
    <w:unhideWhenUsed/>
    <w:qFormat/>
    <w:rsid w:val="00383CEF"/>
    <w:rPr>
      <w:vertAlign w:val="superscript"/>
    </w:rPr>
  </w:style>
  <w:style w:type="paragraph" w:customStyle="1" w:styleId="Char2">
    <w:name w:val="Char2"/>
    <w:aliases w:val="Char Char Char Char"/>
    <w:basedOn w:val="Normal"/>
    <w:next w:val="Normal"/>
    <w:link w:val="FootnoteReference"/>
    <w:uiPriority w:val="99"/>
    <w:rsid w:val="00383CEF"/>
    <w:pPr>
      <w:spacing w:line="240" w:lineRule="exact"/>
      <w:textAlignment w:val="baseline"/>
    </w:pPr>
    <w:rPr>
      <w:vertAlign w:val="superscript"/>
    </w:rPr>
  </w:style>
  <w:style w:type="paragraph" w:customStyle="1" w:styleId="footnotetex1">
    <w:name w:val="footnote tex1"/>
    <w:basedOn w:val="Normal"/>
    <w:next w:val="FootnoteText"/>
    <w:unhideWhenUsed/>
    <w:qFormat/>
    <w:rsid w:val="00383CEF"/>
    <w:rPr>
      <w:rFonts w:eastAsia="Calibri" w:cs="Times New Roman"/>
      <w:sz w:val="20"/>
      <w:szCs w:val="20"/>
      <w:lang w:eastAsia="en-US"/>
    </w:rPr>
  </w:style>
  <w:style w:type="paragraph" w:styleId="Header">
    <w:name w:val="header"/>
    <w:basedOn w:val="Normal"/>
    <w:link w:val="HeaderChar"/>
    <w:uiPriority w:val="99"/>
    <w:unhideWhenUsed/>
    <w:rsid w:val="00F2378C"/>
    <w:pPr>
      <w:tabs>
        <w:tab w:val="center" w:pos="4153"/>
        <w:tab w:val="right" w:pos="8306"/>
      </w:tabs>
    </w:pPr>
  </w:style>
  <w:style w:type="character" w:customStyle="1" w:styleId="HeaderChar">
    <w:name w:val="Header Char"/>
    <w:basedOn w:val="DefaultParagraphFont"/>
    <w:link w:val="Header"/>
    <w:uiPriority w:val="99"/>
    <w:rsid w:val="00F2378C"/>
  </w:style>
  <w:style w:type="paragraph" w:styleId="Footer">
    <w:name w:val="footer"/>
    <w:basedOn w:val="Normal"/>
    <w:link w:val="FooterChar"/>
    <w:unhideWhenUsed/>
    <w:rsid w:val="00F2378C"/>
    <w:pPr>
      <w:tabs>
        <w:tab w:val="center" w:pos="4153"/>
        <w:tab w:val="right" w:pos="8306"/>
      </w:tabs>
    </w:pPr>
  </w:style>
  <w:style w:type="character" w:customStyle="1" w:styleId="FooterChar">
    <w:name w:val="Footer Char"/>
    <w:basedOn w:val="DefaultParagraphFont"/>
    <w:link w:val="Footer"/>
    <w:uiPriority w:val="99"/>
    <w:rsid w:val="00F2378C"/>
  </w:style>
  <w:style w:type="paragraph" w:styleId="TOC3">
    <w:name w:val="toc 3"/>
    <w:basedOn w:val="Normal"/>
    <w:next w:val="Normal"/>
    <w:autoRedefine/>
    <w:uiPriority w:val="39"/>
    <w:unhideWhenUsed/>
    <w:rsid w:val="004565B8"/>
    <w:pPr>
      <w:tabs>
        <w:tab w:val="right" w:leader="dot" w:pos="9071"/>
      </w:tabs>
      <w:spacing w:after="100"/>
      <w:ind w:left="1418" w:hanging="709"/>
    </w:pPr>
    <w:rPr>
      <w:rFonts w:cs="Times New Roman"/>
      <w:noProof/>
      <w:sz w:val="28"/>
    </w:rPr>
  </w:style>
  <w:style w:type="character" w:styleId="CommentReference">
    <w:name w:val="annotation reference"/>
    <w:basedOn w:val="DefaultParagraphFont"/>
    <w:uiPriority w:val="99"/>
    <w:semiHidden/>
    <w:unhideWhenUsed/>
    <w:rsid w:val="00C83CB8"/>
    <w:rPr>
      <w:sz w:val="16"/>
      <w:szCs w:val="16"/>
    </w:rPr>
  </w:style>
  <w:style w:type="paragraph" w:styleId="CommentText">
    <w:name w:val="annotation text"/>
    <w:basedOn w:val="Normal"/>
    <w:link w:val="CommentTextChar"/>
    <w:uiPriority w:val="99"/>
    <w:unhideWhenUsed/>
    <w:rsid w:val="00C83CB8"/>
    <w:rPr>
      <w:sz w:val="20"/>
      <w:szCs w:val="20"/>
    </w:rPr>
  </w:style>
  <w:style w:type="character" w:customStyle="1" w:styleId="CommentTextChar">
    <w:name w:val="Comment Text Char"/>
    <w:basedOn w:val="DefaultParagraphFont"/>
    <w:link w:val="CommentText"/>
    <w:uiPriority w:val="99"/>
    <w:rsid w:val="00C83CB8"/>
    <w:rPr>
      <w:sz w:val="20"/>
      <w:szCs w:val="20"/>
    </w:rPr>
  </w:style>
  <w:style w:type="paragraph" w:styleId="CommentSubject">
    <w:name w:val="annotation subject"/>
    <w:basedOn w:val="CommentText"/>
    <w:next w:val="CommentText"/>
    <w:link w:val="CommentSubjectChar"/>
    <w:uiPriority w:val="99"/>
    <w:semiHidden/>
    <w:unhideWhenUsed/>
    <w:rsid w:val="00C83CB8"/>
    <w:rPr>
      <w:b/>
      <w:bCs/>
    </w:rPr>
  </w:style>
  <w:style w:type="character" w:customStyle="1" w:styleId="CommentSubjectChar">
    <w:name w:val="Comment Subject Char"/>
    <w:basedOn w:val="CommentTextChar"/>
    <w:link w:val="CommentSubject"/>
    <w:uiPriority w:val="99"/>
    <w:semiHidden/>
    <w:rsid w:val="00C83CB8"/>
    <w:rPr>
      <w:b/>
      <w:bCs/>
      <w:sz w:val="20"/>
      <w:szCs w:val="20"/>
    </w:rPr>
  </w:style>
  <w:style w:type="paragraph" w:styleId="BalloonText">
    <w:name w:val="Balloon Text"/>
    <w:basedOn w:val="Normal"/>
    <w:link w:val="BalloonTextChar"/>
    <w:semiHidden/>
    <w:unhideWhenUsed/>
    <w:rsid w:val="00C83C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CB8"/>
    <w:rPr>
      <w:rFonts w:ascii="Segoe UI" w:hAnsi="Segoe UI" w:cs="Segoe UI"/>
      <w:sz w:val="18"/>
      <w:szCs w:val="18"/>
    </w:rPr>
  </w:style>
  <w:style w:type="table" w:styleId="TableGrid">
    <w:name w:val="Table Grid"/>
    <w:basedOn w:val="TableNormal"/>
    <w:uiPriority w:val="59"/>
    <w:rsid w:val="00E05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5D0D"/>
  </w:style>
  <w:style w:type="table" w:styleId="ListTable2-Accent1">
    <w:name w:val="List Table 2 Accent 1"/>
    <w:basedOn w:val="TableNormal"/>
    <w:uiPriority w:val="47"/>
    <w:rsid w:val="00983CAA"/>
    <w:rPr>
      <w:lang w:eastAsia="en-US"/>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NoList1">
    <w:name w:val="No List1"/>
    <w:next w:val="NoList"/>
    <w:uiPriority w:val="99"/>
    <w:semiHidden/>
    <w:unhideWhenUsed/>
    <w:rsid w:val="00DB596B"/>
  </w:style>
  <w:style w:type="paragraph" w:customStyle="1" w:styleId="H4">
    <w:name w:val="H4"/>
    <w:qFormat/>
    <w:rsid w:val="00DB596B"/>
    <w:pPr>
      <w:spacing w:after="120"/>
      <w:jc w:val="center"/>
      <w:outlineLvl w:val="3"/>
    </w:pPr>
    <w:rPr>
      <w:rFonts w:ascii="Times New Roman" w:eastAsia="Times New Roman" w:hAnsi="Times New Roman" w:cs="Times New Roman"/>
      <w:b/>
      <w:sz w:val="28"/>
      <w:szCs w:val="20"/>
      <w:lang w:eastAsia="en-US"/>
    </w:rPr>
  </w:style>
  <w:style w:type="paragraph" w:customStyle="1" w:styleId="H3">
    <w:name w:val="H3"/>
    <w:qFormat/>
    <w:rsid w:val="00DB596B"/>
    <w:pPr>
      <w:spacing w:after="120"/>
      <w:jc w:val="center"/>
      <w:outlineLvl w:val="2"/>
    </w:pPr>
    <w:rPr>
      <w:rFonts w:ascii="Times New Roman" w:eastAsia="Times New Roman" w:hAnsi="Times New Roman" w:cs="Times New Roman"/>
      <w:b/>
      <w:sz w:val="32"/>
      <w:szCs w:val="20"/>
      <w:lang w:eastAsia="en-US"/>
    </w:rPr>
  </w:style>
  <w:style w:type="paragraph" w:customStyle="1" w:styleId="H2">
    <w:name w:val="H2"/>
    <w:qFormat/>
    <w:rsid w:val="00DB596B"/>
    <w:pPr>
      <w:spacing w:after="120"/>
      <w:jc w:val="center"/>
      <w:outlineLvl w:val="1"/>
    </w:pPr>
    <w:rPr>
      <w:rFonts w:ascii="Times New Roman" w:eastAsia="Times New Roman" w:hAnsi="Times New Roman" w:cs="Times New Roman"/>
      <w:b/>
      <w:sz w:val="36"/>
      <w:szCs w:val="20"/>
      <w:lang w:eastAsia="en-US"/>
    </w:rPr>
  </w:style>
  <w:style w:type="paragraph" w:customStyle="1" w:styleId="H1">
    <w:name w:val="H1"/>
    <w:qFormat/>
    <w:rsid w:val="00DB596B"/>
    <w:pPr>
      <w:spacing w:after="120"/>
      <w:jc w:val="center"/>
      <w:outlineLvl w:val="0"/>
    </w:pPr>
    <w:rPr>
      <w:rFonts w:ascii="Times New Roman" w:eastAsia="Times New Roman" w:hAnsi="Times New Roman" w:cs="Times New Roman"/>
      <w:b/>
      <w:sz w:val="44"/>
      <w:szCs w:val="20"/>
      <w:lang w:eastAsia="en-US"/>
    </w:rPr>
  </w:style>
  <w:style w:type="paragraph" w:customStyle="1" w:styleId="T">
    <w:name w:val="T"/>
    <w:basedOn w:val="Normal"/>
    <w:uiPriority w:val="99"/>
    <w:rsid w:val="00DB596B"/>
    <w:pPr>
      <w:jc w:val="center"/>
    </w:pPr>
    <w:rPr>
      <w:rFonts w:eastAsia="Times New Roman" w:cs="Times New Roman"/>
      <w:b/>
      <w:i/>
      <w:szCs w:val="20"/>
      <w:lang w:eastAsia="en-US"/>
    </w:rPr>
  </w:style>
  <w:style w:type="paragraph" w:customStyle="1" w:styleId="Z">
    <w:name w:val="Z"/>
    <w:basedOn w:val="T"/>
    <w:uiPriority w:val="99"/>
    <w:rsid w:val="00DB596B"/>
  </w:style>
  <w:style w:type="character" w:styleId="PageNumber">
    <w:name w:val="page number"/>
    <w:basedOn w:val="DefaultParagraphFont"/>
    <w:rsid w:val="00DB596B"/>
  </w:style>
  <w:style w:type="paragraph" w:customStyle="1" w:styleId="paraksti">
    <w:name w:val="paraksti"/>
    <w:basedOn w:val="Normal"/>
    <w:qFormat/>
    <w:rsid w:val="00DB596B"/>
    <w:rPr>
      <w:rFonts w:eastAsia="Times New Roman" w:cs="Times New Roman"/>
      <w:sz w:val="20"/>
      <w:szCs w:val="20"/>
      <w:lang w:eastAsia="en-US"/>
    </w:rPr>
  </w:style>
  <w:style w:type="paragraph" w:customStyle="1" w:styleId="tabtekst">
    <w:name w:val="tab_tekst"/>
    <w:basedOn w:val="Normal"/>
    <w:uiPriority w:val="99"/>
    <w:rsid w:val="00DB596B"/>
    <w:rPr>
      <w:rFonts w:eastAsia="Times New Roman" w:cs="Times New Roman"/>
      <w:snapToGrid w:val="0"/>
      <w:color w:val="000000"/>
      <w:sz w:val="20"/>
      <w:szCs w:val="20"/>
      <w:lang w:eastAsia="en-US"/>
    </w:rPr>
  </w:style>
  <w:style w:type="paragraph" w:styleId="EndnoteText">
    <w:name w:val="endnote text"/>
    <w:basedOn w:val="Normal"/>
    <w:link w:val="EndnoteTextChar"/>
    <w:uiPriority w:val="99"/>
    <w:semiHidden/>
    <w:unhideWhenUsed/>
    <w:rsid w:val="00DB596B"/>
    <w:rPr>
      <w:rFonts w:eastAsia="Times New Roman" w:cs="Times New Roman"/>
      <w:sz w:val="20"/>
      <w:szCs w:val="20"/>
      <w:lang w:eastAsia="en-US"/>
    </w:rPr>
  </w:style>
  <w:style w:type="character" w:customStyle="1" w:styleId="EndnoteTextChar">
    <w:name w:val="Endnote Text Char"/>
    <w:basedOn w:val="DefaultParagraphFont"/>
    <w:link w:val="EndnoteText"/>
    <w:uiPriority w:val="99"/>
    <w:semiHidden/>
    <w:rsid w:val="00DB596B"/>
    <w:rPr>
      <w:rFonts w:ascii="Times New Roman" w:eastAsia="Times New Roman" w:hAnsi="Times New Roman" w:cs="Times New Roman"/>
      <w:sz w:val="20"/>
      <w:szCs w:val="20"/>
      <w:lang w:eastAsia="en-US"/>
    </w:rPr>
  </w:style>
  <w:style w:type="character" w:styleId="EndnoteReference">
    <w:name w:val="endnote reference"/>
    <w:uiPriority w:val="99"/>
    <w:semiHidden/>
    <w:unhideWhenUsed/>
    <w:rsid w:val="00DB596B"/>
    <w:rPr>
      <w:vertAlign w:val="superscript"/>
    </w:rPr>
  </w:style>
  <w:style w:type="paragraph" w:customStyle="1" w:styleId="naisf">
    <w:name w:val="naisf"/>
    <w:basedOn w:val="Normal"/>
    <w:rsid w:val="00DB596B"/>
    <w:pPr>
      <w:spacing w:before="100" w:beforeAutospacing="1" w:after="100" w:afterAutospacing="1"/>
    </w:pPr>
    <w:rPr>
      <w:rFonts w:eastAsia="Times New Roman" w:cs="Times New Roman"/>
      <w:szCs w:val="24"/>
    </w:rPr>
  </w:style>
  <w:style w:type="paragraph" w:customStyle="1" w:styleId="naiskr">
    <w:name w:val="naiskr"/>
    <w:basedOn w:val="Normal"/>
    <w:rsid w:val="00DB596B"/>
    <w:pPr>
      <w:spacing w:before="100" w:beforeAutospacing="1" w:after="100" w:afterAutospacing="1"/>
    </w:pPr>
    <w:rPr>
      <w:rFonts w:eastAsia="Times New Roman" w:cs="Times New Roman"/>
      <w:color w:val="000000"/>
      <w:szCs w:val="24"/>
    </w:rPr>
  </w:style>
  <w:style w:type="paragraph" w:styleId="BodyText">
    <w:name w:val="Body Text"/>
    <w:aliases w:val=" Char"/>
    <w:basedOn w:val="Normal"/>
    <w:link w:val="BodyTextChar"/>
    <w:uiPriority w:val="1"/>
    <w:qFormat/>
    <w:rsid w:val="00DB596B"/>
    <w:rPr>
      <w:rFonts w:eastAsia="Times New Roman" w:cs="Times New Roman"/>
      <w:sz w:val="28"/>
      <w:szCs w:val="20"/>
      <w:lang w:eastAsia="en-US"/>
    </w:rPr>
  </w:style>
  <w:style w:type="character" w:customStyle="1" w:styleId="BodyTextChar">
    <w:name w:val="Body Text Char"/>
    <w:aliases w:val=" Char Char"/>
    <w:basedOn w:val="DefaultParagraphFont"/>
    <w:link w:val="BodyText"/>
    <w:uiPriority w:val="1"/>
    <w:rsid w:val="00DB596B"/>
    <w:rPr>
      <w:rFonts w:ascii="Times New Roman" w:eastAsia="Times New Roman" w:hAnsi="Times New Roman" w:cs="Times New Roman"/>
      <w:sz w:val="28"/>
      <w:szCs w:val="20"/>
      <w:lang w:eastAsia="en-US"/>
    </w:rPr>
  </w:style>
  <w:style w:type="paragraph" w:styleId="NormalWeb">
    <w:name w:val="Normal (Web)"/>
    <w:basedOn w:val="Normal"/>
    <w:uiPriority w:val="99"/>
    <w:unhideWhenUsed/>
    <w:rsid w:val="00DB596B"/>
    <w:pPr>
      <w:spacing w:before="100" w:beforeAutospacing="1" w:after="100" w:afterAutospacing="1"/>
    </w:pPr>
    <w:rPr>
      <w:rFonts w:eastAsia="Times New Roman" w:cs="Times New Roman"/>
      <w:szCs w:val="24"/>
    </w:rPr>
  </w:style>
  <w:style w:type="paragraph" w:customStyle="1" w:styleId="Default">
    <w:name w:val="Default"/>
    <w:rsid w:val="00DB596B"/>
    <w:pPr>
      <w:autoSpaceDE w:val="0"/>
      <w:autoSpaceDN w:val="0"/>
      <w:adjustRightInd w:val="0"/>
    </w:pPr>
    <w:rPr>
      <w:rFonts w:ascii="Times New Roman" w:eastAsia="Times New Roman" w:hAnsi="Times New Roman" w:cs="Times New Roman"/>
      <w:color w:val="000000"/>
      <w:sz w:val="24"/>
      <w:szCs w:val="24"/>
    </w:rPr>
  </w:style>
  <w:style w:type="table" w:customStyle="1" w:styleId="TableGrid1">
    <w:name w:val="Table Grid1"/>
    <w:basedOn w:val="TableNormal"/>
    <w:next w:val="TableGrid"/>
    <w:uiPriority w:val="39"/>
    <w:rsid w:val="00DB596B"/>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abc">
    <w:name w:val="Point abc"/>
    <w:basedOn w:val="Normal"/>
    <w:rsid w:val="00DB596B"/>
    <w:pPr>
      <w:numPr>
        <w:ilvl w:val="1"/>
        <w:numId w:val="6"/>
      </w:numPr>
      <w:spacing w:before="120" w:line="360" w:lineRule="auto"/>
    </w:pPr>
    <w:rPr>
      <w:rFonts w:eastAsia="Times New Roman" w:cs="Times New Roman"/>
      <w:szCs w:val="24"/>
      <w:lang w:val="en-GB" w:eastAsia="en-US"/>
    </w:rPr>
  </w:style>
  <w:style w:type="paragraph" w:customStyle="1" w:styleId="Pointabc1">
    <w:name w:val="Point abc (1)"/>
    <w:basedOn w:val="Normal"/>
    <w:rsid w:val="00DB596B"/>
    <w:pPr>
      <w:numPr>
        <w:ilvl w:val="3"/>
        <w:numId w:val="6"/>
      </w:numPr>
      <w:spacing w:before="120" w:line="360" w:lineRule="auto"/>
      <w:outlineLvl w:val="0"/>
    </w:pPr>
    <w:rPr>
      <w:rFonts w:eastAsia="Times New Roman" w:cs="Times New Roman"/>
      <w:szCs w:val="24"/>
      <w:lang w:val="en-GB" w:eastAsia="en-US"/>
    </w:rPr>
  </w:style>
  <w:style w:type="paragraph" w:customStyle="1" w:styleId="Pointabc2">
    <w:name w:val="Point abc (2)"/>
    <w:basedOn w:val="Normal"/>
    <w:rsid w:val="00DB596B"/>
    <w:pPr>
      <w:numPr>
        <w:ilvl w:val="5"/>
        <w:numId w:val="6"/>
      </w:numPr>
      <w:spacing w:before="120" w:line="360" w:lineRule="auto"/>
      <w:outlineLvl w:val="1"/>
    </w:pPr>
    <w:rPr>
      <w:rFonts w:eastAsia="Times New Roman" w:cs="Times New Roman"/>
      <w:szCs w:val="24"/>
      <w:lang w:val="en-GB" w:eastAsia="en-US"/>
    </w:rPr>
  </w:style>
  <w:style w:type="paragraph" w:customStyle="1" w:styleId="Pointabc3">
    <w:name w:val="Point abc (3)"/>
    <w:basedOn w:val="Normal"/>
    <w:rsid w:val="00DB596B"/>
    <w:pPr>
      <w:numPr>
        <w:ilvl w:val="7"/>
        <w:numId w:val="6"/>
      </w:numPr>
      <w:spacing w:before="120" w:line="360" w:lineRule="auto"/>
      <w:outlineLvl w:val="2"/>
    </w:pPr>
    <w:rPr>
      <w:rFonts w:eastAsia="Times New Roman" w:cs="Times New Roman"/>
      <w:szCs w:val="24"/>
      <w:lang w:val="en-GB" w:eastAsia="en-US"/>
    </w:rPr>
  </w:style>
  <w:style w:type="paragraph" w:customStyle="1" w:styleId="Pointabc4">
    <w:name w:val="Point abc (4)"/>
    <w:basedOn w:val="Normal"/>
    <w:rsid w:val="00DB596B"/>
    <w:pPr>
      <w:numPr>
        <w:ilvl w:val="8"/>
        <w:numId w:val="6"/>
      </w:numPr>
      <w:spacing w:before="120" w:line="360" w:lineRule="auto"/>
      <w:outlineLvl w:val="3"/>
    </w:pPr>
    <w:rPr>
      <w:rFonts w:eastAsia="Times New Roman" w:cs="Times New Roman"/>
      <w:szCs w:val="24"/>
      <w:lang w:val="en-GB" w:eastAsia="en-US"/>
    </w:rPr>
  </w:style>
  <w:style w:type="paragraph" w:customStyle="1" w:styleId="Point123">
    <w:name w:val="Point 123"/>
    <w:basedOn w:val="Normal"/>
    <w:rsid w:val="00DB596B"/>
    <w:pPr>
      <w:numPr>
        <w:numId w:val="6"/>
      </w:numPr>
      <w:spacing w:before="120" w:line="360" w:lineRule="auto"/>
    </w:pPr>
    <w:rPr>
      <w:rFonts w:eastAsia="Times New Roman" w:cs="Times New Roman"/>
      <w:szCs w:val="24"/>
      <w:lang w:val="en-GB" w:eastAsia="en-US"/>
    </w:rPr>
  </w:style>
  <w:style w:type="paragraph" w:customStyle="1" w:styleId="Point1231">
    <w:name w:val="Point 123 (1)"/>
    <w:basedOn w:val="Normal"/>
    <w:rsid w:val="00DB596B"/>
    <w:pPr>
      <w:numPr>
        <w:ilvl w:val="2"/>
        <w:numId w:val="6"/>
      </w:numPr>
      <w:spacing w:before="120" w:line="360" w:lineRule="auto"/>
      <w:outlineLvl w:val="0"/>
    </w:pPr>
    <w:rPr>
      <w:rFonts w:eastAsia="Times New Roman" w:cs="Times New Roman"/>
      <w:szCs w:val="24"/>
      <w:lang w:val="en-GB" w:eastAsia="en-US"/>
    </w:rPr>
  </w:style>
  <w:style w:type="paragraph" w:customStyle="1" w:styleId="Point1232">
    <w:name w:val="Point 123 (2)"/>
    <w:basedOn w:val="Normal"/>
    <w:rsid w:val="00DB596B"/>
    <w:pPr>
      <w:numPr>
        <w:ilvl w:val="4"/>
        <w:numId w:val="6"/>
      </w:numPr>
      <w:spacing w:before="120" w:line="360" w:lineRule="auto"/>
      <w:outlineLvl w:val="1"/>
    </w:pPr>
    <w:rPr>
      <w:rFonts w:eastAsia="Times New Roman" w:cs="Times New Roman"/>
      <w:szCs w:val="24"/>
      <w:lang w:val="en-GB" w:eastAsia="en-US"/>
    </w:rPr>
  </w:style>
  <w:style w:type="paragraph" w:customStyle="1" w:styleId="Point1233">
    <w:name w:val="Point 123 (3)"/>
    <w:basedOn w:val="Normal"/>
    <w:rsid w:val="00DB596B"/>
    <w:pPr>
      <w:numPr>
        <w:ilvl w:val="6"/>
        <w:numId w:val="6"/>
      </w:numPr>
      <w:spacing w:before="120" w:line="360" w:lineRule="auto"/>
      <w:outlineLvl w:val="2"/>
    </w:pPr>
    <w:rPr>
      <w:rFonts w:eastAsia="Times New Roman" w:cs="Times New Roman"/>
      <w:szCs w:val="24"/>
      <w:lang w:val="en-GB" w:eastAsia="en-US"/>
    </w:rPr>
  </w:style>
  <w:style w:type="paragraph" w:customStyle="1" w:styleId="cipari">
    <w:name w:val="cipari"/>
    <w:basedOn w:val="Normal"/>
    <w:qFormat/>
    <w:rsid w:val="00DB596B"/>
    <w:pPr>
      <w:ind w:left="720" w:hanging="720"/>
    </w:pPr>
    <w:rPr>
      <w:rFonts w:eastAsia="Times New Roman" w:cs="Times New Roman"/>
      <w:bCs/>
      <w:szCs w:val="20"/>
      <w:lang w:eastAsia="en-US"/>
    </w:rPr>
  </w:style>
  <w:style w:type="character" w:customStyle="1" w:styleId="apple-converted-space">
    <w:name w:val="apple-converted-space"/>
    <w:rsid w:val="00DB596B"/>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DB596B"/>
  </w:style>
  <w:style w:type="numbering" w:customStyle="1" w:styleId="NoList2">
    <w:name w:val="No List2"/>
    <w:next w:val="NoList"/>
    <w:uiPriority w:val="99"/>
    <w:semiHidden/>
    <w:unhideWhenUsed/>
    <w:rsid w:val="008643AC"/>
  </w:style>
  <w:style w:type="paragraph" w:customStyle="1" w:styleId="tabteksts">
    <w:name w:val="tab_teksts"/>
    <w:basedOn w:val="Normal"/>
    <w:qFormat/>
    <w:rsid w:val="008643AC"/>
    <w:rPr>
      <w:rFonts w:eastAsia="Times New Roman" w:cs="Times New Roman"/>
      <w:sz w:val="18"/>
      <w:szCs w:val="20"/>
      <w:lang w:eastAsia="en-US"/>
    </w:rPr>
  </w:style>
  <w:style w:type="paragraph" w:customStyle="1" w:styleId="BalloonText1">
    <w:name w:val="Balloon Text1"/>
    <w:basedOn w:val="Normal"/>
    <w:semiHidden/>
    <w:rsid w:val="008643AC"/>
    <w:pPr>
      <w:ind w:firstLine="709"/>
    </w:pPr>
    <w:rPr>
      <w:rFonts w:ascii="Tahoma" w:eastAsia="Times New Roman" w:hAnsi="Tahoma" w:cs="Tahoma"/>
      <w:sz w:val="16"/>
      <w:szCs w:val="16"/>
      <w:lang w:eastAsia="en-US"/>
    </w:rPr>
  </w:style>
  <w:style w:type="table" w:customStyle="1" w:styleId="TableGrid2">
    <w:name w:val="Table Grid2"/>
    <w:basedOn w:val="TableNormal"/>
    <w:next w:val="TableGrid"/>
    <w:uiPriority w:val="39"/>
    <w:rsid w:val="008643A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kcijas">
    <w:name w:val="funkcijas"/>
    <w:basedOn w:val="Normal"/>
    <w:qFormat/>
    <w:rsid w:val="008643AC"/>
    <w:rPr>
      <w:rFonts w:eastAsia="Times New Roman" w:cs="Times New Roman"/>
      <w:bCs/>
      <w:szCs w:val="20"/>
      <w:u w:val="single"/>
      <w:lang w:eastAsia="en-US"/>
    </w:rPr>
  </w:style>
  <w:style w:type="paragraph" w:customStyle="1" w:styleId="Funkcijasbold">
    <w:name w:val="Funkcijas_bold"/>
    <w:basedOn w:val="Normal"/>
    <w:qFormat/>
    <w:rsid w:val="008643AC"/>
    <w:rPr>
      <w:rFonts w:eastAsia="Times New Roman" w:cs="Times New Roman"/>
      <w:b/>
      <w:bCs/>
      <w:szCs w:val="20"/>
      <w:lang w:eastAsia="en-US"/>
    </w:rPr>
  </w:style>
  <w:style w:type="paragraph" w:customStyle="1" w:styleId="izdevumi">
    <w:name w:val="izdevumi"/>
    <w:basedOn w:val="Normal"/>
    <w:qFormat/>
    <w:rsid w:val="008643AC"/>
    <w:pPr>
      <w:widowControl w:val="0"/>
      <w:spacing w:before="120"/>
      <w:ind w:left="567"/>
    </w:pPr>
    <w:rPr>
      <w:rFonts w:eastAsia="Times New Roman" w:cs="Times New Roman"/>
      <w:i/>
      <w:szCs w:val="20"/>
      <w:lang w:eastAsia="en-US"/>
    </w:rPr>
  </w:style>
  <w:style w:type="paragraph" w:customStyle="1" w:styleId="programmas">
    <w:name w:val="programmas"/>
    <w:basedOn w:val="Normal"/>
    <w:qFormat/>
    <w:rsid w:val="008643AC"/>
    <w:pPr>
      <w:widowControl w:val="0"/>
      <w:spacing w:before="240"/>
      <w:jc w:val="center"/>
    </w:pPr>
    <w:rPr>
      <w:rFonts w:eastAsia="Times New Roman" w:cs="Times New Roman"/>
      <w:b/>
      <w:szCs w:val="20"/>
      <w:lang w:val="en-US" w:eastAsia="en-US"/>
    </w:rPr>
  </w:style>
  <w:style w:type="paragraph" w:customStyle="1" w:styleId="samazpaliel">
    <w:name w:val="samaz_paliel"/>
    <w:basedOn w:val="Normal"/>
    <w:qFormat/>
    <w:rsid w:val="008643AC"/>
    <w:pPr>
      <w:widowControl w:val="0"/>
    </w:pPr>
    <w:rPr>
      <w:rFonts w:eastAsia="Times New Roman" w:cs="Times New Roman"/>
      <w:b/>
      <w:szCs w:val="20"/>
      <w:u w:val="single"/>
      <w:lang w:eastAsia="en-US"/>
    </w:rPr>
  </w:style>
  <w:style w:type="paragraph" w:customStyle="1" w:styleId="Tabuluvirsraksti">
    <w:name w:val="Tabulu_virsraksti"/>
    <w:basedOn w:val="Normal"/>
    <w:qFormat/>
    <w:rsid w:val="008643AC"/>
    <w:pPr>
      <w:jc w:val="center"/>
    </w:pPr>
    <w:rPr>
      <w:rFonts w:eastAsia="Times New Roman" w:cs="Times New Roman"/>
      <w:szCs w:val="20"/>
      <w:lang w:eastAsia="en-US"/>
    </w:rPr>
  </w:style>
  <w:style w:type="character" w:customStyle="1" w:styleId="FollowedHyperlink1">
    <w:name w:val="FollowedHyperlink1"/>
    <w:basedOn w:val="DefaultParagraphFont"/>
    <w:uiPriority w:val="99"/>
    <w:semiHidden/>
    <w:unhideWhenUsed/>
    <w:rsid w:val="008643AC"/>
    <w:rPr>
      <w:color w:val="800080"/>
      <w:u w:val="single"/>
    </w:rPr>
  </w:style>
  <w:style w:type="character" w:styleId="FollowedHyperlink">
    <w:name w:val="FollowedHyperlink"/>
    <w:basedOn w:val="DefaultParagraphFont"/>
    <w:uiPriority w:val="99"/>
    <w:semiHidden/>
    <w:unhideWhenUsed/>
    <w:rsid w:val="008643AC"/>
    <w:rPr>
      <w:color w:val="954F72" w:themeColor="followedHyperlink"/>
      <w:u w:val="single"/>
    </w:rPr>
  </w:style>
  <w:style w:type="table" w:customStyle="1" w:styleId="TableGrid3">
    <w:name w:val="Table Grid3"/>
    <w:basedOn w:val="TableNormal"/>
    <w:next w:val="TableGrid"/>
    <w:uiPriority w:val="39"/>
    <w:rsid w:val="005D361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73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A7117E"/>
    <w:pPr>
      <w:spacing w:before="100" w:beforeAutospacing="1" w:after="100" w:afterAutospacing="1"/>
    </w:pPr>
    <w:rPr>
      <w:rFonts w:eastAsia="Times New Roman" w:cs="Times New Roman"/>
      <w:szCs w:val="24"/>
    </w:rPr>
  </w:style>
  <w:style w:type="table" w:customStyle="1" w:styleId="PlainTable411">
    <w:name w:val="Plain Table 411"/>
    <w:basedOn w:val="TableNormal"/>
    <w:uiPriority w:val="44"/>
    <w:rsid w:val="00A22921"/>
    <w:rPr>
      <w:rFonts w:ascii="Times New Roman" w:eastAsiaTheme="minorHAnsi" w:hAnsi="Times New Roman"/>
      <w:sz w:val="28"/>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yle3">
    <w:name w:val="Style3"/>
    <w:basedOn w:val="Heading3"/>
    <w:link w:val="Style3Char"/>
    <w:qFormat/>
    <w:rsid w:val="00D576BB"/>
    <w:pPr>
      <w:spacing w:line="259" w:lineRule="auto"/>
    </w:pPr>
    <w:rPr>
      <w:rFonts w:asciiTheme="majorHAnsi" w:eastAsiaTheme="majorEastAsia" w:hAnsiTheme="majorHAnsi" w:cstheme="majorBidi"/>
      <w:color w:val="1F4D78" w:themeColor="accent1" w:themeShade="7F"/>
      <w:szCs w:val="32"/>
      <w:lang w:eastAsia="en-US"/>
    </w:rPr>
  </w:style>
  <w:style w:type="character" w:customStyle="1" w:styleId="Style3Char">
    <w:name w:val="Style3 Char"/>
    <w:basedOn w:val="Heading3Char"/>
    <w:link w:val="Style3"/>
    <w:rsid w:val="00D576BB"/>
    <w:rPr>
      <w:rFonts w:asciiTheme="majorHAnsi" w:eastAsiaTheme="majorEastAsia" w:hAnsiTheme="majorHAnsi" w:cstheme="majorBidi"/>
      <w:b/>
      <w:bCs/>
      <w:color w:val="1F4D78" w:themeColor="accent1" w:themeShade="7F"/>
      <w:sz w:val="28"/>
      <w:szCs w:val="32"/>
      <w:lang w:eastAsia="en-US"/>
    </w:rPr>
  </w:style>
  <w:style w:type="paragraph" w:customStyle="1" w:styleId="Style2">
    <w:name w:val="Style2"/>
    <w:basedOn w:val="Heading2"/>
    <w:link w:val="Style2Char"/>
    <w:qFormat/>
    <w:rsid w:val="00D576BB"/>
    <w:pPr>
      <w:spacing w:line="259" w:lineRule="auto"/>
      <w:jc w:val="center"/>
    </w:pPr>
    <w:rPr>
      <w:lang w:eastAsia="en-US"/>
    </w:rPr>
  </w:style>
  <w:style w:type="character" w:customStyle="1" w:styleId="Style2Char">
    <w:name w:val="Style2 Char"/>
    <w:basedOn w:val="Heading2Char"/>
    <w:link w:val="Style2"/>
    <w:rsid w:val="00D576BB"/>
    <w:rPr>
      <w:rFonts w:ascii="Times New Roman" w:eastAsiaTheme="majorEastAsia" w:hAnsi="Times New Roman" w:cstheme="majorBidi"/>
      <w:b/>
      <w:bCs/>
      <w:smallCaps/>
      <w:color w:val="000000" w:themeColor="text1"/>
      <w:sz w:val="32"/>
      <w:szCs w:val="28"/>
      <w:lang w:eastAsia="en-US"/>
    </w:rPr>
  </w:style>
  <w:style w:type="paragraph" w:customStyle="1" w:styleId="Style1">
    <w:name w:val="Style1"/>
    <w:basedOn w:val="Heading1"/>
    <w:link w:val="Style1Char"/>
    <w:qFormat/>
    <w:rsid w:val="00D576BB"/>
    <w:pPr>
      <w:pBdr>
        <w:bottom w:val="single" w:sz="4" w:space="1" w:color="595959" w:themeColor="text1" w:themeTint="A6"/>
      </w:pBdr>
      <w:spacing w:after="160" w:line="259" w:lineRule="auto"/>
      <w:jc w:val="right"/>
    </w:pPr>
    <w:rPr>
      <w:rFonts w:asciiTheme="majorHAnsi" w:hAnsiTheme="majorHAnsi"/>
      <w:color w:val="2E74B5" w:themeColor="accent1" w:themeShade="BF"/>
      <w:szCs w:val="44"/>
      <w:lang w:eastAsia="en-US"/>
    </w:rPr>
  </w:style>
  <w:style w:type="character" w:customStyle="1" w:styleId="Style1Char">
    <w:name w:val="Style1 Char"/>
    <w:basedOn w:val="Heading1Char"/>
    <w:link w:val="Style1"/>
    <w:rsid w:val="00D576BB"/>
    <w:rPr>
      <w:rFonts w:asciiTheme="majorHAnsi" w:eastAsiaTheme="majorEastAsia" w:hAnsiTheme="majorHAnsi" w:cstheme="majorBidi"/>
      <w:b/>
      <w:bCs/>
      <w:smallCaps/>
      <w:color w:val="2E74B5" w:themeColor="accent1" w:themeShade="BF"/>
      <w:sz w:val="36"/>
      <w:szCs w:val="44"/>
      <w:lang w:eastAsia="en-US"/>
    </w:rPr>
  </w:style>
  <w:style w:type="character" w:customStyle="1" w:styleId="FootnoteTextChar1">
    <w:name w:val="Footnote Text Char1"/>
    <w:basedOn w:val="DefaultParagraphFont"/>
    <w:uiPriority w:val="99"/>
    <w:semiHidden/>
    <w:rsid w:val="00D576BB"/>
    <w:rPr>
      <w:sz w:val="20"/>
      <w:szCs w:val="20"/>
    </w:rPr>
  </w:style>
  <w:style w:type="paragraph" w:customStyle="1" w:styleId="Tabulasvirsraksts">
    <w:name w:val="Tabulas virsraksts"/>
    <w:basedOn w:val="Normal"/>
    <w:link w:val="TabulasvirsrakstsChar"/>
    <w:qFormat/>
    <w:rsid w:val="00D576BB"/>
    <w:pPr>
      <w:spacing w:before="240" w:after="240" w:line="259" w:lineRule="auto"/>
      <w:jc w:val="center"/>
    </w:pPr>
    <w:rPr>
      <w:rFonts w:eastAsiaTheme="minorHAnsi" w:cs="Times New Roman"/>
      <w:b/>
      <w:szCs w:val="24"/>
      <w:lang w:eastAsia="en-US"/>
    </w:rPr>
  </w:style>
  <w:style w:type="character" w:customStyle="1" w:styleId="TabulasvirsrakstsChar">
    <w:name w:val="Tabulas virsraksts Char"/>
    <w:basedOn w:val="DefaultParagraphFont"/>
    <w:link w:val="Tabulasvirsraksts"/>
    <w:rsid w:val="00D576BB"/>
    <w:rPr>
      <w:rFonts w:ascii="Times New Roman" w:eastAsiaTheme="minorHAnsi" w:hAnsi="Times New Roman" w:cs="Times New Roman"/>
      <w:b/>
      <w:sz w:val="24"/>
      <w:szCs w:val="24"/>
      <w:lang w:eastAsia="en-US"/>
    </w:rPr>
  </w:style>
  <w:style w:type="character" w:customStyle="1" w:styleId="UnresolvedMention1">
    <w:name w:val="Unresolved Mention1"/>
    <w:basedOn w:val="DefaultParagraphFont"/>
    <w:uiPriority w:val="99"/>
    <w:semiHidden/>
    <w:unhideWhenUsed/>
    <w:rsid w:val="00651B6D"/>
    <w:rPr>
      <w:color w:val="605E5C"/>
      <w:shd w:val="clear" w:color="auto" w:fill="E1DFDD"/>
    </w:rPr>
  </w:style>
  <w:style w:type="paragraph" w:customStyle="1" w:styleId="H5">
    <w:name w:val="H5"/>
    <w:basedOn w:val="Heading5"/>
    <w:link w:val="H5Char"/>
    <w:autoRedefine/>
    <w:qFormat/>
    <w:rsid w:val="00651B6D"/>
    <w:pPr>
      <w:spacing w:before="120"/>
      <w:jc w:val="center"/>
    </w:pPr>
    <w:rPr>
      <w:rFonts w:ascii="Times New Roman" w:hAnsi="Times New Roman" w:cs="Times New Roman"/>
      <w:color w:val="auto"/>
      <w:szCs w:val="20"/>
      <w:u w:val="single"/>
      <w:lang w:eastAsia="en-US"/>
    </w:rPr>
  </w:style>
  <w:style w:type="character" w:customStyle="1" w:styleId="H5Char">
    <w:name w:val="H5 Char"/>
    <w:basedOn w:val="DefaultParagraphFont"/>
    <w:link w:val="H5"/>
    <w:rsid w:val="00651B6D"/>
    <w:rPr>
      <w:rFonts w:ascii="Times New Roman" w:eastAsiaTheme="majorEastAsia" w:hAnsi="Times New Roman" w:cs="Times New Roman"/>
      <w:sz w:val="24"/>
      <w:szCs w:val="20"/>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5412">
      <w:bodyDiv w:val="1"/>
      <w:marLeft w:val="0"/>
      <w:marRight w:val="0"/>
      <w:marTop w:val="0"/>
      <w:marBottom w:val="0"/>
      <w:divBdr>
        <w:top w:val="none" w:sz="0" w:space="0" w:color="auto"/>
        <w:left w:val="none" w:sz="0" w:space="0" w:color="auto"/>
        <w:bottom w:val="none" w:sz="0" w:space="0" w:color="auto"/>
        <w:right w:val="none" w:sz="0" w:space="0" w:color="auto"/>
      </w:divBdr>
    </w:div>
    <w:div w:id="190607874">
      <w:bodyDiv w:val="1"/>
      <w:marLeft w:val="0"/>
      <w:marRight w:val="0"/>
      <w:marTop w:val="0"/>
      <w:marBottom w:val="0"/>
      <w:divBdr>
        <w:top w:val="none" w:sz="0" w:space="0" w:color="auto"/>
        <w:left w:val="none" w:sz="0" w:space="0" w:color="auto"/>
        <w:bottom w:val="none" w:sz="0" w:space="0" w:color="auto"/>
        <w:right w:val="none" w:sz="0" w:space="0" w:color="auto"/>
      </w:divBdr>
    </w:div>
    <w:div w:id="198706664">
      <w:bodyDiv w:val="1"/>
      <w:marLeft w:val="0"/>
      <w:marRight w:val="0"/>
      <w:marTop w:val="0"/>
      <w:marBottom w:val="0"/>
      <w:divBdr>
        <w:top w:val="none" w:sz="0" w:space="0" w:color="auto"/>
        <w:left w:val="none" w:sz="0" w:space="0" w:color="auto"/>
        <w:bottom w:val="none" w:sz="0" w:space="0" w:color="auto"/>
        <w:right w:val="none" w:sz="0" w:space="0" w:color="auto"/>
      </w:divBdr>
    </w:div>
    <w:div w:id="270012822">
      <w:bodyDiv w:val="1"/>
      <w:marLeft w:val="0"/>
      <w:marRight w:val="0"/>
      <w:marTop w:val="0"/>
      <w:marBottom w:val="0"/>
      <w:divBdr>
        <w:top w:val="none" w:sz="0" w:space="0" w:color="auto"/>
        <w:left w:val="none" w:sz="0" w:space="0" w:color="auto"/>
        <w:bottom w:val="none" w:sz="0" w:space="0" w:color="auto"/>
        <w:right w:val="none" w:sz="0" w:space="0" w:color="auto"/>
      </w:divBdr>
    </w:div>
    <w:div w:id="271017895">
      <w:bodyDiv w:val="1"/>
      <w:marLeft w:val="0"/>
      <w:marRight w:val="0"/>
      <w:marTop w:val="0"/>
      <w:marBottom w:val="0"/>
      <w:divBdr>
        <w:top w:val="none" w:sz="0" w:space="0" w:color="auto"/>
        <w:left w:val="none" w:sz="0" w:space="0" w:color="auto"/>
        <w:bottom w:val="none" w:sz="0" w:space="0" w:color="auto"/>
        <w:right w:val="none" w:sz="0" w:space="0" w:color="auto"/>
      </w:divBdr>
    </w:div>
    <w:div w:id="278032043">
      <w:bodyDiv w:val="1"/>
      <w:marLeft w:val="0"/>
      <w:marRight w:val="0"/>
      <w:marTop w:val="0"/>
      <w:marBottom w:val="0"/>
      <w:divBdr>
        <w:top w:val="none" w:sz="0" w:space="0" w:color="auto"/>
        <w:left w:val="none" w:sz="0" w:space="0" w:color="auto"/>
        <w:bottom w:val="none" w:sz="0" w:space="0" w:color="auto"/>
        <w:right w:val="none" w:sz="0" w:space="0" w:color="auto"/>
      </w:divBdr>
    </w:div>
    <w:div w:id="319385878">
      <w:bodyDiv w:val="1"/>
      <w:marLeft w:val="0"/>
      <w:marRight w:val="0"/>
      <w:marTop w:val="0"/>
      <w:marBottom w:val="0"/>
      <w:divBdr>
        <w:top w:val="none" w:sz="0" w:space="0" w:color="auto"/>
        <w:left w:val="none" w:sz="0" w:space="0" w:color="auto"/>
        <w:bottom w:val="none" w:sz="0" w:space="0" w:color="auto"/>
        <w:right w:val="none" w:sz="0" w:space="0" w:color="auto"/>
      </w:divBdr>
    </w:div>
    <w:div w:id="379717966">
      <w:bodyDiv w:val="1"/>
      <w:marLeft w:val="0"/>
      <w:marRight w:val="0"/>
      <w:marTop w:val="0"/>
      <w:marBottom w:val="0"/>
      <w:divBdr>
        <w:top w:val="none" w:sz="0" w:space="0" w:color="auto"/>
        <w:left w:val="none" w:sz="0" w:space="0" w:color="auto"/>
        <w:bottom w:val="none" w:sz="0" w:space="0" w:color="auto"/>
        <w:right w:val="none" w:sz="0" w:space="0" w:color="auto"/>
      </w:divBdr>
    </w:div>
    <w:div w:id="412510232">
      <w:bodyDiv w:val="1"/>
      <w:marLeft w:val="0"/>
      <w:marRight w:val="0"/>
      <w:marTop w:val="0"/>
      <w:marBottom w:val="0"/>
      <w:divBdr>
        <w:top w:val="none" w:sz="0" w:space="0" w:color="auto"/>
        <w:left w:val="none" w:sz="0" w:space="0" w:color="auto"/>
        <w:bottom w:val="none" w:sz="0" w:space="0" w:color="auto"/>
        <w:right w:val="none" w:sz="0" w:space="0" w:color="auto"/>
      </w:divBdr>
    </w:div>
    <w:div w:id="413014617">
      <w:bodyDiv w:val="1"/>
      <w:marLeft w:val="0"/>
      <w:marRight w:val="0"/>
      <w:marTop w:val="0"/>
      <w:marBottom w:val="0"/>
      <w:divBdr>
        <w:top w:val="none" w:sz="0" w:space="0" w:color="auto"/>
        <w:left w:val="none" w:sz="0" w:space="0" w:color="auto"/>
        <w:bottom w:val="none" w:sz="0" w:space="0" w:color="auto"/>
        <w:right w:val="none" w:sz="0" w:space="0" w:color="auto"/>
      </w:divBdr>
    </w:div>
    <w:div w:id="449057483">
      <w:bodyDiv w:val="1"/>
      <w:marLeft w:val="0"/>
      <w:marRight w:val="0"/>
      <w:marTop w:val="0"/>
      <w:marBottom w:val="0"/>
      <w:divBdr>
        <w:top w:val="none" w:sz="0" w:space="0" w:color="auto"/>
        <w:left w:val="none" w:sz="0" w:space="0" w:color="auto"/>
        <w:bottom w:val="none" w:sz="0" w:space="0" w:color="auto"/>
        <w:right w:val="none" w:sz="0" w:space="0" w:color="auto"/>
      </w:divBdr>
    </w:div>
    <w:div w:id="561447098">
      <w:bodyDiv w:val="1"/>
      <w:marLeft w:val="0"/>
      <w:marRight w:val="0"/>
      <w:marTop w:val="0"/>
      <w:marBottom w:val="0"/>
      <w:divBdr>
        <w:top w:val="none" w:sz="0" w:space="0" w:color="auto"/>
        <w:left w:val="none" w:sz="0" w:space="0" w:color="auto"/>
        <w:bottom w:val="none" w:sz="0" w:space="0" w:color="auto"/>
        <w:right w:val="none" w:sz="0" w:space="0" w:color="auto"/>
      </w:divBdr>
    </w:div>
    <w:div w:id="562182638">
      <w:bodyDiv w:val="1"/>
      <w:marLeft w:val="0"/>
      <w:marRight w:val="0"/>
      <w:marTop w:val="0"/>
      <w:marBottom w:val="0"/>
      <w:divBdr>
        <w:top w:val="none" w:sz="0" w:space="0" w:color="auto"/>
        <w:left w:val="none" w:sz="0" w:space="0" w:color="auto"/>
        <w:bottom w:val="none" w:sz="0" w:space="0" w:color="auto"/>
        <w:right w:val="none" w:sz="0" w:space="0" w:color="auto"/>
      </w:divBdr>
    </w:div>
    <w:div w:id="623193182">
      <w:bodyDiv w:val="1"/>
      <w:marLeft w:val="0"/>
      <w:marRight w:val="0"/>
      <w:marTop w:val="0"/>
      <w:marBottom w:val="0"/>
      <w:divBdr>
        <w:top w:val="none" w:sz="0" w:space="0" w:color="auto"/>
        <w:left w:val="none" w:sz="0" w:space="0" w:color="auto"/>
        <w:bottom w:val="none" w:sz="0" w:space="0" w:color="auto"/>
        <w:right w:val="none" w:sz="0" w:space="0" w:color="auto"/>
      </w:divBdr>
    </w:div>
    <w:div w:id="636373467">
      <w:bodyDiv w:val="1"/>
      <w:marLeft w:val="0"/>
      <w:marRight w:val="0"/>
      <w:marTop w:val="0"/>
      <w:marBottom w:val="0"/>
      <w:divBdr>
        <w:top w:val="none" w:sz="0" w:space="0" w:color="auto"/>
        <w:left w:val="none" w:sz="0" w:space="0" w:color="auto"/>
        <w:bottom w:val="none" w:sz="0" w:space="0" w:color="auto"/>
        <w:right w:val="none" w:sz="0" w:space="0" w:color="auto"/>
      </w:divBdr>
    </w:div>
    <w:div w:id="666518074">
      <w:bodyDiv w:val="1"/>
      <w:marLeft w:val="0"/>
      <w:marRight w:val="0"/>
      <w:marTop w:val="0"/>
      <w:marBottom w:val="0"/>
      <w:divBdr>
        <w:top w:val="none" w:sz="0" w:space="0" w:color="auto"/>
        <w:left w:val="none" w:sz="0" w:space="0" w:color="auto"/>
        <w:bottom w:val="none" w:sz="0" w:space="0" w:color="auto"/>
        <w:right w:val="none" w:sz="0" w:space="0" w:color="auto"/>
      </w:divBdr>
    </w:div>
    <w:div w:id="669256709">
      <w:bodyDiv w:val="1"/>
      <w:marLeft w:val="0"/>
      <w:marRight w:val="0"/>
      <w:marTop w:val="0"/>
      <w:marBottom w:val="0"/>
      <w:divBdr>
        <w:top w:val="none" w:sz="0" w:space="0" w:color="auto"/>
        <w:left w:val="none" w:sz="0" w:space="0" w:color="auto"/>
        <w:bottom w:val="none" w:sz="0" w:space="0" w:color="auto"/>
        <w:right w:val="none" w:sz="0" w:space="0" w:color="auto"/>
      </w:divBdr>
    </w:div>
    <w:div w:id="674500201">
      <w:bodyDiv w:val="1"/>
      <w:marLeft w:val="0"/>
      <w:marRight w:val="0"/>
      <w:marTop w:val="0"/>
      <w:marBottom w:val="0"/>
      <w:divBdr>
        <w:top w:val="none" w:sz="0" w:space="0" w:color="auto"/>
        <w:left w:val="none" w:sz="0" w:space="0" w:color="auto"/>
        <w:bottom w:val="none" w:sz="0" w:space="0" w:color="auto"/>
        <w:right w:val="none" w:sz="0" w:space="0" w:color="auto"/>
      </w:divBdr>
    </w:div>
    <w:div w:id="701857415">
      <w:bodyDiv w:val="1"/>
      <w:marLeft w:val="0"/>
      <w:marRight w:val="0"/>
      <w:marTop w:val="0"/>
      <w:marBottom w:val="0"/>
      <w:divBdr>
        <w:top w:val="none" w:sz="0" w:space="0" w:color="auto"/>
        <w:left w:val="none" w:sz="0" w:space="0" w:color="auto"/>
        <w:bottom w:val="none" w:sz="0" w:space="0" w:color="auto"/>
        <w:right w:val="none" w:sz="0" w:space="0" w:color="auto"/>
      </w:divBdr>
    </w:div>
    <w:div w:id="716272518">
      <w:bodyDiv w:val="1"/>
      <w:marLeft w:val="0"/>
      <w:marRight w:val="0"/>
      <w:marTop w:val="0"/>
      <w:marBottom w:val="0"/>
      <w:divBdr>
        <w:top w:val="none" w:sz="0" w:space="0" w:color="auto"/>
        <w:left w:val="none" w:sz="0" w:space="0" w:color="auto"/>
        <w:bottom w:val="none" w:sz="0" w:space="0" w:color="auto"/>
        <w:right w:val="none" w:sz="0" w:space="0" w:color="auto"/>
      </w:divBdr>
    </w:div>
    <w:div w:id="718355823">
      <w:bodyDiv w:val="1"/>
      <w:marLeft w:val="0"/>
      <w:marRight w:val="0"/>
      <w:marTop w:val="0"/>
      <w:marBottom w:val="0"/>
      <w:divBdr>
        <w:top w:val="none" w:sz="0" w:space="0" w:color="auto"/>
        <w:left w:val="none" w:sz="0" w:space="0" w:color="auto"/>
        <w:bottom w:val="none" w:sz="0" w:space="0" w:color="auto"/>
        <w:right w:val="none" w:sz="0" w:space="0" w:color="auto"/>
      </w:divBdr>
    </w:div>
    <w:div w:id="723941628">
      <w:bodyDiv w:val="1"/>
      <w:marLeft w:val="0"/>
      <w:marRight w:val="0"/>
      <w:marTop w:val="0"/>
      <w:marBottom w:val="0"/>
      <w:divBdr>
        <w:top w:val="none" w:sz="0" w:space="0" w:color="auto"/>
        <w:left w:val="none" w:sz="0" w:space="0" w:color="auto"/>
        <w:bottom w:val="none" w:sz="0" w:space="0" w:color="auto"/>
        <w:right w:val="none" w:sz="0" w:space="0" w:color="auto"/>
      </w:divBdr>
    </w:div>
    <w:div w:id="751970453">
      <w:bodyDiv w:val="1"/>
      <w:marLeft w:val="0"/>
      <w:marRight w:val="0"/>
      <w:marTop w:val="0"/>
      <w:marBottom w:val="0"/>
      <w:divBdr>
        <w:top w:val="none" w:sz="0" w:space="0" w:color="auto"/>
        <w:left w:val="none" w:sz="0" w:space="0" w:color="auto"/>
        <w:bottom w:val="none" w:sz="0" w:space="0" w:color="auto"/>
        <w:right w:val="none" w:sz="0" w:space="0" w:color="auto"/>
      </w:divBdr>
    </w:div>
    <w:div w:id="824050867">
      <w:bodyDiv w:val="1"/>
      <w:marLeft w:val="0"/>
      <w:marRight w:val="0"/>
      <w:marTop w:val="0"/>
      <w:marBottom w:val="0"/>
      <w:divBdr>
        <w:top w:val="none" w:sz="0" w:space="0" w:color="auto"/>
        <w:left w:val="none" w:sz="0" w:space="0" w:color="auto"/>
        <w:bottom w:val="none" w:sz="0" w:space="0" w:color="auto"/>
        <w:right w:val="none" w:sz="0" w:space="0" w:color="auto"/>
      </w:divBdr>
    </w:div>
    <w:div w:id="831334811">
      <w:bodyDiv w:val="1"/>
      <w:marLeft w:val="0"/>
      <w:marRight w:val="0"/>
      <w:marTop w:val="0"/>
      <w:marBottom w:val="0"/>
      <w:divBdr>
        <w:top w:val="none" w:sz="0" w:space="0" w:color="auto"/>
        <w:left w:val="none" w:sz="0" w:space="0" w:color="auto"/>
        <w:bottom w:val="none" w:sz="0" w:space="0" w:color="auto"/>
        <w:right w:val="none" w:sz="0" w:space="0" w:color="auto"/>
      </w:divBdr>
    </w:div>
    <w:div w:id="849412361">
      <w:bodyDiv w:val="1"/>
      <w:marLeft w:val="0"/>
      <w:marRight w:val="0"/>
      <w:marTop w:val="0"/>
      <w:marBottom w:val="0"/>
      <w:divBdr>
        <w:top w:val="none" w:sz="0" w:space="0" w:color="auto"/>
        <w:left w:val="none" w:sz="0" w:space="0" w:color="auto"/>
        <w:bottom w:val="none" w:sz="0" w:space="0" w:color="auto"/>
        <w:right w:val="none" w:sz="0" w:space="0" w:color="auto"/>
      </w:divBdr>
    </w:div>
    <w:div w:id="854149806">
      <w:bodyDiv w:val="1"/>
      <w:marLeft w:val="0"/>
      <w:marRight w:val="0"/>
      <w:marTop w:val="0"/>
      <w:marBottom w:val="0"/>
      <w:divBdr>
        <w:top w:val="none" w:sz="0" w:space="0" w:color="auto"/>
        <w:left w:val="none" w:sz="0" w:space="0" w:color="auto"/>
        <w:bottom w:val="none" w:sz="0" w:space="0" w:color="auto"/>
        <w:right w:val="none" w:sz="0" w:space="0" w:color="auto"/>
      </w:divBdr>
    </w:div>
    <w:div w:id="905068837">
      <w:bodyDiv w:val="1"/>
      <w:marLeft w:val="0"/>
      <w:marRight w:val="0"/>
      <w:marTop w:val="0"/>
      <w:marBottom w:val="0"/>
      <w:divBdr>
        <w:top w:val="none" w:sz="0" w:space="0" w:color="auto"/>
        <w:left w:val="none" w:sz="0" w:space="0" w:color="auto"/>
        <w:bottom w:val="none" w:sz="0" w:space="0" w:color="auto"/>
        <w:right w:val="none" w:sz="0" w:space="0" w:color="auto"/>
      </w:divBdr>
    </w:div>
    <w:div w:id="1056470907">
      <w:bodyDiv w:val="1"/>
      <w:marLeft w:val="0"/>
      <w:marRight w:val="0"/>
      <w:marTop w:val="0"/>
      <w:marBottom w:val="0"/>
      <w:divBdr>
        <w:top w:val="none" w:sz="0" w:space="0" w:color="auto"/>
        <w:left w:val="none" w:sz="0" w:space="0" w:color="auto"/>
        <w:bottom w:val="none" w:sz="0" w:space="0" w:color="auto"/>
        <w:right w:val="none" w:sz="0" w:space="0" w:color="auto"/>
      </w:divBdr>
    </w:div>
    <w:div w:id="1207067559">
      <w:bodyDiv w:val="1"/>
      <w:marLeft w:val="0"/>
      <w:marRight w:val="0"/>
      <w:marTop w:val="0"/>
      <w:marBottom w:val="0"/>
      <w:divBdr>
        <w:top w:val="none" w:sz="0" w:space="0" w:color="auto"/>
        <w:left w:val="none" w:sz="0" w:space="0" w:color="auto"/>
        <w:bottom w:val="none" w:sz="0" w:space="0" w:color="auto"/>
        <w:right w:val="none" w:sz="0" w:space="0" w:color="auto"/>
      </w:divBdr>
    </w:div>
    <w:div w:id="1254626063">
      <w:bodyDiv w:val="1"/>
      <w:marLeft w:val="0"/>
      <w:marRight w:val="0"/>
      <w:marTop w:val="0"/>
      <w:marBottom w:val="0"/>
      <w:divBdr>
        <w:top w:val="none" w:sz="0" w:space="0" w:color="auto"/>
        <w:left w:val="none" w:sz="0" w:space="0" w:color="auto"/>
        <w:bottom w:val="none" w:sz="0" w:space="0" w:color="auto"/>
        <w:right w:val="none" w:sz="0" w:space="0" w:color="auto"/>
      </w:divBdr>
    </w:div>
    <w:div w:id="1268463191">
      <w:bodyDiv w:val="1"/>
      <w:marLeft w:val="0"/>
      <w:marRight w:val="0"/>
      <w:marTop w:val="0"/>
      <w:marBottom w:val="0"/>
      <w:divBdr>
        <w:top w:val="none" w:sz="0" w:space="0" w:color="auto"/>
        <w:left w:val="none" w:sz="0" w:space="0" w:color="auto"/>
        <w:bottom w:val="none" w:sz="0" w:space="0" w:color="auto"/>
        <w:right w:val="none" w:sz="0" w:space="0" w:color="auto"/>
      </w:divBdr>
    </w:div>
    <w:div w:id="1270506521">
      <w:bodyDiv w:val="1"/>
      <w:marLeft w:val="0"/>
      <w:marRight w:val="0"/>
      <w:marTop w:val="0"/>
      <w:marBottom w:val="0"/>
      <w:divBdr>
        <w:top w:val="none" w:sz="0" w:space="0" w:color="auto"/>
        <w:left w:val="none" w:sz="0" w:space="0" w:color="auto"/>
        <w:bottom w:val="none" w:sz="0" w:space="0" w:color="auto"/>
        <w:right w:val="none" w:sz="0" w:space="0" w:color="auto"/>
      </w:divBdr>
    </w:div>
    <w:div w:id="1317994622">
      <w:bodyDiv w:val="1"/>
      <w:marLeft w:val="0"/>
      <w:marRight w:val="0"/>
      <w:marTop w:val="0"/>
      <w:marBottom w:val="0"/>
      <w:divBdr>
        <w:top w:val="none" w:sz="0" w:space="0" w:color="auto"/>
        <w:left w:val="none" w:sz="0" w:space="0" w:color="auto"/>
        <w:bottom w:val="none" w:sz="0" w:space="0" w:color="auto"/>
        <w:right w:val="none" w:sz="0" w:space="0" w:color="auto"/>
      </w:divBdr>
    </w:div>
    <w:div w:id="1321692281">
      <w:bodyDiv w:val="1"/>
      <w:marLeft w:val="0"/>
      <w:marRight w:val="0"/>
      <w:marTop w:val="0"/>
      <w:marBottom w:val="0"/>
      <w:divBdr>
        <w:top w:val="none" w:sz="0" w:space="0" w:color="auto"/>
        <w:left w:val="none" w:sz="0" w:space="0" w:color="auto"/>
        <w:bottom w:val="none" w:sz="0" w:space="0" w:color="auto"/>
        <w:right w:val="none" w:sz="0" w:space="0" w:color="auto"/>
      </w:divBdr>
    </w:div>
    <w:div w:id="1353337988">
      <w:bodyDiv w:val="1"/>
      <w:marLeft w:val="0"/>
      <w:marRight w:val="0"/>
      <w:marTop w:val="0"/>
      <w:marBottom w:val="0"/>
      <w:divBdr>
        <w:top w:val="none" w:sz="0" w:space="0" w:color="auto"/>
        <w:left w:val="none" w:sz="0" w:space="0" w:color="auto"/>
        <w:bottom w:val="none" w:sz="0" w:space="0" w:color="auto"/>
        <w:right w:val="none" w:sz="0" w:space="0" w:color="auto"/>
      </w:divBdr>
    </w:div>
    <w:div w:id="1362590867">
      <w:bodyDiv w:val="1"/>
      <w:marLeft w:val="0"/>
      <w:marRight w:val="0"/>
      <w:marTop w:val="0"/>
      <w:marBottom w:val="0"/>
      <w:divBdr>
        <w:top w:val="none" w:sz="0" w:space="0" w:color="auto"/>
        <w:left w:val="none" w:sz="0" w:space="0" w:color="auto"/>
        <w:bottom w:val="none" w:sz="0" w:space="0" w:color="auto"/>
        <w:right w:val="none" w:sz="0" w:space="0" w:color="auto"/>
      </w:divBdr>
    </w:div>
    <w:div w:id="1402210682">
      <w:bodyDiv w:val="1"/>
      <w:marLeft w:val="0"/>
      <w:marRight w:val="0"/>
      <w:marTop w:val="0"/>
      <w:marBottom w:val="0"/>
      <w:divBdr>
        <w:top w:val="none" w:sz="0" w:space="0" w:color="auto"/>
        <w:left w:val="none" w:sz="0" w:space="0" w:color="auto"/>
        <w:bottom w:val="none" w:sz="0" w:space="0" w:color="auto"/>
        <w:right w:val="none" w:sz="0" w:space="0" w:color="auto"/>
      </w:divBdr>
    </w:div>
    <w:div w:id="1413041532">
      <w:bodyDiv w:val="1"/>
      <w:marLeft w:val="0"/>
      <w:marRight w:val="0"/>
      <w:marTop w:val="0"/>
      <w:marBottom w:val="0"/>
      <w:divBdr>
        <w:top w:val="none" w:sz="0" w:space="0" w:color="auto"/>
        <w:left w:val="none" w:sz="0" w:space="0" w:color="auto"/>
        <w:bottom w:val="none" w:sz="0" w:space="0" w:color="auto"/>
        <w:right w:val="none" w:sz="0" w:space="0" w:color="auto"/>
      </w:divBdr>
    </w:div>
    <w:div w:id="1417944854">
      <w:bodyDiv w:val="1"/>
      <w:marLeft w:val="0"/>
      <w:marRight w:val="0"/>
      <w:marTop w:val="0"/>
      <w:marBottom w:val="0"/>
      <w:divBdr>
        <w:top w:val="none" w:sz="0" w:space="0" w:color="auto"/>
        <w:left w:val="none" w:sz="0" w:space="0" w:color="auto"/>
        <w:bottom w:val="none" w:sz="0" w:space="0" w:color="auto"/>
        <w:right w:val="none" w:sz="0" w:space="0" w:color="auto"/>
      </w:divBdr>
    </w:div>
    <w:div w:id="1473522522">
      <w:bodyDiv w:val="1"/>
      <w:marLeft w:val="0"/>
      <w:marRight w:val="0"/>
      <w:marTop w:val="0"/>
      <w:marBottom w:val="0"/>
      <w:divBdr>
        <w:top w:val="none" w:sz="0" w:space="0" w:color="auto"/>
        <w:left w:val="none" w:sz="0" w:space="0" w:color="auto"/>
        <w:bottom w:val="none" w:sz="0" w:space="0" w:color="auto"/>
        <w:right w:val="none" w:sz="0" w:space="0" w:color="auto"/>
      </w:divBdr>
    </w:div>
    <w:div w:id="1478648647">
      <w:bodyDiv w:val="1"/>
      <w:marLeft w:val="0"/>
      <w:marRight w:val="0"/>
      <w:marTop w:val="0"/>
      <w:marBottom w:val="0"/>
      <w:divBdr>
        <w:top w:val="none" w:sz="0" w:space="0" w:color="auto"/>
        <w:left w:val="none" w:sz="0" w:space="0" w:color="auto"/>
        <w:bottom w:val="none" w:sz="0" w:space="0" w:color="auto"/>
        <w:right w:val="none" w:sz="0" w:space="0" w:color="auto"/>
      </w:divBdr>
    </w:div>
    <w:div w:id="1529955105">
      <w:bodyDiv w:val="1"/>
      <w:marLeft w:val="0"/>
      <w:marRight w:val="0"/>
      <w:marTop w:val="0"/>
      <w:marBottom w:val="0"/>
      <w:divBdr>
        <w:top w:val="none" w:sz="0" w:space="0" w:color="auto"/>
        <w:left w:val="none" w:sz="0" w:space="0" w:color="auto"/>
        <w:bottom w:val="none" w:sz="0" w:space="0" w:color="auto"/>
        <w:right w:val="none" w:sz="0" w:space="0" w:color="auto"/>
      </w:divBdr>
    </w:div>
    <w:div w:id="1560242460">
      <w:bodyDiv w:val="1"/>
      <w:marLeft w:val="0"/>
      <w:marRight w:val="0"/>
      <w:marTop w:val="0"/>
      <w:marBottom w:val="0"/>
      <w:divBdr>
        <w:top w:val="none" w:sz="0" w:space="0" w:color="auto"/>
        <w:left w:val="none" w:sz="0" w:space="0" w:color="auto"/>
        <w:bottom w:val="none" w:sz="0" w:space="0" w:color="auto"/>
        <w:right w:val="none" w:sz="0" w:space="0" w:color="auto"/>
      </w:divBdr>
    </w:div>
    <w:div w:id="1618373516">
      <w:bodyDiv w:val="1"/>
      <w:marLeft w:val="0"/>
      <w:marRight w:val="0"/>
      <w:marTop w:val="0"/>
      <w:marBottom w:val="0"/>
      <w:divBdr>
        <w:top w:val="none" w:sz="0" w:space="0" w:color="auto"/>
        <w:left w:val="none" w:sz="0" w:space="0" w:color="auto"/>
        <w:bottom w:val="none" w:sz="0" w:space="0" w:color="auto"/>
        <w:right w:val="none" w:sz="0" w:space="0" w:color="auto"/>
      </w:divBdr>
    </w:div>
    <w:div w:id="1633487707">
      <w:bodyDiv w:val="1"/>
      <w:marLeft w:val="0"/>
      <w:marRight w:val="0"/>
      <w:marTop w:val="0"/>
      <w:marBottom w:val="0"/>
      <w:divBdr>
        <w:top w:val="none" w:sz="0" w:space="0" w:color="auto"/>
        <w:left w:val="none" w:sz="0" w:space="0" w:color="auto"/>
        <w:bottom w:val="none" w:sz="0" w:space="0" w:color="auto"/>
        <w:right w:val="none" w:sz="0" w:space="0" w:color="auto"/>
      </w:divBdr>
    </w:div>
    <w:div w:id="1671829188">
      <w:bodyDiv w:val="1"/>
      <w:marLeft w:val="0"/>
      <w:marRight w:val="0"/>
      <w:marTop w:val="0"/>
      <w:marBottom w:val="0"/>
      <w:divBdr>
        <w:top w:val="none" w:sz="0" w:space="0" w:color="auto"/>
        <w:left w:val="none" w:sz="0" w:space="0" w:color="auto"/>
        <w:bottom w:val="none" w:sz="0" w:space="0" w:color="auto"/>
        <w:right w:val="none" w:sz="0" w:space="0" w:color="auto"/>
      </w:divBdr>
    </w:div>
    <w:div w:id="1686397229">
      <w:bodyDiv w:val="1"/>
      <w:marLeft w:val="0"/>
      <w:marRight w:val="0"/>
      <w:marTop w:val="0"/>
      <w:marBottom w:val="0"/>
      <w:divBdr>
        <w:top w:val="none" w:sz="0" w:space="0" w:color="auto"/>
        <w:left w:val="none" w:sz="0" w:space="0" w:color="auto"/>
        <w:bottom w:val="none" w:sz="0" w:space="0" w:color="auto"/>
        <w:right w:val="none" w:sz="0" w:space="0" w:color="auto"/>
      </w:divBdr>
    </w:div>
    <w:div w:id="1703095822">
      <w:bodyDiv w:val="1"/>
      <w:marLeft w:val="0"/>
      <w:marRight w:val="0"/>
      <w:marTop w:val="0"/>
      <w:marBottom w:val="0"/>
      <w:divBdr>
        <w:top w:val="none" w:sz="0" w:space="0" w:color="auto"/>
        <w:left w:val="none" w:sz="0" w:space="0" w:color="auto"/>
        <w:bottom w:val="none" w:sz="0" w:space="0" w:color="auto"/>
        <w:right w:val="none" w:sz="0" w:space="0" w:color="auto"/>
      </w:divBdr>
    </w:div>
    <w:div w:id="1774468958">
      <w:bodyDiv w:val="1"/>
      <w:marLeft w:val="0"/>
      <w:marRight w:val="0"/>
      <w:marTop w:val="0"/>
      <w:marBottom w:val="0"/>
      <w:divBdr>
        <w:top w:val="none" w:sz="0" w:space="0" w:color="auto"/>
        <w:left w:val="none" w:sz="0" w:space="0" w:color="auto"/>
        <w:bottom w:val="none" w:sz="0" w:space="0" w:color="auto"/>
        <w:right w:val="none" w:sz="0" w:space="0" w:color="auto"/>
      </w:divBdr>
    </w:div>
    <w:div w:id="1790078946">
      <w:bodyDiv w:val="1"/>
      <w:marLeft w:val="0"/>
      <w:marRight w:val="0"/>
      <w:marTop w:val="0"/>
      <w:marBottom w:val="0"/>
      <w:divBdr>
        <w:top w:val="none" w:sz="0" w:space="0" w:color="auto"/>
        <w:left w:val="none" w:sz="0" w:space="0" w:color="auto"/>
        <w:bottom w:val="none" w:sz="0" w:space="0" w:color="auto"/>
        <w:right w:val="none" w:sz="0" w:space="0" w:color="auto"/>
      </w:divBdr>
      <w:divsChild>
        <w:div w:id="50345720">
          <w:marLeft w:val="0"/>
          <w:marRight w:val="0"/>
          <w:marTop w:val="0"/>
          <w:marBottom w:val="0"/>
          <w:divBdr>
            <w:top w:val="none" w:sz="0" w:space="0" w:color="auto"/>
            <w:left w:val="none" w:sz="0" w:space="0" w:color="auto"/>
            <w:bottom w:val="none" w:sz="0" w:space="0" w:color="auto"/>
            <w:right w:val="none" w:sz="0" w:space="0" w:color="auto"/>
          </w:divBdr>
          <w:divsChild>
            <w:div w:id="746460962">
              <w:marLeft w:val="0"/>
              <w:marRight w:val="0"/>
              <w:marTop w:val="0"/>
              <w:marBottom w:val="0"/>
              <w:divBdr>
                <w:top w:val="none" w:sz="0" w:space="0" w:color="auto"/>
                <w:left w:val="none" w:sz="0" w:space="0" w:color="auto"/>
                <w:bottom w:val="none" w:sz="0" w:space="0" w:color="auto"/>
                <w:right w:val="none" w:sz="0" w:space="0" w:color="auto"/>
              </w:divBdr>
              <w:divsChild>
                <w:div w:id="1699429011">
                  <w:marLeft w:val="-240"/>
                  <w:marRight w:val="-240"/>
                  <w:marTop w:val="0"/>
                  <w:marBottom w:val="0"/>
                  <w:divBdr>
                    <w:top w:val="none" w:sz="0" w:space="0" w:color="auto"/>
                    <w:left w:val="none" w:sz="0" w:space="0" w:color="auto"/>
                    <w:bottom w:val="none" w:sz="0" w:space="0" w:color="auto"/>
                    <w:right w:val="none" w:sz="0" w:space="0" w:color="auto"/>
                  </w:divBdr>
                  <w:divsChild>
                    <w:div w:id="1558857879">
                      <w:marLeft w:val="0"/>
                      <w:marRight w:val="0"/>
                      <w:marTop w:val="0"/>
                      <w:marBottom w:val="0"/>
                      <w:divBdr>
                        <w:top w:val="none" w:sz="0" w:space="0" w:color="auto"/>
                        <w:left w:val="none" w:sz="0" w:space="0" w:color="auto"/>
                        <w:bottom w:val="none" w:sz="0" w:space="0" w:color="auto"/>
                        <w:right w:val="none" w:sz="0" w:space="0" w:color="auto"/>
                      </w:divBdr>
                      <w:divsChild>
                        <w:div w:id="83304659">
                          <w:marLeft w:val="0"/>
                          <w:marRight w:val="0"/>
                          <w:marTop w:val="0"/>
                          <w:marBottom w:val="0"/>
                          <w:divBdr>
                            <w:top w:val="none" w:sz="0" w:space="0" w:color="auto"/>
                            <w:left w:val="none" w:sz="0" w:space="0" w:color="auto"/>
                            <w:bottom w:val="none" w:sz="0" w:space="0" w:color="auto"/>
                            <w:right w:val="none" w:sz="0" w:space="0" w:color="auto"/>
                          </w:divBdr>
                          <w:divsChild>
                            <w:div w:id="1257903476">
                              <w:marLeft w:val="165"/>
                              <w:marRight w:val="165"/>
                              <w:marTop w:val="0"/>
                              <w:marBottom w:val="0"/>
                              <w:divBdr>
                                <w:top w:val="none" w:sz="0" w:space="0" w:color="auto"/>
                                <w:left w:val="none" w:sz="0" w:space="0" w:color="auto"/>
                                <w:bottom w:val="none" w:sz="0" w:space="0" w:color="auto"/>
                                <w:right w:val="none" w:sz="0" w:space="0" w:color="auto"/>
                              </w:divBdr>
                              <w:divsChild>
                                <w:div w:id="2054847829">
                                  <w:marLeft w:val="0"/>
                                  <w:marRight w:val="0"/>
                                  <w:marTop w:val="0"/>
                                  <w:marBottom w:val="0"/>
                                  <w:divBdr>
                                    <w:top w:val="none" w:sz="0" w:space="0" w:color="auto"/>
                                    <w:left w:val="none" w:sz="0" w:space="0" w:color="auto"/>
                                    <w:bottom w:val="none" w:sz="0" w:space="0" w:color="auto"/>
                                    <w:right w:val="none" w:sz="0" w:space="0" w:color="auto"/>
                                  </w:divBdr>
                                  <w:divsChild>
                                    <w:div w:id="158132983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1129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95945">
      <w:bodyDiv w:val="1"/>
      <w:marLeft w:val="0"/>
      <w:marRight w:val="0"/>
      <w:marTop w:val="0"/>
      <w:marBottom w:val="0"/>
      <w:divBdr>
        <w:top w:val="none" w:sz="0" w:space="0" w:color="auto"/>
        <w:left w:val="none" w:sz="0" w:space="0" w:color="auto"/>
        <w:bottom w:val="none" w:sz="0" w:space="0" w:color="auto"/>
        <w:right w:val="none" w:sz="0" w:space="0" w:color="auto"/>
      </w:divBdr>
    </w:div>
    <w:div w:id="1958369383">
      <w:bodyDiv w:val="1"/>
      <w:marLeft w:val="0"/>
      <w:marRight w:val="0"/>
      <w:marTop w:val="0"/>
      <w:marBottom w:val="0"/>
      <w:divBdr>
        <w:top w:val="none" w:sz="0" w:space="0" w:color="auto"/>
        <w:left w:val="none" w:sz="0" w:space="0" w:color="auto"/>
        <w:bottom w:val="none" w:sz="0" w:space="0" w:color="auto"/>
        <w:right w:val="none" w:sz="0" w:space="0" w:color="auto"/>
      </w:divBdr>
    </w:div>
    <w:div w:id="1979646637">
      <w:bodyDiv w:val="1"/>
      <w:marLeft w:val="0"/>
      <w:marRight w:val="0"/>
      <w:marTop w:val="0"/>
      <w:marBottom w:val="0"/>
      <w:divBdr>
        <w:top w:val="none" w:sz="0" w:space="0" w:color="auto"/>
        <w:left w:val="none" w:sz="0" w:space="0" w:color="auto"/>
        <w:bottom w:val="none" w:sz="0" w:space="0" w:color="auto"/>
        <w:right w:val="none" w:sz="0" w:space="0" w:color="auto"/>
      </w:divBdr>
    </w:div>
    <w:div w:id="1986735925">
      <w:bodyDiv w:val="1"/>
      <w:marLeft w:val="0"/>
      <w:marRight w:val="0"/>
      <w:marTop w:val="0"/>
      <w:marBottom w:val="0"/>
      <w:divBdr>
        <w:top w:val="none" w:sz="0" w:space="0" w:color="auto"/>
        <w:left w:val="none" w:sz="0" w:space="0" w:color="auto"/>
        <w:bottom w:val="none" w:sz="0" w:space="0" w:color="auto"/>
        <w:right w:val="none" w:sz="0" w:space="0" w:color="auto"/>
      </w:divBdr>
    </w:div>
    <w:div w:id="2007711456">
      <w:bodyDiv w:val="1"/>
      <w:marLeft w:val="0"/>
      <w:marRight w:val="0"/>
      <w:marTop w:val="0"/>
      <w:marBottom w:val="0"/>
      <w:divBdr>
        <w:top w:val="none" w:sz="0" w:space="0" w:color="auto"/>
        <w:left w:val="none" w:sz="0" w:space="0" w:color="auto"/>
        <w:bottom w:val="none" w:sz="0" w:space="0" w:color="auto"/>
        <w:right w:val="none" w:sz="0" w:space="0" w:color="auto"/>
      </w:divBdr>
    </w:div>
    <w:div w:id="2026205893">
      <w:bodyDiv w:val="1"/>
      <w:marLeft w:val="0"/>
      <w:marRight w:val="0"/>
      <w:marTop w:val="0"/>
      <w:marBottom w:val="0"/>
      <w:divBdr>
        <w:top w:val="none" w:sz="0" w:space="0" w:color="auto"/>
        <w:left w:val="none" w:sz="0" w:space="0" w:color="auto"/>
        <w:bottom w:val="none" w:sz="0" w:space="0" w:color="auto"/>
        <w:right w:val="none" w:sz="0" w:space="0" w:color="auto"/>
      </w:divBdr>
    </w:div>
    <w:div w:id="2039041136">
      <w:bodyDiv w:val="1"/>
      <w:marLeft w:val="0"/>
      <w:marRight w:val="0"/>
      <w:marTop w:val="0"/>
      <w:marBottom w:val="0"/>
      <w:divBdr>
        <w:top w:val="none" w:sz="0" w:space="0" w:color="auto"/>
        <w:left w:val="none" w:sz="0" w:space="0" w:color="auto"/>
        <w:bottom w:val="none" w:sz="0" w:space="0" w:color="auto"/>
        <w:right w:val="none" w:sz="0" w:space="0" w:color="auto"/>
      </w:divBdr>
    </w:div>
    <w:div w:id="2063670481">
      <w:bodyDiv w:val="1"/>
      <w:marLeft w:val="0"/>
      <w:marRight w:val="0"/>
      <w:marTop w:val="0"/>
      <w:marBottom w:val="0"/>
      <w:divBdr>
        <w:top w:val="none" w:sz="0" w:space="0" w:color="auto"/>
        <w:left w:val="none" w:sz="0" w:space="0" w:color="auto"/>
        <w:bottom w:val="none" w:sz="0" w:space="0" w:color="auto"/>
        <w:right w:val="none" w:sz="0" w:space="0" w:color="auto"/>
      </w:divBdr>
    </w:div>
    <w:div w:id="2121410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chart" Target="charts/chart30.xml"/><Relationship Id="rId21" Type="http://schemas.openxmlformats.org/officeDocument/2006/relationships/chart" Target="charts/chart14.xml"/><Relationship Id="rId34" Type="http://schemas.openxmlformats.org/officeDocument/2006/relationships/image" Target="media/image2.png"/><Relationship Id="rId42" Type="http://schemas.openxmlformats.org/officeDocument/2006/relationships/chart" Target="charts/chart33.xml"/><Relationship Id="rId47" Type="http://schemas.openxmlformats.org/officeDocument/2006/relationships/chart" Target="charts/chart38.xml"/><Relationship Id="rId50" Type="http://schemas.openxmlformats.org/officeDocument/2006/relationships/chart" Target="charts/chart41.xml"/><Relationship Id="rId55" Type="http://schemas.openxmlformats.org/officeDocument/2006/relationships/chart" Target="charts/chart45.xml"/><Relationship Id="rId63" Type="http://schemas.openxmlformats.org/officeDocument/2006/relationships/image" Target="media/image5.emf"/><Relationship Id="rId68" Type="http://schemas.openxmlformats.org/officeDocument/2006/relationships/header" Target="header1.xml"/><Relationship Id="rId76" Type="http://schemas.microsoft.com/office/2016/09/relationships/commentsIds" Target="commentsIds.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9" Type="http://schemas.openxmlformats.org/officeDocument/2006/relationships/chart" Target="charts/chart22.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chart" Target="charts/chart36.xml"/><Relationship Id="rId53" Type="http://schemas.openxmlformats.org/officeDocument/2006/relationships/image" Target="media/image3.emf"/><Relationship Id="rId58" Type="http://schemas.openxmlformats.org/officeDocument/2006/relationships/hyperlink" Target="https://likumi.lv/ta/id/254896-fiskalas-disciplinas-likums" TargetMode="External"/><Relationship Id="rId66"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7.xml"/><Relationship Id="rId49" Type="http://schemas.openxmlformats.org/officeDocument/2006/relationships/chart" Target="charts/chart40.xml"/><Relationship Id="rId57" Type="http://schemas.openxmlformats.org/officeDocument/2006/relationships/hyperlink" Target="https://likumi.lv/ta/id/254896-fiskalas-disciplinas-likums" TargetMode="External"/><Relationship Id="rId61" Type="http://schemas.openxmlformats.org/officeDocument/2006/relationships/hyperlink" Target="http://eur-lex.europa.eu/eli/reg/1997/1466/oj/?locale=LV" TargetMode="Externa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4" Type="http://schemas.openxmlformats.org/officeDocument/2006/relationships/chart" Target="charts/chart35.xml"/><Relationship Id="rId52" Type="http://schemas.openxmlformats.org/officeDocument/2006/relationships/chart" Target="charts/chart43.xml"/><Relationship Id="rId60" Type="http://schemas.openxmlformats.org/officeDocument/2006/relationships/hyperlink" Target="https://likumi.lv/ta/id/254896-fiskalas-disciplinas-likums" TargetMode="External"/><Relationship Id="rId65" Type="http://schemas.openxmlformats.org/officeDocument/2006/relationships/chart" Target="charts/chart47.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image" Target="cid:image004.png@01D7B90D.2F319150" TargetMode="External"/><Relationship Id="rId43" Type="http://schemas.openxmlformats.org/officeDocument/2006/relationships/chart" Target="charts/chart34.xml"/><Relationship Id="rId48" Type="http://schemas.openxmlformats.org/officeDocument/2006/relationships/chart" Target="charts/chart39.xml"/><Relationship Id="rId56" Type="http://schemas.openxmlformats.org/officeDocument/2006/relationships/hyperlink" Target="https://likumi.lv/ta/id/254896-fiskalas-disciplinas-likums" TargetMode="External"/><Relationship Id="rId64" Type="http://schemas.openxmlformats.org/officeDocument/2006/relationships/chart" Target="charts/chart46.xml"/><Relationship Id="rId69" Type="http://schemas.openxmlformats.org/officeDocument/2006/relationships/footer" Target="footer1.xml"/><Relationship Id="rId8" Type="http://schemas.openxmlformats.org/officeDocument/2006/relationships/chart" Target="charts/chart1.xml"/><Relationship Id="rId51" Type="http://schemas.openxmlformats.org/officeDocument/2006/relationships/chart" Target="charts/chart42.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chart" Target="charts/chart29.xml"/><Relationship Id="rId46" Type="http://schemas.openxmlformats.org/officeDocument/2006/relationships/chart" Target="charts/chart37.xml"/><Relationship Id="rId59" Type="http://schemas.openxmlformats.org/officeDocument/2006/relationships/hyperlink" Target="https://likumi.lv/ta/id/254896-fiskalas-disciplinas-likums" TargetMode="External"/><Relationship Id="rId67" Type="http://schemas.openxmlformats.org/officeDocument/2006/relationships/image" Target="media/image7.png"/><Relationship Id="rId20" Type="http://schemas.openxmlformats.org/officeDocument/2006/relationships/chart" Target="charts/chart13.xml"/><Relationship Id="rId41" Type="http://schemas.openxmlformats.org/officeDocument/2006/relationships/chart" Target="charts/chart32.xml"/><Relationship Id="rId54" Type="http://schemas.openxmlformats.org/officeDocument/2006/relationships/chart" Target="charts/chart44.xml"/><Relationship Id="rId62" Type="http://schemas.openxmlformats.org/officeDocument/2006/relationships/image" Target="media/image4.emf"/><Relationship Id="rId70" Type="http://schemas.openxmlformats.org/officeDocument/2006/relationships/fontTable" Target="fontTable.xml"/><Relationship Id="rId75"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tand\TAND\Ieva%20Veja\bud&#382;eta%20paskaidrojumi\2022\IKP\ikp_.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3.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4.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6.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7.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8.xlsx"/></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openxmlformats.org/officeDocument/2006/relationships/image" Target="../media/image1.jpg"/><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fk\tand\TAND\Diana%20Ondza\B&#362;VNIEC&#298;BA\B&#363;vn.%20apjomi.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file:///\\fk\tand\TAND\_Prezentacija\Prezentacijas-DATA.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1.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embeddings/oleObject2.bin"/></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8.xml"/><Relationship Id="rId1" Type="http://schemas.microsoft.com/office/2011/relationships/chartStyle" Target="style18.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9.xml"/><Relationship Id="rId1" Type="http://schemas.microsoft.com/office/2011/relationships/chartStyle" Target="style19.xm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4.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5.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16.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17.xlsx"/></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20.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1.xml"/></Relationships>
</file>

<file path=word/charts/_rels/chart3.xml.rels><?xml version="1.0" encoding="UTF-8" standalone="yes"?>
<Relationships xmlns="http://schemas.openxmlformats.org/package/2006/relationships"><Relationship Id="rId3" Type="http://schemas.openxmlformats.org/officeDocument/2006/relationships/oleObject" Target="file:///\\fk\tand\TAND\_Prezentacija\Prezentacijas-DATA.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0.xlsx"/></Relationships>
</file>

<file path=word/charts/_rels/chart3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5.xml"/><Relationship Id="rId1" Type="http://schemas.microsoft.com/office/2011/relationships/chartStyle" Target="style25.xm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1.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22.xlsx"/></Relationships>
</file>

<file path=word/charts/_rels/chart34.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fk\tand\TAND\Ieva%20Veja\bud&#382;eta%20paskaidrojumi\2020\iedz&#299;vot&#257;ju%20ien&#257;kumi\ien&#257;kumi%20p&#275;c%20PPS%20no%20ES%20vid&#275;j&#257;.xlsx" TargetMode="External"/><Relationship Id="rId1" Type="http://schemas.openxmlformats.org/officeDocument/2006/relationships/themeOverride" Target="../theme/themeOverride25.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FM.DESKTOP-559G9O3\Desktop\Info_zi&#326;ojums_Bud&#382;ets\Bud&#382;eta_paskaidrojumi\nama_10_gdp.xls" TargetMode="External"/><Relationship Id="rId2" Type="http://schemas.microsoft.com/office/2011/relationships/chartColorStyle" Target="colors28.xml"/><Relationship Id="rId1" Type="http://schemas.microsoft.com/office/2011/relationships/chartStyle" Target="style28.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FM.DESKTOP-559G9O3\Desktop\Info_zi&#326;ojums_Bud&#382;ets\Bud&#382;eta_paskaidrojumi\ATD020m_20210915-165106.xlsx" TargetMode="External"/><Relationship Id="rId2" Type="http://schemas.microsoft.com/office/2011/relationships/chartColorStyle" Target="colors29.xml"/><Relationship Id="rId1" Type="http://schemas.microsoft.com/office/2011/relationships/chartStyle" Target="style29.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FM.DESKTOP-559G9O3\Desktop\Info_zi&#326;ojums_Bud&#382;ets\Bud&#382;eta_paskaidrojumi\ATD020m_20210915-165106.xlsx" TargetMode="External"/><Relationship Id="rId2" Type="http://schemas.microsoft.com/office/2011/relationships/chartColorStyle" Target="colors30.xml"/><Relationship Id="rId1" Type="http://schemas.microsoft.com/office/2011/relationships/chartStyle" Target="style30.xml"/></Relationships>
</file>

<file path=word/charts/_rels/chart38.xml.rels><?xml version="1.0" encoding="UTF-8" standalone="yes"?>
<Relationships xmlns="http://schemas.openxmlformats.org/package/2006/relationships"><Relationship Id="rId1" Type="http://schemas.openxmlformats.org/officeDocument/2006/relationships/oleObject" Target="file:///\\fk\tand\TAND\_Prezentacija\Prezentacijas-DATA.xlsx" TargetMode="External"/></Relationships>
</file>

<file path=word/charts/_rels/chart39.xml.rels><?xml version="1.0" encoding="UTF-8" standalone="yes"?>
<Relationships xmlns="http://schemas.openxmlformats.org/package/2006/relationships"><Relationship Id="rId3" Type="http://schemas.openxmlformats.org/officeDocument/2006/relationships/oleObject" Target="file:///\\fk\tand\TAND\_Prezentacija\Prezentacijas-DATA.xlsx" TargetMode="External"/><Relationship Id="rId2" Type="http://schemas.microsoft.com/office/2011/relationships/chartColorStyle" Target="colors31.xml"/><Relationship Id="rId1" Type="http://schemas.microsoft.com/office/2011/relationships/chartStyle" Target="style31.xml"/></Relationships>
</file>

<file path=word/charts/_rels/chart4.xml.rels><?xml version="1.0" encoding="UTF-8" standalone="yes"?>
<Relationships xmlns="http://schemas.openxmlformats.org/package/2006/relationships"><Relationship Id="rId1" Type="http://schemas.openxmlformats.org/officeDocument/2006/relationships/oleObject" Target="file:///\\fk\tand\TAND\Diana%20Ondza\IKP\eu%202020.xls" TargetMode="External"/></Relationships>
</file>

<file path=word/charts/_rels/chart40.xml.rels><?xml version="1.0" encoding="UTF-8" standalone="yes"?>
<Relationships xmlns="http://schemas.openxmlformats.org/package/2006/relationships"><Relationship Id="rId3" Type="http://schemas.openxmlformats.org/officeDocument/2006/relationships/oleObject" Target="file:///\\fk\tand\TAND\_Prezentacija\Prezentacijas-DATA.xlsx" TargetMode="External"/><Relationship Id="rId2" Type="http://schemas.microsoft.com/office/2011/relationships/chartColorStyle" Target="colors32.xml"/><Relationship Id="rId1" Type="http://schemas.microsoft.com/office/2011/relationships/chartStyle" Target="style32.xml"/></Relationships>
</file>

<file path=word/charts/_rels/chart41.xml.rels><?xml version="1.0" encoding="UTF-8" standalone="yes"?>
<Relationships xmlns="http://schemas.openxmlformats.org/package/2006/relationships"><Relationship Id="rId1" Type="http://schemas.openxmlformats.org/officeDocument/2006/relationships/oleObject" Target="file:///\\fk\tand\TAND\_Prezentacija\Prezentacijas-DATA.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fk\tand\TAND\_Prezentacija\Prezentacijas-DATA.xlsx" TargetMode="Externa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33.xml"/><Relationship Id="rId1" Type="http://schemas.microsoft.com/office/2011/relationships/chartStyle" Target="style33.xml"/></Relationships>
</file>

<file path=word/charts/_rels/chart44.xml.rels><?xml version="1.0" encoding="UTF-8" standalone="yes"?>
<Relationships xmlns="http://schemas.openxmlformats.org/package/2006/relationships"><Relationship Id="rId3" Type="http://schemas.openxmlformats.org/officeDocument/2006/relationships/oleObject" Target="file:///\\fk\tand\TAND\_Budzeta%20paskaidrojumi\bu_2022\DS\Prognozu%20sal&#299;dzin&#257;jums%202022.xlsx" TargetMode="External"/><Relationship Id="rId2" Type="http://schemas.microsoft.com/office/2011/relationships/chartColorStyle" Target="colors34.xml"/><Relationship Id="rId1" Type="http://schemas.microsoft.com/office/2011/relationships/chartStyle" Target="style34.xml"/></Relationships>
</file>

<file path=word/charts/_rels/chart4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fk\tand\TAND\_Budzeta%20paskaidrojumi\bu_2022\DS\Prognozu%20sal&#299;dzin&#257;jums%202022.xlsx" TargetMode="External"/></Relationships>
</file>

<file path=word/charts/_rels/chart46.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6.xml"/></Relationships>
</file>

<file path=word/charts/_rels/chart47.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7.xml"/></Relationships>
</file>

<file path=word/charts/_rels/chart5.xml.rels><?xml version="1.0" encoding="UTF-8" standalone="yes"?>
<Relationships xmlns="http://schemas.openxmlformats.org/package/2006/relationships"><Relationship Id="rId3" Type="http://schemas.openxmlformats.org/officeDocument/2006/relationships/oleObject" Target="file:///\\fk\tand\TAND\Diana%20Ondza\IKP\ikp_.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oleObject" Target="file:///\\fk\tand\TAND\Diana%20Ondza\IKP\ikp_.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2.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'IKP cet'!$F$3</c:f>
              <c:strCache>
                <c:ptCount val="1"/>
                <c:pt idx="0">
                  <c:v>pret iepriekšējā gada atbilstošo periodu (sezonāli neizlīdzināts)</c:v>
                </c:pt>
              </c:strCache>
            </c:strRef>
          </c:tx>
          <c:spPr>
            <a:pattFill prst="dkUpDiag">
              <a:fgClr>
                <a:schemeClr val="tx1">
                  <a:lumMod val="65000"/>
                  <a:lumOff val="35000"/>
                </a:schemeClr>
              </a:fgClr>
              <a:bgClr>
                <a:schemeClr val="bg1"/>
              </a:bgClr>
            </a:pattFill>
            <a:ln>
              <a:solidFill>
                <a:schemeClr val="tx1">
                  <a:lumMod val="65000"/>
                  <a:lumOff val="35000"/>
                </a:schemeClr>
              </a:solidFill>
            </a:ln>
            <a:effectLst/>
          </c:spPr>
          <c:invertIfNegative val="0"/>
          <c:cat>
            <c:multiLvlStrRef>
              <c:f>'IKP cet'!$B$44:$C$89</c:f>
              <c:multiLvlStrCache>
                <c:ptCount val="4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pt idx="32">
                    <c:v>I</c:v>
                  </c:pt>
                  <c:pt idx="33">
                    <c:v>II</c:v>
                  </c:pt>
                  <c:pt idx="34">
                    <c:v>III</c:v>
                  </c:pt>
                  <c:pt idx="35">
                    <c:v>IV</c:v>
                  </c:pt>
                  <c:pt idx="36">
                    <c:v>I</c:v>
                  </c:pt>
                  <c:pt idx="37">
                    <c:v>II</c:v>
                  </c:pt>
                  <c:pt idx="38">
                    <c:v>III</c:v>
                  </c:pt>
                  <c:pt idx="39">
                    <c:v>IV</c:v>
                  </c:pt>
                  <c:pt idx="40">
                    <c:v>I</c:v>
                  </c:pt>
                  <c:pt idx="41">
                    <c:v>II</c:v>
                  </c:pt>
                  <c:pt idx="42">
                    <c:v>III</c:v>
                  </c:pt>
                  <c:pt idx="43">
                    <c:v>IV</c:v>
                  </c:pt>
                  <c:pt idx="44">
                    <c:v>I</c:v>
                  </c:pt>
                  <c:pt idx="45">
                    <c:v>II</c:v>
                  </c:pt>
                </c:lvl>
                <c:lvl>
                  <c:pt idx="0">
                    <c:v>2010</c:v>
                  </c:pt>
                  <c:pt idx="4">
                    <c:v>2011</c:v>
                  </c:pt>
                  <c:pt idx="8">
                    <c:v>2012</c:v>
                  </c:pt>
                  <c:pt idx="12">
                    <c:v>2013</c:v>
                  </c:pt>
                  <c:pt idx="16">
                    <c:v>2014</c:v>
                  </c:pt>
                  <c:pt idx="20">
                    <c:v>2015</c:v>
                  </c:pt>
                  <c:pt idx="24">
                    <c:v>2016</c:v>
                  </c:pt>
                  <c:pt idx="28">
                    <c:v>2017</c:v>
                  </c:pt>
                  <c:pt idx="32">
                    <c:v>2018</c:v>
                  </c:pt>
                  <c:pt idx="36">
                    <c:v>2019</c:v>
                  </c:pt>
                  <c:pt idx="40">
                    <c:v>2020</c:v>
                  </c:pt>
                  <c:pt idx="44">
                    <c:v>2021</c:v>
                  </c:pt>
                </c:lvl>
              </c:multiLvlStrCache>
            </c:multiLvlStrRef>
          </c:cat>
          <c:val>
            <c:numRef>
              <c:f>'IKP cet'!$F$44:$F$89</c:f>
              <c:numCache>
                <c:formatCode>0.0</c:formatCode>
                <c:ptCount val="46"/>
                <c:pt idx="0">
                  <c:v>-10.662417860956737</c:v>
                </c:pt>
                <c:pt idx="1">
                  <c:v>-5.6361637198409369</c:v>
                </c:pt>
                <c:pt idx="2">
                  <c:v>-1.0266293399669451</c:v>
                </c:pt>
                <c:pt idx="3">
                  <c:v>-0.64939096470600077</c:v>
                </c:pt>
                <c:pt idx="4">
                  <c:v>2.4458137292426585</c:v>
                </c:pt>
                <c:pt idx="5">
                  <c:v>6.3411961675672046</c:v>
                </c:pt>
                <c:pt idx="6">
                  <c:v>9.2207724907931805</c:v>
                </c:pt>
                <c:pt idx="7">
                  <c:v>7.3296216867215378</c:v>
                </c:pt>
                <c:pt idx="8">
                  <c:v>8.2035974942459404</c:v>
                </c:pt>
                <c:pt idx="9">
                  <c:v>4.2204659032448006</c:v>
                </c:pt>
                <c:pt idx="10">
                  <c:v>3.1233126905280955</c:v>
                </c:pt>
                <c:pt idx="11">
                  <c:v>2.2427201392034277</c:v>
                </c:pt>
                <c:pt idx="12">
                  <c:v>1.0055038559092964</c:v>
                </c:pt>
                <c:pt idx="13">
                  <c:v>2.0952042627529863</c:v>
                </c:pt>
                <c:pt idx="14">
                  <c:v>3.0357960202045717</c:v>
                </c:pt>
                <c:pt idx="15">
                  <c:v>2.9006438079175894</c:v>
                </c:pt>
                <c:pt idx="16">
                  <c:v>1.7213837347007939</c:v>
                </c:pt>
                <c:pt idx="17">
                  <c:v>1.284518419260138</c:v>
                </c:pt>
                <c:pt idx="18">
                  <c:v>1.0703307730395579</c:v>
                </c:pt>
                <c:pt idx="19">
                  <c:v>0.35187018448051788</c:v>
                </c:pt>
                <c:pt idx="20">
                  <c:v>3.2735902633979919</c:v>
                </c:pt>
                <c:pt idx="21">
                  <c:v>4.2536374288382603</c:v>
                </c:pt>
                <c:pt idx="22">
                  <c:v>4.5729136149899432</c:v>
                </c:pt>
                <c:pt idx="23">
                  <c:v>3.8362371578826071</c:v>
                </c:pt>
                <c:pt idx="24">
                  <c:v>3.1545118651152819</c:v>
                </c:pt>
                <c:pt idx="25">
                  <c:v>2.6989391784486543</c:v>
                </c:pt>
                <c:pt idx="26">
                  <c:v>1.1301407983447262</c:v>
                </c:pt>
                <c:pt idx="27">
                  <c:v>2.6359596601508741</c:v>
                </c:pt>
                <c:pt idx="28">
                  <c:v>3.062301685304945</c:v>
                </c:pt>
                <c:pt idx="29">
                  <c:v>3.0544179844454931</c:v>
                </c:pt>
                <c:pt idx="30">
                  <c:v>3.8757412230222315</c:v>
                </c:pt>
                <c:pt idx="31">
                  <c:v>2.9897167834163696</c:v>
                </c:pt>
                <c:pt idx="32">
                  <c:v>1.9156539641803931</c:v>
                </c:pt>
                <c:pt idx="33">
                  <c:v>4.5700355167959401</c:v>
                </c:pt>
                <c:pt idx="34">
                  <c:v>4.3556786325395223</c:v>
                </c:pt>
                <c:pt idx="35">
                  <c:v>4.9406388539453445</c:v>
                </c:pt>
                <c:pt idx="36">
                  <c:v>3.381626966797171</c:v>
                </c:pt>
                <c:pt idx="37">
                  <c:v>1.7295607872258785</c:v>
                </c:pt>
                <c:pt idx="38">
                  <c:v>2.6096620652091929</c:v>
                </c:pt>
                <c:pt idx="39">
                  <c:v>0.65176273910188343</c:v>
                </c:pt>
                <c:pt idx="40">
                  <c:v>-1.1203276382343148</c:v>
                </c:pt>
                <c:pt idx="41">
                  <c:v>-8.9041253061583205</c:v>
                </c:pt>
                <c:pt idx="42">
                  <c:v>-2.8006453475423285</c:v>
                </c:pt>
                <c:pt idx="43">
                  <c:v>-1.5179741408332603</c:v>
                </c:pt>
                <c:pt idx="44">
                  <c:v>-1.279889061291442</c:v>
                </c:pt>
                <c:pt idx="45">
                  <c:v>11.132382611340702</c:v>
                </c:pt>
              </c:numCache>
            </c:numRef>
          </c:val>
          <c:extLst>
            <c:ext xmlns:c16="http://schemas.microsoft.com/office/drawing/2014/chart" uri="{C3380CC4-5D6E-409C-BE32-E72D297353CC}">
              <c16:uniqueId val="{00000000-5F44-47D1-9943-283340239CF7}"/>
            </c:ext>
          </c:extLst>
        </c:ser>
        <c:dLbls>
          <c:showLegendKey val="0"/>
          <c:showVal val="0"/>
          <c:showCatName val="0"/>
          <c:showSerName val="0"/>
          <c:showPercent val="0"/>
          <c:showBubbleSize val="0"/>
        </c:dLbls>
        <c:gapWidth val="50"/>
        <c:overlap val="-27"/>
        <c:axId val="291496352"/>
        <c:axId val="291495176"/>
      </c:barChart>
      <c:lineChart>
        <c:grouping val="standard"/>
        <c:varyColors val="0"/>
        <c:ser>
          <c:idx val="1"/>
          <c:order val="1"/>
          <c:tx>
            <c:strRef>
              <c:f>'IKP cet'!$G$3</c:f>
              <c:strCache>
                <c:ptCount val="1"/>
                <c:pt idx="0">
                  <c:v>pret iepriekšējo periodu (sezonāli izlīdzināts)</c:v>
                </c:pt>
              </c:strCache>
            </c:strRef>
          </c:tx>
          <c:spPr>
            <a:ln w="31750" cap="rnd">
              <a:solidFill>
                <a:srgbClr val="0070C0"/>
              </a:solidFill>
              <a:round/>
            </a:ln>
            <a:effectLst/>
          </c:spPr>
          <c:marker>
            <c:symbol val="none"/>
          </c:marker>
          <c:cat>
            <c:multiLvlStrRef>
              <c:f>'IKP cet'!$B$44:$C$89</c:f>
              <c:multiLvlStrCache>
                <c:ptCount val="4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pt idx="32">
                    <c:v>I</c:v>
                  </c:pt>
                  <c:pt idx="33">
                    <c:v>II</c:v>
                  </c:pt>
                  <c:pt idx="34">
                    <c:v>III</c:v>
                  </c:pt>
                  <c:pt idx="35">
                    <c:v>IV</c:v>
                  </c:pt>
                  <c:pt idx="36">
                    <c:v>I</c:v>
                  </c:pt>
                  <c:pt idx="37">
                    <c:v>II</c:v>
                  </c:pt>
                  <c:pt idx="38">
                    <c:v>III</c:v>
                  </c:pt>
                  <c:pt idx="39">
                    <c:v>IV</c:v>
                  </c:pt>
                  <c:pt idx="40">
                    <c:v>I</c:v>
                  </c:pt>
                  <c:pt idx="41">
                    <c:v>II</c:v>
                  </c:pt>
                  <c:pt idx="42">
                    <c:v>III</c:v>
                  </c:pt>
                  <c:pt idx="43">
                    <c:v>IV</c:v>
                  </c:pt>
                  <c:pt idx="44">
                    <c:v>I</c:v>
                  </c:pt>
                  <c:pt idx="45">
                    <c:v>II</c:v>
                  </c:pt>
                </c:lvl>
                <c:lvl>
                  <c:pt idx="0">
                    <c:v>2010</c:v>
                  </c:pt>
                  <c:pt idx="4">
                    <c:v>2011</c:v>
                  </c:pt>
                  <c:pt idx="8">
                    <c:v>2012</c:v>
                  </c:pt>
                  <c:pt idx="12">
                    <c:v>2013</c:v>
                  </c:pt>
                  <c:pt idx="16">
                    <c:v>2014</c:v>
                  </c:pt>
                  <c:pt idx="20">
                    <c:v>2015</c:v>
                  </c:pt>
                  <c:pt idx="24">
                    <c:v>2016</c:v>
                  </c:pt>
                  <c:pt idx="28">
                    <c:v>2017</c:v>
                  </c:pt>
                  <c:pt idx="32">
                    <c:v>2018</c:v>
                  </c:pt>
                  <c:pt idx="36">
                    <c:v>2019</c:v>
                  </c:pt>
                  <c:pt idx="40">
                    <c:v>2020</c:v>
                  </c:pt>
                  <c:pt idx="44">
                    <c:v>2021</c:v>
                  </c:pt>
                </c:lvl>
              </c:multiLvlStrCache>
            </c:multiLvlStrRef>
          </c:cat>
          <c:val>
            <c:numRef>
              <c:f>'IKP cet'!$G$44:$G$89</c:f>
              <c:numCache>
                <c:formatCode>0.0</c:formatCode>
                <c:ptCount val="46"/>
                <c:pt idx="0">
                  <c:v>-0.73500597058821882</c:v>
                </c:pt>
                <c:pt idx="1">
                  <c:v>-0.59469321140345244</c:v>
                </c:pt>
                <c:pt idx="2">
                  <c:v>-0.30595260689761972</c:v>
                </c:pt>
                <c:pt idx="3">
                  <c:v>1.2222051346468277</c:v>
                </c:pt>
                <c:pt idx="4">
                  <c:v>1.7813071191976206</c:v>
                </c:pt>
                <c:pt idx="5">
                  <c:v>3.504593825597567</c:v>
                </c:pt>
                <c:pt idx="6">
                  <c:v>1.9246499410467521</c:v>
                </c:pt>
                <c:pt idx="7">
                  <c:v>0.30289954395850316</c:v>
                </c:pt>
                <c:pt idx="8">
                  <c:v>2.098351287724995</c:v>
                </c:pt>
                <c:pt idx="9">
                  <c:v>-0.30762637423293882</c:v>
                </c:pt>
                <c:pt idx="10">
                  <c:v>1.0327761985562489</c:v>
                </c:pt>
                <c:pt idx="11">
                  <c:v>0.2662226713369904</c:v>
                </c:pt>
                <c:pt idx="12">
                  <c:v>0.75684363775107499</c:v>
                </c:pt>
                <c:pt idx="13">
                  <c:v>0.10379155311586885</c:v>
                </c:pt>
                <c:pt idx="14">
                  <c:v>1.333015102338706</c:v>
                </c:pt>
                <c:pt idx="15">
                  <c:v>0.84223254467346464</c:v>
                </c:pt>
                <c:pt idx="16">
                  <c:v>-0.88233371821964113</c:v>
                </c:pt>
                <c:pt idx="17">
                  <c:v>0.55583726246314313</c:v>
                </c:pt>
                <c:pt idx="18">
                  <c:v>0.45785842023340706</c:v>
                </c:pt>
                <c:pt idx="19">
                  <c:v>0.56021402594564051</c:v>
                </c:pt>
                <c:pt idx="20">
                  <c:v>1.6113314010439694</c:v>
                </c:pt>
                <c:pt idx="21">
                  <c:v>1.3954164022050577</c:v>
                </c:pt>
                <c:pt idx="22">
                  <c:v>0.81166468428334326</c:v>
                </c:pt>
                <c:pt idx="23">
                  <c:v>-0.13931832048025683</c:v>
                </c:pt>
                <c:pt idx="24">
                  <c:v>1.6283541788391886</c:v>
                </c:pt>
                <c:pt idx="25">
                  <c:v>-0.6643159628531663</c:v>
                </c:pt>
                <c:pt idx="26">
                  <c:v>0.2214137642085916</c:v>
                </c:pt>
                <c:pt idx="27">
                  <c:v>1.1872579791072582</c:v>
                </c:pt>
                <c:pt idx="28">
                  <c:v>1.3024599282892808</c:v>
                </c:pt>
                <c:pt idx="29">
                  <c:v>0.866482836563776</c:v>
                </c:pt>
                <c:pt idx="30">
                  <c:v>0.54301171928925385</c:v>
                </c:pt>
                <c:pt idx="31">
                  <c:v>0.5263179744099773</c:v>
                </c:pt>
                <c:pt idx="32">
                  <c:v>1.0144546713461153</c:v>
                </c:pt>
                <c:pt idx="33">
                  <c:v>1.77528079679972</c:v>
                </c:pt>
                <c:pt idx="34">
                  <c:v>1.3754623667015977</c:v>
                </c:pt>
                <c:pt idx="35">
                  <c:v>0.87029566983034101</c:v>
                </c:pt>
                <c:pt idx="36">
                  <c:v>-0.45099793058015791</c:v>
                </c:pt>
                <c:pt idx="37">
                  <c:v>0.65696006898139103</c:v>
                </c:pt>
                <c:pt idx="38">
                  <c:v>0.44729655426151282</c:v>
                </c:pt>
                <c:pt idx="39">
                  <c:v>-4.5691181385166146E-2</c:v>
                </c:pt>
                <c:pt idx="40">
                  <c:v>-2.2043310629624813</c:v>
                </c:pt>
                <c:pt idx="41">
                  <c:v>-6.8951658040044634</c:v>
                </c:pt>
                <c:pt idx="42">
                  <c:v>6.7732467046921698</c:v>
                </c:pt>
                <c:pt idx="43">
                  <c:v>0.95935229031506708</c:v>
                </c:pt>
                <c:pt idx="44">
                  <c:v>-1.5524526834097969</c:v>
                </c:pt>
                <c:pt idx="45">
                  <c:v>4.4030050774548641</c:v>
                </c:pt>
              </c:numCache>
            </c:numRef>
          </c:val>
          <c:smooth val="0"/>
          <c:extLst>
            <c:ext xmlns:c16="http://schemas.microsoft.com/office/drawing/2014/chart" uri="{C3380CC4-5D6E-409C-BE32-E72D297353CC}">
              <c16:uniqueId val="{00000001-5F44-47D1-9943-283340239CF7}"/>
            </c:ext>
          </c:extLst>
        </c:ser>
        <c:dLbls>
          <c:showLegendKey val="0"/>
          <c:showVal val="0"/>
          <c:showCatName val="0"/>
          <c:showSerName val="0"/>
          <c:showPercent val="0"/>
          <c:showBubbleSize val="0"/>
        </c:dLbls>
        <c:marker val="1"/>
        <c:smooth val="0"/>
        <c:axId val="291496352"/>
        <c:axId val="291495176"/>
      </c:lineChart>
      <c:catAx>
        <c:axId val="29149635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1495176"/>
        <c:crosses val="autoZero"/>
        <c:auto val="1"/>
        <c:lblAlgn val="ctr"/>
        <c:lblOffset val="100"/>
        <c:tickLblSkip val="1"/>
        <c:tickMarkSkip val="1"/>
        <c:noMultiLvlLbl val="0"/>
      </c:catAx>
      <c:valAx>
        <c:axId val="291495176"/>
        <c:scaling>
          <c:orientation val="minMax"/>
          <c:max val="12"/>
          <c:min val="-1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1496352"/>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109264210641713"/>
          <c:y val="2.0120608556315582E-2"/>
          <c:w val="0.6520601472110974"/>
          <c:h val="0.81321594100518613"/>
        </c:manualLayout>
      </c:layout>
      <c:barChart>
        <c:barDir val="bar"/>
        <c:grouping val="clustered"/>
        <c:varyColors val="0"/>
        <c:ser>
          <c:idx val="0"/>
          <c:order val="0"/>
          <c:tx>
            <c:strRef>
              <c:f>'Subsect graf'!$Z$4</c:f>
              <c:strCache>
                <c:ptCount val="1"/>
                <c:pt idx="0">
                  <c:v>2021 I-VII</c:v>
                </c:pt>
              </c:strCache>
            </c:strRef>
          </c:tx>
          <c:spPr>
            <a:solidFill>
              <a:srgbClr val="00B050"/>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9542-4255-94BB-AB5FC98CBA3D}"/>
              </c:ext>
            </c:extLst>
          </c:dPt>
          <c:dPt>
            <c:idx val="1"/>
            <c:invertIfNegative val="0"/>
            <c:bubble3D val="0"/>
            <c:spPr>
              <a:solidFill>
                <a:srgbClr val="00B050"/>
              </a:solidFill>
              <a:ln>
                <a:noFill/>
              </a:ln>
              <a:effectLst/>
            </c:spPr>
            <c:extLst>
              <c:ext xmlns:c16="http://schemas.microsoft.com/office/drawing/2014/chart" uri="{C3380CC4-5D6E-409C-BE32-E72D297353CC}">
                <c16:uniqueId val="{00000003-9542-4255-94BB-AB5FC98CBA3D}"/>
              </c:ext>
            </c:extLst>
          </c:dPt>
          <c:dPt>
            <c:idx val="4"/>
            <c:invertIfNegative val="0"/>
            <c:bubble3D val="0"/>
            <c:spPr>
              <a:solidFill>
                <a:srgbClr val="00B050"/>
              </a:solidFill>
              <a:ln>
                <a:noFill/>
              </a:ln>
              <a:effectLst/>
            </c:spPr>
            <c:extLst>
              <c:ext xmlns:c16="http://schemas.microsoft.com/office/drawing/2014/chart" uri="{C3380CC4-5D6E-409C-BE32-E72D297353CC}">
                <c16:uniqueId val="{00000005-9542-4255-94BB-AB5FC98CBA3D}"/>
              </c:ext>
            </c:extLst>
          </c:dPt>
          <c:dPt>
            <c:idx val="5"/>
            <c:invertIfNegative val="0"/>
            <c:bubble3D val="0"/>
            <c:spPr>
              <a:solidFill>
                <a:srgbClr val="00B050"/>
              </a:solidFill>
              <a:ln>
                <a:noFill/>
              </a:ln>
              <a:effectLst/>
            </c:spPr>
            <c:extLst>
              <c:ext xmlns:c16="http://schemas.microsoft.com/office/drawing/2014/chart" uri="{C3380CC4-5D6E-409C-BE32-E72D297353CC}">
                <c16:uniqueId val="{00000007-9542-4255-94BB-AB5FC98CBA3D}"/>
              </c:ext>
            </c:extLst>
          </c:dPt>
          <c:dPt>
            <c:idx val="6"/>
            <c:invertIfNegative val="0"/>
            <c:bubble3D val="0"/>
            <c:spPr>
              <a:solidFill>
                <a:srgbClr val="00B050"/>
              </a:solidFill>
              <a:ln>
                <a:noFill/>
              </a:ln>
              <a:effectLst/>
            </c:spPr>
            <c:extLst>
              <c:ext xmlns:c16="http://schemas.microsoft.com/office/drawing/2014/chart" uri="{C3380CC4-5D6E-409C-BE32-E72D297353CC}">
                <c16:uniqueId val="{00000009-9542-4255-94BB-AB5FC98CBA3D}"/>
              </c:ext>
            </c:extLst>
          </c:dPt>
          <c:dPt>
            <c:idx val="7"/>
            <c:invertIfNegative val="0"/>
            <c:bubble3D val="0"/>
            <c:spPr>
              <a:solidFill>
                <a:srgbClr val="00B050"/>
              </a:solidFill>
              <a:ln>
                <a:noFill/>
              </a:ln>
              <a:effectLst/>
            </c:spPr>
            <c:extLst>
              <c:ext xmlns:c16="http://schemas.microsoft.com/office/drawing/2014/chart" uri="{C3380CC4-5D6E-409C-BE32-E72D297353CC}">
                <c16:uniqueId val="{0000000B-9542-4255-94BB-AB5FC98CBA3D}"/>
              </c:ext>
            </c:extLst>
          </c:dPt>
          <c:dPt>
            <c:idx val="9"/>
            <c:invertIfNegative val="0"/>
            <c:bubble3D val="0"/>
            <c:spPr>
              <a:solidFill>
                <a:srgbClr val="00B050"/>
              </a:solidFill>
              <a:ln>
                <a:noFill/>
              </a:ln>
              <a:effectLst/>
            </c:spPr>
            <c:extLst>
              <c:ext xmlns:c16="http://schemas.microsoft.com/office/drawing/2014/chart" uri="{C3380CC4-5D6E-409C-BE32-E72D297353CC}">
                <c16:uniqueId val="{0000000D-9542-4255-94BB-AB5FC98CBA3D}"/>
              </c:ext>
            </c:extLst>
          </c:dPt>
          <c:dPt>
            <c:idx val="10"/>
            <c:invertIfNegative val="0"/>
            <c:bubble3D val="0"/>
            <c:spPr>
              <a:solidFill>
                <a:srgbClr val="00B050"/>
              </a:solidFill>
              <a:ln>
                <a:noFill/>
              </a:ln>
              <a:effectLst/>
            </c:spPr>
            <c:extLst>
              <c:ext xmlns:c16="http://schemas.microsoft.com/office/drawing/2014/chart" uri="{C3380CC4-5D6E-409C-BE32-E72D297353CC}">
                <c16:uniqueId val="{0000000F-9542-4255-94BB-AB5FC98CBA3D}"/>
              </c:ext>
            </c:extLst>
          </c:dPt>
          <c:dPt>
            <c:idx val="11"/>
            <c:invertIfNegative val="0"/>
            <c:bubble3D val="0"/>
            <c:spPr>
              <a:solidFill>
                <a:srgbClr val="00B050"/>
              </a:solidFill>
              <a:ln>
                <a:noFill/>
              </a:ln>
              <a:effectLst/>
            </c:spPr>
            <c:extLst>
              <c:ext xmlns:c16="http://schemas.microsoft.com/office/drawing/2014/chart" uri="{C3380CC4-5D6E-409C-BE32-E72D297353CC}">
                <c16:uniqueId val="{00000011-9542-4255-94BB-AB5FC98CBA3D}"/>
              </c:ext>
            </c:extLst>
          </c:dPt>
          <c:dPt>
            <c:idx val="12"/>
            <c:invertIfNegative val="0"/>
            <c:bubble3D val="0"/>
            <c:spPr>
              <a:solidFill>
                <a:srgbClr val="00B050"/>
              </a:solidFill>
              <a:ln>
                <a:noFill/>
              </a:ln>
              <a:effectLst/>
            </c:spPr>
            <c:extLst>
              <c:ext xmlns:c16="http://schemas.microsoft.com/office/drawing/2014/chart" uri="{C3380CC4-5D6E-409C-BE32-E72D297353CC}">
                <c16:uniqueId val="{00000013-9542-4255-94BB-AB5FC98CBA3D}"/>
              </c:ext>
            </c:extLst>
          </c:dPt>
          <c:dPt>
            <c:idx val="13"/>
            <c:invertIfNegative val="0"/>
            <c:bubble3D val="0"/>
            <c:spPr>
              <a:solidFill>
                <a:srgbClr val="00B050"/>
              </a:solidFill>
              <a:ln>
                <a:noFill/>
              </a:ln>
              <a:effectLst/>
            </c:spPr>
            <c:extLst>
              <c:ext xmlns:c16="http://schemas.microsoft.com/office/drawing/2014/chart" uri="{C3380CC4-5D6E-409C-BE32-E72D297353CC}">
                <c16:uniqueId val="{00000015-9542-4255-94BB-AB5FC98CBA3D}"/>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'Subsect graf'!$V$5:$V$17</c:f>
              <c:strCache>
                <c:ptCount val="13"/>
                <c:pt idx="0">
                  <c:v>ELEKTROENERĢIJA UN GĀZES APGĀDE</c:v>
                </c:pt>
                <c:pt idx="1">
                  <c:v>Mēbeļu ražošana</c:v>
                </c:pt>
                <c:pt idx="2">
                  <c:v>Mašīnbūve </c:v>
                </c:pt>
                <c:pt idx="3">
                  <c:v>Gatavo metālizstrādājumu ražošana</c:v>
                </c:pt>
                <c:pt idx="4">
                  <c:v>Nemetālisko minerālu ražošana</c:v>
                </c:pt>
                <c:pt idx="5">
                  <c:v>Ķīmiskās vielas un produkti</c:v>
                </c:pt>
                <c:pt idx="6">
                  <c:v>Poligrāfija un papīra izstr. ražošana</c:v>
                </c:pt>
                <c:pt idx="7">
                  <c:v>Kokapstrāde</c:v>
                </c:pt>
                <c:pt idx="8">
                  <c:v>Vieglā rūpniecība</c:v>
                </c:pt>
                <c:pt idx="9">
                  <c:v>Pārtika un dzērieni</c:v>
                </c:pt>
                <c:pt idx="10">
                  <c:v>APSTRĀDES RŪPNIECĪBA</c:v>
                </c:pt>
                <c:pt idx="11">
                  <c:v>IEGUVES RŪPNIECĪBA</c:v>
                </c:pt>
                <c:pt idx="12">
                  <c:v>RŪPNIECĪBA</c:v>
                </c:pt>
              </c:strCache>
            </c:strRef>
          </c:cat>
          <c:val>
            <c:numRef>
              <c:f>'Subsect graf'!$Z$5:$Z$17</c:f>
              <c:numCache>
                <c:formatCode>0.0</c:formatCode>
                <c:ptCount val="13"/>
                <c:pt idx="0">
                  <c:v>6.6358733073215381</c:v>
                </c:pt>
                <c:pt idx="1">
                  <c:v>27.345075016307916</c:v>
                </c:pt>
                <c:pt idx="2">
                  <c:v>19.654780208297922</c:v>
                </c:pt>
                <c:pt idx="3">
                  <c:v>9.4588631302402248</c:v>
                </c:pt>
                <c:pt idx="4">
                  <c:v>4.9953184705316955</c:v>
                </c:pt>
                <c:pt idx="5">
                  <c:v>16.624441880299013</c:v>
                </c:pt>
                <c:pt idx="6">
                  <c:v>12.440905868778652</c:v>
                </c:pt>
                <c:pt idx="7">
                  <c:v>8.8718617144388325</c:v>
                </c:pt>
                <c:pt idx="8">
                  <c:v>12.712743775902723</c:v>
                </c:pt>
                <c:pt idx="9">
                  <c:v>-9.8477440968738353E-2</c:v>
                </c:pt>
                <c:pt idx="10">
                  <c:v>8.8506366810433335</c:v>
                </c:pt>
                <c:pt idx="11">
                  <c:v>6.7259141854409732</c:v>
                </c:pt>
                <c:pt idx="12">
                  <c:v>8.3423718949234171</c:v>
                </c:pt>
              </c:numCache>
            </c:numRef>
          </c:val>
          <c:extLst>
            <c:ext xmlns:c16="http://schemas.microsoft.com/office/drawing/2014/chart" uri="{C3380CC4-5D6E-409C-BE32-E72D297353CC}">
              <c16:uniqueId val="{00000016-9542-4255-94BB-AB5FC98CBA3D}"/>
            </c:ext>
          </c:extLst>
        </c:ser>
        <c:ser>
          <c:idx val="1"/>
          <c:order val="1"/>
          <c:tx>
            <c:strRef>
              <c:f>'Subsect graf'!$X$4</c:f>
              <c:strCache>
                <c:ptCount val="1"/>
                <c:pt idx="0">
                  <c:v>2020</c:v>
                </c:pt>
              </c:strCache>
            </c:strRef>
          </c:tx>
          <c:spPr>
            <a:solidFill>
              <a:schemeClr val="bg2">
                <a:lumMod val="75000"/>
              </a:schemeClr>
            </a:solidFill>
            <a:ln>
              <a:noFill/>
            </a:ln>
            <a:effectLst/>
          </c:spPr>
          <c:invertIfNegative val="0"/>
          <c:val>
            <c:numRef>
              <c:f>'Subsect graf'!$X$5:$X$17</c:f>
              <c:numCache>
                <c:formatCode>0.0</c:formatCode>
                <c:ptCount val="13"/>
                <c:pt idx="0">
                  <c:v>-7.1718956113892176</c:v>
                </c:pt>
                <c:pt idx="1">
                  <c:v>-1.2552527082770979</c:v>
                </c:pt>
                <c:pt idx="2">
                  <c:v>-3.8847787545255832</c:v>
                </c:pt>
                <c:pt idx="3">
                  <c:v>-3.334530718543391</c:v>
                </c:pt>
                <c:pt idx="4">
                  <c:v>-1.7634376525465001</c:v>
                </c:pt>
                <c:pt idx="5">
                  <c:v>3.0195933743713255</c:v>
                </c:pt>
                <c:pt idx="6">
                  <c:v>4.8128292718126868</c:v>
                </c:pt>
                <c:pt idx="7">
                  <c:v>4.1034687179190712</c:v>
                </c:pt>
                <c:pt idx="8">
                  <c:v>-9.8087025503315672</c:v>
                </c:pt>
                <c:pt idx="9">
                  <c:v>-2.0418774243522244</c:v>
                </c:pt>
                <c:pt idx="10">
                  <c:v>-1.1552889266252038</c:v>
                </c:pt>
                <c:pt idx="11">
                  <c:v>8.7169754994989148</c:v>
                </c:pt>
                <c:pt idx="12">
                  <c:v>-1.68560929755596</c:v>
                </c:pt>
              </c:numCache>
            </c:numRef>
          </c:val>
          <c:extLst>
            <c:ext xmlns:c16="http://schemas.microsoft.com/office/drawing/2014/chart" uri="{C3380CC4-5D6E-409C-BE32-E72D297353CC}">
              <c16:uniqueId val="{00000017-9542-4255-94BB-AB5FC98CBA3D}"/>
            </c:ext>
          </c:extLst>
        </c:ser>
        <c:dLbls>
          <c:showLegendKey val="0"/>
          <c:showVal val="0"/>
          <c:showCatName val="0"/>
          <c:showSerName val="0"/>
          <c:showPercent val="0"/>
          <c:showBubbleSize val="0"/>
        </c:dLbls>
        <c:gapWidth val="50"/>
        <c:axId val="239680264"/>
        <c:axId val="239680656"/>
      </c:barChart>
      <c:catAx>
        <c:axId val="239680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9680656"/>
        <c:crosses val="autoZero"/>
        <c:auto val="1"/>
        <c:lblAlgn val="ctr"/>
        <c:lblOffset val="100"/>
        <c:noMultiLvlLbl val="0"/>
      </c:catAx>
      <c:valAx>
        <c:axId val="239680656"/>
        <c:scaling>
          <c:orientation val="minMax"/>
          <c:max val="30"/>
          <c:min val="-12"/>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9680264"/>
        <c:crosses val="autoZero"/>
        <c:crossBetween val="between"/>
        <c:majorUnit val="4"/>
      </c:valAx>
      <c:spPr>
        <a:noFill/>
        <a:ln>
          <a:noFill/>
        </a:ln>
        <a:effectLst/>
      </c:spPr>
    </c:plotArea>
    <c:legend>
      <c:legendPos val="b"/>
      <c:layout>
        <c:manualLayout>
          <c:xMode val="edge"/>
          <c:yMode val="edge"/>
          <c:x val="0.45497443570177964"/>
          <c:y val="0.91298101879489457"/>
          <c:w val="0.30738269977838006"/>
          <c:h val="6.7592596399012231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447297096964993E-2"/>
          <c:y val="0.11235878882872904"/>
          <c:w val="0.9138012477016686"/>
          <c:h val="0.62928921464775989"/>
        </c:manualLayout>
      </c:layout>
      <c:areaChart>
        <c:grouping val="standard"/>
        <c:varyColors val="0"/>
        <c:ser>
          <c:idx val="0"/>
          <c:order val="0"/>
          <c:tx>
            <c:strRef>
              <c:f>'Apgr. indeksi'!$A$115</c:f>
              <c:strCache>
                <c:ptCount val="1"/>
                <c:pt idx="0">
                  <c:v>Visa apstrādes rūpniecības produkcija</c:v>
                </c:pt>
              </c:strCache>
            </c:strRef>
          </c:tx>
          <c:spPr>
            <a:pattFill prst="pct25">
              <a:fgClr>
                <a:schemeClr val="tx1">
                  <a:lumMod val="50000"/>
                  <a:lumOff val="50000"/>
                </a:schemeClr>
              </a:fgClr>
              <a:bgClr>
                <a:schemeClr val="bg1"/>
              </a:bgClr>
            </a:pattFill>
            <a:ln w="0">
              <a:solidFill>
                <a:schemeClr val="tx1">
                  <a:lumMod val="50000"/>
                  <a:lumOff val="50000"/>
                </a:schemeClr>
              </a:solidFill>
            </a:ln>
            <a:effectLst/>
          </c:spPr>
          <c:cat>
            <c:multiLvlStrRef>
              <c:f>'Apgr. indeksi'!$HJ$111:$IZ$112</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VI</c:v>
                  </c:pt>
                  <c:pt idx="40">
                    <c:v>V</c:v>
                  </c:pt>
                  <c:pt idx="41">
                    <c:v>VI</c:v>
                  </c:pt>
                  <c:pt idx="42">
                    <c:v>VII</c:v>
                  </c:pt>
                </c:lvl>
                <c:lvl>
                  <c:pt idx="0">
                    <c:v>2018</c:v>
                  </c:pt>
                  <c:pt idx="12">
                    <c:v>2019</c:v>
                  </c:pt>
                  <c:pt idx="24">
                    <c:v>2020</c:v>
                  </c:pt>
                  <c:pt idx="36">
                    <c:v>2021</c:v>
                  </c:pt>
                </c:lvl>
              </c:multiLvlStrCache>
            </c:multiLvlStrRef>
          </c:cat>
          <c:val>
            <c:numRef>
              <c:f>'Apgr. indeksi'!$HJ$115:$IZ$115</c:f>
              <c:numCache>
                <c:formatCode>0.0</c:formatCode>
                <c:ptCount val="43"/>
                <c:pt idx="0">
                  <c:v>10.620300751879697</c:v>
                </c:pt>
                <c:pt idx="1">
                  <c:v>9.9811676082862562</c:v>
                </c:pt>
                <c:pt idx="2">
                  <c:v>8.2733812949640253</c:v>
                </c:pt>
                <c:pt idx="3">
                  <c:v>6.5934065934065842</c:v>
                </c:pt>
                <c:pt idx="4">
                  <c:v>10</c:v>
                </c:pt>
                <c:pt idx="5">
                  <c:v>8.0071174377224139</c:v>
                </c:pt>
                <c:pt idx="6">
                  <c:v>9.1155234657039728</c:v>
                </c:pt>
                <c:pt idx="7">
                  <c:v>9.4488188976377927</c:v>
                </c:pt>
                <c:pt idx="8">
                  <c:v>8.9380530973451329</c:v>
                </c:pt>
                <c:pt idx="9">
                  <c:v>9.4024604569420092</c:v>
                </c:pt>
                <c:pt idx="10">
                  <c:v>7.101086048454448</c:v>
                </c:pt>
                <c:pt idx="11">
                  <c:v>10.70811744386873</c:v>
                </c:pt>
                <c:pt idx="12">
                  <c:v>1.9541206457094233</c:v>
                </c:pt>
                <c:pt idx="13">
                  <c:v>3.8527397260273943</c:v>
                </c:pt>
                <c:pt idx="14">
                  <c:v>9.1362126245847151</c:v>
                </c:pt>
                <c:pt idx="15">
                  <c:v>8.9347079037800654</c:v>
                </c:pt>
                <c:pt idx="16">
                  <c:v>7.2240259740259773</c:v>
                </c:pt>
                <c:pt idx="17">
                  <c:v>4.6952224052718208</c:v>
                </c:pt>
                <c:pt idx="18">
                  <c:v>8.2712985938783845E-2</c:v>
                </c:pt>
                <c:pt idx="19">
                  <c:v>3.2773780975219751</c:v>
                </c:pt>
                <c:pt idx="20">
                  <c:v>5.6051990251827846</c:v>
                </c:pt>
                <c:pt idx="21">
                  <c:v>8.1124497991967814</c:v>
                </c:pt>
                <c:pt idx="22">
                  <c:v>0.31201248049923436</c:v>
                </c:pt>
                <c:pt idx="23">
                  <c:v>-11.856474258970351</c:v>
                </c:pt>
                <c:pt idx="24">
                  <c:v>1.9166666666666714</c:v>
                </c:pt>
                <c:pt idx="25">
                  <c:v>5.1112943116240785</c:v>
                </c:pt>
                <c:pt idx="26">
                  <c:v>-1.4459665144596698</c:v>
                </c:pt>
                <c:pt idx="27">
                  <c:v>-5.7570977917981025</c:v>
                </c:pt>
                <c:pt idx="28">
                  <c:v>-7.5700227100681303</c:v>
                </c:pt>
                <c:pt idx="29">
                  <c:v>-7.8678206136899576E-2</c:v>
                </c:pt>
                <c:pt idx="30">
                  <c:v>6.0330578512396897</c:v>
                </c:pt>
                <c:pt idx="31">
                  <c:v>0.23219814241487313</c:v>
                </c:pt>
                <c:pt idx="32">
                  <c:v>1.3076923076922924</c:v>
                </c:pt>
                <c:pt idx="33">
                  <c:v>5.5720653789004473</c:v>
                </c:pt>
                <c:pt idx="34">
                  <c:v>6.998444790046662</c:v>
                </c:pt>
                <c:pt idx="35">
                  <c:v>12.389380530973455</c:v>
                </c:pt>
                <c:pt idx="36">
                  <c:v>2.371218315617341</c:v>
                </c:pt>
                <c:pt idx="37">
                  <c:v>2.9803921568627629</c:v>
                </c:pt>
                <c:pt idx="38">
                  <c:v>14.362934362934368</c:v>
                </c:pt>
                <c:pt idx="39">
                  <c:v>26.694560669456067</c:v>
                </c:pt>
                <c:pt idx="40">
                  <c:v>26.04422604422605</c:v>
                </c:pt>
                <c:pt idx="41">
                  <c:v>31.259842519685037</c:v>
                </c:pt>
                <c:pt idx="42">
                  <c:v>26.968043647700696</c:v>
                </c:pt>
              </c:numCache>
            </c:numRef>
          </c:val>
          <c:extLst>
            <c:ext xmlns:c16="http://schemas.microsoft.com/office/drawing/2014/chart" uri="{C3380CC4-5D6E-409C-BE32-E72D297353CC}">
              <c16:uniqueId val="{00000000-FFFE-4BA7-A514-F5F33C479B26}"/>
            </c:ext>
          </c:extLst>
        </c:ser>
        <c:dLbls>
          <c:showLegendKey val="0"/>
          <c:showVal val="0"/>
          <c:showCatName val="0"/>
          <c:showSerName val="0"/>
          <c:showPercent val="0"/>
          <c:showBubbleSize val="0"/>
        </c:dLbls>
        <c:axId val="116528976"/>
        <c:axId val="116529368"/>
      </c:areaChart>
      <c:lineChart>
        <c:grouping val="standard"/>
        <c:varyColors val="0"/>
        <c:ser>
          <c:idx val="1"/>
          <c:order val="1"/>
          <c:tx>
            <c:strRef>
              <c:f>'Apgr. indeksi'!$A$147</c:f>
              <c:strCache>
                <c:ptCount val="1"/>
                <c:pt idx="0">
                  <c:v>Vietējais tirgus</c:v>
                </c:pt>
              </c:strCache>
            </c:strRef>
          </c:tx>
          <c:spPr>
            <a:ln w="28575" cap="rnd">
              <a:solidFill>
                <a:srgbClr val="00B050"/>
              </a:solidFill>
              <a:round/>
            </a:ln>
            <a:effectLst/>
          </c:spPr>
          <c:marker>
            <c:symbol val="none"/>
          </c:marker>
          <c:cat>
            <c:multiLvlStrRef>
              <c:f>'Apgr. indeksi'!$FZ$111:$IZ$112</c:f>
              <c:multiLvlStrCache>
                <c:ptCount val="79"/>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VI</c:v>
                  </c:pt>
                  <c:pt idx="76">
                    <c:v>V</c:v>
                  </c:pt>
                  <c:pt idx="77">
                    <c:v>VI</c:v>
                  </c:pt>
                  <c:pt idx="78">
                    <c:v>VII</c:v>
                  </c:pt>
                </c:lvl>
                <c:lvl>
                  <c:pt idx="0">
                    <c:v>2015</c:v>
                  </c:pt>
                  <c:pt idx="12">
                    <c:v>2016</c:v>
                  </c:pt>
                  <c:pt idx="24">
                    <c:v>2017</c:v>
                  </c:pt>
                  <c:pt idx="36">
                    <c:v>2018</c:v>
                  </c:pt>
                  <c:pt idx="48">
                    <c:v>2019</c:v>
                  </c:pt>
                  <c:pt idx="60">
                    <c:v>2020</c:v>
                  </c:pt>
                  <c:pt idx="72">
                    <c:v>2021</c:v>
                  </c:pt>
                </c:lvl>
              </c:multiLvlStrCache>
            </c:multiLvlStrRef>
          </c:cat>
          <c:val>
            <c:numRef>
              <c:f>'Apgr. indeksi'!$HJ$150:$IZ$150</c:f>
              <c:numCache>
                <c:formatCode>0.0</c:formatCode>
                <c:ptCount val="43"/>
                <c:pt idx="0">
                  <c:v>13.586413586413599</c:v>
                </c:pt>
                <c:pt idx="1">
                  <c:v>9.4685990338164316</c:v>
                </c:pt>
                <c:pt idx="2">
                  <c:v>12.743190661478607</c:v>
                </c:pt>
                <c:pt idx="3">
                  <c:v>8.095238095238102</c:v>
                </c:pt>
                <c:pt idx="4">
                  <c:v>11.588785046728972</c:v>
                </c:pt>
                <c:pt idx="5">
                  <c:v>8.5205992509363284</c:v>
                </c:pt>
                <c:pt idx="6">
                  <c:v>10.055865921787699</c:v>
                </c:pt>
                <c:pt idx="7">
                  <c:v>8.3180987202924968</c:v>
                </c:pt>
                <c:pt idx="8">
                  <c:v>8.8560885608856097</c:v>
                </c:pt>
                <c:pt idx="9">
                  <c:v>8.1632653061224545</c:v>
                </c:pt>
                <c:pt idx="10">
                  <c:v>7.6576576576576514</c:v>
                </c:pt>
                <c:pt idx="11">
                  <c:v>8.4821428571428612</c:v>
                </c:pt>
                <c:pt idx="12">
                  <c:v>-4.3095866314863684</c:v>
                </c:pt>
                <c:pt idx="13">
                  <c:v>-4.9426301853486336</c:v>
                </c:pt>
                <c:pt idx="14">
                  <c:v>2.0707506471095769</c:v>
                </c:pt>
                <c:pt idx="15">
                  <c:v>6.7841409691629906</c:v>
                </c:pt>
                <c:pt idx="16">
                  <c:v>7.7889447236180729</c:v>
                </c:pt>
                <c:pt idx="17">
                  <c:v>10.353753235547885</c:v>
                </c:pt>
                <c:pt idx="18">
                  <c:v>6.1759729272419577</c:v>
                </c:pt>
                <c:pt idx="19">
                  <c:v>8.438818565400851</c:v>
                </c:pt>
                <c:pt idx="20">
                  <c:v>3.3050847457627128</c:v>
                </c:pt>
                <c:pt idx="21">
                  <c:v>15.866209262435689</c:v>
                </c:pt>
                <c:pt idx="22">
                  <c:v>4.1004184100418399</c:v>
                </c:pt>
                <c:pt idx="23">
                  <c:v>-0.3292181069958815</c:v>
                </c:pt>
                <c:pt idx="24">
                  <c:v>-1.9301470588235219</c:v>
                </c:pt>
                <c:pt idx="25">
                  <c:v>-0.92850510677808984</c:v>
                </c:pt>
                <c:pt idx="26">
                  <c:v>3.5502958579881749</c:v>
                </c:pt>
                <c:pt idx="27">
                  <c:v>-4.9504950495049513</c:v>
                </c:pt>
                <c:pt idx="28">
                  <c:v>-5.2836052836052687</c:v>
                </c:pt>
                <c:pt idx="29">
                  <c:v>-3.7529319781078954</c:v>
                </c:pt>
                <c:pt idx="30">
                  <c:v>-0.95617529880478003</c:v>
                </c:pt>
                <c:pt idx="31">
                  <c:v>-2.7237354085603158</c:v>
                </c:pt>
                <c:pt idx="32">
                  <c:v>1.3945857260049195</c:v>
                </c:pt>
                <c:pt idx="33">
                  <c:v>-3.4048852701702401</c:v>
                </c:pt>
                <c:pt idx="34">
                  <c:v>2.4115755627009605</c:v>
                </c:pt>
                <c:pt idx="35">
                  <c:v>0.16515276630883591</c:v>
                </c:pt>
                <c:pt idx="36">
                  <c:v>0.84348641049672324</c:v>
                </c:pt>
                <c:pt idx="37">
                  <c:v>3.6551077788191151</c:v>
                </c:pt>
                <c:pt idx="38">
                  <c:v>6.5306122448979522</c:v>
                </c:pt>
                <c:pt idx="39">
                  <c:v>16.753472222222214</c:v>
                </c:pt>
                <c:pt idx="40">
                  <c:v>16.406890894175547</c:v>
                </c:pt>
                <c:pt idx="41">
                  <c:v>29.163281884646636</c:v>
                </c:pt>
                <c:pt idx="42">
                  <c:v>26.790024135156884</c:v>
                </c:pt>
              </c:numCache>
            </c:numRef>
          </c:val>
          <c:smooth val="1"/>
          <c:extLst>
            <c:ext xmlns:c16="http://schemas.microsoft.com/office/drawing/2014/chart" uri="{C3380CC4-5D6E-409C-BE32-E72D297353CC}">
              <c16:uniqueId val="{00000001-FFFE-4BA7-A514-F5F33C479B26}"/>
            </c:ext>
          </c:extLst>
        </c:ser>
        <c:ser>
          <c:idx val="2"/>
          <c:order val="2"/>
          <c:tx>
            <c:strRef>
              <c:f>'Apgr. indeksi'!$A$182</c:f>
              <c:strCache>
                <c:ptCount val="1"/>
                <c:pt idx="0">
                  <c:v>Eksports</c:v>
                </c:pt>
              </c:strCache>
            </c:strRef>
          </c:tx>
          <c:spPr>
            <a:ln w="28575" cap="rnd">
              <a:solidFill>
                <a:srgbClr val="0070C0"/>
              </a:solidFill>
              <a:round/>
            </a:ln>
            <a:effectLst/>
          </c:spPr>
          <c:marker>
            <c:symbol val="none"/>
          </c:marker>
          <c:cat>
            <c:multiLvlStrRef>
              <c:f>'Apgr. indeksi'!$FZ$111:$IZ$112</c:f>
              <c:multiLvlStrCache>
                <c:ptCount val="79"/>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VI</c:v>
                  </c:pt>
                  <c:pt idx="76">
                    <c:v>V</c:v>
                  </c:pt>
                  <c:pt idx="77">
                    <c:v>VI</c:v>
                  </c:pt>
                  <c:pt idx="78">
                    <c:v>VII</c:v>
                  </c:pt>
                </c:lvl>
                <c:lvl>
                  <c:pt idx="0">
                    <c:v>2015</c:v>
                  </c:pt>
                  <c:pt idx="12">
                    <c:v>2016</c:v>
                  </c:pt>
                  <c:pt idx="24">
                    <c:v>2017</c:v>
                  </c:pt>
                  <c:pt idx="36">
                    <c:v>2018</c:v>
                  </c:pt>
                  <c:pt idx="48">
                    <c:v>2019</c:v>
                  </c:pt>
                  <c:pt idx="60">
                    <c:v>2020</c:v>
                  </c:pt>
                  <c:pt idx="72">
                    <c:v>2021</c:v>
                  </c:pt>
                </c:lvl>
              </c:multiLvlStrCache>
            </c:multiLvlStrRef>
          </c:cat>
          <c:val>
            <c:numRef>
              <c:f>'Apgr. indeksi'!$HJ$185:$IZ$185</c:f>
              <c:numCache>
                <c:formatCode>0.0</c:formatCode>
                <c:ptCount val="43"/>
                <c:pt idx="0">
                  <c:v>9.0909090909090935</c:v>
                </c:pt>
                <c:pt idx="1">
                  <c:v>10.204081632653057</c:v>
                </c:pt>
                <c:pt idx="2">
                  <c:v>6.0344827586206833</c:v>
                </c:pt>
                <c:pt idx="3">
                  <c:v>5.7347670250896101</c:v>
                </c:pt>
                <c:pt idx="4">
                  <c:v>9.1463414634146432</c:v>
                </c:pt>
                <c:pt idx="5">
                  <c:v>7.8787878787878753</c:v>
                </c:pt>
                <c:pt idx="6">
                  <c:v>8.6069210292812812</c:v>
                </c:pt>
                <c:pt idx="7">
                  <c:v>10.17094017094017</c:v>
                </c:pt>
                <c:pt idx="8">
                  <c:v>8.9965397923875514</c:v>
                </c:pt>
                <c:pt idx="9">
                  <c:v>9.9829351535836111</c:v>
                </c:pt>
                <c:pt idx="10">
                  <c:v>6.8218298555377288</c:v>
                </c:pt>
                <c:pt idx="11">
                  <c:v>11.959287531806609</c:v>
                </c:pt>
                <c:pt idx="12">
                  <c:v>5.25</c:v>
                </c:pt>
                <c:pt idx="13">
                  <c:v>8.5858585858585883</c:v>
                </c:pt>
                <c:pt idx="14">
                  <c:v>12.845528455284565</c:v>
                </c:pt>
                <c:pt idx="15">
                  <c:v>10.169491525423723</c:v>
                </c:pt>
                <c:pt idx="16">
                  <c:v>6.9433359936153209</c:v>
                </c:pt>
                <c:pt idx="17">
                  <c:v>1.68539325842697</c:v>
                </c:pt>
                <c:pt idx="18">
                  <c:v>-3.1862745098039227</c:v>
                </c:pt>
                <c:pt idx="19">
                  <c:v>0.5430566330488773</c:v>
                </c:pt>
                <c:pt idx="20">
                  <c:v>6.9047619047618838</c:v>
                </c:pt>
                <c:pt idx="21">
                  <c:v>4.1892940263770413</c:v>
                </c:pt>
                <c:pt idx="22">
                  <c:v>-1.6528925619834638</c:v>
                </c:pt>
                <c:pt idx="23">
                  <c:v>-17.878787878787875</c:v>
                </c:pt>
                <c:pt idx="24">
                  <c:v>3.8796516231195426</c:v>
                </c:pt>
                <c:pt idx="25">
                  <c:v>7.9844961240310255</c:v>
                </c:pt>
                <c:pt idx="26">
                  <c:v>-3.8184438040345867</c:v>
                </c:pt>
                <c:pt idx="27">
                  <c:v>-6.2307692307692264</c:v>
                </c:pt>
                <c:pt idx="28">
                  <c:v>-8.7313432835820919</c:v>
                </c:pt>
                <c:pt idx="29">
                  <c:v>1.9731649565903524</c:v>
                </c:pt>
                <c:pt idx="30">
                  <c:v>10.210970464135016</c:v>
                </c:pt>
                <c:pt idx="31">
                  <c:v>1.8518518518518619</c:v>
                </c:pt>
                <c:pt idx="32">
                  <c:v>1.1135857461024443</c:v>
                </c:pt>
                <c:pt idx="33">
                  <c:v>10.647803425167524</c:v>
                </c:pt>
                <c:pt idx="34">
                  <c:v>9.4728800611153616</c:v>
                </c:pt>
                <c:pt idx="35">
                  <c:v>20.110701107011053</c:v>
                </c:pt>
                <c:pt idx="36">
                  <c:v>3.0487804878048763</c:v>
                </c:pt>
                <c:pt idx="37">
                  <c:v>2.6561378320172224</c:v>
                </c:pt>
                <c:pt idx="38">
                  <c:v>18.352059925093627</c:v>
                </c:pt>
                <c:pt idx="39">
                  <c:v>32.075471698113205</c:v>
                </c:pt>
                <c:pt idx="40">
                  <c:v>31.316434995911692</c:v>
                </c:pt>
                <c:pt idx="41">
                  <c:v>32.430340557275542</c:v>
                </c:pt>
                <c:pt idx="42">
                  <c:v>27.105666156202147</c:v>
                </c:pt>
              </c:numCache>
            </c:numRef>
          </c:val>
          <c:smooth val="1"/>
          <c:extLst>
            <c:ext xmlns:c16="http://schemas.microsoft.com/office/drawing/2014/chart" uri="{C3380CC4-5D6E-409C-BE32-E72D297353CC}">
              <c16:uniqueId val="{00000002-FFFE-4BA7-A514-F5F33C479B26}"/>
            </c:ext>
          </c:extLst>
        </c:ser>
        <c:dLbls>
          <c:showLegendKey val="0"/>
          <c:showVal val="0"/>
          <c:showCatName val="0"/>
          <c:showSerName val="0"/>
          <c:showPercent val="0"/>
          <c:showBubbleSize val="0"/>
        </c:dLbls>
        <c:marker val="1"/>
        <c:smooth val="0"/>
        <c:axId val="116528976"/>
        <c:axId val="116529368"/>
      </c:lineChart>
      <c:catAx>
        <c:axId val="11652897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lv-LV"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6529368"/>
        <c:crosses val="autoZero"/>
        <c:auto val="1"/>
        <c:lblAlgn val="ctr"/>
        <c:lblOffset val="100"/>
        <c:noMultiLvlLbl val="0"/>
      </c:catAx>
      <c:valAx>
        <c:axId val="116529368"/>
        <c:scaling>
          <c:orientation val="minMax"/>
          <c:max val="40"/>
          <c:min val="-2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lv-LV"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6528976"/>
        <c:crosses val="autoZero"/>
        <c:crossBetween val="between"/>
      </c:valAx>
      <c:spPr>
        <a:noFill/>
        <a:ln>
          <a:noFill/>
        </a:ln>
        <a:effectLst/>
      </c:spPr>
    </c:plotArea>
    <c:legend>
      <c:legendPos val="b"/>
      <c:layout>
        <c:manualLayout>
          <c:xMode val="edge"/>
          <c:yMode val="edge"/>
          <c:x val="5.2407803105998699E-2"/>
          <c:y val="0.91412958722949234"/>
          <c:w val="0.9"/>
          <c:h val="8.5870412770507706E-2"/>
        </c:manualLayout>
      </c:layout>
      <c:overlay val="0"/>
      <c:spPr>
        <a:noFill/>
        <a:ln>
          <a:noFill/>
        </a:ln>
        <a:effectLst/>
      </c:spPr>
      <c:txPr>
        <a:bodyPr rot="0" spcFirstLastPara="1" vertOverflow="ellipsis" vert="horz" wrap="square" anchor="ctr" anchorCtr="1"/>
        <a:lstStyle/>
        <a:p>
          <a:pPr>
            <a:defRPr lang="lv-LV"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lgn="ctr">
        <a:defRPr lang="lv-LV"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280385868711139E-2"/>
          <c:y val="3.6107487303732012E-2"/>
          <c:w val="0.91036442045080024"/>
          <c:h val="0.5732768726646762"/>
        </c:manualLayout>
      </c:layout>
      <c:barChart>
        <c:barDir val="col"/>
        <c:grouping val="clustered"/>
        <c:varyColors val="0"/>
        <c:ser>
          <c:idx val="0"/>
          <c:order val="0"/>
          <c:spPr>
            <a:solidFill>
              <a:schemeClr val="tx1">
                <a:lumMod val="65000"/>
                <a:lumOff val="35000"/>
              </a:schemeClr>
            </a:solidFill>
            <a:ln>
              <a:noFill/>
            </a:ln>
            <a:effectLst/>
          </c:spPr>
          <c:invertIfNegative val="0"/>
          <c:dPt>
            <c:idx val="1"/>
            <c:invertIfNegative val="0"/>
            <c:bubble3D val="0"/>
            <c:extLst>
              <c:ext xmlns:c16="http://schemas.microsoft.com/office/drawing/2014/chart" uri="{C3380CC4-5D6E-409C-BE32-E72D297353CC}">
                <c16:uniqueId val="{00000000-94DD-4DE0-BE5D-ED009FAF68D5}"/>
              </c:ext>
            </c:extLst>
          </c:dPt>
          <c:dPt>
            <c:idx val="2"/>
            <c:invertIfNegative val="0"/>
            <c:bubble3D val="0"/>
            <c:spPr>
              <a:solidFill>
                <a:srgbClr val="FF0000"/>
              </a:solidFill>
              <a:ln>
                <a:noFill/>
              </a:ln>
              <a:effectLst/>
            </c:spPr>
            <c:extLst>
              <c:ext xmlns:c16="http://schemas.microsoft.com/office/drawing/2014/chart" uri="{C3380CC4-5D6E-409C-BE32-E72D297353CC}">
                <c16:uniqueId val="{00000002-94DD-4DE0-BE5D-ED009FAF68D5}"/>
              </c:ext>
            </c:extLst>
          </c:dPt>
          <c:dPt>
            <c:idx val="5"/>
            <c:invertIfNegative val="0"/>
            <c:bubble3D val="0"/>
            <c:spPr>
              <a:solidFill>
                <a:srgbClr val="00B0F0"/>
              </a:solidFill>
              <a:ln>
                <a:noFill/>
              </a:ln>
              <a:effectLst/>
            </c:spPr>
            <c:extLst>
              <c:ext xmlns:c16="http://schemas.microsoft.com/office/drawing/2014/chart" uri="{C3380CC4-5D6E-409C-BE32-E72D297353CC}">
                <c16:uniqueId val="{00000004-94DD-4DE0-BE5D-ED009FAF68D5}"/>
              </c:ext>
            </c:extLst>
          </c:dPt>
          <c:dPt>
            <c:idx val="8"/>
            <c:invertIfNegative val="0"/>
            <c:bubble3D val="0"/>
            <c:extLst>
              <c:ext xmlns:c16="http://schemas.microsoft.com/office/drawing/2014/chart" uri="{C3380CC4-5D6E-409C-BE32-E72D297353CC}">
                <c16:uniqueId val="{00000005-94DD-4DE0-BE5D-ED009FAF68D5}"/>
              </c:ext>
            </c:extLst>
          </c:dPt>
          <c:dPt>
            <c:idx val="12"/>
            <c:invertIfNegative val="0"/>
            <c:bubble3D val="0"/>
            <c:spPr>
              <a:solidFill>
                <a:schemeClr val="accent1">
                  <a:lumMod val="75000"/>
                </a:schemeClr>
              </a:solidFill>
              <a:ln>
                <a:noFill/>
              </a:ln>
              <a:effectLst/>
            </c:spPr>
            <c:extLst>
              <c:ext xmlns:c16="http://schemas.microsoft.com/office/drawing/2014/chart" uri="{C3380CC4-5D6E-409C-BE32-E72D297353CC}">
                <c16:uniqueId val="{00000007-94DD-4DE0-BE5D-ED009FAF68D5}"/>
              </c:ext>
            </c:extLst>
          </c:dPt>
          <c:dPt>
            <c:idx val="14"/>
            <c:invertIfNegative val="0"/>
            <c:bubble3D val="0"/>
            <c:spPr>
              <a:solidFill>
                <a:srgbClr val="00B050"/>
              </a:solidFill>
              <a:ln>
                <a:noFill/>
              </a:ln>
              <a:effectLst/>
            </c:spPr>
            <c:extLst>
              <c:ext xmlns:c16="http://schemas.microsoft.com/office/drawing/2014/chart" uri="{C3380CC4-5D6E-409C-BE32-E72D297353CC}">
                <c16:uniqueId val="{00000009-94DD-4DE0-BE5D-ED009FAF68D5}"/>
              </c:ext>
            </c:extLst>
          </c:dPt>
          <c:dPt>
            <c:idx val="16"/>
            <c:invertIfNegative val="0"/>
            <c:bubble3D val="0"/>
            <c:extLst>
              <c:ext xmlns:c16="http://schemas.microsoft.com/office/drawing/2014/chart" uri="{C3380CC4-5D6E-409C-BE32-E72D297353CC}">
                <c16:uniqueId val="{0000000A-94DD-4DE0-BE5D-ED009FAF68D5}"/>
              </c:ext>
            </c:extLst>
          </c:dPt>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4DD-4DE0-BE5D-ED009FAF68D5}"/>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4DD-4DE0-BE5D-ED009FAF68D5}"/>
                </c:ext>
              </c:extLst>
            </c:dLbl>
            <c:dLbl>
              <c:idx val="1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4DD-4DE0-BE5D-ED009FAF68D5}"/>
                </c:ext>
              </c:extLst>
            </c:dLbl>
            <c:dLbl>
              <c:idx val="1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4DD-4DE0-BE5D-ED009FAF68D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Sheet1!$A$14:$A$40</c:f>
              <c:strCache>
                <c:ptCount val="27"/>
                <c:pt idx="0">
                  <c:v>Dānija</c:v>
                </c:pt>
                <c:pt idx="1">
                  <c:v>Malta</c:v>
                </c:pt>
                <c:pt idx="2">
                  <c:v>Latvija</c:v>
                </c:pt>
                <c:pt idx="3">
                  <c:v>Grieķija</c:v>
                </c:pt>
                <c:pt idx="4">
                  <c:v>Horvātija</c:v>
                </c:pt>
                <c:pt idx="5">
                  <c:v>Igaunija</c:v>
                </c:pt>
                <c:pt idx="6">
                  <c:v>Nīderlande</c:v>
                </c:pt>
                <c:pt idx="7">
                  <c:v>Bulgārija</c:v>
                </c:pt>
                <c:pt idx="8">
                  <c:v>Vācija</c:v>
                </c:pt>
                <c:pt idx="9">
                  <c:v>Kipra</c:v>
                </c:pt>
                <c:pt idx="10">
                  <c:v>Francija</c:v>
                </c:pt>
                <c:pt idx="11">
                  <c:v>Zviedrija</c:v>
                </c:pt>
                <c:pt idx="12">
                  <c:v>ES-27</c:v>
                </c:pt>
                <c:pt idx="13">
                  <c:v>Luksemburga</c:v>
                </c:pt>
                <c:pt idx="14">
                  <c:v>Lietuva</c:v>
                </c:pt>
                <c:pt idx="15">
                  <c:v>Austrija</c:v>
                </c:pt>
                <c:pt idx="16">
                  <c:v>Beļģija</c:v>
                </c:pt>
                <c:pt idx="17">
                  <c:v>Portugāle</c:v>
                </c:pt>
                <c:pt idx="18">
                  <c:v>Slovēnija</c:v>
                </c:pt>
                <c:pt idx="19">
                  <c:v>Spānija</c:v>
                </c:pt>
                <c:pt idx="20">
                  <c:v>Čehija</c:v>
                </c:pt>
                <c:pt idx="21">
                  <c:v>Polija</c:v>
                </c:pt>
                <c:pt idx="22">
                  <c:v>Itālija</c:v>
                </c:pt>
                <c:pt idx="23">
                  <c:v>Rumānija</c:v>
                </c:pt>
                <c:pt idx="24">
                  <c:v>Ungārija</c:v>
                </c:pt>
                <c:pt idx="25">
                  <c:v>Slovākija</c:v>
                </c:pt>
                <c:pt idx="26">
                  <c:v>Īrija</c:v>
                </c:pt>
              </c:strCache>
            </c:strRef>
          </c:cat>
          <c:val>
            <c:numRef>
              <c:f>Sheet1!$AC$14:$AC$39</c:f>
              <c:numCache>
                <c:formatCode>0.0</c:formatCode>
                <c:ptCount val="26"/>
                <c:pt idx="0">
                  <c:v>7.7858880778588713</c:v>
                </c:pt>
                <c:pt idx="1">
                  <c:v>12.608695652173907</c:v>
                </c:pt>
                <c:pt idx="2">
                  <c:v>14.188998589562743</c:v>
                </c:pt>
                <c:pt idx="3">
                  <c:v>14.477379095163812</c:v>
                </c:pt>
                <c:pt idx="4">
                  <c:v>14.59386585776879</c:v>
                </c:pt>
                <c:pt idx="5">
                  <c:v>15.251196172248811</c:v>
                </c:pt>
                <c:pt idx="6">
                  <c:v>15.942524803284286</c:v>
                </c:pt>
                <c:pt idx="7">
                  <c:v>18.382602786272528</c:v>
                </c:pt>
                <c:pt idx="8">
                  <c:v>19.614417435037709</c:v>
                </c:pt>
                <c:pt idx="9">
                  <c:v>20.307960488088298</c:v>
                </c:pt>
                <c:pt idx="10">
                  <c:v>23.529411764705912</c:v>
                </c:pt>
                <c:pt idx="11">
                  <c:v>23.564954682779472</c:v>
                </c:pt>
                <c:pt idx="12">
                  <c:v>24.311748739821667</c:v>
                </c:pt>
                <c:pt idx="13">
                  <c:v>24.580536912751697</c:v>
                </c:pt>
                <c:pt idx="14">
                  <c:v>24.692837878333819</c:v>
                </c:pt>
                <c:pt idx="15">
                  <c:v>25.205577404361819</c:v>
                </c:pt>
                <c:pt idx="16">
                  <c:v>26.90019828155981</c:v>
                </c:pt>
                <c:pt idx="17">
                  <c:v>27.315208156329646</c:v>
                </c:pt>
                <c:pt idx="18">
                  <c:v>27.373271889400925</c:v>
                </c:pt>
                <c:pt idx="19">
                  <c:v>30.476571886263514</c:v>
                </c:pt>
                <c:pt idx="20">
                  <c:v>31.061978977890533</c:v>
                </c:pt>
                <c:pt idx="21">
                  <c:v>32.496823379923768</c:v>
                </c:pt>
                <c:pt idx="22">
                  <c:v>35.773366418527701</c:v>
                </c:pt>
                <c:pt idx="23">
                  <c:v>36.022944550669223</c:v>
                </c:pt>
                <c:pt idx="24">
                  <c:v>38.204357625845233</c:v>
                </c:pt>
                <c:pt idx="25">
                  <c:v>40.000000000000028</c:v>
                </c:pt>
              </c:numCache>
            </c:numRef>
          </c:val>
          <c:extLst>
            <c:ext xmlns:c16="http://schemas.microsoft.com/office/drawing/2014/chart" uri="{C3380CC4-5D6E-409C-BE32-E72D297353CC}">
              <c16:uniqueId val="{0000000B-94DD-4DE0-BE5D-ED009FAF68D5}"/>
            </c:ext>
          </c:extLst>
        </c:ser>
        <c:dLbls>
          <c:showLegendKey val="0"/>
          <c:showVal val="0"/>
          <c:showCatName val="0"/>
          <c:showSerName val="0"/>
          <c:showPercent val="0"/>
          <c:showBubbleSize val="0"/>
        </c:dLbls>
        <c:gapWidth val="50"/>
        <c:overlap val="-27"/>
        <c:axId val="385252536"/>
        <c:axId val="1"/>
      </c:barChart>
      <c:catAx>
        <c:axId val="3852525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vert="horz"/>
          <a:lstStyle/>
          <a:p>
            <a:pPr>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vert="horz"/>
          <a:lstStyle/>
          <a:p>
            <a:pPr>
              <a:defRPr/>
            </a:pPr>
            <a:endParaRPr lang="lv-LV"/>
          </a:p>
        </c:txPr>
        <c:crossAx val="385252536"/>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479155730533683"/>
          <c:y val="2.7534735605601744E-2"/>
          <c:w val="0.45041688538932639"/>
          <c:h val="0.94493052878879658"/>
        </c:manualLayout>
      </c:layout>
      <c:pieChart>
        <c:varyColors val="1"/>
        <c:ser>
          <c:idx val="0"/>
          <c:order val="0"/>
          <c:dPt>
            <c:idx val="0"/>
            <c:bubble3D val="0"/>
            <c:spPr>
              <a:pattFill prst="dkUpDiag">
                <a:fgClr>
                  <a:schemeClr val="accent1">
                    <a:lumMod val="60000"/>
                    <a:lumOff val="40000"/>
                  </a:schemeClr>
                </a:fgClr>
                <a:bgClr>
                  <a:schemeClr val="bg1"/>
                </a:bgClr>
              </a:pattFill>
              <a:ln w="19050">
                <a:solidFill>
                  <a:schemeClr val="lt1"/>
                </a:solidFill>
              </a:ln>
              <a:effectLst/>
            </c:spPr>
            <c:extLst>
              <c:ext xmlns:c16="http://schemas.microsoft.com/office/drawing/2014/chart" uri="{C3380CC4-5D6E-409C-BE32-E72D297353CC}">
                <c16:uniqueId val="{00000001-5273-4F0E-81D3-9FA5A9D2CA9F}"/>
              </c:ext>
            </c:extLst>
          </c:dPt>
          <c:dPt>
            <c:idx val="1"/>
            <c:bubble3D val="0"/>
            <c:spPr>
              <a:pattFill prst="dkUpDiag">
                <a:fgClr>
                  <a:schemeClr val="accent6">
                    <a:lumMod val="60000"/>
                    <a:lumOff val="40000"/>
                  </a:schemeClr>
                </a:fgClr>
                <a:bgClr>
                  <a:schemeClr val="bg1"/>
                </a:bgClr>
              </a:pattFill>
              <a:ln w="19050">
                <a:solidFill>
                  <a:schemeClr val="lt1"/>
                </a:solidFill>
              </a:ln>
              <a:effectLst/>
            </c:spPr>
            <c:extLst>
              <c:ext xmlns:c16="http://schemas.microsoft.com/office/drawing/2014/chart" uri="{C3380CC4-5D6E-409C-BE32-E72D297353CC}">
                <c16:uniqueId val="{00000003-5273-4F0E-81D3-9FA5A9D2CA9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273-4F0E-81D3-9FA5A9D2CA9F}"/>
              </c:ext>
            </c:extLst>
          </c:dPt>
          <c:dLbls>
            <c:dLbl>
              <c:idx val="0"/>
              <c:layout>
                <c:manualLayout>
                  <c:x val="0.18745559930008748"/>
                  <c:y val="5.9731934731934729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73-4F0E-81D3-9FA5A9D2CA9F}"/>
                </c:ext>
              </c:extLst>
            </c:dLbl>
            <c:dLbl>
              <c:idx val="1"/>
              <c:layout>
                <c:manualLayout>
                  <c:x val="1.2753062117235345E-2"/>
                  <c:y val="1.2926509186351706E-2"/>
                </c:manualLayout>
              </c:layout>
              <c:tx>
                <c:rich>
                  <a:bodyPr/>
                  <a:lstStyle/>
                  <a:p>
                    <a:fld id="{BD8452DF-67D9-4031-8CD4-8BDE183208C3}" type="CATEGORYNAME">
                      <a:rPr lang="en-US"/>
                      <a:pPr/>
                      <a:t>[CATEGORY NAME]</a:t>
                    </a:fld>
                    <a:r>
                      <a:rPr lang="en-US" baseline="0"/>
                      <a:t>; 46%</a:t>
                    </a:r>
                  </a:p>
                </c:rich>
              </c:tx>
              <c:dLblPos val="bestFit"/>
              <c:showLegendKey val="0"/>
              <c:showVal val="1"/>
              <c:showCatName val="1"/>
              <c:showSerName val="0"/>
              <c:showPercent val="0"/>
              <c:showBubbleSize val="0"/>
              <c:extLst>
                <c:ext xmlns:c15="http://schemas.microsoft.com/office/drawing/2012/chart" uri="{CE6537A1-D6FC-4f65-9D91-7224C49458BB}">
                  <c15:layout>
                    <c:manualLayout>
                      <c:w val="0.25705555555555554"/>
                      <c:h val="0.20911123630344874"/>
                    </c:manualLayout>
                  </c15:layout>
                  <c15:dlblFieldTable/>
                  <c15:showDataLabelsRange val="0"/>
                </c:ext>
                <c:ext xmlns:c16="http://schemas.microsoft.com/office/drawing/2014/chart" uri="{C3380CC4-5D6E-409C-BE32-E72D297353CC}">
                  <c16:uniqueId val="{00000003-5273-4F0E-81D3-9FA5A9D2CA9F}"/>
                </c:ext>
              </c:extLst>
            </c:dLbl>
            <c:dLbl>
              <c:idx val="2"/>
              <c:layout>
                <c:manualLayout>
                  <c:x val="9.2323928258967597E-3"/>
                  <c:y val="0.40894568030394801"/>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5427777777777771"/>
                      <c:h val="0.2534817299251903"/>
                    </c:manualLayout>
                  </c15:layout>
                </c:ext>
                <c:ext xmlns:c16="http://schemas.microsoft.com/office/drawing/2014/chart" uri="{C3380CC4-5D6E-409C-BE32-E72D297353CC}">
                  <c16:uniqueId val="{00000005-5273-4F0E-81D3-9FA5A9D2CA9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'Tirdzniecība(G)'!$B$8:$B$10</c:f>
              <c:strCache>
                <c:ptCount val="3"/>
                <c:pt idx="0">
                  <c:v>Automobiļu un motociklu tirdzniecība un remonts</c:v>
                </c:pt>
                <c:pt idx="1">
                  <c:v>Vairumtirdzniecība</c:v>
                </c:pt>
                <c:pt idx="2">
                  <c:v>Mazumtirdzniecība</c:v>
                </c:pt>
              </c:strCache>
            </c:strRef>
          </c:cat>
          <c:val>
            <c:numRef>
              <c:f>'Tirdzniecība(G)'!$N$8:$N$10</c:f>
              <c:numCache>
                <c:formatCode>0%</c:formatCode>
                <c:ptCount val="3"/>
                <c:pt idx="0">
                  <c:v>0.10722396279908947</c:v>
                </c:pt>
                <c:pt idx="1">
                  <c:v>0.46546956034527581</c:v>
                </c:pt>
                <c:pt idx="2">
                  <c:v>0.42730647685563461</c:v>
                </c:pt>
              </c:numCache>
            </c:numRef>
          </c:val>
          <c:extLst>
            <c:ext xmlns:c16="http://schemas.microsoft.com/office/drawing/2014/chart" uri="{C3380CC4-5D6E-409C-BE32-E72D297353CC}">
              <c16:uniqueId val="{00000006-5273-4F0E-81D3-9FA5A9D2CA9F}"/>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1"/>
          <c:order val="1"/>
          <c:tx>
            <c:strRef>
              <c:f>Mazumtirdzniecība!$L$2</c:f>
              <c:strCache>
                <c:ptCount val="1"/>
                <c:pt idx="0">
                  <c:v>Degviela</c:v>
                </c:pt>
              </c:strCache>
            </c:strRef>
          </c:tx>
          <c:spPr>
            <a:solidFill>
              <a:schemeClr val="tx1">
                <a:lumMod val="50000"/>
                <a:lumOff val="50000"/>
              </a:schemeClr>
            </a:solidFill>
            <a:ln>
              <a:solidFill>
                <a:schemeClr val="tx1">
                  <a:lumMod val="50000"/>
                  <a:lumOff val="50000"/>
                </a:schemeClr>
              </a:solidFill>
            </a:ln>
            <a:effectLst/>
          </c:spPr>
          <c:invertIfNegative val="0"/>
          <c:cat>
            <c:multiLvlStrRef>
              <c:f>Mazumtirdzniecība!$A$219:$B$261</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2018</c:v>
                  </c:pt>
                  <c:pt idx="12">
                    <c:v>2019</c:v>
                  </c:pt>
                  <c:pt idx="24">
                    <c:v>2020</c:v>
                  </c:pt>
                  <c:pt idx="36">
                    <c:v>2021</c:v>
                  </c:pt>
                </c:lvl>
              </c:multiLvlStrCache>
            </c:multiLvlStrRef>
          </c:cat>
          <c:val>
            <c:numRef>
              <c:f>Mazumtirdzniecība!$L$219:$L$261</c:f>
              <c:numCache>
                <c:formatCode>0.0</c:formatCode>
                <c:ptCount val="43"/>
                <c:pt idx="0">
                  <c:v>0.56952379310108359</c:v>
                </c:pt>
                <c:pt idx="1">
                  <c:v>1.7081194808282756</c:v>
                </c:pt>
                <c:pt idx="2">
                  <c:v>1.1639347416116261</c:v>
                </c:pt>
                <c:pt idx="3">
                  <c:v>0.64012259604385502</c:v>
                </c:pt>
                <c:pt idx="4">
                  <c:v>1.3998277917117143</c:v>
                </c:pt>
                <c:pt idx="5">
                  <c:v>0.82456696096746396</c:v>
                </c:pt>
                <c:pt idx="6">
                  <c:v>1.1583030251079218</c:v>
                </c:pt>
                <c:pt idx="7">
                  <c:v>0.19046948031769034</c:v>
                </c:pt>
                <c:pt idx="8">
                  <c:v>-1.6465030922151746E-2</c:v>
                </c:pt>
                <c:pt idx="9">
                  <c:v>-0.2008786499281697</c:v>
                </c:pt>
                <c:pt idx="10">
                  <c:v>-0.22438599262966702</c:v>
                </c:pt>
                <c:pt idx="11">
                  <c:v>-0.43425416990017657</c:v>
                </c:pt>
                <c:pt idx="12">
                  <c:v>0.50749512591320278</c:v>
                </c:pt>
                <c:pt idx="13">
                  <c:v>-0.32329674480853882</c:v>
                </c:pt>
                <c:pt idx="14">
                  <c:v>0.43424588163323047</c:v>
                </c:pt>
                <c:pt idx="15">
                  <c:v>0.83357824630571198</c:v>
                </c:pt>
                <c:pt idx="16">
                  <c:v>-0.53985771794811321</c:v>
                </c:pt>
                <c:pt idx="17">
                  <c:v>0.1433670601428475</c:v>
                </c:pt>
                <c:pt idx="18">
                  <c:v>-0.30782064701304263</c:v>
                </c:pt>
                <c:pt idx="19">
                  <c:v>0.33548277291466022</c:v>
                </c:pt>
                <c:pt idx="20">
                  <c:v>-3.2006529030975714E-2</c:v>
                </c:pt>
                <c:pt idx="21">
                  <c:v>-0.53242507287711305</c:v>
                </c:pt>
                <c:pt idx="22">
                  <c:v>-0.12711509224515571</c:v>
                </c:pt>
                <c:pt idx="23">
                  <c:v>0.52293451481874809</c:v>
                </c:pt>
                <c:pt idx="24">
                  <c:v>-1.2149939529195986</c:v>
                </c:pt>
                <c:pt idx="25">
                  <c:v>1.3584314204661552</c:v>
                </c:pt>
                <c:pt idx="26">
                  <c:v>0.45963593588255802</c:v>
                </c:pt>
                <c:pt idx="27">
                  <c:v>-0.76411660451063568</c:v>
                </c:pt>
                <c:pt idx="28">
                  <c:v>0.39833429186886171</c:v>
                </c:pt>
                <c:pt idx="29">
                  <c:v>1.1441018566798549</c:v>
                </c:pt>
                <c:pt idx="30">
                  <c:v>1.1657031592568676</c:v>
                </c:pt>
                <c:pt idx="31">
                  <c:v>1.9875287664369092</c:v>
                </c:pt>
                <c:pt idx="32">
                  <c:v>2.2509996765308076</c:v>
                </c:pt>
                <c:pt idx="33">
                  <c:v>2.7350769759056814</c:v>
                </c:pt>
                <c:pt idx="34">
                  <c:v>2.1515865636794329</c:v>
                </c:pt>
                <c:pt idx="35">
                  <c:v>0.83225977925042405</c:v>
                </c:pt>
                <c:pt idx="36">
                  <c:v>2.748858504959363</c:v>
                </c:pt>
                <c:pt idx="37">
                  <c:v>1.0005626702447612</c:v>
                </c:pt>
                <c:pt idx="38">
                  <c:v>0.86541552066264793</c:v>
                </c:pt>
                <c:pt idx="39">
                  <c:v>1.8307175648330392</c:v>
                </c:pt>
                <c:pt idx="40">
                  <c:v>0.99746147703521937</c:v>
                </c:pt>
                <c:pt idx="41">
                  <c:v>2.2987859618597746</c:v>
                </c:pt>
                <c:pt idx="42">
                  <c:v>2.4520834645674512</c:v>
                </c:pt>
              </c:numCache>
            </c:numRef>
          </c:val>
          <c:extLst>
            <c:ext xmlns:c16="http://schemas.microsoft.com/office/drawing/2014/chart" uri="{C3380CC4-5D6E-409C-BE32-E72D297353CC}">
              <c16:uniqueId val="{00000000-06D0-4559-A68D-8D89555CCBA2}"/>
            </c:ext>
          </c:extLst>
        </c:ser>
        <c:ser>
          <c:idx val="2"/>
          <c:order val="2"/>
          <c:tx>
            <c:strRef>
              <c:f>Mazumtirdzniecība!$M$2</c:f>
              <c:strCache>
                <c:ptCount val="1"/>
                <c:pt idx="0">
                  <c:v>Pārtika</c:v>
                </c:pt>
              </c:strCache>
            </c:strRef>
          </c:tx>
          <c:spPr>
            <a:pattFill prst="dkUpDiag">
              <a:fgClr>
                <a:srgbClr val="00B050"/>
              </a:fgClr>
              <a:bgClr>
                <a:schemeClr val="bg1"/>
              </a:bgClr>
            </a:pattFill>
            <a:ln>
              <a:solidFill>
                <a:srgbClr val="00B050"/>
              </a:solidFill>
            </a:ln>
            <a:effectLst/>
          </c:spPr>
          <c:invertIfNegative val="0"/>
          <c:cat>
            <c:multiLvlStrRef>
              <c:f>Mazumtirdzniecība!$A$219:$B$261</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2018</c:v>
                  </c:pt>
                  <c:pt idx="12">
                    <c:v>2019</c:v>
                  </c:pt>
                  <c:pt idx="24">
                    <c:v>2020</c:v>
                  </c:pt>
                  <c:pt idx="36">
                    <c:v>2021</c:v>
                  </c:pt>
                </c:lvl>
              </c:multiLvlStrCache>
            </c:multiLvlStrRef>
          </c:cat>
          <c:val>
            <c:numRef>
              <c:f>Mazumtirdzniecība!$M$219:$M$261</c:f>
              <c:numCache>
                <c:formatCode>0.0</c:formatCode>
                <c:ptCount val="43"/>
                <c:pt idx="0">
                  <c:v>2.528686011706617</c:v>
                </c:pt>
                <c:pt idx="1">
                  <c:v>1.9483935255373044</c:v>
                </c:pt>
                <c:pt idx="2">
                  <c:v>2.7253519473935257</c:v>
                </c:pt>
                <c:pt idx="3">
                  <c:v>0.60513364144339077</c:v>
                </c:pt>
                <c:pt idx="4">
                  <c:v>2.6878305568587613</c:v>
                </c:pt>
                <c:pt idx="5">
                  <c:v>2.6398182863796134</c:v>
                </c:pt>
                <c:pt idx="6">
                  <c:v>1.9770681143932805</c:v>
                </c:pt>
                <c:pt idx="7">
                  <c:v>1.1112938789696307</c:v>
                </c:pt>
                <c:pt idx="8">
                  <c:v>0.77950087671795898</c:v>
                </c:pt>
                <c:pt idx="9">
                  <c:v>1.6354927969645496</c:v>
                </c:pt>
                <c:pt idx="10">
                  <c:v>1.6153147564567849</c:v>
                </c:pt>
                <c:pt idx="11">
                  <c:v>0.62050080078640679</c:v>
                </c:pt>
                <c:pt idx="12">
                  <c:v>-0.20641867785532583</c:v>
                </c:pt>
                <c:pt idx="13">
                  <c:v>1.3962307634892379</c:v>
                </c:pt>
                <c:pt idx="14">
                  <c:v>0.15680458712564682</c:v>
                </c:pt>
                <c:pt idx="15">
                  <c:v>2.6566802463537731</c:v>
                </c:pt>
                <c:pt idx="16">
                  <c:v>-0.25319887902728178</c:v>
                </c:pt>
                <c:pt idx="17">
                  <c:v>0.37246457527531546</c:v>
                </c:pt>
                <c:pt idx="18">
                  <c:v>0.56566091904660798</c:v>
                </c:pt>
                <c:pt idx="19">
                  <c:v>0.17514770306747099</c:v>
                </c:pt>
                <c:pt idx="20">
                  <c:v>0.30603858881633517</c:v>
                </c:pt>
                <c:pt idx="21">
                  <c:v>3.7229834410862528E-2</c:v>
                </c:pt>
                <c:pt idx="22">
                  <c:v>0.4629234963579904</c:v>
                </c:pt>
                <c:pt idx="23">
                  <c:v>0.26604342457417446</c:v>
                </c:pt>
                <c:pt idx="24">
                  <c:v>1.7875164086537401</c:v>
                </c:pt>
                <c:pt idx="25">
                  <c:v>1.5704651672705305</c:v>
                </c:pt>
                <c:pt idx="26">
                  <c:v>3.0615116792741146</c:v>
                </c:pt>
                <c:pt idx="27">
                  <c:v>-1.4696314188894748</c:v>
                </c:pt>
                <c:pt idx="28">
                  <c:v>0.79436060734627145</c:v>
                </c:pt>
                <c:pt idx="29">
                  <c:v>2.1926039593335553</c:v>
                </c:pt>
                <c:pt idx="30">
                  <c:v>0.74499589155423296</c:v>
                </c:pt>
                <c:pt idx="31">
                  <c:v>1.7275118349751306</c:v>
                </c:pt>
                <c:pt idx="32">
                  <c:v>2.0483438158467173</c:v>
                </c:pt>
                <c:pt idx="33">
                  <c:v>2.9112094305521841</c:v>
                </c:pt>
                <c:pt idx="34">
                  <c:v>1.1894153392044773</c:v>
                </c:pt>
                <c:pt idx="35">
                  <c:v>1.4827780821312395</c:v>
                </c:pt>
                <c:pt idx="36">
                  <c:v>-0.9542253068258435</c:v>
                </c:pt>
                <c:pt idx="37">
                  <c:v>0.77779038778370735</c:v>
                </c:pt>
                <c:pt idx="38">
                  <c:v>0.95587209662733663</c:v>
                </c:pt>
                <c:pt idx="39">
                  <c:v>2.8397829593096198</c:v>
                </c:pt>
                <c:pt idx="40">
                  <c:v>0.38928208212640908</c:v>
                </c:pt>
                <c:pt idx="41">
                  <c:v>-0.88189107736395245</c:v>
                </c:pt>
                <c:pt idx="42">
                  <c:v>-0.48251797909879285</c:v>
                </c:pt>
              </c:numCache>
            </c:numRef>
          </c:val>
          <c:extLst>
            <c:ext xmlns:c16="http://schemas.microsoft.com/office/drawing/2014/chart" uri="{C3380CC4-5D6E-409C-BE32-E72D297353CC}">
              <c16:uniqueId val="{00000001-06D0-4559-A68D-8D89555CCBA2}"/>
            </c:ext>
          </c:extLst>
        </c:ser>
        <c:ser>
          <c:idx val="3"/>
          <c:order val="3"/>
          <c:tx>
            <c:strRef>
              <c:f>Mazumtirdzniecība!$N$2</c:f>
              <c:strCache>
                <c:ptCount val="1"/>
                <c:pt idx="0">
                  <c:v>Nepārtika (-degviela)</c:v>
                </c:pt>
              </c:strCache>
            </c:strRef>
          </c:tx>
          <c:spPr>
            <a:solidFill>
              <a:srgbClr val="5B9BD5"/>
            </a:solidFill>
            <a:ln>
              <a:solidFill>
                <a:srgbClr val="0070C0"/>
              </a:solidFill>
            </a:ln>
            <a:effectLst/>
          </c:spPr>
          <c:invertIfNegative val="0"/>
          <c:cat>
            <c:multiLvlStrRef>
              <c:f>Mazumtirdzniecība!$A$219:$B$261</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2018</c:v>
                  </c:pt>
                  <c:pt idx="12">
                    <c:v>2019</c:v>
                  </c:pt>
                  <c:pt idx="24">
                    <c:v>2020</c:v>
                  </c:pt>
                  <c:pt idx="36">
                    <c:v>2021</c:v>
                  </c:pt>
                </c:lvl>
              </c:multiLvlStrCache>
            </c:multiLvlStrRef>
          </c:cat>
          <c:val>
            <c:numRef>
              <c:f>Mazumtirdzniecība!$N$219:$N$261</c:f>
              <c:numCache>
                <c:formatCode>0.0</c:formatCode>
                <c:ptCount val="43"/>
                <c:pt idx="0">
                  <c:v>3.2573235134063565</c:v>
                </c:pt>
                <c:pt idx="1">
                  <c:v>0.17508109735905786</c:v>
                </c:pt>
                <c:pt idx="2">
                  <c:v>2.3411957197251225</c:v>
                </c:pt>
                <c:pt idx="3">
                  <c:v>1.7594252725443742</c:v>
                </c:pt>
                <c:pt idx="4">
                  <c:v>2.8429400082881808</c:v>
                </c:pt>
                <c:pt idx="5">
                  <c:v>1.7437007802137197</c:v>
                </c:pt>
                <c:pt idx="6">
                  <c:v>1.1892405282966356</c:v>
                </c:pt>
                <c:pt idx="7">
                  <c:v>0.27160734307903089</c:v>
                </c:pt>
                <c:pt idx="8">
                  <c:v>2.3688717998255653</c:v>
                </c:pt>
                <c:pt idx="9">
                  <c:v>0.99312008430532417</c:v>
                </c:pt>
                <c:pt idx="10">
                  <c:v>2.3868090071253083</c:v>
                </c:pt>
                <c:pt idx="11">
                  <c:v>1.8506746623109807</c:v>
                </c:pt>
                <c:pt idx="12">
                  <c:v>0.87823591382211841</c:v>
                </c:pt>
                <c:pt idx="13">
                  <c:v>4.5528230065880528</c:v>
                </c:pt>
                <c:pt idx="14">
                  <c:v>3.02299355561818</c:v>
                </c:pt>
                <c:pt idx="15">
                  <c:v>2.7321500050805976</c:v>
                </c:pt>
                <c:pt idx="16">
                  <c:v>1.8946363620690072</c:v>
                </c:pt>
                <c:pt idx="17">
                  <c:v>1.55340821962395</c:v>
                </c:pt>
                <c:pt idx="18">
                  <c:v>1.0863060256272938</c:v>
                </c:pt>
                <c:pt idx="19">
                  <c:v>1.8047237034101888</c:v>
                </c:pt>
                <c:pt idx="20">
                  <c:v>-0.95763056463095386</c:v>
                </c:pt>
                <c:pt idx="21">
                  <c:v>0.6197509385856742</c:v>
                </c:pt>
                <c:pt idx="22">
                  <c:v>1.302135997153969</c:v>
                </c:pt>
                <c:pt idx="23">
                  <c:v>1.5994239767376595</c:v>
                </c:pt>
                <c:pt idx="24">
                  <c:v>1.048512518286042</c:v>
                </c:pt>
                <c:pt idx="25">
                  <c:v>3.1602734127311698</c:v>
                </c:pt>
                <c:pt idx="26">
                  <c:v>-3.0219911235905879</c:v>
                </c:pt>
                <c:pt idx="27">
                  <c:v>-5.8449428227923752</c:v>
                </c:pt>
                <c:pt idx="28">
                  <c:v>-1.4949621709759204</c:v>
                </c:pt>
                <c:pt idx="29">
                  <c:v>0.94180219934621834</c:v>
                </c:pt>
                <c:pt idx="30">
                  <c:v>1.1391225858757934</c:v>
                </c:pt>
                <c:pt idx="31">
                  <c:v>0.71466345805005094</c:v>
                </c:pt>
                <c:pt idx="32">
                  <c:v>1.5904649885363233</c:v>
                </c:pt>
                <c:pt idx="33">
                  <c:v>1.0202894996576737</c:v>
                </c:pt>
                <c:pt idx="34">
                  <c:v>-1.477695670234032</c:v>
                </c:pt>
                <c:pt idx="35">
                  <c:v>-5.7055989438654926</c:v>
                </c:pt>
                <c:pt idx="36">
                  <c:v>-8.3198857411707596</c:v>
                </c:pt>
                <c:pt idx="37">
                  <c:v>-7.6646247887922092</c:v>
                </c:pt>
                <c:pt idx="38">
                  <c:v>1.4816518369642588</c:v>
                </c:pt>
                <c:pt idx="39">
                  <c:v>10.898092282542004</c:v>
                </c:pt>
                <c:pt idx="40">
                  <c:v>3.7047682277072158</c:v>
                </c:pt>
                <c:pt idx="41">
                  <c:v>4.7676188092889671</c:v>
                </c:pt>
                <c:pt idx="42">
                  <c:v>2.7745511889076822</c:v>
                </c:pt>
              </c:numCache>
            </c:numRef>
          </c:val>
          <c:extLst>
            <c:ext xmlns:c16="http://schemas.microsoft.com/office/drawing/2014/chart" uri="{C3380CC4-5D6E-409C-BE32-E72D297353CC}">
              <c16:uniqueId val="{00000002-06D0-4559-A68D-8D89555CCBA2}"/>
            </c:ext>
          </c:extLst>
        </c:ser>
        <c:dLbls>
          <c:showLegendKey val="0"/>
          <c:showVal val="0"/>
          <c:showCatName val="0"/>
          <c:showSerName val="0"/>
          <c:showPercent val="0"/>
          <c:showBubbleSize val="0"/>
        </c:dLbls>
        <c:gapWidth val="50"/>
        <c:overlap val="100"/>
        <c:axId val="343843672"/>
        <c:axId val="343844064"/>
      </c:barChart>
      <c:lineChart>
        <c:grouping val="standard"/>
        <c:varyColors val="0"/>
        <c:ser>
          <c:idx val="0"/>
          <c:order val="0"/>
          <c:tx>
            <c:strRef>
              <c:f>Mazumtirdzniecība!$K$2</c:f>
              <c:strCache>
                <c:ptCount val="1"/>
                <c:pt idx="0">
                  <c:v>Mazumtirdzniecība</c:v>
                </c:pt>
              </c:strCache>
            </c:strRef>
          </c:tx>
          <c:spPr>
            <a:ln w="28575" cap="rnd">
              <a:solidFill>
                <a:schemeClr val="tx1"/>
              </a:solidFill>
              <a:prstDash val="sysDash"/>
              <a:round/>
            </a:ln>
            <a:effectLst/>
          </c:spPr>
          <c:marker>
            <c:symbol val="none"/>
          </c:marker>
          <c:cat>
            <c:multiLvlStrRef>
              <c:f>Mazumtirdzniecība!$A$219:$B$261</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2018</c:v>
                  </c:pt>
                  <c:pt idx="12">
                    <c:v>2019</c:v>
                  </c:pt>
                  <c:pt idx="24">
                    <c:v>2020</c:v>
                  </c:pt>
                  <c:pt idx="36">
                    <c:v>2021</c:v>
                  </c:pt>
                </c:lvl>
              </c:multiLvlStrCache>
            </c:multiLvlStrRef>
          </c:cat>
          <c:val>
            <c:numRef>
              <c:f>Mazumtirdzniecība!$K$219:$K$261</c:f>
              <c:numCache>
                <c:formatCode>0.0</c:formatCode>
                <c:ptCount val="43"/>
                <c:pt idx="0">
                  <c:v>6.427818756585868</c:v>
                </c:pt>
                <c:pt idx="1">
                  <c:v>3.5955056179775235</c:v>
                </c:pt>
                <c:pt idx="2">
                  <c:v>6.1616161616161458</c:v>
                </c:pt>
                <c:pt idx="3">
                  <c:v>3.0541871921182295</c:v>
                </c:pt>
                <c:pt idx="4">
                  <c:v>6.9094304388422012</c:v>
                </c:pt>
                <c:pt idx="5">
                  <c:v>5.1162790697674376</c:v>
                </c:pt>
                <c:pt idx="6">
                  <c:v>4.1921397379912628</c:v>
                </c:pt>
                <c:pt idx="7">
                  <c:v>1.4517506404782221</c:v>
                </c:pt>
                <c:pt idx="8">
                  <c:v>3.3118675252989727</c:v>
                </c:pt>
                <c:pt idx="9">
                  <c:v>2.3657870791628621</c:v>
                </c:pt>
                <c:pt idx="10">
                  <c:v>3.8862559241706007</c:v>
                </c:pt>
                <c:pt idx="11">
                  <c:v>2.1774193548387055</c:v>
                </c:pt>
                <c:pt idx="12">
                  <c:v>1.2871287128712883</c:v>
                </c:pt>
                <c:pt idx="13">
                  <c:v>5.7483731019522644</c:v>
                </c:pt>
                <c:pt idx="14">
                  <c:v>3.9010466222645146</c:v>
                </c:pt>
                <c:pt idx="15">
                  <c:v>6.3097514340344274</c:v>
                </c:pt>
                <c:pt idx="16">
                  <c:v>1.3100436681222627</c:v>
                </c:pt>
                <c:pt idx="17">
                  <c:v>2.2123893805309658</c:v>
                </c:pt>
                <c:pt idx="18">
                  <c:v>1.4249790444258226</c:v>
                </c:pt>
                <c:pt idx="19">
                  <c:v>2.4410774410774438</c:v>
                </c:pt>
                <c:pt idx="20">
                  <c:v>-0.80142475512020583</c:v>
                </c:pt>
                <c:pt idx="21">
                  <c:v>8.8888888888893902E-2</c:v>
                </c:pt>
                <c:pt idx="22">
                  <c:v>1.642335766423364</c:v>
                </c:pt>
                <c:pt idx="23">
                  <c:v>2.5256511444356811</c:v>
                </c:pt>
                <c:pt idx="24">
                  <c:v>1.4662756598240456</c:v>
                </c:pt>
                <c:pt idx="25">
                  <c:v>6.1538461538461542</c:v>
                </c:pt>
                <c:pt idx="26">
                  <c:v>-0.64102564102563875</c:v>
                </c:pt>
                <c:pt idx="27">
                  <c:v>-8.9028776978417277</c:v>
                </c:pt>
                <c:pt idx="28">
                  <c:v>-0.51724137931034031</c:v>
                </c:pt>
                <c:pt idx="29">
                  <c:v>4.1558441558441572</c:v>
                </c:pt>
                <c:pt idx="30">
                  <c:v>3.057851239669418</c:v>
                </c:pt>
                <c:pt idx="31">
                  <c:v>4.3549712407559449</c:v>
                </c:pt>
                <c:pt idx="32">
                  <c:v>5.9245960502692929</c:v>
                </c:pt>
                <c:pt idx="33">
                  <c:v>6.4831261101243376</c:v>
                </c:pt>
                <c:pt idx="34">
                  <c:v>1.6157989228007263</c:v>
                </c:pt>
                <c:pt idx="35">
                  <c:v>-4.8498845265589008</c:v>
                </c:pt>
                <c:pt idx="36">
                  <c:v>-9.441233140655104</c:v>
                </c:pt>
                <c:pt idx="37">
                  <c:v>-8.4057971014492754</c:v>
                </c:pt>
                <c:pt idx="38">
                  <c:v>3.410138248847927</c:v>
                </c:pt>
                <c:pt idx="39">
                  <c:v>15.695952615992104</c:v>
                </c:pt>
                <c:pt idx="40">
                  <c:v>5.2859618717504331</c:v>
                </c:pt>
                <c:pt idx="41">
                  <c:v>6.3175394846217925</c:v>
                </c:pt>
                <c:pt idx="42">
                  <c:v>4.8115477145148189</c:v>
                </c:pt>
              </c:numCache>
            </c:numRef>
          </c:val>
          <c:smooth val="0"/>
          <c:extLst>
            <c:ext xmlns:c16="http://schemas.microsoft.com/office/drawing/2014/chart" uri="{C3380CC4-5D6E-409C-BE32-E72D297353CC}">
              <c16:uniqueId val="{00000003-06D0-4559-A68D-8D89555CCBA2}"/>
            </c:ext>
          </c:extLst>
        </c:ser>
        <c:dLbls>
          <c:showLegendKey val="0"/>
          <c:showVal val="0"/>
          <c:showCatName val="0"/>
          <c:showSerName val="0"/>
          <c:showPercent val="0"/>
          <c:showBubbleSize val="0"/>
        </c:dLbls>
        <c:marker val="1"/>
        <c:smooth val="0"/>
        <c:axId val="343843672"/>
        <c:axId val="343844064"/>
      </c:lineChart>
      <c:catAx>
        <c:axId val="343843672"/>
        <c:scaling>
          <c:orientation val="minMax"/>
        </c:scaling>
        <c:delete val="0"/>
        <c:axPos val="b"/>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43844064"/>
        <c:crosses val="autoZero"/>
        <c:auto val="1"/>
        <c:lblAlgn val="ctr"/>
        <c:lblOffset val="100"/>
        <c:tickLblSkip val="1"/>
        <c:noMultiLvlLbl val="0"/>
      </c:catAx>
      <c:valAx>
        <c:axId val="343844064"/>
        <c:scaling>
          <c:orientation val="minMax"/>
          <c:max val="20"/>
          <c:min val="-1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43843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803149606299214E-2"/>
          <c:y val="3.2407407407407406E-2"/>
          <c:w val="0.89019685039370078"/>
          <c:h val="0.87904043598448012"/>
        </c:manualLayout>
      </c:layout>
      <c:barChart>
        <c:barDir val="col"/>
        <c:grouping val="clustered"/>
        <c:varyColors val="0"/>
        <c:ser>
          <c:idx val="0"/>
          <c:order val="0"/>
          <c:tx>
            <c:strRef>
              <c:f>'ostas dz'!$X$4</c:f>
              <c:strCache>
                <c:ptCount val="1"/>
                <c:pt idx="0">
                  <c:v>2010</c:v>
                </c:pt>
              </c:strCache>
            </c:strRef>
          </c:tx>
          <c:spPr>
            <a:pattFill prst="dkUpDiag">
              <a:fgClr>
                <a:srgbClr val="5B9BD5">
                  <a:lumMod val="50000"/>
                </a:srgbClr>
              </a:fgClr>
              <a:bgClr>
                <a:sysClr val="window" lastClr="FFFFFF"/>
              </a:bgClr>
            </a:pattFill>
            <a:ln>
              <a:solidFill>
                <a:srgbClr val="5B9BD5"/>
              </a:solidFill>
            </a:ln>
            <a:effectLst/>
          </c:spPr>
          <c:invertIfNegative val="0"/>
          <c:dPt>
            <c:idx val="0"/>
            <c:invertIfNegative val="0"/>
            <c:bubble3D val="0"/>
            <c:spPr>
              <a:pattFill prst="dkUpDiag">
                <a:fgClr>
                  <a:srgbClr val="4472C4">
                    <a:lumMod val="50000"/>
                  </a:srgbClr>
                </a:fgClr>
                <a:bgClr>
                  <a:sysClr val="window" lastClr="FFFFFF"/>
                </a:bgClr>
              </a:pattFill>
              <a:ln>
                <a:solidFill>
                  <a:srgbClr val="002060"/>
                </a:solidFill>
              </a:ln>
              <a:effectLst/>
            </c:spPr>
            <c:extLst>
              <c:ext xmlns:c16="http://schemas.microsoft.com/office/drawing/2014/chart" uri="{C3380CC4-5D6E-409C-BE32-E72D297353CC}">
                <c16:uniqueId val="{00000001-AACE-483D-9708-A21CDF39C363}"/>
              </c:ext>
            </c:extLst>
          </c:dPt>
          <c:dPt>
            <c:idx val="1"/>
            <c:invertIfNegative val="0"/>
            <c:bubble3D val="0"/>
            <c:spPr>
              <a:pattFill prst="dkUpDiag">
                <a:fgClr>
                  <a:srgbClr val="00B050"/>
                </a:fgClr>
                <a:bgClr>
                  <a:sysClr val="window" lastClr="FFFFFF"/>
                </a:bgClr>
              </a:pattFill>
              <a:ln>
                <a:solidFill>
                  <a:srgbClr val="00B050"/>
                </a:solidFill>
              </a:ln>
              <a:effectLst/>
            </c:spPr>
            <c:extLst>
              <c:ext xmlns:c16="http://schemas.microsoft.com/office/drawing/2014/chart" uri="{C3380CC4-5D6E-409C-BE32-E72D297353CC}">
                <c16:uniqueId val="{00000003-AACE-483D-9708-A21CDF39C363}"/>
              </c:ext>
            </c:extLst>
          </c:dPt>
          <c:dLbls>
            <c:dLbl>
              <c:idx val="0"/>
              <c:layout>
                <c:manualLayout>
                  <c:x val="-5.1374261494990889E-3"/>
                  <c:y val="0.76902818014221752"/>
                </c:manualLayout>
              </c:layout>
              <c:tx>
                <c:rich>
                  <a:bodyPr/>
                  <a:lstStyle/>
                  <a:p>
                    <a:r>
                      <a:rPr lang="en-US"/>
                      <a:t>2010.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CE-483D-9708-A21CDF39C363}"/>
                </c:ext>
              </c:extLst>
            </c:dLbl>
            <c:dLbl>
              <c:idx val="1"/>
              <c:layout>
                <c:manualLayout>
                  <c:x val="-5.1374261494991011E-3"/>
                  <c:y val="0.57413747695549122"/>
                </c:manualLayout>
              </c:layout>
              <c:tx>
                <c:rich>
                  <a:bodyPr/>
                  <a:lstStyle/>
                  <a:p>
                    <a:r>
                      <a:rPr lang="en-US"/>
                      <a:t>2010.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CE-483D-9708-A21CDF39C36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'ostas dz'!$V$5:$V$6</c:f>
              <c:strCache>
                <c:ptCount val="2"/>
                <c:pt idx="0">
                  <c:v>Ostas</c:v>
                </c:pt>
                <c:pt idx="1">
                  <c:v>Dzelzceļš</c:v>
                </c:pt>
              </c:strCache>
            </c:strRef>
          </c:cat>
          <c:val>
            <c:numRef>
              <c:f>'ostas dz'!$X$5:$X$6</c:f>
              <c:numCache>
                <c:formatCode>General</c:formatCode>
                <c:ptCount val="2"/>
                <c:pt idx="0">
                  <c:v>40776.409999999996</c:v>
                </c:pt>
                <c:pt idx="1">
                  <c:v>32917.5</c:v>
                </c:pt>
              </c:numCache>
            </c:numRef>
          </c:val>
          <c:extLst>
            <c:ext xmlns:c16="http://schemas.microsoft.com/office/drawing/2014/chart" uri="{C3380CC4-5D6E-409C-BE32-E72D297353CC}">
              <c16:uniqueId val="{00000004-AACE-483D-9708-A21CDF39C363}"/>
            </c:ext>
          </c:extLst>
        </c:ser>
        <c:ser>
          <c:idx val="1"/>
          <c:order val="1"/>
          <c:tx>
            <c:strRef>
              <c:f>'ostas dz'!$Y$4</c:f>
              <c:strCache>
                <c:ptCount val="1"/>
                <c:pt idx="0">
                  <c:v>2011</c:v>
                </c:pt>
              </c:strCache>
            </c:strRef>
          </c:tx>
          <c:spPr>
            <a:pattFill prst="dkUpDiag">
              <a:fgClr>
                <a:srgbClr val="5B9BD5">
                  <a:lumMod val="50000"/>
                </a:srgbClr>
              </a:fgClr>
              <a:bgClr>
                <a:sysClr val="window" lastClr="FFFFFF"/>
              </a:bgClr>
            </a:pattFill>
            <a:ln>
              <a:solidFill>
                <a:srgbClr val="5B9BD5"/>
              </a:solidFill>
            </a:ln>
            <a:effectLst/>
          </c:spPr>
          <c:invertIfNegative val="0"/>
          <c:dPt>
            <c:idx val="0"/>
            <c:invertIfNegative val="0"/>
            <c:bubble3D val="0"/>
            <c:spPr>
              <a:pattFill prst="dkUpDiag">
                <a:fgClr>
                  <a:srgbClr val="4472C4">
                    <a:lumMod val="50000"/>
                  </a:srgbClr>
                </a:fgClr>
                <a:bgClr>
                  <a:sysClr val="window" lastClr="FFFFFF"/>
                </a:bgClr>
              </a:pattFill>
              <a:ln>
                <a:solidFill>
                  <a:srgbClr val="4472C4">
                    <a:lumMod val="50000"/>
                  </a:srgbClr>
                </a:solidFill>
              </a:ln>
              <a:effectLst/>
            </c:spPr>
            <c:extLst>
              <c:ext xmlns:c16="http://schemas.microsoft.com/office/drawing/2014/chart" uri="{C3380CC4-5D6E-409C-BE32-E72D297353CC}">
                <c16:uniqueId val="{00000006-AACE-483D-9708-A21CDF39C363}"/>
              </c:ext>
            </c:extLst>
          </c:dPt>
          <c:dPt>
            <c:idx val="1"/>
            <c:invertIfNegative val="0"/>
            <c:bubble3D val="0"/>
            <c:spPr>
              <a:pattFill prst="dkUpDiag">
                <a:fgClr>
                  <a:srgbClr val="00B050"/>
                </a:fgClr>
                <a:bgClr>
                  <a:sysClr val="window" lastClr="FFFFFF"/>
                </a:bgClr>
              </a:pattFill>
              <a:ln>
                <a:solidFill>
                  <a:srgbClr val="5B9BD5"/>
                </a:solidFill>
              </a:ln>
              <a:effectLst/>
            </c:spPr>
            <c:extLst>
              <c:ext xmlns:c16="http://schemas.microsoft.com/office/drawing/2014/chart" uri="{C3380CC4-5D6E-409C-BE32-E72D297353CC}">
                <c16:uniqueId val="{00000008-AACE-483D-9708-A21CDF39C363}"/>
              </c:ext>
            </c:extLst>
          </c:dPt>
          <c:cat>
            <c:strRef>
              <c:f>'ostas dz'!$V$5:$V$6</c:f>
              <c:strCache>
                <c:ptCount val="2"/>
                <c:pt idx="0">
                  <c:v>Ostas</c:v>
                </c:pt>
                <c:pt idx="1">
                  <c:v>Dzelzceļš</c:v>
                </c:pt>
              </c:strCache>
            </c:strRef>
          </c:cat>
          <c:val>
            <c:numRef>
              <c:f>'ostas dz'!$Y$5:$Y$6</c:f>
              <c:numCache>
                <c:formatCode>General</c:formatCode>
                <c:ptCount val="2"/>
                <c:pt idx="0">
                  <c:v>45674.09</c:v>
                </c:pt>
                <c:pt idx="1">
                  <c:v>38885.699999999997</c:v>
                </c:pt>
              </c:numCache>
            </c:numRef>
          </c:val>
          <c:extLst>
            <c:ext xmlns:c16="http://schemas.microsoft.com/office/drawing/2014/chart" uri="{C3380CC4-5D6E-409C-BE32-E72D297353CC}">
              <c16:uniqueId val="{00000009-AACE-483D-9708-A21CDF39C363}"/>
            </c:ext>
          </c:extLst>
        </c:ser>
        <c:ser>
          <c:idx val="2"/>
          <c:order val="2"/>
          <c:tx>
            <c:strRef>
              <c:f>'ostas dz'!$Z$4</c:f>
              <c:strCache>
                <c:ptCount val="1"/>
                <c:pt idx="0">
                  <c:v>2012</c:v>
                </c:pt>
              </c:strCache>
            </c:strRef>
          </c:tx>
          <c:spPr>
            <a:solidFill>
              <a:schemeClr val="accent3"/>
            </a:solidFill>
            <a:ln>
              <a:solidFill>
                <a:srgbClr val="5B9BD5"/>
              </a:solidFill>
            </a:ln>
            <a:effectLst/>
          </c:spPr>
          <c:invertIfNegative val="0"/>
          <c:dPt>
            <c:idx val="0"/>
            <c:invertIfNegative val="0"/>
            <c:bubble3D val="0"/>
            <c:spPr>
              <a:pattFill prst="dkUpDiag">
                <a:fgClr>
                  <a:srgbClr val="4472C4">
                    <a:lumMod val="50000"/>
                  </a:srgbClr>
                </a:fgClr>
                <a:bgClr>
                  <a:sysClr val="window" lastClr="FFFFFF"/>
                </a:bgClr>
              </a:pattFill>
              <a:ln>
                <a:solidFill>
                  <a:srgbClr val="4472C4">
                    <a:lumMod val="50000"/>
                  </a:srgbClr>
                </a:solidFill>
              </a:ln>
              <a:effectLst/>
            </c:spPr>
            <c:extLst>
              <c:ext xmlns:c16="http://schemas.microsoft.com/office/drawing/2014/chart" uri="{C3380CC4-5D6E-409C-BE32-E72D297353CC}">
                <c16:uniqueId val="{0000000B-AACE-483D-9708-A21CDF39C363}"/>
              </c:ext>
            </c:extLst>
          </c:dPt>
          <c:dPt>
            <c:idx val="1"/>
            <c:invertIfNegative val="0"/>
            <c:bubble3D val="0"/>
            <c:spPr>
              <a:pattFill prst="dkUpDiag">
                <a:fgClr>
                  <a:srgbClr val="00B050"/>
                </a:fgClr>
                <a:bgClr>
                  <a:sysClr val="window" lastClr="FFFFFF"/>
                </a:bgClr>
              </a:pattFill>
              <a:ln>
                <a:solidFill>
                  <a:srgbClr val="00B050"/>
                </a:solidFill>
              </a:ln>
              <a:effectLst/>
            </c:spPr>
            <c:extLst>
              <c:ext xmlns:c16="http://schemas.microsoft.com/office/drawing/2014/chart" uri="{C3380CC4-5D6E-409C-BE32-E72D297353CC}">
                <c16:uniqueId val="{0000000D-AACE-483D-9708-A21CDF39C363}"/>
              </c:ext>
            </c:extLst>
          </c:dPt>
          <c:cat>
            <c:strRef>
              <c:f>'ostas dz'!$V$5:$V$6</c:f>
              <c:strCache>
                <c:ptCount val="2"/>
                <c:pt idx="0">
                  <c:v>Ostas</c:v>
                </c:pt>
                <c:pt idx="1">
                  <c:v>Dzelzceļš</c:v>
                </c:pt>
              </c:strCache>
            </c:strRef>
          </c:cat>
          <c:val>
            <c:numRef>
              <c:f>'ostas dz'!$Z$5:$Z$6</c:f>
              <c:numCache>
                <c:formatCode>General</c:formatCode>
                <c:ptCount val="2"/>
                <c:pt idx="0">
                  <c:v>52148.599999999991</c:v>
                </c:pt>
                <c:pt idx="1">
                  <c:v>43019.1</c:v>
                </c:pt>
              </c:numCache>
            </c:numRef>
          </c:val>
          <c:extLst>
            <c:ext xmlns:c16="http://schemas.microsoft.com/office/drawing/2014/chart" uri="{C3380CC4-5D6E-409C-BE32-E72D297353CC}">
              <c16:uniqueId val="{0000000E-AACE-483D-9708-A21CDF39C363}"/>
            </c:ext>
          </c:extLst>
        </c:ser>
        <c:ser>
          <c:idx val="3"/>
          <c:order val="3"/>
          <c:tx>
            <c:strRef>
              <c:f>'ostas dz'!$AA$4</c:f>
              <c:strCache>
                <c:ptCount val="1"/>
                <c:pt idx="0">
                  <c:v>2013</c:v>
                </c:pt>
              </c:strCache>
            </c:strRef>
          </c:tx>
          <c:spPr>
            <a:pattFill prst="dkUpDiag">
              <a:fgClr>
                <a:srgbClr val="5B9BD5">
                  <a:lumMod val="50000"/>
                </a:srgbClr>
              </a:fgClr>
              <a:bgClr>
                <a:sysClr val="window" lastClr="FFFFFF"/>
              </a:bgClr>
            </a:pattFill>
            <a:ln>
              <a:noFill/>
            </a:ln>
            <a:effectLst/>
          </c:spPr>
          <c:invertIfNegative val="0"/>
          <c:dPt>
            <c:idx val="0"/>
            <c:invertIfNegative val="0"/>
            <c:bubble3D val="0"/>
            <c:spPr>
              <a:pattFill prst="dkUpDiag">
                <a:fgClr>
                  <a:srgbClr val="4472C4">
                    <a:lumMod val="50000"/>
                  </a:srgbClr>
                </a:fgClr>
                <a:bgClr>
                  <a:sysClr val="window" lastClr="FFFFFF"/>
                </a:bgClr>
              </a:pattFill>
              <a:ln>
                <a:solidFill>
                  <a:srgbClr val="4472C4">
                    <a:lumMod val="50000"/>
                  </a:srgbClr>
                </a:solidFill>
              </a:ln>
              <a:effectLst/>
            </c:spPr>
            <c:extLst>
              <c:ext xmlns:c16="http://schemas.microsoft.com/office/drawing/2014/chart" uri="{C3380CC4-5D6E-409C-BE32-E72D297353CC}">
                <c16:uniqueId val="{00000010-AACE-483D-9708-A21CDF39C363}"/>
              </c:ext>
            </c:extLst>
          </c:dPt>
          <c:dPt>
            <c:idx val="1"/>
            <c:invertIfNegative val="0"/>
            <c:bubble3D val="0"/>
            <c:spPr>
              <a:pattFill prst="dkUpDiag">
                <a:fgClr>
                  <a:srgbClr val="00B050"/>
                </a:fgClr>
                <a:bgClr>
                  <a:sysClr val="window" lastClr="FFFFFF"/>
                </a:bgClr>
              </a:pattFill>
              <a:ln>
                <a:solidFill>
                  <a:srgbClr val="00B050"/>
                </a:solidFill>
              </a:ln>
              <a:effectLst/>
            </c:spPr>
            <c:extLst>
              <c:ext xmlns:c16="http://schemas.microsoft.com/office/drawing/2014/chart" uri="{C3380CC4-5D6E-409C-BE32-E72D297353CC}">
                <c16:uniqueId val="{00000012-AACE-483D-9708-A21CDF39C363}"/>
              </c:ext>
            </c:extLst>
          </c:dPt>
          <c:cat>
            <c:strRef>
              <c:f>'ostas dz'!$V$5:$V$6</c:f>
              <c:strCache>
                <c:ptCount val="2"/>
                <c:pt idx="0">
                  <c:v>Ostas</c:v>
                </c:pt>
                <c:pt idx="1">
                  <c:v>Dzelzceļš</c:v>
                </c:pt>
              </c:strCache>
            </c:strRef>
          </c:cat>
          <c:val>
            <c:numRef>
              <c:f>'ostas dz'!$AA$5:$AA$6</c:f>
              <c:numCache>
                <c:formatCode>General</c:formatCode>
                <c:ptCount val="2"/>
                <c:pt idx="0">
                  <c:v>48172.800000000003</c:v>
                </c:pt>
                <c:pt idx="1">
                  <c:v>37820.400000000001</c:v>
                </c:pt>
              </c:numCache>
            </c:numRef>
          </c:val>
          <c:extLst>
            <c:ext xmlns:c16="http://schemas.microsoft.com/office/drawing/2014/chart" uri="{C3380CC4-5D6E-409C-BE32-E72D297353CC}">
              <c16:uniqueId val="{00000013-AACE-483D-9708-A21CDF39C363}"/>
            </c:ext>
          </c:extLst>
        </c:ser>
        <c:ser>
          <c:idx val="4"/>
          <c:order val="4"/>
          <c:tx>
            <c:strRef>
              <c:f>'ostas dz'!$AB$4</c:f>
              <c:strCache>
                <c:ptCount val="1"/>
                <c:pt idx="0">
                  <c:v>2014</c:v>
                </c:pt>
              </c:strCache>
            </c:strRef>
          </c:tx>
          <c:spPr>
            <a:pattFill prst="dkUpDiag">
              <a:fgClr>
                <a:srgbClr val="5B9BD5">
                  <a:lumMod val="50000"/>
                </a:srgbClr>
              </a:fgClr>
              <a:bgClr>
                <a:sysClr val="window" lastClr="FFFFFF"/>
              </a:bgClr>
            </a:pattFill>
            <a:ln>
              <a:solidFill>
                <a:srgbClr val="5B9BD5"/>
              </a:solidFill>
            </a:ln>
            <a:effectLst/>
          </c:spPr>
          <c:invertIfNegative val="0"/>
          <c:dPt>
            <c:idx val="0"/>
            <c:invertIfNegative val="0"/>
            <c:bubble3D val="0"/>
            <c:spPr>
              <a:pattFill prst="dkUpDiag">
                <a:fgClr>
                  <a:srgbClr val="4472C4">
                    <a:lumMod val="50000"/>
                  </a:srgbClr>
                </a:fgClr>
                <a:bgClr>
                  <a:sysClr val="window" lastClr="FFFFFF"/>
                </a:bgClr>
              </a:pattFill>
              <a:ln>
                <a:solidFill>
                  <a:srgbClr val="4472C4">
                    <a:lumMod val="50000"/>
                  </a:srgbClr>
                </a:solidFill>
              </a:ln>
              <a:effectLst/>
            </c:spPr>
            <c:extLst>
              <c:ext xmlns:c16="http://schemas.microsoft.com/office/drawing/2014/chart" uri="{C3380CC4-5D6E-409C-BE32-E72D297353CC}">
                <c16:uniqueId val="{00000015-AACE-483D-9708-A21CDF39C363}"/>
              </c:ext>
            </c:extLst>
          </c:dPt>
          <c:dPt>
            <c:idx val="1"/>
            <c:invertIfNegative val="0"/>
            <c:bubble3D val="0"/>
            <c:spPr>
              <a:pattFill prst="dkUpDiag">
                <a:fgClr>
                  <a:srgbClr val="00B050"/>
                </a:fgClr>
                <a:bgClr>
                  <a:sysClr val="window" lastClr="FFFFFF"/>
                </a:bgClr>
              </a:pattFill>
              <a:ln>
                <a:solidFill>
                  <a:srgbClr val="5B9BD5"/>
                </a:solidFill>
              </a:ln>
              <a:effectLst/>
            </c:spPr>
            <c:extLst>
              <c:ext xmlns:c16="http://schemas.microsoft.com/office/drawing/2014/chart" uri="{C3380CC4-5D6E-409C-BE32-E72D297353CC}">
                <c16:uniqueId val="{00000017-AACE-483D-9708-A21CDF39C363}"/>
              </c:ext>
            </c:extLst>
          </c:dPt>
          <c:cat>
            <c:strRef>
              <c:f>'ostas dz'!$V$5:$V$6</c:f>
              <c:strCache>
                <c:ptCount val="2"/>
                <c:pt idx="0">
                  <c:v>Ostas</c:v>
                </c:pt>
                <c:pt idx="1">
                  <c:v>Dzelzceļš</c:v>
                </c:pt>
              </c:strCache>
            </c:strRef>
          </c:cat>
          <c:val>
            <c:numRef>
              <c:f>'ostas dz'!$AB$5:$AB$6</c:f>
              <c:numCache>
                <c:formatCode>General</c:formatCode>
                <c:ptCount val="2"/>
                <c:pt idx="0">
                  <c:v>50030.2</c:v>
                </c:pt>
                <c:pt idx="1">
                  <c:v>38891.1</c:v>
                </c:pt>
              </c:numCache>
            </c:numRef>
          </c:val>
          <c:extLst>
            <c:ext xmlns:c16="http://schemas.microsoft.com/office/drawing/2014/chart" uri="{C3380CC4-5D6E-409C-BE32-E72D297353CC}">
              <c16:uniqueId val="{00000018-AACE-483D-9708-A21CDF39C363}"/>
            </c:ext>
          </c:extLst>
        </c:ser>
        <c:ser>
          <c:idx val="5"/>
          <c:order val="5"/>
          <c:tx>
            <c:strRef>
              <c:f>'ostas dz'!$AC$4</c:f>
              <c:strCache>
                <c:ptCount val="1"/>
                <c:pt idx="0">
                  <c:v>2015</c:v>
                </c:pt>
              </c:strCache>
            </c:strRef>
          </c:tx>
          <c:spPr>
            <a:pattFill prst="dkUpDiag">
              <a:fgClr>
                <a:srgbClr val="4472C4">
                  <a:lumMod val="50000"/>
                </a:srgbClr>
              </a:fgClr>
              <a:bgClr>
                <a:sysClr val="window" lastClr="FFFFFF"/>
              </a:bgClr>
            </a:pattFill>
            <a:ln>
              <a:solidFill>
                <a:srgbClr val="4472C4">
                  <a:lumMod val="50000"/>
                </a:srgbClr>
              </a:solidFill>
            </a:ln>
            <a:effectLst/>
          </c:spPr>
          <c:invertIfNegative val="0"/>
          <c:dPt>
            <c:idx val="0"/>
            <c:invertIfNegative val="0"/>
            <c:bubble3D val="0"/>
            <c:spPr>
              <a:pattFill prst="dkUpDiag">
                <a:fgClr>
                  <a:srgbClr val="4472C4">
                    <a:lumMod val="50000"/>
                  </a:srgbClr>
                </a:fgClr>
                <a:bgClr>
                  <a:sysClr val="window" lastClr="FFFFFF"/>
                </a:bgClr>
              </a:pattFill>
              <a:ln>
                <a:solidFill>
                  <a:srgbClr val="4472C4">
                    <a:lumMod val="50000"/>
                  </a:srgbClr>
                </a:solidFill>
              </a:ln>
              <a:effectLst/>
            </c:spPr>
            <c:extLst>
              <c:ext xmlns:c16="http://schemas.microsoft.com/office/drawing/2014/chart" uri="{C3380CC4-5D6E-409C-BE32-E72D297353CC}">
                <c16:uniqueId val="{0000001A-AACE-483D-9708-A21CDF39C363}"/>
              </c:ext>
            </c:extLst>
          </c:dPt>
          <c:dPt>
            <c:idx val="1"/>
            <c:invertIfNegative val="0"/>
            <c:bubble3D val="0"/>
            <c:spPr>
              <a:pattFill prst="dkUpDiag">
                <a:fgClr>
                  <a:srgbClr val="00B050"/>
                </a:fgClr>
                <a:bgClr>
                  <a:sysClr val="window" lastClr="FFFFFF"/>
                </a:bgClr>
              </a:pattFill>
              <a:ln>
                <a:solidFill>
                  <a:srgbClr val="00B050"/>
                </a:solidFill>
              </a:ln>
              <a:effectLst/>
            </c:spPr>
            <c:extLst>
              <c:ext xmlns:c16="http://schemas.microsoft.com/office/drawing/2014/chart" uri="{C3380CC4-5D6E-409C-BE32-E72D297353CC}">
                <c16:uniqueId val="{0000001C-AACE-483D-9708-A21CDF39C363}"/>
              </c:ext>
            </c:extLst>
          </c:dPt>
          <c:cat>
            <c:strRef>
              <c:f>'ostas dz'!$V$5:$V$6</c:f>
              <c:strCache>
                <c:ptCount val="2"/>
                <c:pt idx="0">
                  <c:v>Ostas</c:v>
                </c:pt>
                <c:pt idx="1">
                  <c:v>Dzelzceļš</c:v>
                </c:pt>
              </c:strCache>
            </c:strRef>
          </c:cat>
          <c:val>
            <c:numRef>
              <c:f>'ostas dz'!$AC$5:$AC$6</c:f>
              <c:numCache>
                <c:formatCode>General</c:formatCode>
                <c:ptCount val="2"/>
                <c:pt idx="0">
                  <c:v>47478.500000000007</c:v>
                </c:pt>
                <c:pt idx="1">
                  <c:v>38506.5</c:v>
                </c:pt>
              </c:numCache>
            </c:numRef>
          </c:val>
          <c:extLst>
            <c:ext xmlns:c16="http://schemas.microsoft.com/office/drawing/2014/chart" uri="{C3380CC4-5D6E-409C-BE32-E72D297353CC}">
              <c16:uniqueId val="{0000001D-AACE-483D-9708-A21CDF39C363}"/>
            </c:ext>
          </c:extLst>
        </c:ser>
        <c:ser>
          <c:idx val="6"/>
          <c:order val="6"/>
          <c:tx>
            <c:strRef>
              <c:f>'ostas dz'!$AD$4</c:f>
              <c:strCache>
                <c:ptCount val="1"/>
                <c:pt idx="0">
                  <c:v>2016</c:v>
                </c:pt>
              </c:strCache>
            </c:strRef>
          </c:tx>
          <c:spPr>
            <a:solidFill>
              <a:schemeClr val="accent1">
                <a:lumMod val="60000"/>
              </a:schemeClr>
            </a:solidFill>
            <a:ln>
              <a:noFill/>
            </a:ln>
            <a:effectLst/>
          </c:spPr>
          <c:invertIfNegative val="0"/>
          <c:dPt>
            <c:idx val="0"/>
            <c:invertIfNegative val="0"/>
            <c:bubble3D val="0"/>
            <c:spPr>
              <a:pattFill prst="dkUpDiag">
                <a:fgClr>
                  <a:srgbClr val="4472C4">
                    <a:lumMod val="50000"/>
                  </a:srgbClr>
                </a:fgClr>
                <a:bgClr>
                  <a:sysClr val="window" lastClr="FFFFFF"/>
                </a:bgClr>
              </a:pattFill>
              <a:ln>
                <a:solidFill>
                  <a:srgbClr val="4472C4">
                    <a:lumMod val="50000"/>
                  </a:srgbClr>
                </a:solidFill>
              </a:ln>
              <a:effectLst/>
            </c:spPr>
            <c:extLst>
              <c:ext xmlns:c16="http://schemas.microsoft.com/office/drawing/2014/chart" uri="{C3380CC4-5D6E-409C-BE32-E72D297353CC}">
                <c16:uniqueId val="{0000001F-AACE-483D-9708-A21CDF39C363}"/>
              </c:ext>
            </c:extLst>
          </c:dPt>
          <c:dPt>
            <c:idx val="1"/>
            <c:invertIfNegative val="0"/>
            <c:bubble3D val="0"/>
            <c:spPr>
              <a:pattFill prst="dkUpDiag">
                <a:fgClr>
                  <a:srgbClr val="00B050"/>
                </a:fgClr>
                <a:bgClr>
                  <a:sysClr val="window" lastClr="FFFFFF"/>
                </a:bgClr>
              </a:pattFill>
              <a:ln>
                <a:solidFill>
                  <a:srgbClr val="00B050"/>
                </a:solidFill>
              </a:ln>
              <a:effectLst/>
            </c:spPr>
            <c:extLst>
              <c:ext xmlns:c16="http://schemas.microsoft.com/office/drawing/2014/chart" uri="{C3380CC4-5D6E-409C-BE32-E72D297353CC}">
                <c16:uniqueId val="{00000021-AACE-483D-9708-A21CDF39C363}"/>
              </c:ext>
            </c:extLst>
          </c:dPt>
          <c:cat>
            <c:strRef>
              <c:f>'ostas dz'!$V$5:$V$6</c:f>
              <c:strCache>
                <c:ptCount val="2"/>
                <c:pt idx="0">
                  <c:v>Ostas</c:v>
                </c:pt>
                <c:pt idx="1">
                  <c:v>Dzelzceļš</c:v>
                </c:pt>
              </c:strCache>
            </c:strRef>
          </c:cat>
          <c:val>
            <c:numRef>
              <c:f>'ostas dz'!$AD$5:$AD$6</c:f>
              <c:numCache>
                <c:formatCode>General</c:formatCode>
                <c:ptCount val="2"/>
                <c:pt idx="0">
                  <c:v>41104.299999999996</c:v>
                </c:pt>
                <c:pt idx="1">
                  <c:v>30600.3</c:v>
                </c:pt>
              </c:numCache>
            </c:numRef>
          </c:val>
          <c:extLst>
            <c:ext xmlns:c16="http://schemas.microsoft.com/office/drawing/2014/chart" uri="{C3380CC4-5D6E-409C-BE32-E72D297353CC}">
              <c16:uniqueId val="{00000022-AACE-483D-9708-A21CDF39C363}"/>
            </c:ext>
          </c:extLst>
        </c:ser>
        <c:ser>
          <c:idx val="7"/>
          <c:order val="7"/>
          <c:tx>
            <c:strRef>
              <c:f>'ostas dz'!$AE$4</c:f>
              <c:strCache>
                <c:ptCount val="1"/>
                <c:pt idx="0">
                  <c:v>2017</c:v>
                </c:pt>
              </c:strCache>
            </c:strRef>
          </c:tx>
          <c:spPr>
            <a:pattFill prst="dkUpDiag">
              <a:fgClr>
                <a:srgbClr val="00B050"/>
              </a:fgClr>
              <a:bgClr>
                <a:sysClr val="window" lastClr="FFFFFF"/>
              </a:bgClr>
            </a:pattFill>
            <a:ln>
              <a:solidFill>
                <a:srgbClr val="00B050"/>
              </a:solidFill>
            </a:ln>
            <a:effectLst/>
          </c:spPr>
          <c:invertIfNegative val="0"/>
          <c:dPt>
            <c:idx val="0"/>
            <c:invertIfNegative val="0"/>
            <c:bubble3D val="0"/>
            <c:spPr>
              <a:pattFill prst="dkUpDiag">
                <a:fgClr>
                  <a:srgbClr val="4472C4">
                    <a:lumMod val="50000"/>
                  </a:srgbClr>
                </a:fgClr>
                <a:bgClr>
                  <a:sysClr val="window" lastClr="FFFFFF"/>
                </a:bgClr>
              </a:pattFill>
              <a:ln>
                <a:solidFill>
                  <a:srgbClr val="4472C4">
                    <a:lumMod val="50000"/>
                  </a:srgbClr>
                </a:solidFill>
              </a:ln>
              <a:effectLst/>
            </c:spPr>
            <c:extLst>
              <c:ext xmlns:c16="http://schemas.microsoft.com/office/drawing/2014/chart" uri="{C3380CC4-5D6E-409C-BE32-E72D297353CC}">
                <c16:uniqueId val="{00000024-AACE-483D-9708-A21CDF39C363}"/>
              </c:ext>
            </c:extLst>
          </c:dPt>
          <c:dPt>
            <c:idx val="1"/>
            <c:invertIfNegative val="0"/>
            <c:bubble3D val="0"/>
            <c:spPr>
              <a:pattFill prst="dkUpDiag">
                <a:fgClr>
                  <a:srgbClr val="00B050"/>
                </a:fgClr>
                <a:bgClr>
                  <a:sysClr val="window" lastClr="FFFFFF"/>
                </a:bgClr>
              </a:pattFill>
              <a:ln>
                <a:solidFill>
                  <a:srgbClr val="00B050"/>
                </a:solidFill>
              </a:ln>
              <a:effectLst/>
            </c:spPr>
            <c:extLst>
              <c:ext xmlns:c16="http://schemas.microsoft.com/office/drawing/2014/chart" uri="{C3380CC4-5D6E-409C-BE32-E72D297353CC}">
                <c16:uniqueId val="{00000026-AACE-483D-9708-A21CDF39C363}"/>
              </c:ext>
            </c:extLst>
          </c:dPt>
          <c:cat>
            <c:strRef>
              <c:f>'ostas dz'!$V$5:$V$6</c:f>
              <c:strCache>
                <c:ptCount val="2"/>
                <c:pt idx="0">
                  <c:v>Ostas</c:v>
                </c:pt>
                <c:pt idx="1">
                  <c:v>Dzelzceļš</c:v>
                </c:pt>
              </c:strCache>
            </c:strRef>
          </c:cat>
          <c:val>
            <c:numRef>
              <c:f>'ostas dz'!$AE$5:$AE$6</c:f>
              <c:numCache>
                <c:formatCode>General</c:formatCode>
                <c:ptCount val="2"/>
                <c:pt idx="0">
                  <c:v>43058.499999999993</c:v>
                </c:pt>
                <c:pt idx="1">
                  <c:v>30368.7</c:v>
                </c:pt>
              </c:numCache>
            </c:numRef>
          </c:val>
          <c:extLst>
            <c:ext xmlns:c16="http://schemas.microsoft.com/office/drawing/2014/chart" uri="{C3380CC4-5D6E-409C-BE32-E72D297353CC}">
              <c16:uniqueId val="{00000027-AACE-483D-9708-A21CDF39C363}"/>
            </c:ext>
          </c:extLst>
        </c:ser>
        <c:ser>
          <c:idx val="8"/>
          <c:order val="8"/>
          <c:tx>
            <c:strRef>
              <c:f>'ostas dz'!$AF$4</c:f>
              <c:strCache>
                <c:ptCount val="1"/>
                <c:pt idx="0">
                  <c:v>2018</c:v>
                </c:pt>
              </c:strCache>
            </c:strRef>
          </c:tx>
          <c:spPr>
            <a:pattFill prst="dkUpDiag">
              <a:fgClr>
                <a:srgbClr val="002060"/>
              </a:fgClr>
              <a:bgClr>
                <a:sysClr val="window" lastClr="FFFFFF"/>
              </a:bgClr>
            </a:pattFill>
            <a:ln>
              <a:solidFill>
                <a:srgbClr val="002060"/>
              </a:solidFill>
            </a:ln>
            <a:effectLst/>
          </c:spPr>
          <c:invertIfNegative val="0"/>
          <c:dPt>
            <c:idx val="0"/>
            <c:invertIfNegative val="0"/>
            <c:bubble3D val="0"/>
            <c:spPr>
              <a:pattFill prst="dkUpDiag">
                <a:fgClr>
                  <a:srgbClr val="4472C4">
                    <a:lumMod val="50000"/>
                  </a:srgbClr>
                </a:fgClr>
                <a:bgClr>
                  <a:sysClr val="window" lastClr="FFFFFF"/>
                </a:bgClr>
              </a:pattFill>
              <a:ln>
                <a:solidFill>
                  <a:srgbClr val="4472C4">
                    <a:lumMod val="50000"/>
                  </a:srgbClr>
                </a:solidFill>
              </a:ln>
              <a:effectLst/>
            </c:spPr>
            <c:extLst>
              <c:ext xmlns:c16="http://schemas.microsoft.com/office/drawing/2014/chart" uri="{C3380CC4-5D6E-409C-BE32-E72D297353CC}">
                <c16:uniqueId val="{00000029-AACE-483D-9708-A21CDF39C363}"/>
              </c:ext>
            </c:extLst>
          </c:dPt>
          <c:dPt>
            <c:idx val="1"/>
            <c:invertIfNegative val="0"/>
            <c:bubble3D val="0"/>
            <c:spPr>
              <a:pattFill prst="dkUpDiag">
                <a:fgClr>
                  <a:srgbClr val="00B050"/>
                </a:fgClr>
                <a:bgClr>
                  <a:sysClr val="window" lastClr="FFFFFF"/>
                </a:bgClr>
              </a:pattFill>
              <a:ln>
                <a:solidFill>
                  <a:srgbClr val="00B050"/>
                </a:solidFill>
              </a:ln>
              <a:effectLst/>
            </c:spPr>
            <c:extLst>
              <c:ext xmlns:c16="http://schemas.microsoft.com/office/drawing/2014/chart" uri="{C3380CC4-5D6E-409C-BE32-E72D297353CC}">
                <c16:uniqueId val="{0000002B-AACE-483D-9708-A21CDF39C363}"/>
              </c:ext>
            </c:extLst>
          </c:dPt>
          <c:cat>
            <c:strRef>
              <c:f>'ostas dz'!$V$5:$V$6</c:f>
              <c:strCache>
                <c:ptCount val="2"/>
                <c:pt idx="0">
                  <c:v>Ostas</c:v>
                </c:pt>
                <c:pt idx="1">
                  <c:v>Dzelzceļš</c:v>
                </c:pt>
              </c:strCache>
            </c:strRef>
          </c:cat>
          <c:val>
            <c:numRef>
              <c:f>'ostas dz'!$AF$5:$AF$6</c:f>
              <c:numCache>
                <c:formatCode>General</c:formatCode>
                <c:ptCount val="2"/>
                <c:pt idx="0">
                  <c:v>43468.44</c:v>
                </c:pt>
                <c:pt idx="1">
                  <c:v>32337.9</c:v>
                </c:pt>
              </c:numCache>
            </c:numRef>
          </c:val>
          <c:extLst>
            <c:ext xmlns:c16="http://schemas.microsoft.com/office/drawing/2014/chart" uri="{C3380CC4-5D6E-409C-BE32-E72D297353CC}">
              <c16:uniqueId val="{0000002C-AACE-483D-9708-A21CDF39C363}"/>
            </c:ext>
          </c:extLst>
        </c:ser>
        <c:ser>
          <c:idx val="9"/>
          <c:order val="9"/>
          <c:tx>
            <c:strRef>
              <c:f>'ostas dz'!$AG$4</c:f>
              <c:strCache>
                <c:ptCount val="1"/>
                <c:pt idx="0">
                  <c:v>2019</c:v>
                </c:pt>
              </c:strCache>
            </c:strRef>
          </c:tx>
          <c:spPr>
            <a:pattFill prst="dkUpDiag">
              <a:fgClr>
                <a:srgbClr val="002060"/>
              </a:fgClr>
              <a:bgClr>
                <a:sysClr val="window" lastClr="FFFFFF"/>
              </a:bgClr>
            </a:pattFill>
            <a:ln>
              <a:noFill/>
            </a:ln>
            <a:effectLst/>
          </c:spPr>
          <c:invertIfNegative val="0"/>
          <c:dPt>
            <c:idx val="0"/>
            <c:invertIfNegative val="0"/>
            <c:bubble3D val="0"/>
            <c:spPr>
              <a:pattFill prst="dkUpDiag">
                <a:fgClr>
                  <a:srgbClr val="002060"/>
                </a:fgClr>
                <a:bgClr>
                  <a:sysClr val="window" lastClr="FFFFFF"/>
                </a:bgClr>
              </a:pattFill>
              <a:ln>
                <a:solidFill>
                  <a:srgbClr val="4472C4">
                    <a:lumMod val="50000"/>
                  </a:srgbClr>
                </a:solidFill>
              </a:ln>
              <a:effectLst/>
            </c:spPr>
            <c:extLst>
              <c:ext xmlns:c16="http://schemas.microsoft.com/office/drawing/2014/chart" uri="{C3380CC4-5D6E-409C-BE32-E72D297353CC}">
                <c16:uniqueId val="{0000002E-AACE-483D-9708-A21CDF39C363}"/>
              </c:ext>
            </c:extLst>
          </c:dPt>
          <c:dPt>
            <c:idx val="1"/>
            <c:invertIfNegative val="0"/>
            <c:bubble3D val="0"/>
            <c:spPr>
              <a:pattFill prst="dkUpDiag">
                <a:fgClr>
                  <a:srgbClr val="00B050"/>
                </a:fgClr>
                <a:bgClr>
                  <a:sysClr val="window" lastClr="FFFFFF"/>
                </a:bgClr>
              </a:pattFill>
              <a:ln>
                <a:solidFill>
                  <a:srgbClr val="00B050"/>
                </a:solidFill>
              </a:ln>
              <a:effectLst/>
            </c:spPr>
            <c:extLst>
              <c:ext xmlns:c16="http://schemas.microsoft.com/office/drawing/2014/chart" uri="{C3380CC4-5D6E-409C-BE32-E72D297353CC}">
                <c16:uniqueId val="{00000030-AACE-483D-9708-A21CDF39C363}"/>
              </c:ext>
            </c:extLst>
          </c:dPt>
          <c:dLbls>
            <c:dLbl>
              <c:idx val="0"/>
              <c:layout>
                <c:manualLayout>
                  <c:x val="6.1649113793989213E-2"/>
                  <c:y val="0.7058203845140900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t>2021. </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AACE-483D-9708-A21CDF39C363}"/>
                </c:ext>
              </c:extLst>
            </c:dLbl>
            <c:dLbl>
              <c:idx val="1"/>
              <c:layout>
                <c:manualLayout>
                  <c:x val="8.4767531466735171E-2"/>
                  <c:y val="0.51802396836292219"/>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t>2021.</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6.7428718212175706E-2"/>
                      <c:h val="7.5559859731781615E-2"/>
                    </c:manualLayout>
                  </c15:layout>
                </c:ext>
                <c:ext xmlns:c16="http://schemas.microsoft.com/office/drawing/2014/chart" uri="{C3380CC4-5D6E-409C-BE32-E72D297353CC}">
                  <c16:uniqueId val="{00000030-AACE-483D-9708-A21CDF39C3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'ostas dz'!$V$5:$V$6</c:f>
              <c:strCache>
                <c:ptCount val="2"/>
                <c:pt idx="0">
                  <c:v>Ostas</c:v>
                </c:pt>
                <c:pt idx="1">
                  <c:v>Dzelzceļš</c:v>
                </c:pt>
              </c:strCache>
            </c:strRef>
          </c:cat>
          <c:val>
            <c:numRef>
              <c:f>'ostas dz'!$AG$5:$AG$6</c:f>
              <c:numCache>
                <c:formatCode>General</c:formatCode>
                <c:ptCount val="2"/>
                <c:pt idx="0">
                  <c:v>42321.4</c:v>
                </c:pt>
                <c:pt idx="1">
                  <c:v>28372.7</c:v>
                </c:pt>
              </c:numCache>
            </c:numRef>
          </c:val>
          <c:extLst>
            <c:ext xmlns:c16="http://schemas.microsoft.com/office/drawing/2014/chart" uri="{C3380CC4-5D6E-409C-BE32-E72D297353CC}">
              <c16:uniqueId val="{00000031-AACE-483D-9708-A21CDF39C363}"/>
            </c:ext>
          </c:extLst>
        </c:ser>
        <c:ser>
          <c:idx val="10"/>
          <c:order val="10"/>
          <c:tx>
            <c:strRef>
              <c:f>'ostas dz'!$AH$4</c:f>
              <c:strCache>
                <c:ptCount val="1"/>
                <c:pt idx="0">
                  <c:v>2020</c:v>
                </c:pt>
              </c:strCache>
            </c:strRef>
          </c:tx>
          <c:spPr>
            <a:pattFill prst="dkUpDiag">
              <a:fgClr>
                <a:srgbClr val="4472C4">
                  <a:lumMod val="50000"/>
                </a:srgbClr>
              </a:fgClr>
              <a:bgClr>
                <a:sysClr val="window" lastClr="FFFFFF"/>
              </a:bgClr>
            </a:pattFill>
            <a:ln>
              <a:solidFill>
                <a:srgbClr val="4472C4">
                  <a:lumMod val="50000"/>
                </a:srgbClr>
              </a:solidFill>
            </a:ln>
            <a:effectLst/>
          </c:spPr>
          <c:invertIfNegative val="0"/>
          <c:dPt>
            <c:idx val="1"/>
            <c:invertIfNegative val="0"/>
            <c:bubble3D val="0"/>
            <c:spPr>
              <a:pattFill prst="dkUpDiag">
                <a:fgClr>
                  <a:srgbClr val="00B050"/>
                </a:fgClr>
                <a:bgClr>
                  <a:sysClr val="window" lastClr="FFFFFF"/>
                </a:bgClr>
              </a:pattFill>
              <a:ln>
                <a:solidFill>
                  <a:srgbClr val="00B050"/>
                </a:solidFill>
              </a:ln>
              <a:effectLst/>
            </c:spPr>
            <c:extLst>
              <c:ext xmlns:c16="http://schemas.microsoft.com/office/drawing/2014/chart" uri="{C3380CC4-5D6E-409C-BE32-E72D297353CC}">
                <c16:uniqueId val="{00000033-AACE-483D-9708-A21CDF39C363}"/>
              </c:ext>
            </c:extLst>
          </c:dPt>
          <c:cat>
            <c:strRef>
              <c:f>'ostas dz'!$V$5:$V$6</c:f>
              <c:strCache>
                <c:ptCount val="2"/>
                <c:pt idx="0">
                  <c:v>Ostas</c:v>
                </c:pt>
                <c:pt idx="1">
                  <c:v>Dzelzceļš</c:v>
                </c:pt>
              </c:strCache>
            </c:strRef>
          </c:cat>
          <c:val>
            <c:numRef>
              <c:f>'ostas dz'!$AH$5:$AH$6</c:f>
              <c:numCache>
                <c:formatCode>General</c:formatCode>
                <c:ptCount val="2"/>
                <c:pt idx="0">
                  <c:v>29744.100000000002</c:v>
                </c:pt>
                <c:pt idx="1">
                  <c:v>15524.8</c:v>
                </c:pt>
              </c:numCache>
            </c:numRef>
          </c:val>
          <c:extLst>
            <c:ext xmlns:c16="http://schemas.microsoft.com/office/drawing/2014/chart" uri="{C3380CC4-5D6E-409C-BE32-E72D297353CC}">
              <c16:uniqueId val="{00000034-AACE-483D-9708-A21CDF39C363}"/>
            </c:ext>
          </c:extLst>
        </c:ser>
        <c:ser>
          <c:idx val="11"/>
          <c:order val="11"/>
          <c:tx>
            <c:strRef>
              <c:f>'ostas dz'!$AI$4</c:f>
              <c:strCache>
                <c:ptCount val="1"/>
                <c:pt idx="0">
                  <c:v>2021</c:v>
                </c:pt>
              </c:strCache>
            </c:strRef>
          </c:tx>
          <c:spPr>
            <a:pattFill prst="dkUpDiag">
              <a:fgClr>
                <a:srgbClr val="002060"/>
              </a:fgClr>
              <a:bgClr>
                <a:sysClr val="window" lastClr="FFFFFF"/>
              </a:bgClr>
            </a:pattFill>
            <a:ln>
              <a:solidFill>
                <a:srgbClr val="002060"/>
              </a:solidFill>
            </a:ln>
            <a:effectLst/>
          </c:spPr>
          <c:invertIfNegative val="0"/>
          <c:dPt>
            <c:idx val="0"/>
            <c:invertIfNegative val="0"/>
            <c:bubble3D val="0"/>
            <c:spPr>
              <a:pattFill prst="dkUpDiag">
                <a:fgClr>
                  <a:srgbClr val="4472C4">
                    <a:lumMod val="50000"/>
                  </a:srgbClr>
                </a:fgClr>
                <a:bgClr>
                  <a:sysClr val="window" lastClr="FFFFFF"/>
                </a:bgClr>
              </a:pattFill>
              <a:ln>
                <a:solidFill>
                  <a:srgbClr val="4472C4">
                    <a:lumMod val="50000"/>
                  </a:srgbClr>
                </a:solidFill>
              </a:ln>
              <a:effectLst/>
            </c:spPr>
            <c:extLst>
              <c:ext xmlns:c16="http://schemas.microsoft.com/office/drawing/2014/chart" uri="{C3380CC4-5D6E-409C-BE32-E72D297353CC}">
                <c16:uniqueId val="{00000036-AACE-483D-9708-A21CDF39C363}"/>
              </c:ext>
            </c:extLst>
          </c:dPt>
          <c:dPt>
            <c:idx val="1"/>
            <c:invertIfNegative val="0"/>
            <c:bubble3D val="0"/>
            <c:spPr>
              <a:pattFill prst="dkUpDiag">
                <a:fgClr>
                  <a:srgbClr val="00B050"/>
                </a:fgClr>
                <a:bgClr>
                  <a:sysClr val="window" lastClr="FFFFFF"/>
                </a:bgClr>
              </a:pattFill>
              <a:ln>
                <a:solidFill>
                  <a:srgbClr val="00B050"/>
                </a:solidFill>
              </a:ln>
              <a:effectLst/>
            </c:spPr>
            <c:extLst>
              <c:ext xmlns:c16="http://schemas.microsoft.com/office/drawing/2014/chart" uri="{C3380CC4-5D6E-409C-BE32-E72D297353CC}">
                <c16:uniqueId val="{00000038-AACE-483D-9708-A21CDF39C363}"/>
              </c:ext>
            </c:extLst>
          </c:dPt>
          <c:cat>
            <c:strRef>
              <c:f>'ostas dz'!$V$5:$V$6</c:f>
              <c:strCache>
                <c:ptCount val="2"/>
                <c:pt idx="0">
                  <c:v>Ostas</c:v>
                </c:pt>
                <c:pt idx="1">
                  <c:v>Dzelzceļš</c:v>
                </c:pt>
              </c:strCache>
            </c:strRef>
          </c:cat>
          <c:val>
            <c:numRef>
              <c:f>'ostas dz'!$AI$5:$AI$6</c:f>
              <c:numCache>
                <c:formatCode>General</c:formatCode>
                <c:ptCount val="2"/>
                <c:pt idx="0">
                  <c:v>26549.5</c:v>
                </c:pt>
                <c:pt idx="1">
                  <c:v>13226.8</c:v>
                </c:pt>
              </c:numCache>
            </c:numRef>
          </c:val>
          <c:extLst>
            <c:ext xmlns:c16="http://schemas.microsoft.com/office/drawing/2014/chart" uri="{C3380CC4-5D6E-409C-BE32-E72D297353CC}">
              <c16:uniqueId val="{00000039-AACE-483D-9708-A21CDF39C363}"/>
            </c:ext>
          </c:extLst>
        </c:ser>
        <c:dLbls>
          <c:showLegendKey val="0"/>
          <c:showVal val="0"/>
          <c:showCatName val="0"/>
          <c:showSerName val="0"/>
          <c:showPercent val="0"/>
          <c:showBubbleSize val="0"/>
        </c:dLbls>
        <c:gapWidth val="219"/>
        <c:overlap val="-27"/>
        <c:axId val="221658064"/>
        <c:axId val="221658456"/>
      </c:barChart>
      <c:catAx>
        <c:axId val="221658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21658456"/>
        <c:crosses val="autoZero"/>
        <c:auto val="1"/>
        <c:lblAlgn val="ctr"/>
        <c:lblOffset val="100"/>
        <c:noMultiLvlLbl val="0"/>
      </c:catAx>
      <c:valAx>
        <c:axId val="221658456"/>
        <c:scaling>
          <c:orientation val="minMax"/>
          <c:max val="6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216580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336252272263436E-2"/>
          <c:y val="5.1400554097404488E-2"/>
          <c:w val="0.89141528195051567"/>
          <c:h val="0.73344738382522323"/>
        </c:manualLayout>
      </c:layout>
      <c:lineChart>
        <c:grouping val="standard"/>
        <c:varyColors val="0"/>
        <c:ser>
          <c:idx val="0"/>
          <c:order val="0"/>
          <c:tx>
            <c:strRef>
              <c:f>ind!$M$16</c:f>
              <c:strCache>
                <c:ptCount val="1"/>
                <c:pt idx="0">
                  <c:v>Dzelzceļš</c:v>
                </c:pt>
              </c:strCache>
            </c:strRef>
          </c:tx>
          <c:spPr>
            <a:ln>
              <a:prstDash val="sysDash"/>
            </a:ln>
          </c:spPr>
          <c:marker>
            <c:symbol val="none"/>
          </c:marker>
          <c:cat>
            <c:numRef>
              <c:f>ind!$L$17:$L$28</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formatCode="0">
                  <c:v>2020</c:v>
                </c:pt>
                <c:pt idx="11" formatCode="0">
                  <c:v>2021</c:v>
                </c:pt>
              </c:numCache>
            </c:numRef>
          </c:cat>
          <c:val>
            <c:numRef>
              <c:f>ind!$M$17:$M$28</c:f>
              <c:numCache>
                <c:formatCode>General</c:formatCode>
                <c:ptCount val="12"/>
                <c:pt idx="0">
                  <c:v>1</c:v>
                </c:pt>
                <c:pt idx="1">
                  <c:v>0.96769297914972141</c:v>
                </c:pt>
                <c:pt idx="2">
                  <c:v>0.94164500962167941</c:v>
                </c:pt>
                <c:pt idx="3">
                  <c:v>0.93892713313627085</c:v>
                </c:pt>
                <c:pt idx="4">
                  <c:v>0.93021802527426767</c:v>
                </c:pt>
                <c:pt idx="5">
                  <c:v>0.80947090681849754</c:v>
                </c:pt>
                <c:pt idx="6">
                  <c:v>0.80894518618445843</c:v>
                </c:pt>
                <c:pt idx="7">
                  <c:v>0.82776201718015363</c:v>
                </c:pt>
                <c:pt idx="8">
                  <c:v>0.86451286527664817</c:v>
                </c:pt>
                <c:pt idx="9">
                  <c:v>0.88737675322871823</c:v>
                </c:pt>
                <c:pt idx="10">
                  <c:v>0.60476719503243592</c:v>
                </c:pt>
                <c:pt idx="11">
                  <c:v>0.46032297101593034</c:v>
                </c:pt>
              </c:numCache>
            </c:numRef>
          </c:val>
          <c:smooth val="1"/>
          <c:extLst>
            <c:ext xmlns:c16="http://schemas.microsoft.com/office/drawing/2014/chart" uri="{C3380CC4-5D6E-409C-BE32-E72D297353CC}">
              <c16:uniqueId val="{00000000-463D-4AC0-8C24-3055A4E44618}"/>
            </c:ext>
          </c:extLst>
        </c:ser>
        <c:ser>
          <c:idx val="1"/>
          <c:order val="1"/>
          <c:tx>
            <c:strRef>
              <c:f>ind!$N$16</c:f>
              <c:strCache>
                <c:ptCount val="1"/>
                <c:pt idx="0">
                  <c:v>Autobusi</c:v>
                </c:pt>
              </c:strCache>
            </c:strRef>
          </c:tx>
          <c:spPr>
            <a:ln>
              <a:solidFill>
                <a:schemeClr val="accent6">
                  <a:lumMod val="75000"/>
                </a:schemeClr>
              </a:solidFill>
              <a:prstDash val="sysDash"/>
            </a:ln>
          </c:spPr>
          <c:marker>
            <c:symbol val="none"/>
          </c:marker>
          <c:cat>
            <c:numRef>
              <c:f>ind!$L$17:$L$28</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formatCode="0">
                  <c:v>2020</c:v>
                </c:pt>
                <c:pt idx="11" formatCode="0">
                  <c:v>2021</c:v>
                </c:pt>
              </c:numCache>
            </c:numRef>
          </c:cat>
          <c:val>
            <c:numRef>
              <c:f>ind!$N$17:$N$28</c:f>
              <c:numCache>
                <c:formatCode>General</c:formatCode>
                <c:ptCount val="12"/>
                <c:pt idx="0">
                  <c:v>1</c:v>
                </c:pt>
                <c:pt idx="1">
                  <c:v>1.0397558287934243</c:v>
                </c:pt>
                <c:pt idx="2">
                  <c:v>1.0188047811004852</c:v>
                </c:pt>
                <c:pt idx="3">
                  <c:v>1.0350584987659319</c:v>
                </c:pt>
                <c:pt idx="4">
                  <c:v>1.020508301146362</c:v>
                </c:pt>
                <c:pt idx="5">
                  <c:v>1.0166458646067005</c:v>
                </c:pt>
                <c:pt idx="6">
                  <c:v>1.0054450797506</c:v>
                </c:pt>
                <c:pt idx="7">
                  <c:v>0.99003468884053814</c:v>
                </c:pt>
                <c:pt idx="8">
                  <c:v>0.98487352909758419</c:v>
                </c:pt>
                <c:pt idx="9">
                  <c:v>0.98671479251350735</c:v>
                </c:pt>
                <c:pt idx="10">
                  <c:v>0.59197462148684132</c:v>
                </c:pt>
                <c:pt idx="11">
                  <c:v>0.46230048294512188</c:v>
                </c:pt>
              </c:numCache>
            </c:numRef>
          </c:val>
          <c:smooth val="1"/>
          <c:extLst>
            <c:ext xmlns:c16="http://schemas.microsoft.com/office/drawing/2014/chart" uri="{C3380CC4-5D6E-409C-BE32-E72D297353CC}">
              <c16:uniqueId val="{00000001-463D-4AC0-8C24-3055A4E44618}"/>
            </c:ext>
          </c:extLst>
        </c:ser>
        <c:ser>
          <c:idx val="2"/>
          <c:order val="2"/>
          <c:tx>
            <c:strRef>
              <c:f>ind!$O$16</c:f>
              <c:strCache>
                <c:ptCount val="1"/>
                <c:pt idx="0">
                  <c:v>Tramvaji</c:v>
                </c:pt>
              </c:strCache>
            </c:strRef>
          </c:tx>
          <c:spPr>
            <a:ln>
              <a:solidFill>
                <a:schemeClr val="accent3"/>
              </a:solidFill>
              <a:prstDash val="sysDash"/>
            </a:ln>
          </c:spPr>
          <c:marker>
            <c:symbol val="none"/>
          </c:marker>
          <c:cat>
            <c:numRef>
              <c:f>ind!$L$17:$L$28</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formatCode="0">
                  <c:v>2020</c:v>
                </c:pt>
                <c:pt idx="11" formatCode="0">
                  <c:v>2021</c:v>
                </c:pt>
              </c:numCache>
            </c:numRef>
          </c:cat>
          <c:val>
            <c:numRef>
              <c:f>ind!$O$17:$O$28</c:f>
              <c:numCache>
                <c:formatCode>General</c:formatCode>
                <c:ptCount val="12"/>
                <c:pt idx="0">
                  <c:v>1</c:v>
                </c:pt>
                <c:pt idx="1">
                  <c:v>1.0175773233213414</c:v>
                </c:pt>
                <c:pt idx="2">
                  <c:v>0.9691575922930199</c:v>
                </c:pt>
                <c:pt idx="3">
                  <c:v>1.0384866117777725</c:v>
                </c:pt>
                <c:pt idx="4">
                  <c:v>1.095101045464423</c:v>
                </c:pt>
                <c:pt idx="5">
                  <c:v>1.0643455585870536</c:v>
                </c:pt>
                <c:pt idx="6">
                  <c:v>1.0077504406403168</c:v>
                </c:pt>
                <c:pt idx="7">
                  <c:v>1.0074075862568512</c:v>
                </c:pt>
                <c:pt idx="8">
                  <c:v>1.0326291136489847</c:v>
                </c:pt>
                <c:pt idx="9">
                  <c:v>1.0093391602482074</c:v>
                </c:pt>
                <c:pt idx="10">
                  <c:v>0.55500398387135719</c:v>
                </c:pt>
                <c:pt idx="11">
                  <c:v>0.41580510418427219</c:v>
                </c:pt>
              </c:numCache>
            </c:numRef>
          </c:val>
          <c:smooth val="1"/>
          <c:extLst>
            <c:ext xmlns:c16="http://schemas.microsoft.com/office/drawing/2014/chart" uri="{C3380CC4-5D6E-409C-BE32-E72D297353CC}">
              <c16:uniqueId val="{00000002-463D-4AC0-8C24-3055A4E44618}"/>
            </c:ext>
          </c:extLst>
        </c:ser>
        <c:ser>
          <c:idx val="3"/>
          <c:order val="3"/>
          <c:tx>
            <c:strRef>
              <c:f>ind!$P$16</c:f>
              <c:strCache>
                <c:ptCount val="1"/>
                <c:pt idx="0">
                  <c:v>Trolejbusi</c:v>
                </c:pt>
              </c:strCache>
            </c:strRef>
          </c:tx>
          <c:spPr>
            <a:ln>
              <a:prstDash val="sysDash"/>
            </a:ln>
          </c:spPr>
          <c:marker>
            <c:symbol val="none"/>
          </c:marker>
          <c:cat>
            <c:numRef>
              <c:f>ind!$L$17:$L$28</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formatCode="0">
                  <c:v>2020</c:v>
                </c:pt>
                <c:pt idx="11" formatCode="0">
                  <c:v>2021</c:v>
                </c:pt>
              </c:numCache>
            </c:numRef>
          </c:cat>
          <c:val>
            <c:numRef>
              <c:f>ind!$P$17:$P$28</c:f>
              <c:numCache>
                <c:formatCode>General</c:formatCode>
                <c:ptCount val="12"/>
                <c:pt idx="0">
                  <c:v>1</c:v>
                </c:pt>
                <c:pt idx="1">
                  <c:v>1.0528972476485354</c:v>
                </c:pt>
                <c:pt idx="2">
                  <c:v>1.0382679159737338</c:v>
                </c:pt>
                <c:pt idx="3">
                  <c:v>1.0844363921526208</c:v>
                </c:pt>
                <c:pt idx="4">
                  <c:v>1.087190095681057</c:v>
                </c:pt>
                <c:pt idx="5">
                  <c:v>1.0209795252452869</c:v>
                </c:pt>
                <c:pt idx="6">
                  <c:v>0.98708328263093581</c:v>
                </c:pt>
                <c:pt idx="7">
                  <c:v>0.98010212589517898</c:v>
                </c:pt>
                <c:pt idx="8">
                  <c:v>0.95087050382408733</c:v>
                </c:pt>
                <c:pt idx="9">
                  <c:v>0.90947481330250624</c:v>
                </c:pt>
                <c:pt idx="10">
                  <c:v>0.62299500187035506</c:v>
                </c:pt>
                <c:pt idx="11">
                  <c:v>0.49033048949220975</c:v>
                </c:pt>
              </c:numCache>
            </c:numRef>
          </c:val>
          <c:smooth val="1"/>
          <c:extLst>
            <c:ext xmlns:c16="http://schemas.microsoft.com/office/drawing/2014/chart" uri="{C3380CC4-5D6E-409C-BE32-E72D297353CC}">
              <c16:uniqueId val="{00000003-463D-4AC0-8C24-3055A4E44618}"/>
            </c:ext>
          </c:extLst>
        </c:ser>
        <c:ser>
          <c:idx val="4"/>
          <c:order val="4"/>
          <c:tx>
            <c:strRef>
              <c:f>ind!$Q$16</c:f>
              <c:strCache>
                <c:ptCount val="1"/>
                <c:pt idx="0">
                  <c:v>Lidosta</c:v>
                </c:pt>
              </c:strCache>
            </c:strRef>
          </c:tx>
          <c:spPr>
            <a:ln>
              <a:solidFill>
                <a:schemeClr val="tx2">
                  <a:lumMod val="50000"/>
                </a:schemeClr>
              </a:solidFill>
              <a:prstDash val="sysDash"/>
            </a:ln>
            <a:effectLst>
              <a:outerShdw blurRad="50800" dist="38100" dir="2700000" algn="tl" rotWithShape="0">
                <a:prstClr val="black">
                  <a:alpha val="40000"/>
                </a:prstClr>
              </a:outerShdw>
            </a:effectLst>
          </c:spPr>
          <c:marker>
            <c:symbol val="none"/>
          </c:marker>
          <c:cat>
            <c:numRef>
              <c:f>ind!$L$17:$L$28</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formatCode="0">
                  <c:v>2020</c:v>
                </c:pt>
                <c:pt idx="11" formatCode="0">
                  <c:v>2021</c:v>
                </c:pt>
              </c:numCache>
            </c:numRef>
          </c:cat>
          <c:val>
            <c:numRef>
              <c:f>ind!$Q$17:$Q$28</c:f>
              <c:numCache>
                <c:formatCode>General</c:formatCode>
                <c:ptCount val="12"/>
                <c:pt idx="0">
                  <c:v>1</c:v>
                </c:pt>
                <c:pt idx="1">
                  <c:v>1.1385841011311322</c:v>
                </c:pt>
                <c:pt idx="2">
                  <c:v>1.0699752270929384</c:v>
                </c:pt>
                <c:pt idx="3">
                  <c:v>1.0838999019873228</c:v>
                </c:pt>
                <c:pt idx="4">
                  <c:v>1.064519840525306</c:v>
                </c:pt>
                <c:pt idx="5">
                  <c:v>1.1347447540779336</c:v>
                </c:pt>
                <c:pt idx="6">
                  <c:v>1.2058734084875256</c:v>
                </c:pt>
                <c:pt idx="7">
                  <c:v>1.3110386718017097</c:v>
                </c:pt>
                <c:pt idx="8">
                  <c:v>1.5500139165588909</c:v>
                </c:pt>
                <c:pt idx="9">
                  <c:v>1.6978220943394695</c:v>
                </c:pt>
                <c:pt idx="10">
                  <c:v>0.62996180226837528</c:v>
                </c:pt>
                <c:pt idx="11">
                  <c:v>0.19371133858200051</c:v>
                </c:pt>
              </c:numCache>
            </c:numRef>
          </c:val>
          <c:smooth val="1"/>
          <c:extLst>
            <c:ext xmlns:c16="http://schemas.microsoft.com/office/drawing/2014/chart" uri="{C3380CC4-5D6E-409C-BE32-E72D297353CC}">
              <c16:uniqueId val="{00000004-463D-4AC0-8C24-3055A4E44618}"/>
            </c:ext>
          </c:extLst>
        </c:ser>
        <c:ser>
          <c:idx val="5"/>
          <c:order val="5"/>
          <c:tx>
            <c:strRef>
              <c:f>ind!$R$16</c:f>
              <c:strCache>
                <c:ptCount val="1"/>
                <c:pt idx="0">
                  <c:v>Jūras ostas</c:v>
                </c:pt>
              </c:strCache>
            </c:strRef>
          </c:tx>
          <c:spPr>
            <a:ln>
              <a:solidFill>
                <a:srgbClr val="C00000"/>
              </a:solidFill>
              <a:prstDash val="sysDash"/>
            </a:ln>
            <a:effectLst>
              <a:outerShdw blurRad="50800" dist="38100" dir="2700000" algn="tl" rotWithShape="0">
                <a:prstClr val="black">
                  <a:alpha val="40000"/>
                </a:prstClr>
              </a:outerShdw>
            </a:effectLst>
          </c:spPr>
          <c:marker>
            <c:symbol val="none"/>
          </c:marker>
          <c:cat>
            <c:numRef>
              <c:f>ind!$L$17:$L$28</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formatCode="0">
                  <c:v>2020</c:v>
                </c:pt>
                <c:pt idx="11" formatCode="0">
                  <c:v>2021</c:v>
                </c:pt>
              </c:numCache>
            </c:numRef>
          </c:cat>
          <c:val>
            <c:numRef>
              <c:f>ind!$R$17:$R$28</c:f>
              <c:numCache>
                <c:formatCode>General</c:formatCode>
                <c:ptCount val="12"/>
                <c:pt idx="0">
                  <c:v>1</c:v>
                </c:pt>
                <c:pt idx="1">
                  <c:v>1.2099453776874864</c:v>
                </c:pt>
                <c:pt idx="2">
                  <c:v>1.3150612599228546</c:v>
                </c:pt>
                <c:pt idx="3">
                  <c:v>1.3860076190817128</c:v>
                </c:pt>
                <c:pt idx="4">
                  <c:v>1.4243774816458887</c:v>
                </c:pt>
                <c:pt idx="5">
                  <c:v>0.97899233617035242</c:v>
                </c:pt>
                <c:pt idx="6">
                  <c:v>1.0212582522649913</c:v>
                </c:pt>
                <c:pt idx="7">
                  <c:v>1.4078177625435919</c:v>
                </c:pt>
                <c:pt idx="8">
                  <c:v>1.5353762257205164</c:v>
                </c:pt>
                <c:pt idx="9">
                  <c:v>1.5297111371643533</c:v>
                </c:pt>
                <c:pt idx="10">
                  <c:v>0.61730074490395603</c:v>
                </c:pt>
                <c:pt idx="11">
                  <c:v>0.2982062044503313</c:v>
                </c:pt>
              </c:numCache>
            </c:numRef>
          </c:val>
          <c:smooth val="1"/>
          <c:extLst>
            <c:ext xmlns:c16="http://schemas.microsoft.com/office/drawing/2014/chart" uri="{C3380CC4-5D6E-409C-BE32-E72D297353CC}">
              <c16:uniqueId val="{00000005-463D-4AC0-8C24-3055A4E44618}"/>
            </c:ext>
          </c:extLst>
        </c:ser>
        <c:dLbls>
          <c:showLegendKey val="0"/>
          <c:showVal val="0"/>
          <c:showCatName val="0"/>
          <c:showSerName val="0"/>
          <c:showPercent val="0"/>
          <c:showBubbleSize val="0"/>
        </c:dLbls>
        <c:smooth val="0"/>
        <c:axId val="282258760"/>
        <c:axId val="282259152"/>
      </c:lineChart>
      <c:catAx>
        <c:axId val="282258760"/>
        <c:scaling>
          <c:orientation val="minMax"/>
        </c:scaling>
        <c:delete val="0"/>
        <c:axPos val="b"/>
        <c:numFmt formatCode="General" sourceLinked="0"/>
        <c:majorTickMark val="none"/>
        <c:minorTickMark val="none"/>
        <c:tickLblPos val="low"/>
        <c:spPr>
          <a:ln>
            <a:solidFill>
              <a:sysClr val="windowText" lastClr="000000"/>
            </a:solidFill>
          </a:ln>
        </c:spPr>
        <c:txPr>
          <a:bodyPr/>
          <a:lstStyle/>
          <a:p>
            <a:pPr algn="ctr">
              <a:defRPr/>
            </a:pPr>
            <a:endParaRPr lang="lv-LV"/>
          </a:p>
        </c:txPr>
        <c:crossAx val="282259152"/>
        <c:crossesAt val="1"/>
        <c:auto val="1"/>
        <c:lblAlgn val="ctr"/>
        <c:lblOffset val="100"/>
        <c:noMultiLvlLbl val="0"/>
      </c:catAx>
      <c:valAx>
        <c:axId val="282259152"/>
        <c:scaling>
          <c:orientation val="minMax"/>
          <c:max val="1.8"/>
          <c:min val="0"/>
        </c:scaling>
        <c:delete val="0"/>
        <c:axPos val="l"/>
        <c:majorGridlines>
          <c:spPr>
            <a:ln>
              <a:solidFill>
                <a:schemeClr val="bg1">
                  <a:lumMod val="75000"/>
                </a:schemeClr>
              </a:solidFill>
            </a:ln>
          </c:spPr>
        </c:majorGridlines>
        <c:numFmt formatCode="#,##0.0" sourceLinked="0"/>
        <c:majorTickMark val="out"/>
        <c:minorTickMark val="none"/>
        <c:tickLblPos val="nextTo"/>
        <c:txPr>
          <a:bodyPr/>
          <a:lstStyle/>
          <a:p>
            <a:pPr algn="ctr">
              <a:defRPr/>
            </a:pPr>
            <a:endParaRPr lang="lv-LV"/>
          </a:p>
        </c:txPr>
        <c:crossAx val="282258760"/>
        <c:crosses val="autoZero"/>
        <c:crossBetween val="between"/>
      </c:valAx>
    </c:plotArea>
    <c:legend>
      <c:legendPos val="r"/>
      <c:layout>
        <c:manualLayout>
          <c:xMode val="edge"/>
          <c:yMode val="edge"/>
          <c:x val="6.9799850822628725E-4"/>
          <c:y val="0.87672547049000316"/>
          <c:w val="0.99930200149177373"/>
          <c:h val="0.12327462436769927"/>
        </c:manualLayout>
      </c:layout>
      <c:overlay val="0"/>
      <c:txPr>
        <a:bodyPr/>
        <a:lstStyle/>
        <a:p>
          <a:pPr algn="ctr">
            <a:defRPr/>
          </a:pPr>
          <a:endParaRPr lang="lv-LV"/>
        </a:p>
      </c:txPr>
    </c:legend>
    <c:plotVisOnly val="1"/>
    <c:dispBlanksAs val="gap"/>
    <c:showDLblsOverMax val="0"/>
  </c:chart>
  <c:spPr>
    <a:ln>
      <a:noFill/>
    </a:ln>
  </c:spPr>
  <c:txPr>
    <a:bodyPr/>
    <a:lstStyle/>
    <a:p>
      <a:pPr>
        <a:defRPr sz="90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708169839974012E-2"/>
          <c:y val="5.5625182268883043E-2"/>
          <c:w val="0.88460707512661507"/>
          <c:h val="0.70132230503827975"/>
        </c:manualLayout>
      </c:layout>
      <c:barChart>
        <c:barDir val="col"/>
        <c:grouping val="clustered"/>
        <c:varyColors val="0"/>
        <c:ser>
          <c:idx val="0"/>
          <c:order val="0"/>
          <c:tx>
            <c:v>Reisu skaits</c:v>
          </c:tx>
          <c:spPr>
            <a:solidFill>
              <a:schemeClr val="accent5">
                <a:lumMod val="50000"/>
              </a:schemeClr>
            </a:solidFill>
            <a:ln>
              <a:noFill/>
            </a:ln>
            <a:effectLst/>
          </c:spPr>
          <c:invertIfNegative val="0"/>
          <c:cat>
            <c:strRef>
              <c:f>īstais!$B$10:$U$10</c:f>
              <c:strCache>
                <c:ptCount val="20"/>
                <c:pt idx="0">
                  <c:v>2020-01</c:v>
                </c:pt>
                <c:pt idx="1">
                  <c:v>2020-02</c:v>
                </c:pt>
                <c:pt idx="2">
                  <c:v>2020-03</c:v>
                </c:pt>
                <c:pt idx="3">
                  <c:v>2020-04</c:v>
                </c:pt>
                <c:pt idx="4">
                  <c:v>2020-05</c:v>
                </c:pt>
                <c:pt idx="5">
                  <c:v>2020-06</c:v>
                </c:pt>
                <c:pt idx="6">
                  <c:v>2020-07</c:v>
                </c:pt>
                <c:pt idx="7">
                  <c:v>2020-08</c:v>
                </c:pt>
                <c:pt idx="8">
                  <c:v>2020-09</c:v>
                </c:pt>
                <c:pt idx="9">
                  <c:v>2020-10</c:v>
                </c:pt>
                <c:pt idx="10">
                  <c:v>2020-11</c:v>
                </c:pt>
                <c:pt idx="11">
                  <c:v>2020-12</c:v>
                </c:pt>
                <c:pt idx="12">
                  <c:v>2021-01</c:v>
                </c:pt>
                <c:pt idx="13">
                  <c:v>2021-02</c:v>
                </c:pt>
                <c:pt idx="14">
                  <c:v>2021-03</c:v>
                </c:pt>
                <c:pt idx="15">
                  <c:v>2021-04</c:v>
                </c:pt>
                <c:pt idx="16">
                  <c:v>2021-05</c:v>
                </c:pt>
                <c:pt idx="17">
                  <c:v>2021-06</c:v>
                </c:pt>
                <c:pt idx="18">
                  <c:v>2021-07</c:v>
                </c:pt>
                <c:pt idx="19">
                  <c:v>2021-08</c:v>
                </c:pt>
              </c:strCache>
            </c:strRef>
          </c:cat>
          <c:val>
            <c:numRef>
              <c:f>īstais!$B$5:$U$5</c:f>
              <c:numCache>
                <c:formatCode>General</c:formatCode>
                <c:ptCount val="20"/>
                <c:pt idx="0">
                  <c:v>6290</c:v>
                </c:pt>
                <c:pt idx="1">
                  <c:v>5740</c:v>
                </c:pt>
                <c:pt idx="2">
                  <c:v>3566</c:v>
                </c:pt>
                <c:pt idx="3">
                  <c:v>289</c:v>
                </c:pt>
                <c:pt idx="4">
                  <c:v>543</c:v>
                </c:pt>
                <c:pt idx="5">
                  <c:v>1333</c:v>
                </c:pt>
                <c:pt idx="6">
                  <c:v>2986</c:v>
                </c:pt>
                <c:pt idx="7">
                  <c:v>3191</c:v>
                </c:pt>
                <c:pt idx="8">
                  <c:v>3042</c:v>
                </c:pt>
                <c:pt idx="9">
                  <c:v>2374</c:v>
                </c:pt>
                <c:pt idx="10">
                  <c:v>1671</c:v>
                </c:pt>
                <c:pt idx="11">
                  <c:v>1787</c:v>
                </c:pt>
                <c:pt idx="12">
                  <c:v>1452</c:v>
                </c:pt>
                <c:pt idx="13">
                  <c:v>940</c:v>
                </c:pt>
                <c:pt idx="14">
                  <c:v>1207</c:v>
                </c:pt>
                <c:pt idx="15">
                  <c:v>1567</c:v>
                </c:pt>
                <c:pt idx="16">
                  <c:v>2027</c:v>
                </c:pt>
                <c:pt idx="17">
                  <c:v>2744</c:v>
                </c:pt>
                <c:pt idx="18">
                  <c:v>3867</c:v>
                </c:pt>
                <c:pt idx="19">
                  <c:v>4488</c:v>
                </c:pt>
              </c:numCache>
            </c:numRef>
          </c:val>
          <c:extLst>
            <c:ext xmlns:c16="http://schemas.microsoft.com/office/drawing/2014/chart" uri="{C3380CC4-5D6E-409C-BE32-E72D297353CC}">
              <c16:uniqueId val="{00000000-1AE0-4B71-8FC3-190B35F1F9BA}"/>
            </c:ext>
          </c:extLst>
        </c:ser>
        <c:dLbls>
          <c:showLegendKey val="0"/>
          <c:showVal val="0"/>
          <c:showCatName val="0"/>
          <c:showSerName val="0"/>
          <c:showPercent val="0"/>
          <c:showBubbleSize val="0"/>
        </c:dLbls>
        <c:gapWidth val="50"/>
        <c:axId val="936463568"/>
        <c:axId val="936472424"/>
      </c:barChart>
      <c:lineChart>
        <c:grouping val="standard"/>
        <c:varyColors val="0"/>
        <c:ser>
          <c:idx val="1"/>
          <c:order val="1"/>
          <c:tx>
            <c:v>Izmaiņas pret 2019.gadu, %</c:v>
          </c:tx>
          <c:spPr>
            <a:ln w="28575" cap="rnd">
              <a:solidFill>
                <a:schemeClr val="accent2">
                  <a:lumMod val="75000"/>
                </a:schemeClr>
              </a:solidFill>
              <a:round/>
            </a:ln>
            <a:effectLst/>
          </c:spPr>
          <c:marker>
            <c:symbol val="diamond"/>
            <c:size val="5"/>
            <c:spPr>
              <a:blipFill>
                <a:blip xmlns:r="http://schemas.openxmlformats.org/officeDocument/2006/relationships" r:embed="rId2"/>
                <a:stretch>
                  <a:fillRect/>
                </a:stretch>
              </a:blipFill>
              <a:ln w="9525">
                <a:noFill/>
              </a:ln>
              <a:effectLst/>
            </c:spPr>
          </c:marker>
          <c:dLbls>
            <c:dLbl>
              <c:idx val="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AE0-4B71-8FC3-190B35F1F9BA}"/>
                </c:ext>
              </c:extLst>
            </c:dLbl>
            <c:dLbl>
              <c:idx val="3"/>
              <c:layout>
                <c:manualLayout>
                  <c:x val="-3.9048225575335202E-2"/>
                  <c:y val="4.75964391691394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AE0-4B71-8FC3-190B35F1F9BA}"/>
                </c:ext>
              </c:extLst>
            </c:dLbl>
            <c:dLbl>
              <c:idx val="7"/>
              <c:layout>
                <c:manualLayout>
                  <c:x val="-6.2083198136194118E-2"/>
                  <c:y val="-5.92284866468842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AE0-4B71-8FC3-190B35F1F9BA}"/>
                </c:ext>
              </c:extLst>
            </c:dLbl>
            <c:dLbl>
              <c:idx val="13"/>
              <c:layout>
                <c:manualLayout>
                  <c:x val="-4.9605896140381994E-2"/>
                  <c:y val="4.759628340226018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6.33349389043288E-2"/>
                      <c:h val="5.2799364471132496E-2"/>
                    </c:manualLayout>
                  </c15:layout>
                </c:ext>
                <c:ext xmlns:c16="http://schemas.microsoft.com/office/drawing/2014/chart" uri="{C3380CC4-5D6E-409C-BE32-E72D297353CC}">
                  <c16:uniqueId val="{00000004-1AE0-4B71-8FC3-190B35F1F9BA}"/>
                </c:ext>
              </c:extLst>
            </c:dLbl>
            <c:dLbl>
              <c:idx val="17"/>
              <c:delete val="1"/>
              <c:extLst>
                <c:ext xmlns:c15="http://schemas.microsoft.com/office/drawing/2012/chart" uri="{CE6537A1-D6FC-4f65-9D91-7224C49458BB}"/>
                <c:ext xmlns:c16="http://schemas.microsoft.com/office/drawing/2014/chart" uri="{C3380CC4-5D6E-409C-BE32-E72D297353CC}">
                  <c16:uniqueId val="{00000005-1AE0-4B71-8FC3-190B35F1F9BA}"/>
                </c:ext>
              </c:extLst>
            </c:dLbl>
            <c:dLbl>
              <c:idx val="18"/>
              <c:layout>
                <c:manualLayout>
                  <c:x val="-1.4291126969763725E-2"/>
                  <c:y val="-7.9010880316518331E-2"/>
                </c:manualLayout>
              </c:layout>
              <c:tx>
                <c:rich>
                  <a:bodyPr/>
                  <a:lstStyle/>
                  <a:p>
                    <a:r>
                      <a:rPr lang="en-US"/>
                      <a:t>-44,6</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AE0-4B71-8FC3-190B35F1F9B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0"/>
            <c:showCatName val="0"/>
            <c:showSerName val="0"/>
            <c:showPercent val="0"/>
            <c:showBubbleSize val="0"/>
            <c:extLst>
              <c:ext xmlns:c15="http://schemas.microsoft.com/office/drawing/2012/chart" uri="{CE6537A1-D6FC-4f65-9D91-7224C49458BB}">
                <c15:showLeaderLines val="0"/>
              </c:ext>
            </c:extLst>
          </c:dLbls>
          <c:val>
            <c:numRef>
              <c:f>īstais!$B$11:$U$11</c:f>
              <c:numCache>
                <c:formatCode>0.0</c:formatCode>
                <c:ptCount val="20"/>
                <c:pt idx="0">
                  <c:v>3.5902503293807655</c:v>
                </c:pt>
                <c:pt idx="1">
                  <c:v>6.7311268129416106</c:v>
                </c:pt>
                <c:pt idx="2">
                  <c:v>-42.23230196014903</c:v>
                </c:pt>
                <c:pt idx="3">
                  <c:v>-95.969316596931662</c:v>
                </c:pt>
                <c:pt idx="4">
                  <c:v>-93.032208392146799</c:v>
                </c:pt>
                <c:pt idx="5">
                  <c:v>-82.806655488198118</c:v>
                </c:pt>
                <c:pt idx="6">
                  <c:v>-63.163089069824821</c:v>
                </c:pt>
                <c:pt idx="7">
                  <c:v>-60.614663046161446</c:v>
                </c:pt>
                <c:pt idx="8">
                  <c:v>-60.457558819706222</c:v>
                </c:pt>
                <c:pt idx="9">
                  <c:v>-68.334000266773373</c:v>
                </c:pt>
                <c:pt idx="10">
                  <c:v>-72.83368557958056</c:v>
                </c:pt>
                <c:pt idx="11">
                  <c:v>-72.195425548467398</c:v>
                </c:pt>
                <c:pt idx="12">
                  <c:v>-76.086956521739125</c:v>
                </c:pt>
                <c:pt idx="13">
                  <c:v>-82.521383413908524</c:v>
                </c:pt>
                <c:pt idx="14">
                  <c:v>-80.447108375182239</c:v>
                </c:pt>
                <c:pt idx="15">
                  <c:v>-78.145048814504889</c:v>
                </c:pt>
                <c:pt idx="16">
                  <c:v>-73.989477736430132</c:v>
                </c:pt>
                <c:pt idx="17">
                  <c:v>-64.607248806913447</c:v>
                </c:pt>
                <c:pt idx="18">
                  <c:v>-52.294596595114726</c:v>
                </c:pt>
                <c:pt idx="19">
                  <c:v>-44.606270056776111</c:v>
                </c:pt>
              </c:numCache>
            </c:numRef>
          </c:val>
          <c:smooth val="0"/>
          <c:extLst>
            <c:ext xmlns:c16="http://schemas.microsoft.com/office/drawing/2014/chart" uri="{C3380CC4-5D6E-409C-BE32-E72D297353CC}">
              <c16:uniqueId val="{00000007-1AE0-4B71-8FC3-190B35F1F9BA}"/>
            </c:ext>
          </c:extLst>
        </c:ser>
        <c:dLbls>
          <c:showLegendKey val="0"/>
          <c:showVal val="0"/>
          <c:showCatName val="0"/>
          <c:showSerName val="0"/>
          <c:showPercent val="0"/>
          <c:showBubbleSize val="0"/>
        </c:dLbls>
        <c:marker val="1"/>
        <c:smooth val="0"/>
        <c:axId val="552660144"/>
        <c:axId val="552659160"/>
      </c:lineChart>
      <c:catAx>
        <c:axId val="93646356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36472424"/>
        <c:crosses val="autoZero"/>
        <c:auto val="1"/>
        <c:lblAlgn val="ctr"/>
        <c:lblOffset val="100"/>
        <c:noMultiLvlLbl val="0"/>
      </c:catAx>
      <c:valAx>
        <c:axId val="9364724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36463568"/>
        <c:crosses val="autoZero"/>
        <c:crossBetween val="between"/>
      </c:valAx>
      <c:valAx>
        <c:axId val="552659160"/>
        <c:scaling>
          <c:orientation val="minMax"/>
          <c:max val="40"/>
          <c:min val="-240"/>
        </c:scaling>
        <c:delete val="0"/>
        <c:axPos val="r"/>
        <c:numFmt formatCode="0" sourceLinked="0"/>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lv-LV"/>
          </a:p>
        </c:txPr>
        <c:crossAx val="552660144"/>
        <c:crosses val="max"/>
        <c:crossBetween val="between"/>
        <c:majorUnit val="40"/>
      </c:valAx>
      <c:catAx>
        <c:axId val="552660144"/>
        <c:scaling>
          <c:orientation val="minMax"/>
        </c:scaling>
        <c:delete val="1"/>
        <c:axPos val="b"/>
        <c:majorTickMark val="out"/>
        <c:minorTickMark val="none"/>
        <c:tickLblPos val="nextTo"/>
        <c:crossAx val="552659160"/>
        <c:crosses val="autoZero"/>
        <c:auto val="1"/>
        <c:lblAlgn val="ctr"/>
        <c:lblOffset val="100"/>
        <c:noMultiLvlLbl val="0"/>
      </c:catAx>
      <c:spPr>
        <a:noFill/>
        <a:ln>
          <a:noFill/>
        </a:ln>
        <a:effectLst/>
      </c:spPr>
    </c:plotArea>
    <c:legend>
      <c:legendPos val="b"/>
      <c:layout>
        <c:manualLayout>
          <c:xMode val="edge"/>
          <c:yMode val="edge"/>
          <c:x val="0.11240570322682571"/>
          <c:y val="0.92073802347406875"/>
          <c:w val="0.77518859354634861"/>
          <c:h val="7.1349019058077681E-2"/>
        </c:manualLayout>
      </c:layout>
      <c:overlay val="0"/>
      <c:txPr>
        <a:bodyPr/>
        <a:lstStyle/>
        <a:p>
          <a:pPr>
            <a:defRPr sz="9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Verdana" panose="020B0604030504040204" pitchFamily="34" charset="0"/>
          <a:ea typeface="Verdana" panose="020B0604030504040204" pitchFamily="34" charset="0"/>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'Būvn apj_2019'!$A$6</c:f>
              <c:strCache>
                <c:ptCount val="1"/>
                <c:pt idx="0">
                  <c:v>Ēku būvniecība</c:v>
                </c:pt>
              </c:strCache>
            </c:strRef>
          </c:tx>
          <c:spPr>
            <a:solidFill>
              <a:srgbClr val="0070C0"/>
            </a:solidFill>
            <a:ln>
              <a:solidFill>
                <a:srgbClr val="0070C0"/>
              </a:solidFill>
            </a:ln>
            <a:effectLst/>
          </c:spPr>
          <c:invertIfNegative val="0"/>
          <c:cat>
            <c:multiLvlStrRef>
              <c:f>'Būvn apj_2019'!$N$3:$AA$4</c:f>
              <c:multiLvlStrCache>
                <c:ptCount val="1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lvl>
                <c:lvl>
                  <c:pt idx="0">
                    <c:v>2018</c:v>
                  </c:pt>
                  <c:pt idx="4">
                    <c:v>2019</c:v>
                  </c:pt>
                  <c:pt idx="8">
                    <c:v>2020</c:v>
                  </c:pt>
                  <c:pt idx="12">
                    <c:v>2021</c:v>
                  </c:pt>
                </c:lvl>
              </c:multiLvlStrCache>
            </c:multiLvlStrRef>
          </c:cat>
          <c:val>
            <c:numRef>
              <c:f>'Būvn apj_2019'!$N$6:$AA$6</c:f>
              <c:numCache>
                <c:formatCode>0.0</c:formatCode>
                <c:ptCount val="14"/>
                <c:pt idx="0">
                  <c:v>137616.20000000001</c:v>
                </c:pt>
                <c:pt idx="1">
                  <c:v>193656.2</c:v>
                </c:pt>
                <c:pt idx="2">
                  <c:v>202311.5</c:v>
                </c:pt>
                <c:pt idx="3">
                  <c:v>229381.6</c:v>
                </c:pt>
                <c:pt idx="4">
                  <c:v>151617.5</c:v>
                </c:pt>
                <c:pt idx="5">
                  <c:v>211010.3</c:v>
                </c:pt>
                <c:pt idx="6">
                  <c:v>234182.5</c:v>
                </c:pt>
                <c:pt idx="7">
                  <c:v>259133.2</c:v>
                </c:pt>
                <c:pt idx="8">
                  <c:v>182468.8</c:v>
                </c:pt>
                <c:pt idx="9">
                  <c:v>205826.3</c:v>
                </c:pt>
                <c:pt idx="10">
                  <c:v>244706.4</c:v>
                </c:pt>
                <c:pt idx="11">
                  <c:v>251713.8</c:v>
                </c:pt>
                <c:pt idx="12">
                  <c:v>155275</c:v>
                </c:pt>
                <c:pt idx="13">
                  <c:v>207964.79999999999</c:v>
                </c:pt>
              </c:numCache>
            </c:numRef>
          </c:val>
          <c:extLst>
            <c:ext xmlns:c16="http://schemas.microsoft.com/office/drawing/2014/chart" uri="{C3380CC4-5D6E-409C-BE32-E72D297353CC}">
              <c16:uniqueId val="{00000000-E207-4A48-8F3B-454E7046A1E1}"/>
            </c:ext>
          </c:extLst>
        </c:ser>
        <c:ser>
          <c:idx val="1"/>
          <c:order val="1"/>
          <c:tx>
            <c:strRef>
              <c:f>'Būvn apj_2019'!$A$7</c:f>
              <c:strCache>
                <c:ptCount val="1"/>
                <c:pt idx="0">
                  <c:v>Inženierbūvniecība</c:v>
                </c:pt>
              </c:strCache>
            </c:strRef>
          </c:tx>
          <c:spPr>
            <a:pattFill prst="dkUpDiag">
              <a:fgClr>
                <a:srgbClr val="00B050"/>
              </a:fgClr>
              <a:bgClr>
                <a:schemeClr val="bg1"/>
              </a:bgClr>
            </a:pattFill>
            <a:ln>
              <a:solidFill>
                <a:srgbClr val="00B050"/>
              </a:solidFill>
            </a:ln>
            <a:effectLst/>
          </c:spPr>
          <c:invertIfNegative val="0"/>
          <c:cat>
            <c:multiLvlStrRef>
              <c:f>'Būvn apj_2019'!$N$3:$AA$4</c:f>
              <c:multiLvlStrCache>
                <c:ptCount val="1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lvl>
                <c:lvl>
                  <c:pt idx="0">
                    <c:v>2018</c:v>
                  </c:pt>
                  <c:pt idx="4">
                    <c:v>2019</c:v>
                  </c:pt>
                  <c:pt idx="8">
                    <c:v>2020</c:v>
                  </c:pt>
                  <c:pt idx="12">
                    <c:v>2021</c:v>
                  </c:pt>
                </c:lvl>
              </c:multiLvlStrCache>
            </c:multiLvlStrRef>
          </c:cat>
          <c:val>
            <c:numRef>
              <c:f>'Būvn apj_2019'!$N$7:$AA$7</c:f>
              <c:numCache>
                <c:formatCode>0.0</c:formatCode>
                <c:ptCount val="14"/>
                <c:pt idx="0">
                  <c:v>76159.399999999994</c:v>
                </c:pt>
                <c:pt idx="1">
                  <c:v>195353.1</c:v>
                </c:pt>
                <c:pt idx="2">
                  <c:v>274682.2</c:v>
                </c:pt>
                <c:pt idx="3">
                  <c:v>210765.1</c:v>
                </c:pt>
                <c:pt idx="4">
                  <c:v>77993.3</c:v>
                </c:pt>
                <c:pt idx="5">
                  <c:v>195290.9</c:v>
                </c:pt>
                <c:pt idx="6">
                  <c:v>291660.2</c:v>
                </c:pt>
                <c:pt idx="7">
                  <c:v>227641.60000000001</c:v>
                </c:pt>
                <c:pt idx="8">
                  <c:v>91587.199999999997</c:v>
                </c:pt>
                <c:pt idx="9">
                  <c:v>179916.5</c:v>
                </c:pt>
                <c:pt idx="10">
                  <c:v>265526.59999999998</c:v>
                </c:pt>
                <c:pt idx="11">
                  <c:v>240531.6</c:v>
                </c:pt>
                <c:pt idx="12">
                  <c:v>81311.8</c:v>
                </c:pt>
                <c:pt idx="13">
                  <c:v>188014.8</c:v>
                </c:pt>
              </c:numCache>
            </c:numRef>
          </c:val>
          <c:extLst>
            <c:ext xmlns:c16="http://schemas.microsoft.com/office/drawing/2014/chart" uri="{C3380CC4-5D6E-409C-BE32-E72D297353CC}">
              <c16:uniqueId val="{00000001-E207-4A48-8F3B-454E7046A1E1}"/>
            </c:ext>
          </c:extLst>
        </c:ser>
        <c:ser>
          <c:idx val="2"/>
          <c:order val="2"/>
          <c:tx>
            <c:strRef>
              <c:f>'Būvn apj_2019'!$A$17</c:f>
              <c:strCache>
                <c:ptCount val="1"/>
                <c:pt idx="0">
                  <c:v>Specializētie būvdarbi</c:v>
                </c:pt>
              </c:strCache>
            </c:strRef>
          </c:tx>
          <c:spPr>
            <a:solidFill>
              <a:schemeClr val="tx1">
                <a:lumMod val="65000"/>
                <a:lumOff val="35000"/>
              </a:schemeClr>
            </a:solidFill>
            <a:ln>
              <a:solidFill>
                <a:schemeClr val="tx1">
                  <a:lumMod val="65000"/>
                  <a:lumOff val="35000"/>
                </a:schemeClr>
              </a:solidFill>
            </a:ln>
            <a:effectLst/>
          </c:spPr>
          <c:invertIfNegative val="0"/>
          <c:cat>
            <c:multiLvlStrRef>
              <c:f>'Būvn apj_2019'!$N$3:$AA$4</c:f>
              <c:multiLvlStrCache>
                <c:ptCount val="1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lvl>
                <c:lvl>
                  <c:pt idx="0">
                    <c:v>2018</c:v>
                  </c:pt>
                  <c:pt idx="4">
                    <c:v>2019</c:v>
                  </c:pt>
                  <c:pt idx="8">
                    <c:v>2020</c:v>
                  </c:pt>
                  <c:pt idx="12">
                    <c:v>2021</c:v>
                  </c:pt>
                </c:lvl>
              </c:multiLvlStrCache>
            </c:multiLvlStrRef>
          </c:cat>
          <c:val>
            <c:numRef>
              <c:f>'Būvn apj_2019'!$N$17:$AA$17</c:f>
              <c:numCache>
                <c:formatCode>0.0</c:formatCode>
                <c:ptCount val="14"/>
                <c:pt idx="0">
                  <c:v>98944.1</c:v>
                </c:pt>
                <c:pt idx="1">
                  <c:v>140767.29999999999</c:v>
                </c:pt>
                <c:pt idx="2">
                  <c:v>191961.3</c:v>
                </c:pt>
                <c:pt idx="3">
                  <c:v>235462.2</c:v>
                </c:pt>
                <c:pt idx="4">
                  <c:v>125189.8</c:v>
                </c:pt>
                <c:pt idx="5">
                  <c:v>146863.70000000001</c:v>
                </c:pt>
                <c:pt idx="6">
                  <c:v>204089.1</c:v>
                </c:pt>
                <c:pt idx="7">
                  <c:v>217704.5</c:v>
                </c:pt>
                <c:pt idx="8">
                  <c:v>140716.9</c:v>
                </c:pt>
                <c:pt idx="9">
                  <c:v>167221.79999999999</c:v>
                </c:pt>
                <c:pt idx="10">
                  <c:v>222032.1</c:v>
                </c:pt>
                <c:pt idx="11">
                  <c:v>228080.7</c:v>
                </c:pt>
                <c:pt idx="12">
                  <c:v>133917.6</c:v>
                </c:pt>
                <c:pt idx="13">
                  <c:v>187003.7</c:v>
                </c:pt>
              </c:numCache>
            </c:numRef>
          </c:val>
          <c:extLst>
            <c:ext xmlns:c16="http://schemas.microsoft.com/office/drawing/2014/chart" uri="{C3380CC4-5D6E-409C-BE32-E72D297353CC}">
              <c16:uniqueId val="{00000002-E207-4A48-8F3B-454E7046A1E1}"/>
            </c:ext>
          </c:extLst>
        </c:ser>
        <c:dLbls>
          <c:showLegendKey val="0"/>
          <c:showVal val="0"/>
          <c:showCatName val="0"/>
          <c:showSerName val="0"/>
          <c:showPercent val="0"/>
          <c:showBubbleSize val="0"/>
        </c:dLbls>
        <c:gapWidth val="50"/>
        <c:overlap val="100"/>
        <c:axId val="440031896"/>
        <c:axId val="440031568"/>
      </c:barChart>
      <c:catAx>
        <c:axId val="440031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40031568"/>
        <c:crosses val="autoZero"/>
        <c:auto val="1"/>
        <c:lblAlgn val="ctr"/>
        <c:lblOffset val="100"/>
        <c:noMultiLvlLbl val="0"/>
      </c:catAx>
      <c:valAx>
        <c:axId val="440031568"/>
        <c:scaling>
          <c:orientation val="minMax"/>
          <c:max val="7300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40031896"/>
        <c:crosses val="autoZero"/>
        <c:crossBetween val="between"/>
        <c:dispUnits>
          <c:builtInUnit val="thousand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0"/>
          <c:order val="0"/>
          <c:tx>
            <c:strRef>
              <c:f>'[Chart in Microsoft Word]PC070c'!$A$11</c:f>
              <c:strCache>
                <c:ptCount val="1"/>
                <c:pt idx="0">
                  <c:v>Mājokļi kopā </c:v>
                </c:pt>
              </c:strCache>
            </c:strRef>
          </c:tx>
          <c:spPr>
            <a:pattFill prst="dkUpDiag">
              <a:fgClr>
                <a:srgbClr val="0070C0"/>
              </a:fgClr>
              <a:bgClr>
                <a:schemeClr val="bg1"/>
              </a:bgClr>
            </a:pattFill>
            <a:ln>
              <a:solidFill>
                <a:srgbClr val="0070C0"/>
              </a:solidFill>
            </a:ln>
            <a:effectLst/>
          </c:spPr>
          <c:cat>
            <c:multiLvlStrRef>
              <c:f>'[Chart in Microsoft Word]PC070c'!$AX$3:$BK$4</c:f>
              <c:multiLvlStrCache>
                <c:ptCount val="1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lvl>
                <c:lvl>
                  <c:pt idx="0">
                    <c:v>2018</c:v>
                  </c:pt>
                  <c:pt idx="4">
                    <c:v>2019</c:v>
                  </c:pt>
                  <c:pt idx="8">
                    <c:v>2020</c:v>
                  </c:pt>
                  <c:pt idx="12">
                    <c:v>2021</c:v>
                  </c:pt>
                </c:lvl>
              </c:multiLvlStrCache>
            </c:multiLvlStrRef>
          </c:cat>
          <c:val>
            <c:numRef>
              <c:f>'[Chart in Microsoft Word]PC070c'!$AX$11:$BK$11</c:f>
              <c:numCache>
                <c:formatCode>0.0</c:formatCode>
                <c:ptCount val="14"/>
                <c:pt idx="0">
                  <c:v>11.413668110688704</c:v>
                </c:pt>
                <c:pt idx="1">
                  <c:v>8.684012381828822</c:v>
                </c:pt>
                <c:pt idx="2">
                  <c:v>7.2001336451720732</c:v>
                </c:pt>
                <c:pt idx="3">
                  <c:v>11.061909933996162</c:v>
                </c:pt>
                <c:pt idx="4">
                  <c:v>6.4</c:v>
                </c:pt>
                <c:pt idx="5">
                  <c:v>7.9</c:v>
                </c:pt>
                <c:pt idx="6">
                  <c:v>12.7</c:v>
                </c:pt>
                <c:pt idx="7">
                  <c:v>8.8000000000000007</c:v>
                </c:pt>
                <c:pt idx="8">
                  <c:v>8.8000000000000007</c:v>
                </c:pt>
                <c:pt idx="9">
                  <c:v>1.5</c:v>
                </c:pt>
                <c:pt idx="10">
                  <c:v>1.7</c:v>
                </c:pt>
                <c:pt idx="11">
                  <c:v>2.2000000000000002</c:v>
                </c:pt>
                <c:pt idx="12">
                  <c:v>2.9</c:v>
                </c:pt>
                <c:pt idx="13">
                  <c:v>12.4</c:v>
                </c:pt>
              </c:numCache>
            </c:numRef>
          </c:val>
          <c:extLst>
            <c:ext xmlns:c16="http://schemas.microsoft.com/office/drawing/2014/chart" uri="{C3380CC4-5D6E-409C-BE32-E72D297353CC}">
              <c16:uniqueId val="{00000000-67C5-4B4B-B926-92776EA4DD6F}"/>
            </c:ext>
          </c:extLst>
        </c:ser>
        <c:dLbls>
          <c:showLegendKey val="0"/>
          <c:showVal val="0"/>
          <c:showCatName val="0"/>
          <c:showSerName val="0"/>
          <c:showPercent val="0"/>
          <c:showBubbleSize val="0"/>
        </c:dLbls>
        <c:axId val="1736990752"/>
        <c:axId val="1736992000"/>
      </c:areaChart>
      <c:lineChart>
        <c:grouping val="standard"/>
        <c:varyColors val="0"/>
        <c:ser>
          <c:idx val="1"/>
          <c:order val="1"/>
          <c:tx>
            <c:strRef>
              <c:f>'[Chart in Microsoft Word]PC070c'!$A$12</c:f>
              <c:strCache>
                <c:ptCount val="1"/>
                <c:pt idx="0">
                  <c:v>Jaunie mājokļi  </c:v>
                </c:pt>
              </c:strCache>
            </c:strRef>
          </c:tx>
          <c:spPr>
            <a:ln w="28575" cap="rnd">
              <a:solidFill>
                <a:schemeClr val="tx1">
                  <a:lumMod val="65000"/>
                  <a:lumOff val="35000"/>
                </a:schemeClr>
              </a:solidFill>
              <a:round/>
            </a:ln>
            <a:effectLst/>
          </c:spPr>
          <c:marker>
            <c:symbol val="none"/>
          </c:marker>
          <c:cat>
            <c:multiLvlStrRef>
              <c:f>'[Chart in Microsoft Word]PC070c'!$AX$3:$BK$4</c:f>
              <c:multiLvlStrCache>
                <c:ptCount val="1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lvl>
                <c:lvl>
                  <c:pt idx="0">
                    <c:v>2018</c:v>
                  </c:pt>
                  <c:pt idx="4">
                    <c:v>2019</c:v>
                  </c:pt>
                  <c:pt idx="8">
                    <c:v>2020</c:v>
                  </c:pt>
                  <c:pt idx="12">
                    <c:v>2021</c:v>
                  </c:pt>
                </c:lvl>
              </c:multiLvlStrCache>
            </c:multiLvlStrRef>
          </c:cat>
          <c:val>
            <c:numRef>
              <c:f>'[Chart in Microsoft Word]PC070c'!$AX$12:$BK$12</c:f>
              <c:numCache>
                <c:formatCode>0.0</c:formatCode>
                <c:ptCount val="14"/>
                <c:pt idx="0">
                  <c:v>14.630656412090872</c:v>
                </c:pt>
                <c:pt idx="1">
                  <c:v>8.2748462005025658</c:v>
                </c:pt>
                <c:pt idx="2">
                  <c:v>-2.2804263405767244</c:v>
                </c:pt>
                <c:pt idx="3">
                  <c:v>4.6264855687606143</c:v>
                </c:pt>
                <c:pt idx="4">
                  <c:v>-2.5</c:v>
                </c:pt>
                <c:pt idx="5">
                  <c:v>6.2</c:v>
                </c:pt>
                <c:pt idx="6">
                  <c:v>19.5</c:v>
                </c:pt>
                <c:pt idx="7">
                  <c:v>12.7</c:v>
                </c:pt>
                <c:pt idx="8">
                  <c:v>15.6</c:v>
                </c:pt>
                <c:pt idx="9">
                  <c:v>9</c:v>
                </c:pt>
                <c:pt idx="10">
                  <c:v>0.7</c:v>
                </c:pt>
                <c:pt idx="11">
                  <c:v>6.4</c:v>
                </c:pt>
                <c:pt idx="12">
                  <c:v>-1.5</c:v>
                </c:pt>
                <c:pt idx="13">
                  <c:v>0.4</c:v>
                </c:pt>
              </c:numCache>
            </c:numRef>
          </c:val>
          <c:smooth val="1"/>
          <c:extLst>
            <c:ext xmlns:c16="http://schemas.microsoft.com/office/drawing/2014/chart" uri="{C3380CC4-5D6E-409C-BE32-E72D297353CC}">
              <c16:uniqueId val="{00000001-67C5-4B4B-B926-92776EA4DD6F}"/>
            </c:ext>
          </c:extLst>
        </c:ser>
        <c:ser>
          <c:idx val="2"/>
          <c:order val="2"/>
          <c:tx>
            <c:strRef>
              <c:f>'[Chart in Microsoft Word]PC070c'!$A$13</c:f>
              <c:strCache>
                <c:ptCount val="1"/>
                <c:pt idx="0">
                  <c:v>Lietotie mājokļi  </c:v>
                </c:pt>
              </c:strCache>
            </c:strRef>
          </c:tx>
          <c:spPr>
            <a:ln w="28575" cap="rnd">
              <a:solidFill>
                <a:srgbClr val="00B050"/>
              </a:solidFill>
              <a:round/>
            </a:ln>
            <a:effectLst/>
          </c:spPr>
          <c:marker>
            <c:symbol val="none"/>
          </c:marker>
          <c:cat>
            <c:multiLvlStrRef>
              <c:f>'[Chart in Microsoft Word]PC070c'!$AX$3:$BK$4</c:f>
              <c:multiLvlStrCache>
                <c:ptCount val="1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lvl>
                <c:lvl>
                  <c:pt idx="0">
                    <c:v>2018</c:v>
                  </c:pt>
                  <c:pt idx="4">
                    <c:v>2019</c:v>
                  </c:pt>
                  <c:pt idx="8">
                    <c:v>2020</c:v>
                  </c:pt>
                  <c:pt idx="12">
                    <c:v>2021</c:v>
                  </c:pt>
                </c:lvl>
              </c:multiLvlStrCache>
            </c:multiLvlStrRef>
          </c:cat>
          <c:val>
            <c:numRef>
              <c:f>'[Chart in Microsoft Word]PC070c'!$AX$13:$BK$13</c:f>
              <c:numCache>
                <c:formatCode>0.0</c:formatCode>
                <c:ptCount val="14"/>
                <c:pt idx="0">
                  <c:v>10.801024463481411</c:v>
                </c:pt>
                <c:pt idx="1">
                  <c:v>8.7709078805026195</c:v>
                </c:pt>
                <c:pt idx="2">
                  <c:v>9.0315013404825635</c:v>
                </c:pt>
                <c:pt idx="3">
                  <c:v>12.284213159869893</c:v>
                </c:pt>
                <c:pt idx="4">
                  <c:v>8.1</c:v>
                </c:pt>
                <c:pt idx="5">
                  <c:v>8.1999999999999993</c:v>
                </c:pt>
                <c:pt idx="6">
                  <c:v>11.3</c:v>
                </c:pt>
                <c:pt idx="7">
                  <c:v>8.1</c:v>
                </c:pt>
                <c:pt idx="8">
                  <c:v>7.3</c:v>
                </c:pt>
                <c:pt idx="9">
                  <c:v>-0.2</c:v>
                </c:pt>
                <c:pt idx="10">
                  <c:v>2</c:v>
                </c:pt>
                <c:pt idx="11">
                  <c:v>1.3</c:v>
                </c:pt>
                <c:pt idx="12">
                  <c:v>4.4000000000000004</c:v>
                </c:pt>
                <c:pt idx="13">
                  <c:v>16.3</c:v>
                </c:pt>
              </c:numCache>
            </c:numRef>
          </c:val>
          <c:smooth val="1"/>
          <c:extLst>
            <c:ext xmlns:c16="http://schemas.microsoft.com/office/drawing/2014/chart" uri="{C3380CC4-5D6E-409C-BE32-E72D297353CC}">
              <c16:uniqueId val="{00000002-67C5-4B4B-B926-92776EA4DD6F}"/>
            </c:ext>
          </c:extLst>
        </c:ser>
        <c:dLbls>
          <c:showLegendKey val="0"/>
          <c:showVal val="0"/>
          <c:showCatName val="0"/>
          <c:showSerName val="0"/>
          <c:showPercent val="0"/>
          <c:showBubbleSize val="0"/>
        </c:dLbls>
        <c:marker val="1"/>
        <c:smooth val="0"/>
        <c:axId val="1736990752"/>
        <c:axId val="1736992000"/>
      </c:lineChart>
      <c:catAx>
        <c:axId val="173699075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36992000"/>
        <c:crosses val="autoZero"/>
        <c:auto val="1"/>
        <c:lblAlgn val="ctr"/>
        <c:lblOffset val="100"/>
        <c:noMultiLvlLbl val="0"/>
      </c:catAx>
      <c:valAx>
        <c:axId val="1736992000"/>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36990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5064688067837672"/>
          <c:y val="4.4570502431118313E-2"/>
          <c:w val="0.49550696547546941"/>
          <c:h val="0.77845620796590054"/>
        </c:manualLayout>
      </c:layout>
      <c:barChart>
        <c:barDir val="bar"/>
        <c:grouping val="clustered"/>
        <c:varyColors val="0"/>
        <c:ser>
          <c:idx val="1"/>
          <c:order val="0"/>
          <c:tx>
            <c:strRef>
              <c:f>'IKP nozares &amp; izlietojums (2)'!$BA$36</c:f>
              <c:strCache>
                <c:ptCount val="1"/>
                <c:pt idx="0">
                  <c:v>2021 1.pusg.</c:v>
                </c:pt>
              </c:strCache>
            </c:strRef>
          </c:tx>
          <c:spPr>
            <a:pattFill prst="dkUpDiag">
              <a:fgClr>
                <a:srgbClr val="00B050"/>
              </a:fgClr>
              <a:bgClr>
                <a:schemeClr val="bg1"/>
              </a:bgClr>
            </a:pattFill>
            <a:ln>
              <a:solidFill>
                <a:srgbClr val="00B050"/>
              </a:solidFill>
            </a:ln>
            <a:effectLst/>
          </c:spPr>
          <c:invertIfNegative val="0"/>
          <c:dPt>
            <c:idx val="3"/>
            <c:invertIfNegative val="0"/>
            <c:bubble3D val="0"/>
            <c:spPr>
              <a:pattFill prst="dkUpDiag">
                <a:fgClr>
                  <a:srgbClr val="00B050"/>
                </a:fgClr>
                <a:bgClr>
                  <a:schemeClr val="bg1"/>
                </a:bgClr>
              </a:pattFill>
              <a:ln>
                <a:solidFill>
                  <a:srgbClr val="00B050"/>
                </a:solidFill>
              </a:ln>
              <a:effectLst/>
            </c:spPr>
            <c:extLst>
              <c:ext xmlns:c16="http://schemas.microsoft.com/office/drawing/2014/chart" uri="{C3380CC4-5D6E-409C-BE32-E72D297353CC}">
                <c16:uniqueId val="{00000001-6D4C-48F0-A3AC-C93DB3A0385C}"/>
              </c:ext>
            </c:extLst>
          </c:dPt>
          <c:dLbls>
            <c:dLbl>
              <c:idx val="1"/>
              <c:layout>
                <c:manualLayout>
                  <c:x val="-7.692307692307683E-2"/>
                  <c:y val="-5.26742301458671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4C-48F0-A3AC-C93DB3A0385C}"/>
                </c:ext>
              </c:extLst>
            </c:dLbl>
            <c:dLbl>
              <c:idx val="4"/>
              <c:layout>
                <c:manualLayout>
                  <c:x val="-1.626016260162591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4C-48F0-A3AC-C93DB3A0385C}"/>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'IKP nozares &amp; izlietojums (2)'!$AT$47:$AT$52</c:f>
              <c:numCache>
                <c:formatCode>0.0</c:formatCode>
                <c:ptCount val="6"/>
                <c:pt idx="0">
                  <c:v>7.0389448164746966</c:v>
                </c:pt>
                <c:pt idx="1">
                  <c:v>14.987479900199332</c:v>
                </c:pt>
                <c:pt idx="2">
                  <c:v>3.9523643771362629</c:v>
                </c:pt>
                <c:pt idx="3">
                  <c:v>5.1636606518816279</c:v>
                </c:pt>
                <c:pt idx="4">
                  <c:v>3.5018963463220985</c:v>
                </c:pt>
                <c:pt idx="5">
                  <c:v>5.0814540761789431</c:v>
                </c:pt>
              </c:numCache>
            </c:numRef>
          </c:val>
          <c:extLst>
            <c:ext xmlns:c16="http://schemas.microsoft.com/office/drawing/2014/chart" uri="{C3380CC4-5D6E-409C-BE32-E72D297353CC}">
              <c16:uniqueId val="{00000004-6D4C-48F0-A3AC-C93DB3A0385C}"/>
            </c:ext>
          </c:extLst>
        </c:ser>
        <c:ser>
          <c:idx val="0"/>
          <c:order val="1"/>
          <c:tx>
            <c:strRef>
              <c:f>'IKP nozares &amp; izlietojums (2)'!$AZ$36</c:f>
              <c:strCache>
                <c:ptCount val="1"/>
                <c:pt idx="0">
                  <c:v>2020</c:v>
                </c:pt>
              </c:strCache>
            </c:strRef>
          </c:tx>
          <c:spPr>
            <a:solidFill>
              <a:schemeClr val="bg1">
                <a:lumMod val="65000"/>
              </a:schemeClr>
            </a:solidFill>
            <a:ln>
              <a:noFill/>
            </a:ln>
            <a:effectLst/>
          </c:spPr>
          <c:invertIfNegative val="0"/>
          <c:dPt>
            <c:idx val="0"/>
            <c:invertIfNegative val="0"/>
            <c:bubble3D val="0"/>
            <c:extLst>
              <c:ext xmlns:c16="http://schemas.microsoft.com/office/drawing/2014/chart" uri="{C3380CC4-5D6E-409C-BE32-E72D297353CC}">
                <c16:uniqueId val="{00000005-6D4C-48F0-A3AC-C93DB3A0385C}"/>
              </c:ext>
            </c:extLst>
          </c:dPt>
          <c:dPt>
            <c:idx val="1"/>
            <c:invertIfNegative val="0"/>
            <c:bubble3D val="0"/>
            <c:extLst>
              <c:ext xmlns:c16="http://schemas.microsoft.com/office/drawing/2014/chart" uri="{C3380CC4-5D6E-409C-BE32-E72D297353CC}">
                <c16:uniqueId val="{00000006-6D4C-48F0-A3AC-C93DB3A0385C}"/>
              </c:ext>
            </c:extLst>
          </c:dPt>
          <c:dPt>
            <c:idx val="2"/>
            <c:invertIfNegative val="0"/>
            <c:bubble3D val="0"/>
            <c:extLst>
              <c:ext xmlns:c16="http://schemas.microsoft.com/office/drawing/2014/chart" uri="{C3380CC4-5D6E-409C-BE32-E72D297353CC}">
                <c16:uniqueId val="{00000007-6D4C-48F0-A3AC-C93DB3A0385C}"/>
              </c:ext>
            </c:extLst>
          </c:dPt>
          <c:dLbls>
            <c:dLbl>
              <c:idx val="1"/>
              <c:layout>
                <c:manualLayout>
                  <c:x val="-7.3011080494811515E-3"/>
                  <c:y val="-4.06692428123525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D4C-48F0-A3AC-C93DB3A0385C}"/>
                </c:ext>
              </c:extLst>
            </c:dLbl>
            <c:dLbl>
              <c:idx val="2"/>
              <c:layout>
                <c:manualLayout>
                  <c:x val="5.5949232442791712E-4"/>
                  <c:y val="-8.13385116717561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D4C-48F0-A3AC-C93DB3A0385C}"/>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'IKP nozares &amp; izlietojums (2)'!$A$47:$A$52</c:f>
              <c:strCache>
                <c:ptCount val="6"/>
                <c:pt idx="0">
                  <c:v>Eksports</c:v>
                </c:pt>
                <c:pt idx="1">
                  <c:v>Imports</c:v>
                </c:pt>
                <c:pt idx="2">
                  <c:v>Investīcijas</c:v>
                </c:pt>
                <c:pt idx="3">
                  <c:v>Sabiedriskais patēriņš</c:v>
                </c:pt>
                <c:pt idx="4">
                  <c:v>Privātais patēriņš</c:v>
                </c:pt>
                <c:pt idx="5">
                  <c:v>IKP</c:v>
                </c:pt>
              </c:strCache>
            </c:strRef>
          </c:cat>
          <c:val>
            <c:numRef>
              <c:f>'IKP nozares &amp; izlietojums (2)'!$AO$47:$AO$52</c:f>
              <c:numCache>
                <c:formatCode>0.0</c:formatCode>
                <c:ptCount val="6"/>
                <c:pt idx="0">
                  <c:v>-2.7261129432001541</c:v>
                </c:pt>
                <c:pt idx="1">
                  <c:v>-3.2643000429620428</c:v>
                </c:pt>
                <c:pt idx="2">
                  <c:v>0.22518554548489611</c:v>
                </c:pt>
                <c:pt idx="3">
                  <c:v>2.5966014722814013</c:v>
                </c:pt>
                <c:pt idx="4">
                  <c:v>-9.9960397456644756</c:v>
                </c:pt>
                <c:pt idx="5">
                  <c:v>-3.6236839156903233</c:v>
                </c:pt>
              </c:numCache>
            </c:numRef>
          </c:val>
          <c:extLst>
            <c:ext xmlns:c16="http://schemas.microsoft.com/office/drawing/2014/chart" uri="{C3380CC4-5D6E-409C-BE32-E72D297353CC}">
              <c16:uniqueId val="{00000008-6D4C-48F0-A3AC-C93DB3A0385C}"/>
            </c:ext>
          </c:extLst>
        </c:ser>
        <c:dLbls>
          <c:showLegendKey val="0"/>
          <c:showVal val="0"/>
          <c:showCatName val="0"/>
          <c:showSerName val="0"/>
          <c:showPercent val="0"/>
          <c:showBubbleSize val="0"/>
        </c:dLbls>
        <c:gapWidth val="50"/>
        <c:overlap val="-10"/>
        <c:axId val="212682872"/>
        <c:axId val="212683264"/>
      </c:barChart>
      <c:catAx>
        <c:axId val="212682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12683264"/>
        <c:crosses val="autoZero"/>
        <c:auto val="1"/>
        <c:lblAlgn val="ctr"/>
        <c:lblOffset val="100"/>
        <c:noMultiLvlLbl val="0"/>
      </c:catAx>
      <c:valAx>
        <c:axId val="212683264"/>
        <c:scaling>
          <c:orientation val="minMax"/>
          <c:max val="17"/>
          <c:min val="-15"/>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12682872"/>
        <c:crosses val="autoZero"/>
        <c:crossBetween val="between"/>
        <c:majorUnit val="5"/>
      </c:valAx>
      <c:spPr>
        <a:noFill/>
        <a:ln>
          <a:noFill/>
        </a:ln>
        <a:effectLst/>
      </c:spPr>
    </c:plotArea>
    <c:legend>
      <c:legendPos val="b"/>
      <c:layout>
        <c:manualLayout>
          <c:xMode val="edge"/>
          <c:yMode val="edge"/>
          <c:x val="0.392788215787439"/>
          <c:y val="0.90752711893076532"/>
          <c:w val="0.45495786226905899"/>
          <c:h val="7.290799790856020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bg1"/>
      </a:solidFill>
      <a:round/>
    </a:ln>
    <a:effectLst/>
  </c:spPr>
  <c:txPr>
    <a:bodyPr/>
    <a:lstStyle/>
    <a:p>
      <a:pPr>
        <a:defRPr sz="900" b="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381365404561831E-2"/>
          <c:y val="5.2418394091017395E-2"/>
          <c:w val="0.91683509429838439"/>
          <c:h val="0.51353478956660092"/>
        </c:manualLayout>
      </c:layout>
      <c:areaChart>
        <c:grouping val="standard"/>
        <c:varyColors val="0"/>
        <c:ser>
          <c:idx val="0"/>
          <c:order val="0"/>
          <c:tx>
            <c:strRef>
              <c:f>Sheet1!$A$12</c:f>
              <c:strCache>
                <c:ptCount val="1"/>
                <c:pt idx="0">
                  <c:v>Pavisam</c:v>
                </c:pt>
              </c:strCache>
            </c:strRef>
          </c:tx>
          <c:spPr>
            <a:pattFill prst="dkUpDiag">
              <a:fgClr>
                <a:srgbClr val="0070C0"/>
              </a:fgClr>
              <a:bgClr>
                <a:schemeClr val="bg1"/>
              </a:bgClr>
            </a:pattFill>
            <a:ln>
              <a:noFill/>
            </a:ln>
            <a:effectLst/>
          </c:spPr>
          <c:cat>
            <c:multiLvlStrRef>
              <c:f>Sheet1!$AH$10:$AU$11</c:f>
              <c:multiLvlStrCache>
                <c:ptCount val="1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lvl>
                <c:lvl>
                  <c:pt idx="0">
                    <c:v>2018</c:v>
                  </c:pt>
                  <c:pt idx="4">
                    <c:v>2019</c:v>
                  </c:pt>
                  <c:pt idx="8">
                    <c:v>2020</c:v>
                  </c:pt>
                  <c:pt idx="12">
                    <c:v>2021</c:v>
                  </c:pt>
                </c:lvl>
              </c:multiLvlStrCache>
            </c:multiLvlStrRef>
          </c:cat>
          <c:val>
            <c:numRef>
              <c:f>Sheet1!$AH$12:$AU$12</c:f>
              <c:numCache>
                <c:formatCode>0.0</c:formatCode>
                <c:ptCount val="14"/>
                <c:pt idx="0">
                  <c:v>3.5999999999999943</c:v>
                </c:pt>
                <c:pt idx="1">
                  <c:v>4.0473840078973353</c:v>
                </c:pt>
                <c:pt idx="2">
                  <c:v>4.7197640117994126</c:v>
                </c:pt>
                <c:pt idx="3">
                  <c:v>5.0731707317073216</c:v>
                </c:pt>
                <c:pt idx="4">
                  <c:v>5.0193050193050226</c:v>
                </c:pt>
                <c:pt idx="5">
                  <c:v>4.2694497153700155</c:v>
                </c:pt>
                <c:pt idx="6">
                  <c:v>3.7558685446009434</c:v>
                </c:pt>
                <c:pt idx="7">
                  <c:v>3.2497678737233002</c:v>
                </c:pt>
                <c:pt idx="8">
                  <c:v>2.481617647058826</c:v>
                </c:pt>
                <c:pt idx="9">
                  <c:v>1.4558689717925404</c:v>
                </c:pt>
                <c:pt idx="10">
                  <c:v>0.99547511312216841</c:v>
                </c:pt>
                <c:pt idx="11">
                  <c:v>0.53956834532374387</c:v>
                </c:pt>
                <c:pt idx="12">
                  <c:v>1.2556053811659211</c:v>
                </c:pt>
                <c:pt idx="13">
                  <c:v>4.6636771300448459</c:v>
                </c:pt>
              </c:numCache>
            </c:numRef>
          </c:val>
          <c:extLst>
            <c:ext xmlns:c16="http://schemas.microsoft.com/office/drawing/2014/chart" uri="{C3380CC4-5D6E-409C-BE32-E72D297353CC}">
              <c16:uniqueId val="{00000000-899F-4B90-B1E7-3285F3E2B1B7}"/>
            </c:ext>
          </c:extLst>
        </c:ser>
        <c:dLbls>
          <c:showLegendKey val="0"/>
          <c:showVal val="0"/>
          <c:showCatName val="0"/>
          <c:showSerName val="0"/>
          <c:showPercent val="0"/>
          <c:showBubbleSize val="0"/>
        </c:dLbls>
        <c:axId val="428555632"/>
        <c:axId val="428555960"/>
      </c:areaChart>
      <c:lineChart>
        <c:grouping val="standard"/>
        <c:varyColors val="0"/>
        <c:ser>
          <c:idx val="1"/>
          <c:order val="1"/>
          <c:tx>
            <c:strRef>
              <c:f>Sheet1!$A$13</c:f>
              <c:strCache>
                <c:ptCount val="1"/>
                <c:pt idx="0">
                  <c:v>Būvmateriāli</c:v>
                </c:pt>
              </c:strCache>
            </c:strRef>
          </c:tx>
          <c:spPr>
            <a:ln w="28575" cap="rnd">
              <a:solidFill>
                <a:srgbClr val="00B050"/>
              </a:solidFill>
              <a:round/>
            </a:ln>
            <a:effectLst/>
          </c:spPr>
          <c:marker>
            <c:symbol val="none"/>
          </c:marker>
          <c:cat>
            <c:multiLvlStrRef>
              <c:f>Sheet1!$AH$10:$AU$11</c:f>
              <c:multiLvlStrCache>
                <c:ptCount val="1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lvl>
                <c:lvl>
                  <c:pt idx="0">
                    <c:v>2018</c:v>
                  </c:pt>
                  <c:pt idx="4">
                    <c:v>2019</c:v>
                  </c:pt>
                  <c:pt idx="8">
                    <c:v>2020</c:v>
                  </c:pt>
                  <c:pt idx="12">
                    <c:v>2021</c:v>
                  </c:pt>
                </c:lvl>
              </c:multiLvlStrCache>
            </c:multiLvlStrRef>
          </c:cat>
          <c:val>
            <c:numRef>
              <c:f>Sheet1!$AH$13:$AU$13</c:f>
              <c:numCache>
                <c:formatCode>0.0</c:formatCode>
                <c:ptCount val="14"/>
                <c:pt idx="0">
                  <c:v>2.669404517453799</c:v>
                </c:pt>
                <c:pt idx="1">
                  <c:v>3.6697247706422047</c:v>
                </c:pt>
                <c:pt idx="2">
                  <c:v>3.767820773930751</c:v>
                </c:pt>
                <c:pt idx="3">
                  <c:v>4.7619047619047592</c:v>
                </c:pt>
                <c:pt idx="4">
                  <c:v>4.5</c:v>
                </c:pt>
                <c:pt idx="5">
                  <c:v>3.343166175024578</c:v>
                </c:pt>
                <c:pt idx="6">
                  <c:v>3.6310107948969517</c:v>
                </c:pt>
                <c:pt idx="7">
                  <c:v>2.2243713733075339</c:v>
                </c:pt>
                <c:pt idx="8">
                  <c:v>1.1483253588516789</c:v>
                </c:pt>
                <c:pt idx="9">
                  <c:v>-0.57088487155090206</c:v>
                </c:pt>
                <c:pt idx="10">
                  <c:v>-1.6098484848484844</c:v>
                </c:pt>
                <c:pt idx="11">
                  <c:v>-1.7029328287606518</c:v>
                </c:pt>
                <c:pt idx="12">
                  <c:v>0.28382213812676582</c:v>
                </c:pt>
                <c:pt idx="13">
                  <c:v>5.8373205741626748</c:v>
                </c:pt>
              </c:numCache>
            </c:numRef>
          </c:val>
          <c:smooth val="1"/>
          <c:extLst>
            <c:ext xmlns:c16="http://schemas.microsoft.com/office/drawing/2014/chart" uri="{C3380CC4-5D6E-409C-BE32-E72D297353CC}">
              <c16:uniqueId val="{00000001-899F-4B90-B1E7-3285F3E2B1B7}"/>
            </c:ext>
          </c:extLst>
        </c:ser>
        <c:ser>
          <c:idx val="2"/>
          <c:order val="2"/>
          <c:tx>
            <c:strRef>
              <c:f>Sheet1!$A$14</c:f>
              <c:strCache>
                <c:ptCount val="1"/>
                <c:pt idx="0">
                  <c:v>Strādnieku darba samaksa</c:v>
                </c:pt>
              </c:strCache>
            </c:strRef>
          </c:tx>
          <c:spPr>
            <a:ln w="28575" cap="rnd">
              <a:solidFill>
                <a:srgbClr val="0070C0"/>
              </a:solidFill>
              <a:round/>
            </a:ln>
            <a:effectLst/>
          </c:spPr>
          <c:marker>
            <c:symbol val="none"/>
          </c:marker>
          <c:cat>
            <c:multiLvlStrRef>
              <c:f>Sheet1!$AH$10:$AU$11</c:f>
              <c:multiLvlStrCache>
                <c:ptCount val="1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lvl>
                <c:lvl>
                  <c:pt idx="0">
                    <c:v>2018</c:v>
                  </c:pt>
                  <c:pt idx="4">
                    <c:v>2019</c:v>
                  </c:pt>
                  <c:pt idx="8">
                    <c:v>2020</c:v>
                  </c:pt>
                  <c:pt idx="12">
                    <c:v>2021</c:v>
                  </c:pt>
                </c:lvl>
              </c:multiLvlStrCache>
            </c:multiLvlStrRef>
          </c:cat>
          <c:val>
            <c:numRef>
              <c:f>Sheet1!$AH$14:$AU$14</c:f>
              <c:numCache>
                <c:formatCode>0.0</c:formatCode>
                <c:ptCount val="14"/>
                <c:pt idx="0">
                  <c:v>7.9545454545454533</c:v>
                </c:pt>
                <c:pt idx="1">
                  <c:v>7.2212065813528312</c:v>
                </c:pt>
                <c:pt idx="2">
                  <c:v>9.1402714932126656</c:v>
                </c:pt>
                <c:pt idx="3">
                  <c:v>8.8156723063223552</c:v>
                </c:pt>
                <c:pt idx="4">
                  <c:v>8.1578947368421098</c:v>
                </c:pt>
                <c:pt idx="5">
                  <c:v>8.3546462063086153</c:v>
                </c:pt>
                <c:pt idx="6">
                  <c:v>6.3847429519071568</c:v>
                </c:pt>
                <c:pt idx="7">
                  <c:v>7.6104746317512308</c:v>
                </c:pt>
                <c:pt idx="8">
                  <c:v>7.9480940794809385</c:v>
                </c:pt>
                <c:pt idx="9">
                  <c:v>7.238394964594832</c:v>
                </c:pt>
                <c:pt idx="10">
                  <c:v>7.4045206547155118</c:v>
                </c:pt>
                <c:pt idx="11">
                  <c:v>5.5513307984790998</c:v>
                </c:pt>
                <c:pt idx="12">
                  <c:v>3.5311795642374335</c:v>
                </c:pt>
                <c:pt idx="13">
                  <c:v>3.7417461482024805</c:v>
                </c:pt>
              </c:numCache>
            </c:numRef>
          </c:val>
          <c:smooth val="1"/>
          <c:extLst>
            <c:ext xmlns:c16="http://schemas.microsoft.com/office/drawing/2014/chart" uri="{C3380CC4-5D6E-409C-BE32-E72D297353CC}">
              <c16:uniqueId val="{00000002-899F-4B90-B1E7-3285F3E2B1B7}"/>
            </c:ext>
          </c:extLst>
        </c:ser>
        <c:ser>
          <c:idx val="3"/>
          <c:order val="3"/>
          <c:tx>
            <c:strRef>
              <c:f>Sheet1!$A$15</c:f>
              <c:strCache>
                <c:ptCount val="1"/>
                <c:pt idx="0">
                  <c:v>Izmaksas mašīnu un mehānismu uzturēšanai un ekspluatācijai</c:v>
                </c:pt>
              </c:strCache>
            </c:strRef>
          </c:tx>
          <c:spPr>
            <a:ln w="28575" cap="rnd">
              <a:solidFill>
                <a:schemeClr val="tx1">
                  <a:lumMod val="50000"/>
                  <a:lumOff val="50000"/>
                </a:schemeClr>
              </a:solidFill>
              <a:round/>
            </a:ln>
            <a:effectLst/>
          </c:spPr>
          <c:marker>
            <c:symbol val="none"/>
          </c:marker>
          <c:cat>
            <c:multiLvlStrRef>
              <c:f>Sheet1!$AH$10:$AU$11</c:f>
              <c:multiLvlStrCache>
                <c:ptCount val="1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lvl>
                <c:lvl>
                  <c:pt idx="0">
                    <c:v>2018</c:v>
                  </c:pt>
                  <c:pt idx="4">
                    <c:v>2019</c:v>
                  </c:pt>
                  <c:pt idx="8">
                    <c:v>2020</c:v>
                  </c:pt>
                  <c:pt idx="12">
                    <c:v>2021</c:v>
                  </c:pt>
                </c:lvl>
              </c:multiLvlStrCache>
            </c:multiLvlStrRef>
          </c:cat>
          <c:val>
            <c:numRef>
              <c:f>Sheet1!$AH$15:$AU$15</c:f>
              <c:numCache>
                <c:formatCode>0.0</c:formatCode>
                <c:ptCount val="14"/>
                <c:pt idx="0">
                  <c:v>2.4752475247524757</c:v>
                </c:pt>
                <c:pt idx="1">
                  <c:v>2.5515210991167692</c:v>
                </c:pt>
                <c:pt idx="2">
                  <c:v>3.22265625</c:v>
                </c:pt>
                <c:pt idx="3">
                  <c:v>3.1007751937984409</c:v>
                </c:pt>
                <c:pt idx="4">
                  <c:v>3.6714975845410578</c:v>
                </c:pt>
                <c:pt idx="5">
                  <c:v>3.0622009569378008</c:v>
                </c:pt>
                <c:pt idx="6">
                  <c:v>2.2705771050141834</c:v>
                </c:pt>
                <c:pt idx="7">
                  <c:v>1.691729323308266</c:v>
                </c:pt>
                <c:pt idx="8">
                  <c:v>1.0251630941286152</c:v>
                </c:pt>
                <c:pt idx="9">
                  <c:v>0.46425255338904492</c:v>
                </c:pt>
                <c:pt idx="10">
                  <c:v>0.55504162812211177</c:v>
                </c:pt>
                <c:pt idx="11">
                  <c:v>0.73937153419592505</c:v>
                </c:pt>
                <c:pt idx="12">
                  <c:v>1.0147601476014643</c:v>
                </c:pt>
                <c:pt idx="13">
                  <c:v>3.419593345656196</c:v>
                </c:pt>
              </c:numCache>
            </c:numRef>
          </c:val>
          <c:smooth val="1"/>
          <c:extLst>
            <c:ext xmlns:c16="http://schemas.microsoft.com/office/drawing/2014/chart" uri="{C3380CC4-5D6E-409C-BE32-E72D297353CC}">
              <c16:uniqueId val="{00000003-899F-4B90-B1E7-3285F3E2B1B7}"/>
            </c:ext>
          </c:extLst>
        </c:ser>
        <c:dLbls>
          <c:showLegendKey val="0"/>
          <c:showVal val="0"/>
          <c:showCatName val="0"/>
          <c:showSerName val="0"/>
          <c:showPercent val="0"/>
          <c:showBubbleSize val="0"/>
        </c:dLbls>
        <c:marker val="1"/>
        <c:smooth val="0"/>
        <c:axId val="428555632"/>
        <c:axId val="428555960"/>
      </c:lineChart>
      <c:catAx>
        <c:axId val="4285556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28555960"/>
        <c:crosses val="autoZero"/>
        <c:auto val="1"/>
        <c:lblAlgn val="ctr"/>
        <c:lblOffset val="100"/>
        <c:noMultiLvlLbl val="0"/>
      </c:catAx>
      <c:valAx>
        <c:axId val="428555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28555632"/>
        <c:crosses val="autoZero"/>
        <c:crossBetween val="between"/>
      </c:valAx>
      <c:spPr>
        <a:noFill/>
        <a:ln>
          <a:noFill/>
        </a:ln>
        <a:effectLst/>
      </c:spPr>
    </c:plotArea>
    <c:legend>
      <c:legendPos val="b"/>
      <c:layout>
        <c:manualLayout>
          <c:xMode val="edge"/>
          <c:yMode val="edge"/>
          <c:x val="6.0871682493304116E-2"/>
          <c:y val="0.72379596224524823"/>
          <c:w val="0.9391283175066959"/>
          <c:h val="0.2476121864323785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888271017091007E-2"/>
          <c:y val="2.6330261499542922E-2"/>
          <c:w val="0.91866697429462363"/>
          <c:h val="0.62045260715206574"/>
        </c:manualLayout>
      </c:layout>
      <c:barChart>
        <c:barDir val="col"/>
        <c:grouping val="stacked"/>
        <c:varyColors val="0"/>
        <c:ser>
          <c:idx val="6"/>
          <c:order val="0"/>
          <c:tx>
            <c:strRef>
              <c:f>'[Chart in Microsoft Word]Atļaujas'!$B$62</c:f>
              <c:strCache>
                <c:ptCount val="1"/>
                <c:pt idx="0">
                  <c:v>Pārējās</c:v>
                </c:pt>
              </c:strCache>
            </c:strRef>
          </c:tx>
          <c:spPr>
            <a:solidFill>
              <a:srgbClr val="0070C0"/>
            </a:solidFill>
            <a:ln>
              <a:solidFill>
                <a:schemeClr val="accent1"/>
              </a:solidFill>
            </a:ln>
            <a:effectLst/>
          </c:spPr>
          <c:invertIfNegative val="0"/>
          <c:cat>
            <c:multiLvlStrRef>
              <c:f>'[Chart in Microsoft Word]Atļaujas'!$AY$47:$BX$48</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2015</c:v>
                  </c:pt>
                  <c:pt idx="4">
                    <c:v>2016</c:v>
                  </c:pt>
                  <c:pt idx="8">
                    <c:v>2017</c:v>
                  </c:pt>
                  <c:pt idx="12">
                    <c:v>2018</c:v>
                  </c:pt>
                  <c:pt idx="16">
                    <c:v>2019</c:v>
                  </c:pt>
                  <c:pt idx="20">
                    <c:v>2020</c:v>
                  </c:pt>
                  <c:pt idx="24">
                    <c:v>2021</c:v>
                  </c:pt>
                </c:lvl>
              </c:multiLvlStrCache>
            </c:multiLvlStrRef>
          </c:cat>
          <c:val>
            <c:numRef>
              <c:f>'[Chart in Microsoft Word]Atļaujas'!$AY$62:$BX$62</c:f>
              <c:numCache>
                <c:formatCode>0</c:formatCode>
                <c:ptCount val="26"/>
                <c:pt idx="0">
                  <c:v>89.899999999999977</c:v>
                </c:pt>
                <c:pt idx="1">
                  <c:v>101.70000000000005</c:v>
                </c:pt>
                <c:pt idx="2">
                  <c:v>90.800000000000068</c:v>
                </c:pt>
                <c:pt idx="3">
                  <c:v>115.19999999999996</c:v>
                </c:pt>
                <c:pt idx="4">
                  <c:v>100.30000000000001</c:v>
                </c:pt>
                <c:pt idx="5">
                  <c:v>101.09999999999991</c:v>
                </c:pt>
                <c:pt idx="6">
                  <c:v>83.999999999999943</c:v>
                </c:pt>
                <c:pt idx="7">
                  <c:v>59.399999999999977</c:v>
                </c:pt>
                <c:pt idx="8">
                  <c:v>19.699999999999989</c:v>
                </c:pt>
                <c:pt idx="9">
                  <c:v>48.899999999999977</c:v>
                </c:pt>
                <c:pt idx="10">
                  <c:v>72.299999999999955</c:v>
                </c:pt>
                <c:pt idx="11">
                  <c:v>36.799999999999955</c:v>
                </c:pt>
                <c:pt idx="12">
                  <c:v>38</c:v>
                </c:pt>
                <c:pt idx="13">
                  <c:v>72.899999999999864</c:v>
                </c:pt>
                <c:pt idx="14">
                  <c:v>75.300000000000011</c:v>
                </c:pt>
                <c:pt idx="15">
                  <c:v>70.599999999999966</c:v>
                </c:pt>
                <c:pt idx="16">
                  <c:v>84.800000000000011</c:v>
                </c:pt>
                <c:pt idx="17">
                  <c:v>128.20000000000005</c:v>
                </c:pt>
                <c:pt idx="18">
                  <c:v>139.60000000000002</c:v>
                </c:pt>
                <c:pt idx="19">
                  <c:v>131.09999999999991</c:v>
                </c:pt>
                <c:pt idx="20">
                  <c:v>87</c:v>
                </c:pt>
                <c:pt idx="21">
                  <c:v>101.49999999999989</c:v>
                </c:pt>
                <c:pt idx="22">
                  <c:v>99.799999999999955</c:v>
                </c:pt>
                <c:pt idx="23">
                  <c:v>121.89999999999998</c:v>
                </c:pt>
                <c:pt idx="24">
                  <c:v>76.600000000000023</c:v>
                </c:pt>
                <c:pt idx="25">
                  <c:v>72.700000000000159</c:v>
                </c:pt>
              </c:numCache>
            </c:numRef>
          </c:val>
          <c:extLst>
            <c:ext xmlns:c16="http://schemas.microsoft.com/office/drawing/2014/chart" uri="{C3380CC4-5D6E-409C-BE32-E72D297353CC}">
              <c16:uniqueId val="{00000000-2539-4946-BD65-6DE76199E465}"/>
            </c:ext>
          </c:extLst>
        </c:ser>
        <c:ser>
          <c:idx val="2"/>
          <c:order val="1"/>
          <c:tx>
            <c:strRef>
              <c:f>'[Chart in Microsoft Word]Atļaujas'!$B$54</c:f>
              <c:strCache>
                <c:ptCount val="1"/>
                <c:pt idx="0">
                  <c:v>Biroju ēkas</c:v>
                </c:pt>
              </c:strCache>
            </c:strRef>
          </c:tx>
          <c:spPr>
            <a:pattFill prst="dkUpDiag">
              <a:fgClr>
                <a:schemeClr val="accent2">
                  <a:lumMod val="75000"/>
                </a:schemeClr>
              </a:fgClr>
              <a:bgClr>
                <a:schemeClr val="bg1"/>
              </a:bgClr>
            </a:pattFill>
            <a:ln>
              <a:solidFill>
                <a:schemeClr val="accent2">
                  <a:lumMod val="75000"/>
                </a:schemeClr>
              </a:solidFill>
            </a:ln>
            <a:effectLst/>
          </c:spPr>
          <c:invertIfNegative val="0"/>
          <c:cat>
            <c:multiLvlStrRef>
              <c:f>'[Chart in Microsoft Word]Atļaujas'!$AY$47:$BX$48</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2015</c:v>
                  </c:pt>
                  <c:pt idx="4">
                    <c:v>2016</c:v>
                  </c:pt>
                  <c:pt idx="8">
                    <c:v>2017</c:v>
                  </c:pt>
                  <c:pt idx="12">
                    <c:v>2018</c:v>
                  </c:pt>
                  <c:pt idx="16">
                    <c:v>2019</c:v>
                  </c:pt>
                  <c:pt idx="20">
                    <c:v>2020</c:v>
                  </c:pt>
                  <c:pt idx="24">
                    <c:v>2021</c:v>
                  </c:pt>
                </c:lvl>
              </c:multiLvlStrCache>
            </c:multiLvlStrRef>
          </c:cat>
          <c:val>
            <c:numRef>
              <c:f>'[Chart in Microsoft Word]Atļaujas'!$AY$54:$BX$54</c:f>
              <c:numCache>
                <c:formatCode>0.0</c:formatCode>
                <c:ptCount val="26"/>
                <c:pt idx="0">
                  <c:v>13.8</c:v>
                </c:pt>
                <c:pt idx="1">
                  <c:v>13</c:v>
                </c:pt>
                <c:pt idx="2">
                  <c:v>30.2</c:v>
                </c:pt>
                <c:pt idx="3">
                  <c:v>7.7</c:v>
                </c:pt>
                <c:pt idx="4">
                  <c:v>26.7</c:v>
                </c:pt>
                <c:pt idx="5">
                  <c:v>10.199999999999999</c:v>
                </c:pt>
                <c:pt idx="6">
                  <c:v>7.9</c:v>
                </c:pt>
                <c:pt idx="7">
                  <c:v>32.6</c:v>
                </c:pt>
                <c:pt idx="8">
                  <c:v>7.8</c:v>
                </c:pt>
                <c:pt idx="9">
                  <c:v>10.199999999999999</c:v>
                </c:pt>
                <c:pt idx="10">
                  <c:v>27.1</c:v>
                </c:pt>
                <c:pt idx="11">
                  <c:v>24.2</c:v>
                </c:pt>
                <c:pt idx="12">
                  <c:v>16.3</c:v>
                </c:pt>
                <c:pt idx="13">
                  <c:v>78.900000000000006</c:v>
                </c:pt>
                <c:pt idx="14">
                  <c:v>33.200000000000003</c:v>
                </c:pt>
                <c:pt idx="15">
                  <c:v>20.8</c:v>
                </c:pt>
                <c:pt idx="16">
                  <c:v>9.6</c:v>
                </c:pt>
                <c:pt idx="17">
                  <c:v>11.9</c:v>
                </c:pt>
                <c:pt idx="18">
                  <c:v>19</c:v>
                </c:pt>
                <c:pt idx="19">
                  <c:v>42.3</c:v>
                </c:pt>
                <c:pt idx="20">
                  <c:v>12.7</c:v>
                </c:pt>
                <c:pt idx="21">
                  <c:v>33.299999999999997</c:v>
                </c:pt>
                <c:pt idx="22">
                  <c:v>29.5</c:v>
                </c:pt>
                <c:pt idx="23">
                  <c:v>17.7</c:v>
                </c:pt>
                <c:pt idx="24">
                  <c:v>6.5</c:v>
                </c:pt>
                <c:pt idx="25">
                  <c:v>25.6</c:v>
                </c:pt>
              </c:numCache>
            </c:numRef>
          </c:val>
          <c:extLst>
            <c:ext xmlns:c16="http://schemas.microsoft.com/office/drawing/2014/chart" uri="{C3380CC4-5D6E-409C-BE32-E72D297353CC}">
              <c16:uniqueId val="{00000001-2539-4946-BD65-6DE76199E465}"/>
            </c:ext>
          </c:extLst>
        </c:ser>
        <c:ser>
          <c:idx val="3"/>
          <c:order val="2"/>
          <c:tx>
            <c:strRef>
              <c:f>'[Chart in Microsoft Word]Atļaujas'!$B$55</c:f>
              <c:strCache>
                <c:ptCount val="1"/>
                <c:pt idx="0">
                  <c:v>Tirdzniecības ēkas</c:v>
                </c:pt>
              </c:strCache>
            </c:strRef>
          </c:tx>
          <c:spPr>
            <a:solidFill>
              <a:schemeClr val="accent4">
                <a:lumMod val="60000"/>
                <a:lumOff val="40000"/>
              </a:schemeClr>
            </a:solidFill>
            <a:ln>
              <a:solidFill>
                <a:schemeClr val="accent4">
                  <a:lumMod val="60000"/>
                  <a:lumOff val="40000"/>
                </a:schemeClr>
              </a:solidFill>
            </a:ln>
            <a:effectLst/>
          </c:spPr>
          <c:invertIfNegative val="0"/>
          <c:cat>
            <c:multiLvlStrRef>
              <c:f>'[Chart in Microsoft Word]Atļaujas'!$AY$47:$BX$48</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2015</c:v>
                  </c:pt>
                  <c:pt idx="4">
                    <c:v>2016</c:v>
                  </c:pt>
                  <c:pt idx="8">
                    <c:v>2017</c:v>
                  </c:pt>
                  <c:pt idx="12">
                    <c:v>2018</c:v>
                  </c:pt>
                  <c:pt idx="16">
                    <c:v>2019</c:v>
                  </c:pt>
                  <c:pt idx="20">
                    <c:v>2020</c:v>
                  </c:pt>
                  <c:pt idx="24">
                    <c:v>2021</c:v>
                  </c:pt>
                </c:lvl>
              </c:multiLvlStrCache>
            </c:multiLvlStrRef>
          </c:cat>
          <c:val>
            <c:numRef>
              <c:f>'[Chart in Microsoft Word]Atļaujas'!$AY$55:$BX$55</c:f>
              <c:numCache>
                <c:formatCode>0.0</c:formatCode>
                <c:ptCount val="26"/>
                <c:pt idx="0">
                  <c:v>18.7</c:v>
                </c:pt>
                <c:pt idx="1">
                  <c:v>26.9</c:v>
                </c:pt>
                <c:pt idx="2">
                  <c:v>22.8</c:v>
                </c:pt>
                <c:pt idx="3">
                  <c:v>16.600000000000001</c:v>
                </c:pt>
                <c:pt idx="4">
                  <c:v>24.3</c:v>
                </c:pt>
                <c:pt idx="5">
                  <c:v>12.1</c:v>
                </c:pt>
                <c:pt idx="6">
                  <c:v>9.4</c:v>
                </c:pt>
                <c:pt idx="7">
                  <c:v>69.2</c:v>
                </c:pt>
                <c:pt idx="8">
                  <c:v>10.199999999999999</c:v>
                </c:pt>
                <c:pt idx="9">
                  <c:v>12.5</c:v>
                </c:pt>
                <c:pt idx="10">
                  <c:v>41</c:v>
                </c:pt>
                <c:pt idx="11">
                  <c:v>71.400000000000006</c:v>
                </c:pt>
                <c:pt idx="12">
                  <c:v>23</c:v>
                </c:pt>
                <c:pt idx="13">
                  <c:v>25.9</c:v>
                </c:pt>
                <c:pt idx="14">
                  <c:v>28.3</c:v>
                </c:pt>
                <c:pt idx="15">
                  <c:v>64.5</c:v>
                </c:pt>
                <c:pt idx="16">
                  <c:v>13.7</c:v>
                </c:pt>
                <c:pt idx="17">
                  <c:v>44.5</c:v>
                </c:pt>
                <c:pt idx="18">
                  <c:v>99.4</c:v>
                </c:pt>
                <c:pt idx="19">
                  <c:v>35.700000000000003</c:v>
                </c:pt>
                <c:pt idx="20">
                  <c:v>22.5</c:v>
                </c:pt>
                <c:pt idx="21">
                  <c:v>8.8000000000000007</c:v>
                </c:pt>
                <c:pt idx="22">
                  <c:v>10.1</c:v>
                </c:pt>
                <c:pt idx="23">
                  <c:v>24.8</c:v>
                </c:pt>
                <c:pt idx="24">
                  <c:v>11.3</c:v>
                </c:pt>
                <c:pt idx="25">
                  <c:v>44.6</c:v>
                </c:pt>
              </c:numCache>
            </c:numRef>
          </c:val>
          <c:extLst>
            <c:ext xmlns:c16="http://schemas.microsoft.com/office/drawing/2014/chart" uri="{C3380CC4-5D6E-409C-BE32-E72D297353CC}">
              <c16:uniqueId val="{00000002-2539-4946-BD65-6DE76199E465}"/>
            </c:ext>
          </c:extLst>
        </c:ser>
        <c:ser>
          <c:idx val="5"/>
          <c:order val="3"/>
          <c:tx>
            <c:strRef>
              <c:f>'[Chart in Microsoft Word]Atļaujas'!$B$58</c:f>
              <c:strCache>
                <c:ptCount val="1"/>
                <c:pt idx="0">
                  <c:v>Plašizklaides pasākumu, izglītības, veselības apr. iestāžu ēkas</c:v>
                </c:pt>
              </c:strCache>
            </c:strRef>
          </c:tx>
          <c:spPr>
            <a:pattFill prst="dkUpDiag">
              <a:fgClr>
                <a:schemeClr val="tx1">
                  <a:lumMod val="65000"/>
                  <a:lumOff val="35000"/>
                </a:schemeClr>
              </a:fgClr>
              <a:bgClr>
                <a:schemeClr val="bg1"/>
              </a:bgClr>
            </a:pattFill>
            <a:ln>
              <a:solidFill>
                <a:schemeClr val="tx1">
                  <a:lumMod val="65000"/>
                  <a:lumOff val="35000"/>
                </a:schemeClr>
              </a:solidFill>
            </a:ln>
            <a:effectLst/>
          </c:spPr>
          <c:invertIfNegative val="0"/>
          <c:cat>
            <c:multiLvlStrRef>
              <c:f>'[Chart in Microsoft Word]Atļaujas'!$AY$47:$BX$48</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2015</c:v>
                  </c:pt>
                  <c:pt idx="4">
                    <c:v>2016</c:v>
                  </c:pt>
                  <c:pt idx="8">
                    <c:v>2017</c:v>
                  </c:pt>
                  <c:pt idx="12">
                    <c:v>2018</c:v>
                  </c:pt>
                  <c:pt idx="16">
                    <c:v>2019</c:v>
                  </c:pt>
                  <c:pt idx="20">
                    <c:v>2020</c:v>
                  </c:pt>
                  <c:pt idx="24">
                    <c:v>2021</c:v>
                  </c:pt>
                </c:lvl>
              </c:multiLvlStrCache>
            </c:multiLvlStrRef>
          </c:cat>
          <c:val>
            <c:numRef>
              <c:f>'[Chart in Microsoft Word]Atļaujas'!$AY$58:$BX$58</c:f>
              <c:numCache>
                <c:formatCode>0.0</c:formatCode>
                <c:ptCount val="26"/>
                <c:pt idx="0">
                  <c:v>34.200000000000003</c:v>
                </c:pt>
                <c:pt idx="1">
                  <c:v>25.1</c:v>
                </c:pt>
                <c:pt idx="2">
                  <c:v>49.1</c:v>
                </c:pt>
                <c:pt idx="3">
                  <c:v>25.1</c:v>
                </c:pt>
                <c:pt idx="4">
                  <c:v>32.6</c:v>
                </c:pt>
                <c:pt idx="5">
                  <c:v>47.3</c:v>
                </c:pt>
                <c:pt idx="6">
                  <c:v>11.5</c:v>
                </c:pt>
                <c:pt idx="7">
                  <c:v>13.6</c:v>
                </c:pt>
                <c:pt idx="8">
                  <c:v>26.6</c:v>
                </c:pt>
                <c:pt idx="9">
                  <c:v>30.4</c:v>
                </c:pt>
                <c:pt idx="10">
                  <c:v>58.1</c:v>
                </c:pt>
                <c:pt idx="11">
                  <c:v>21.5</c:v>
                </c:pt>
                <c:pt idx="12">
                  <c:v>22.2</c:v>
                </c:pt>
                <c:pt idx="13">
                  <c:v>57.1</c:v>
                </c:pt>
                <c:pt idx="14">
                  <c:v>36.799999999999997</c:v>
                </c:pt>
                <c:pt idx="15">
                  <c:v>26.1</c:v>
                </c:pt>
                <c:pt idx="16">
                  <c:v>26.6</c:v>
                </c:pt>
                <c:pt idx="17">
                  <c:v>93.5</c:v>
                </c:pt>
                <c:pt idx="18">
                  <c:v>68.5</c:v>
                </c:pt>
                <c:pt idx="19">
                  <c:v>83.3</c:v>
                </c:pt>
                <c:pt idx="20">
                  <c:v>27.9</c:v>
                </c:pt>
                <c:pt idx="21">
                  <c:v>79.400000000000006</c:v>
                </c:pt>
                <c:pt idx="22">
                  <c:v>42.6</c:v>
                </c:pt>
                <c:pt idx="23">
                  <c:v>103.6</c:v>
                </c:pt>
                <c:pt idx="24">
                  <c:v>32.799999999999997</c:v>
                </c:pt>
                <c:pt idx="25">
                  <c:v>89.1</c:v>
                </c:pt>
              </c:numCache>
            </c:numRef>
          </c:val>
          <c:extLst>
            <c:ext xmlns:c16="http://schemas.microsoft.com/office/drawing/2014/chart" uri="{C3380CC4-5D6E-409C-BE32-E72D297353CC}">
              <c16:uniqueId val="{00000003-2539-4946-BD65-6DE76199E465}"/>
            </c:ext>
          </c:extLst>
        </c:ser>
        <c:ser>
          <c:idx val="4"/>
          <c:order val="4"/>
          <c:tx>
            <c:strRef>
              <c:f>'[Chart in Microsoft Word]Atļaujas'!$B$57</c:f>
              <c:strCache>
                <c:ptCount val="1"/>
                <c:pt idx="0">
                  <c:v>Rūpnieciskās ražošanas ēkas un noliktavas</c:v>
                </c:pt>
              </c:strCache>
            </c:strRef>
          </c:tx>
          <c:spPr>
            <a:solidFill>
              <a:srgbClr val="00B050"/>
            </a:solidFill>
            <a:ln>
              <a:solidFill>
                <a:srgbClr val="00B050"/>
              </a:solidFill>
            </a:ln>
            <a:effectLst/>
          </c:spPr>
          <c:invertIfNegative val="0"/>
          <c:cat>
            <c:multiLvlStrRef>
              <c:f>'[Chart in Microsoft Word]Atļaujas'!$AY$47:$BX$48</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2015</c:v>
                  </c:pt>
                  <c:pt idx="4">
                    <c:v>2016</c:v>
                  </c:pt>
                  <c:pt idx="8">
                    <c:v>2017</c:v>
                  </c:pt>
                  <c:pt idx="12">
                    <c:v>2018</c:v>
                  </c:pt>
                  <c:pt idx="16">
                    <c:v>2019</c:v>
                  </c:pt>
                  <c:pt idx="20">
                    <c:v>2020</c:v>
                  </c:pt>
                  <c:pt idx="24">
                    <c:v>2021</c:v>
                  </c:pt>
                </c:lvl>
              </c:multiLvlStrCache>
            </c:multiLvlStrRef>
          </c:cat>
          <c:val>
            <c:numRef>
              <c:f>'[Chart in Microsoft Word]Atļaujas'!$AY$57:$BX$57</c:f>
              <c:numCache>
                <c:formatCode>0.0</c:formatCode>
                <c:ptCount val="26"/>
                <c:pt idx="0">
                  <c:v>85.4</c:v>
                </c:pt>
                <c:pt idx="1">
                  <c:v>75.3</c:v>
                </c:pt>
                <c:pt idx="2">
                  <c:v>223.4</c:v>
                </c:pt>
                <c:pt idx="3">
                  <c:v>83.9</c:v>
                </c:pt>
                <c:pt idx="4">
                  <c:v>61.1</c:v>
                </c:pt>
                <c:pt idx="5">
                  <c:v>61.2</c:v>
                </c:pt>
                <c:pt idx="6">
                  <c:v>131.80000000000001</c:v>
                </c:pt>
                <c:pt idx="7">
                  <c:v>39.6</c:v>
                </c:pt>
                <c:pt idx="8">
                  <c:v>53.4</c:v>
                </c:pt>
                <c:pt idx="9">
                  <c:v>39.5</c:v>
                </c:pt>
                <c:pt idx="10">
                  <c:v>169</c:v>
                </c:pt>
                <c:pt idx="11">
                  <c:v>74</c:v>
                </c:pt>
                <c:pt idx="12">
                  <c:v>55.1</c:v>
                </c:pt>
                <c:pt idx="13">
                  <c:v>115.2</c:v>
                </c:pt>
                <c:pt idx="14">
                  <c:v>93.8</c:v>
                </c:pt>
                <c:pt idx="15">
                  <c:v>114.3</c:v>
                </c:pt>
                <c:pt idx="16">
                  <c:v>203.9</c:v>
                </c:pt>
                <c:pt idx="17">
                  <c:v>134</c:v>
                </c:pt>
                <c:pt idx="18">
                  <c:v>110.4</c:v>
                </c:pt>
                <c:pt idx="19">
                  <c:v>283.10000000000002</c:v>
                </c:pt>
                <c:pt idx="20">
                  <c:v>138.1</c:v>
                </c:pt>
                <c:pt idx="21">
                  <c:v>82</c:v>
                </c:pt>
                <c:pt idx="22">
                  <c:v>61.3</c:v>
                </c:pt>
                <c:pt idx="23">
                  <c:v>201</c:v>
                </c:pt>
                <c:pt idx="24">
                  <c:v>95.9</c:v>
                </c:pt>
                <c:pt idx="25">
                  <c:v>171.7</c:v>
                </c:pt>
              </c:numCache>
            </c:numRef>
          </c:val>
          <c:extLst>
            <c:ext xmlns:c16="http://schemas.microsoft.com/office/drawing/2014/chart" uri="{C3380CC4-5D6E-409C-BE32-E72D297353CC}">
              <c16:uniqueId val="{00000004-2539-4946-BD65-6DE76199E465}"/>
            </c:ext>
          </c:extLst>
        </c:ser>
        <c:ser>
          <c:idx val="7"/>
          <c:order val="5"/>
          <c:tx>
            <c:strRef>
              <c:f>'[Chart in Microsoft Word]Atļaujas'!$B$53</c:f>
              <c:strCache>
                <c:ptCount val="1"/>
                <c:pt idx="0">
                  <c:v>Viesnīcas un tām līdzīga lietojuma ēkas</c:v>
                </c:pt>
              </c:strCache>
            </c:strRef>
          </c:tx>
          <c:spPr>
            <a:solidFill>
              <a:schemeClr val="accent2">
                <a:lumMod val="75000"/>
              </a:schemeClr>
            </a:solidFill>
            <a:ln>
              <a:solidFill>
                <a:schemeClr val="accent2">
                  <a:lumMod val="75000"/>
                </a:schemeClr>
              </a:solidFill>
            </a:ln>
            <a:effectLst/>
          </c:spPr>
          <c:invertIfNegative val="0"/>
          <c:cat>
            <c:multiLvlStrRef>
              <c:f>'[Chart in Microsoft Word]Atļaujas'!$AY$47:$BX$48</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2015</c:v>
                  </c:pt>
                  <c:pt idx="4">
                    <c:v>2016</c:v>
                  </c:pt>
                  <c:pt idx="8">
                    <c:v>2017</c:v>
                  </c:pt>
                  <c:pt idx="12">
                    <c:v>2018</c:v>
                  </c:pt>
                  <c:pt idx="16">
                    <c:v>2019</c:v>
                  </c:pt>
                  <c:pt idx="20">
                    <c:v>2020</c:v>
                  </c:pt>
                  <c:pt idx="24">
                    <c:v>2021</c:v>
                  </c:pt>
                </c:lvl>
              </c:multiLvlStrCache>
            </c:multiLvlStrRef>
          </c:cat>
          <c:val>
            <c:numRef>
              <c:f>'[Chart in Microsoft Word]Atļaujas'!$AY$53:$BX$53</c:f>
              <c:numCache>
                <c:formatCode>0.0</c:formatCode>
                <c:ptCount val="26"/>
                <c:pt idx="0">
                  <c:v>15.3</c:v>
                </c:pt>
                <c:pt idx="1">
                  <c:v>25</c:v>
                </c:pt>
                <c:pt idx="2">
                  <c:v>14.4</c:v>
                </c:pt>
                <c:pt idx="3">
                  <c:v>14.8</c:v>
                </c:pt>
                <c:pt idx="4">
                  <c:v>5.9</c:v>
                </c:pt>
                <c:pt idx="5">
                  <c:v>6.8</c:v>
                </c:pt>
                <c:pt idx="6">
                  <c:v>10.7</c:v>
                </c:pt>
                <c:pt idx="7">
                  <c:v>11.3</c:v>
                </c:pt>
                <c:pt idx="8">
                  <c:v>11.2</c:v>
                </c:pt>
                <c:pt idx="9">
                  <c:v>7</c:v>
                </c:pt>
                <c:pt idx="10">
                  <c:v>7.6</c:v>
                </c:pt>
                <c:pt idx="11">
                  <c:v>20.6</c:v>
                </c:pt>
                <c:pt idx="12">
                  <c:v>6.5</c:v>
                </c:pt>
                <c:pt idx="13">
                  <c:v>13.2</c:v>
                </c:pt>
                <c:pt idx="14">
                  <c:v>6.4</c:v>
                </c:pt>
                <c:pt idx="15">
                  <c:v>2.7</c:v>
                </c:pt>
                <c:pt idx="16">
                  <c:v>20.2</c:v>
                </c:pt>
                <c:pt idx="17">
                  <c:v>12.9</c:v>
                </c:pt>
                <c:pt idx="18">
                  <c:v>5.9</c:v>
                </c:pt>
                <c:pt idx="19">
                  <c:v>24.6</c:v>
                </c:pt>
                <c:pt idx="20">
                  <c:v>14.4</c:v>
                </c:pt>
                <c:pt idx="21">
                  <c:v>17</c:v>
                </c:pt>
                <c:pt idx="22">
                  <c:v>33.299999999999997</c:v>
                </c:pt>
                <c:pt idx="23">
                  <c:v>14.1</c:v>
                </c:pt>
                <c:pt idx="24">
                  <c:v>23.6</c:v>
                </c:pt>
                <c:pt idx="25">
                  <c:v>7.3</c:v>
                </c:pt>
              </c:numCache>
            </c:numRef>
          </c:val>
          <c:extLst>
            <c:ext xmlns:c16="http://schemas.microsoft.com/office/drawing/2014/chart" uri="{C3380CC4-5D6E-409C-BE32-E72D297353CC}">
              <c16:uniqueId val="{00000005-2539-4946-BD65-6DE76199E465}"/>
            </c:ext>
          </c:extLst>
        </c:ser>
        <c:ser>
          <c:idx val="1"/>
          <c:order val="6"/>
          <c:tx>
            <c:strRef>
              <c:f>'[Chart in Microsoft Word]Atļaujas'!$B$51</c:f>
              <c:strCache>
                <c:ptCount val="1"/>
                <c:pt idx="0">
                  <c:v>Divu vai vairāku dzīvokļu mājas</c:v>
                </c:pt>
              </c:strCache>
            </c:strRef>
          </c:tx>
          <c:spPr>
            <a:solidFill>
              <a:schemeClr val="tx1">
                <a:lumMod val="50000"/>
                <a:lumOff val="50000"/>
              </a:schemeClr>
            </a:solidFill>
            <a:ln>
              <a:solidFill>
                <a:schemeClr val="tx1">
                  <a:lumMod val="50000"/>
                  <a:lumOff val="50000"/>
                </a:schemeClr>
              </a:solidFill>
            </a:ln>
            <a:effectLst/>
          </c:spPr>
          <c:invertIfNegative val="0"/>
          <c:cat>
            <c:multiLvlStrRef>
              <c:f>'[Chart in Microsoft Word]Atļaujas'!$AY$47:$BX$48</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2015</c:v>
                  </c:pt>
                  <c:pt idx="4">
                    <c:v>2016</c:v>
                  </c:pt>
                  <c:pt idx="8">
                    <c:v>2017</c:v>
                  </c:pt>
                  <c:pt idx="12">
                    <c:v>2018</c:v>
                  </c:pt>
                  <c:pt idx="16">
                    <c:v>2019</c:v>
                  </c:pt>
                  <c:pt idx="20">
                    <c:v>2020</c:v>
                  </c:pt>
                  <c:pt idx="24">
                    <c:v>2021</c:v>
                  </c:pt>
                </c:lvl>
              </c:multiLvlStrCache>
            </c:multiLvlStrRef>
          </c:cat>
          <c:val>
            <c:numRef>
              <c:f>'[Chart in Microsoft Word]Atļaujas'!$AY$51:$BX$51</c:f>
              <c:numCache>
                <c:formatCode>0.0</c:formatCode>
                <c:ptCount val="26"/>
                <c:pt idx="0">
                  <c:v>9.4</c:v>
                </c:pt>
                <c:pt idx="1">
                  <c:v>36.799999999999997</c:v>
                </c:pt>
                <c:pt idx="2">
                  <c:v>41.2</c:v>
                </c:pt>
                <c:pt idx="3">
                  <c:v>17.2</c:v>
                </c:pt>
                <c:pt idx="4">
                  <c:v>18.5</c:v>
                </c:pt>
                <c:pt idx="5">
                  <c:v>17.2</c:v>
                </c:pt>
                <c:pt idx="6">
                  <c:v>67.5</c:v>
                </c:pt>
                <c:pt idx="7">
                  <c:v>52.2</c:v>
                </c:pt>
                <c:pt idx="8">
                  <c:v>33.6</c:v>
                </c:pt>
                <c:pt idx="9">
                  <c:v>46</c:v>
                </c:pt>
                <c:pt idx="10">
                  <c:v>44.8</c:v>
                </c:pt>
                <c:pt idx="11">
                  <c:v>58.1</c:v>
                </c:pt>
                <c:pt idx="12">
                  <c:v>69.5</c:v>
                </c:pt>
                <c:pt idx="13">
                  <c:v>53.1</c:v>
                </c:pt>
                <c:pt idx="14">
                  <c:v>71.7</c:v>
                </c:pt>
                <c:pt idx="15">
                  <c:v>76.8</c:v>
                </c:pt>
                <c:pt idx="16">
                  <c:v>60.4</c:v>
                </c:pt>
                <c:pt idx="17">
                  <c:v>39.799999999999997</c:v>
                </c:pt>
                <c:pt idx="18">
                  <c:v>39</c:v>
                </c:pt>
                <c:pt idx="19">
                  <c:v>92.8</c:v>
                </c:pt>
                <c:pt idx="20">
                  <c:v>59.8</c:v>
                </c:pt>
                <c:pt idx="21">
                  <c:v>63.3</c:v>
                </c:pt>
                <c:pt idx="22">
                  <c:v>63.6</c:v>
                </c:pt>
                <c:pt idx="23">
                  <c:v>73.400000000000006</c:v>
                </c:pt>
                <c:pt idx="24">
                  <c:v>45.3</c:v>
                </c:pt>
                <c:pt idx="25">
                  <c:v>60.3</c:v>
                </c:pt>
              </c:numCache>
            </c:numRef>
          </c:val>
          <c:extLst>
            <c:ext xmlns:c16="http://schemas.microsoft.com/office/drawing/2014/chart" uri="{C3380CC4-5D6E-409C-BE32-E72D297353CC}">
              <c16:uniqueId val="{00000006-2539-4946-BD65-6DE76199E465}"/>
            </c:ext>
          </c:extLst>
        </c:ser>
        <c:ser>
          <c:idx val="0"/>
          <c:order val="7"/>
          <c:tx>
            <c:strRef>
              <c:f>'[Chart in Microsoft Word]Atļaujas'!$B$49</c:f>
              <c:strCache>
                <c:ptCount val="1"/>
                <c:pt idx="0">
                  <c:v>Viena dzīvokļa mājas</c:v>
                </c:pt>
              </c:strCache>
            </c:strRef>
          </c:tx>
          <c:spPr>
            <a:pattFill prst="dkUpDiag">
              <a:fgClr>
                <a:schemeClr val="accent6"/>
              </a:fgClr>
              <a:bgClr>
                <a:schemeClr val="bg1"/>
              </a:bgClr>
            </a:pattFill>
            <a:ln>
              <a:solidFill>
                <a:schemeClr val="accent6"/>
              </a:solidFill>
            </a:ln>
            <a:effectLst/>
          </c:spPr>
          <c:invertIfNegative val="0"/>
          <c:cat>
            <c:multiLvlStrRef>
              <c:f>'[Chart in Microsoft Word]Atļaujas'!$AY$47:$BX$48</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2015</c:v>
                  </c:pt>
                  <c:pt idx="4">
                    <c:v>2016</c:v>
                  </c:pt>
                  <c:pt idx="8">
                    <c:v>2017</c:v>
                  </c:pt>
                  <c:pt idx="12">
                    <c:v>2018</c:v>
                  </c:pt>
                  <c:pt idx="16">
                    <c:v>2019</c:v>
                  </c:pt>
                  <c:pt idx="20">
                    <c:v>2020</c:v>
                  </c:pt>
                  <c:pt idx="24">
                    <c:v>2021</c:v>
                  </c:pt>
                </c:lvl>
              </c:multiLvlStrCache>
            </c:multiLvlStrRef>
          </c:cat>
          <c:val>
            <c:numRef>
              <c:f>'[Chart in Microsoft Word]Atļaujas'!$AY$49:$BX$49</c:f>
              <c:numCache>
                <c:formatCode>0.0</c:formatCode>
                <c:ptCount val="26"/>
                <c:pt idx="0">
                  <c:v>74.5</c:v>
                </c:pt>
                <c:pt idx="1">
                  <c:v>120.2</c:v>
                </c:pt>
                <c:pt idx="2">
                  <c:v>120.4</c:v>
                </c:pt>
                <c:pt idx="3">
                  <c:v>87.4</c:v>
                </c:pt>
                <c:pt idx="4">
                  <c:v>70.7</c:v>
                </c:pt>
                <c:pt idx="5">
                  <c:v>93.4</c:v>
                </c:pt>
                <c:pt idx="6">
                  <c:v>114.3</c:v>
                </c:pt>
                <c:pt idx="7">
                  <c:v>80.8</c:v>
                </c:pt>
                <c:pt idx="8">
                  <c:v>108.7</c:v>
                </c:pt>
                <c:pt idx="9">
                  <c:v>119.3</c:v>
                </c:pt>
                <c:pt idx="10">
                  <c:v>179.7</c:v>
                </c:pt>
                <c:pt idx="11">
                  <c:v>123.2</c:v>
                </c:pt>
                <c:pt idx="12">
                  <c:v>98.4</c:v>
                </c:pt>
                <c:pt idx="13">
                  <c:v>157.6</c:v>
                </c:pt>
                <c:pt idx="14">
                  <c:v>163.80000000000001</c:v>
                </c:pt>
                <c:pt idx="15">
                  <c:v>119</c:v>
                </c:pt>
                <c:pt idx="16">
                  <c:v>102.9</c:v>
                </c:pt>
                <c:pt idx="17">
                  <c:v>164.8</c:v>
                </c:pt>
                <c:pt idx="18">
                  <c:v>159.80000000000001</c:v>
                </c:pt>
                <c:pt idx="19">
                  <c:v>127.6</c:v>
                </c:pt>
                <c:pt idx="20">
                  <c:v>129.69999999999999</c:v>
                </c:pt>
                <c:pt idx="21">
                  <c:v>112.5</c:v>
                </c:pt>
                <c:pt idx="22">
                  <c:v>157.9</c:v>
                </c:pt>
                <c:pt idx="23">
                  <c:v>127.7</c:v>
                </c:pt>
                <c:pt idx="24">
                  <c:v>112.4</c:v>
                </c:pt>
                <c:pt idx="25">
                  <c:v>166.4</c:v>
                </c:pt>
              </c:numCache>
            </c:numRef>
          </c:val>
          <c:extLst>
            <c:ext xmlns:c16="http://schemas.microsoft.com/office/drawing/2014/chart" uri="{C3380CC4-5D6E-409C-BE32-E72D297353CC}">
              <c16:uniqueId val="{00000007-2539-4946-BD65-6DE76199E465}"/>
            </c:ext>
          </c:extLst>
        </c:ser>
        <c:dLbls>
          <c:showLegendKey val="0"/>
          <c:showVal val="0"/>
          <c:showCatName val="0"/>
          <c:showSerName val="0"/>
          <c:showPercent val="0"/>
          <c:showBubbleSize val="0"/>
        </c:dLbls>
        <c:gapWidth val="50"/>
        <c:overlap val="100"/>
        <c:axId val="281642072"/>
        <c:axId val="281639120"/>
      </c:barChart>
      <c:catAx>
        <c:axId val="28164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639120"/>
        <c:crosses val="autoZero"/>
        <c:auto val="1"/>
        <c:lblAlgn val="ctr"/>
        <c:lblOffset val="100"/>
        <c:noMultiLvlLbl val="0"/>
      </c:catAx>
      <c:valAx>
        <c:axId val="281639120"/>
        <c:scaling>
          <c:orientation val="minMax"/>
          <c:max val="85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642072"/>
        <c:crosses val="autoZero"/>
        <c:crossBetween val="between"/>
      </c:valAx>
      <c:spPr>
        <a:noFill/>
        <a:ln>
          <a:noFill/>
        </a:ln>
        <a:effectLst/>
      </c:spPr>
    </c:plotArea>
    <c:legend>
      <c:legendPos val="b"/>
      <c:layout>
        <c:manualLayout>
          <c:xMode val="edge"/>
          <c:yMode val="edge"/>
          <c:x val="0"/>
          <c:y val="0.81677361889186795"/>
          <c:w val="1"/>
          <c:h val="0.1832263811081320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Sheet1!$A$7</c:f>
              <c:strCache>
                <c:ptCount val="1"/>
                <c:pt idx="0">
                  <c:v>Nerezidenti</c:v>
                </c:pt>
              </c:strCache>
            </c:strRef>
          </c:tx>
          <c:spPr>
            <a:ln w="28575" cap="rnd">
              <a:solidFill>
                <a:schemeClr val="accent1"/>
              </a:solidFill>
              <a:round/>
            </a:ln>
            <a:effectLst/>
          </c:spPr>
          <c:marker>
            <c:symbol val="none"/>
          </c:marker>
          <c:cat>
            <c:numRef>
              <c:f>Sheet1!$B$6:$CC$6</c:f>
              <c:numCache>
                <c:formatCode>mmm\-yy</c:formatCode>
                <c:ptCount val="79"/>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numCache>
            </c:numRef>
          </c:cat>
          <c:val>
            <c:numRef>
              <c:f>Sheet1!$B$7:$CC$7</c:f>
              <c:numCache>
                <c:formatCode>0.00</c:formatCode>
                <c:ptCount val="79"/>
                <c:pt idx="0">
                  <c:v>11719.700000000003</c:v>
                </c:pt>
                <c:pt idx="1">
                  <c:v>11862.800000000005</c:v>
                </c:pt>
                <c:pt idx="2">
                  <c:v>11987.199999999999</c:v>
                </c:pt>
                <c:pt idx="3">
                  <c:v>11903.599999999999</c:v>
                </c:pt>
                <c:pt idx="4">
                  <c:v>12074.2</c:v>
                </c:pt>
                <c:pt idx="5">
                  <c:v>11740.9</c:v>
                </c:pt>
                <c:pt idx="6">
                  <c:v>11908.699999999999</c:v>
                </c:pt>
                <c:pt idx="7">
                  <c:v>11749.199999999999</c:v>
                </c:pt>
                <c:pt idx="8">
                  <c:v>11676.800000000005</c:v>
                </c:pt>
                <c:pt idx="9">
                  <c:v>11835.300000000001</c:v>
                </c:pt>
                <c:pt idx="10">
                  <c:v>12403.699999999997</c:v>
                </c:pt>
                <c:pt idx="11">
                  <c:v>12078.099999999999</c:v>
                </c:pt>
                <c:pt idx="12">
                  <c:v>11899.100000000004</c:v>
                </c:pt>
                <c:pt idx="13">
                  <c:v>11712.3</c:v>
                </c:pt>
                <c:pt idx="14">
                  <c:v>10977.100000000002</c:v>
                </c:pt>
                <c:pt idx="15">
                  <c:v>10595.599999999997</c:v>
                </c:pt>
                <c:pt idx="16">
                  <c:v>10315.6</c:v>
                </c:pt>
                <c:pt idx="17">
                  <c:v>10348.500000000002</c:v>
                </c:pt>
                <c:pt idx="18">
                  <c:v>10010.099999999999</c:v>
                </c:pt>
                <c:pt idx="19">
                  <c:v>9767.5</c:v>
                </c:pt>
                <c:pt idx="20">
                  <c:v>9461.7000000000007</c:v>
                </c:pt>
                <c:pt idx="21">
                  <c:v>9537.4</c:v>
                </c:pt>
                <c:pt idx="22">
                  <c:v>9505.2999999999975</c:v>
                </c:pt>
                <c:pt idx="23">
                  <c:v>8877.9000000000015</c:v>
                </c:pt>
                <c:pt idx="24">
                  <c:v>8803.6</c:v>
                </c:pt>
                <c:pt idx="25">
                  <c:v>8781.6999999999989</c:v>
                </c:pt>
                <c:pt idx="26">
                  <c:v>8704.4000000000015</c:v>
                </c:pt>
                <c:pt idx="27">
                  <c:v>8588.7000000000007</c:v>
                </c:pt>
                <c:pt idx="28">
                  <c:v>8368.6</c:v>
                </c:pt>
                <c:pt idx="29">
                  <c:v>8091.9</c:v>
                </c:pt>
                <c:pt idx="30">
                  <c:v>7861</c:v>
                </c:pt>
                <c:pt idx="31">
                  <c:v>7988.4</c:v>
                </c:pt>
                <c:pt idx="32">
                  <c:v>7659.4999999999973</c:v>
                </c:pt>
                <c:pt idx="33">
                  <c:v>7756.2999999999956</c:v>
                </c:pt>
                <c:pt idx="34">
                  <c:v>7752.5000000000009</c:v>
                </c:pt>
                <c:pt idx="35">
                  <c:v>7866.8999999999978</c:v>
                </c:pt>
                <c:pt idx="36">
                  <c:v>7899</c:v>
                </c:pt>
                <c:pt idx="37">
                  <c:v>6724.3000000000011</c:v>
                </c:pt>
                <c:pt idx="38">
                  <c:v>5659.2000000000007</c:v>
                </c:pt>
                <c:pt idx="39">
                  <c:v>5266.3999999999978</c:v>
                </c:pt>
                <c:pt idx="40">
                  <c:v>4990.5</c:v>
                </c:pt>
                <c:pt idx="41">
                  <c:v>4879.5</c:v>
                </c:pt>
                <c:pt idx="42">
                  <c:v>3134.0999999999995</c:v>
                </c:pt>
                <c:pt idx="43">
                  <c:v>3074</c:v>
                </c:pt>
                <c:pt idx="44">
                  <c:v>3015.0999999999985</c:v>
                </c:pt>
                <c:pt idx="45">
                  <c:v>3092.9999999999991</c:v>
                </c:pt>
                <c:pt idx="46">
                  <c:v>2986.3999999999996</c:v>
                </c:pt>
                <c:pt idx="47">
                  <c:v>3160.2</c:v>
                </c:pt>
                <c:pt idx="48">
                  <c:v>3041.2999999999997</c:v>
                </c:pt>
                <c:pt idx="49">
                  <c:v>2992.9</c:v>
                </c:pt>
                <c:pt idx="50">
                  <c:v>2975.7000000000007</c:v>
                </c:pt>
                <c:pt idx="51">
                  <c:v>2926.8000000000006</c:v>
                </c:pt>
                <c:pt idx="52">
                  <c:v>2987.1</c:v>
                </c:pt>
                <c:pt idx="53">
                  <c:v>2985.4</c:v>
                </c:pt>
                <c:pt idx="54">
                  <c:v>2852.400000000001</c:v>
                </c:pt>
                <c:pt idx="55">
                  <c:v>2834.0000000000005</c:v>
                </c:pt>
                <c:pt idx="56">
                  <c:v>2684.9999999999995</c:v>
                </c:pt>
                <c:pt idx="57">
                  <c:v>2727.7</c:v>
                </c:pt>
                <c:pt idx="58">
                  <c:v>2652.0000000000005</c:v>
                </c:pt>
                <c:pt idx="59">
                  <c:v>2693.2000000000003</c:v>
                </c:pt>
                <c:pt idx="60">
                  <c:v>2752.5000000000005</c:v>
                </c:pt>
                <c:pt idx="61">
                  <c:v>2777.1000000000004</c:v>
                </c:pt>
                <c:pt idx="62">
                  <c:v>2667.6000000000008</c:v>
                </c:pt>
                <c:pt idx="63">
                  <c:v>2778.8</c:v>
                </c:pt>
                <c:pt idx="64">
                  <c:v>2875.8</c:v>
                </c:pt>
                <c:pt idx="65">
                  <c:v>2866.6</c:v>
                </c:pt>
                <c:pt idx="66">
                  <c:v>2789</c:v>
                </c:pt>
                <c:pt idx="67" formatCode="General">
                  <c:v>2744.1</c:v>
                </c:pt>
                <c:pt idx="68" formatCode="General">
                  <c:v>2762.5</c:v>
                </c:pt>
                <c:pt idx="69" formatCode="General">
                  <c:v>2727.3</c:v>
                </c:pt>
                <c:pt idx="70" formatCode="General">
                  <c:v>2774.1</c:v>
                </c:pt>
                <c:pt idx="71" formatCode="General">
                  <c:v>2625.7</c:v>
                </c:pt>
                <c:pt idx="72" formatCode="General">
                  <c:v>2606.1</c:v>
                </c:pt>
                <c:pt idx="73" formatCode="General">
                  <c:v>2560.8000000000002</c:v>
                </c:pt>
                <c:pt idx="74" formatCode="General">
                  <c:v>2658.6</c:v>
                </c:pt>
                <c:pt idx="75" formatCode="General">
                  <c:v>2636.4</c:v>
                </c:pt>
                <c:pt idx="76" formatCode="General">
                  <c:v>2507.8000000000002</c:v>
                </c:pt>
                <c:pt idx="77" formatCode="General">
                  <c:v>2467.1999999999998</c:v>
                </c:pt>
                <c:pt idx="78" formatCode="General">
                  <c:v>2415.1999999999998</c:v>
                </c:pt>
              </c:numCache>
            </c:numRef>
          </c:val>
          <c:smooth val="0"/>
          <c:extLst>
            <c:ext xmlns:c16="http://schemas.microsoft.com/office/drawing/2014/chart" uri="{C3380CC4-5D6E-409C-BE32-E72D297353CC}">
              <c16:uniqueId val="{00000000-EC83-4C49-A81E-3DE1E8926238}"/>
            </c:ext>
          </c:extLst>
        </c:ser>
        <c:ser>
          <c:idx val="1"/>
          <c:order val="1"/>
          <c:tx>
            <c:strRef>
              <c:f>Sheet1!$A$8</c:f>
              <c:strCache>
                <c:ptCount val="1"/>
                <c:pt idx="0">
                  <c:v>Rezidenti </c:v>
                </c:pt>
              </c:strCache>
            </c:strRef>
          </c:tx>
          <c:spPr>
            <a:ln w="28575" cap="rnd">
              <a:solidFill>
                <a:schemeClr val="accent2"/>
              </a:solidFill>
              <a:round/>
            </a:ln>
            <a:effectLst/>
          </c:spPr>
          <c:marker>
            <c:symbol val="none"/>
          </c:marker>
          <c:cat>
            <c:numRef>
              <c:f>Sheet1!$B$6:$CC$6</c:f>
              <c:numCache>
                <c:formatCode>mmm\-yy</c:formatCode>
                <c:ptCount val="79"/>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numCache>
            </c:numRef>
          </c:cat>
          <c:val>
            <c:numRef>
              <c:f>Sheet1!$B$8:$CC$8</c:f>
              <c:numCache>
                <c:formatCode>General</c:formatCode>
                <c:ptCount val="79"/>
                <c:pt idx="0">
                  <c:v>9474.3000000000011</c:v>
                </c:pt>
                <c:pt idx="1">
                  <c:v>9606.0999999999985</c:v>
                </c:pt>
                <c:pt idx="2">
                  <c:v>9677.9999999999982</c:v>
                </c:pt>
                <c:pt idx="3">
                  <c:v>9729.4</c:v>
                </c:pt>
                <c:pt idx="4">
                  <c:v>9714.9000000000015</c:v>
                </c:pt>
                <c:pt idx="5">
                  <c:v>9769.0999999999985</c:v>
                </c:pt>
                <c:pt idx="6">
                  <c:v>9897.1999999999989</c:v>
                </c:pt>
                <c:pt idx="7">
                  <c:v>9953.2000000000007</c:v>
                </c:pt>
                <c:pt idx="8">
                  <c:v>10012.6</c:v>
                </c:pt>
                <c:pt idx="9">
                  <c:v>10047</c:v>
                </c:pt>
                <c:pt idx="10">
                  <c:v>10248.299999999997</c:v>
                </c:pt>
                <c:pt idx="11">
                  <c:v>10546.4</c:v>
                </c:pt>
                <c:pt idx="12">
                  <c:v>10465.199999999999</c:v>
                </c:pt>
                <c:pt idx="13">
                  <c:v>10767.699999999999</c:v>
                </c:pt>
                <c:pt idx="14">
                  <c:v>10755.1</c:v>
                </c:pt>
                <c:pt idx="15">
                  <c:v>10896.399999999998</c:v>
                </c:pt>
                <c:pt idx="16">
                  <c:v>10940.3</c:v>
                </c:pt>
                <c:pt idx="17">
                  <c:v>10997.300000000001</c:v>
                </c:pt>
                <c:pt idx="18">
                  <c:v>10876.999999999998</c:v>
                </c:pt>
                <c:pt idx="19">
                  <c:v>10999.3</c:v>
                </c:pt>
                <c:pt idx="20">
                  <c:v>10999.3</c:v>
                </c:pt>
                <c:pt idx="21">
                  <c:v>11033.2</c:v>
                </c:pt>
                <c:pt idx="22">
                  <c:v>11113.399999999998</c:v>
                </c:pt>
                <c:pt idx="23">
                  <c:v>11389.6</c:v>
                </c:pt>
                <c:pt idx="24">
                  <c:v>11119.299999999997</c:v>
                </c:pt>
                <c:pt idx="25">
                  <c:v>11292.899999999998</c:v>
                </c:pt>
                <c:pt idx="26">
                  <c:v>11280.200000000003</c:v>
                </c:pt>
                <c:pt idx="27">
                  <c:v>11348.3</c:v>
                </c:pt>
                <c:pt idx="28">
                  <c:v>11194.6</c:v>
                </c:pt>
                <c:pt idx="29">
                  <c:v>11249.1</c:v>
                </c:pt>
                <c:pt idx="30">
                  <c:v>11180.9</c:v>
                </c:pt>
                <c:pt idx="31">
                  <c:v>11325.3</c:v>
                </c:pt>
                <c:pt idx="32">
                  <c:v>11115.4</c:v>
                </c:pt>
                <c:pt idx="33">
                  <c:v>11343.599999999999</c:v>
                </c:pt>
                <c:pt idx="34">
                  <c:v>11550.499999999998</c:v>
                </c:pt>
                <c:pt idx="35">
                  <c:v>11702.499999999998</c:v>
                </c:pt>
                <c:pt idx="36">
                  <c:v>11772.599999999999</c:v>
                </c:pt>
                <c:pt idx="37">
                  <c:v>11655.000000000002</c:v>
                </c:pt>
                <c:pt idx="38">
                  <c:v>11709.8</c:v>
                </c:pt>
                <c:pt idx="39">
                  <c:v>11919</c:v>
                </c:pt>
                <c:pt idx="40">
                  <c:v>11670.599999999999</c:v>
                </c:pt>
                <c:pt idx="41">
                  <c:v>11696.599999999999</c:v>
                </c:pt>
                <c:pt idx="42">
                  <c:v>11652.599999999999</c:v>
                </c:pt>
                <c:pt idx="43">
                  <c:v>11745.300000000001</c:v>
                </c:pt>
                <c:pt idx="44">
                  <c:v>11628.399999999998</c:v>
                </c:pt>
                <c:pt idx="45">
                  <c:v>11753.899999999998</c:v>
                </c:pt>
                <c:pt idx="46">
                  <c:v>11895.2</c:v>
                </c:pt>
                <c:pt idx="47">
                  <c:v>12376.699999999999</c:v>
                </c:pt>
                <c:pt idx="48">
                  <c:v>12445.9</c:v>
                </c:pt>
                <c:pt idx="49">
                  <c:v>12495.999999999998</c:v>
                </c:pt>
                <c:pt idx="50">
                  <c:v>12589.1</c:v>
                </c:pt>
                <c:pt idx="51">
                  <c:v>12588.6</c:v>
                </c:pt>
                <c:pt idx="52">
                  <c:v>12472.2</c:v>
                </c:pt>
                <c:pt idx="53">
                  <c:v>12536.100000000002</c:v>
                </c:pt>
                <c:pt idx="54">
                  <c:v>12908.699999999999</c:v>
                </c:pt>
                <c:pt idx="55">
                  <c:v>13142.7</c:v>
                </c:pt>
                <c:pt idx="56">
                  <c:v>12773.7</c:v>
                </c:pt>
                <c:pt idx="57">
                  <c:v>12967.900000000001</c:v>
                </c:pt>
                <c:pt idx="58">
                  <c:v>12961.4</c:v>
                </c:pt>
                <c:pt idx="59">
                  <c:v>13430.300000000003</c:v>
                </c:pt>
                <c:pt idx="60">
                  <c:v>13365.499999999998</c:v>
                </c:pt>
                <c:pt idx="61">
                  <c:v>13456.000000000004</c:v>
                </c:pt>
                <c:pt idx="62">
                  <c:v>13811.6</c:v>
                </c:pt>
                <c:pt idx="63">
                  <c:v>13958.9</c:v>
                </c:pt>
                <c:pt idx="64">
                  <c:v>13883.000000000002</c:v>
                </c:pt>
                <c:pt idx="65">
                  <c:v>13867.599999999999</c:v>
                </c:pt>
                <c:pt idx="66">
                  <c:v>13933.400000000001</c:v>
                </c:pt>
                <c:pt idx="67">
                  <c:v>14088.2</c:v>
                </c:pt>
                <c:pt idx="68">
                  <c:v>14263</c:v>
                </c:pt>
                <c:pt idx="69">
                  <c:v>14608.1</c:v>
                </c:pt>
                <c:pt idx="70">
                  <c:v>14884.4</c:v>
                </c:pt>
                <c:pt idx="71">
                  <c:v>15276.6</c:v>
                </c:pt>
                <c:pt idx="72">
                  <c:v>15316.6</c:v>
                </c:pt>
                <c:pt idx="73">
                  <c:v>15490.9</c:v>
                </c:pt>
                <c:pt idx="74">
                  <c:v>16015.6</c:v>
                </c:pt>
                <c:pt idx="75">
                  <c:v>15809.7</c:v>
                </c:pt>
                <c:pt idx="76">
                  <c:v>15914.7</c:v>
                </c:pt>
                <c:pt idx="77">
                  <c:v>16199.1</c:v>
                </c:pt>
                <c:pt idx="78">
                  <c:v>16209.7</c:v>
                </c:pt>
              </c:numCache>
            </c:numRef>
          </c:val>
          <c:smooth val="0"/>
          <c:extLst>
            <c:ext xmlns:c16="http://schemas.microsoft.com/office/drawing/2014/chart" uri="{C3380CC4-5D6E-409C-BE32-E72D297353CC}">
              <c16:uniqueId val="{00000001-EC83-4C49-A81E-3DE1E8926238}"/>
            </c:ext>
          </c:extLst>
        </c:ser>
        <c:dLbls>
          <c:showLegendKey val="0"/>
          <c:showVal val="0"/>
          <c:showCatName val="0"/>
          <c:showSerName val="0"/>
          <c:showPercent val="0"/>
          <c:showBubbleSize val="0"/>
        </c:dLbls>
        <c:smooth val="0"/>
        <c:axId val="1433876943"/>
        <c:axId val="1433885679"/>
      </c:lineChart>
      <c:catAx>
        <c:axId val="1433876943"/>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33885679"/>
        <c:crosses val="autoZero"/>
        <c:auto val="0"/>
        <c:lblAlgn val="ctr"/>
        <c:lblOffset val="100"/>
        <c:tickLblSkip val="6"/>
        <c:tickMarkSkip val="12"/>
        <c:noMultiLvlLbl val="1"/>
      </c:catAx>
      <c:valAx>
        <c:axId val="14338856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338769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Sheet2!$B$14</c:f>
              <c:strCache>
                <c:ptCount val="1"/>
                <c:pt idx="0">
                  <c:v>mājsaimniecībām mājokļa iegādei</c:v>
                </c:pt>
              </c:strCache>
            </c:strRef>
          </c:tx>
          <c:spPr>
            <a:solidFill>
              <a:schemeClr val="accent1"/>
            </a:solidFill>
            <a:ln>
              <a:noFill/>
            </a:ln>
            <a:effectLst/>
          </c:spPr>
          <c:invertIfNegative val="0"/>
          <c:cat>
            <c:numRef>
              <c:f>Sheet2!$C$13:$CC$13</c:f>
              <c:numCache>
                <c:formatCode>mmm\-yy</c:formatCode>
                <c:ptCount val="79"/>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numCache>
            </c:numRef>
          </c:cat>
          <c:val>
            <c:numRef>
              <c:f>Sheet2!$C$14:$CC$14</c:f>
              <c:numCache>
                <c:formatCode>#\ ##0.0</c:formatCode>
                <c:ptCount val="79"/>
                <c:pt idx="0">
                  <c:v>13.200000000000001</c:v>
                </c:pt>
                <c:pt idx="1">
                  <c:v>22.4</c:v>
                </c:pt>
                <c:pt idx="2">
                  <c:v>24.799999999999997</c:v>
                </c:pt>
                <c:pt idx="3">
                  <c:v>28.099999999999998</c:v>
                </c:pt>
                <c:pt idx="4">
                  <c:v>25.599999999999998</c:v>
                </c:pt>
                <c:pt idx="5">
                  <c:v>28</c:v>
                </c:pt>
                <c:pt idx="6">
                  <c:v>35.700000000000003</c:v>
                </c:pt>
                <c:pt idx="7">
                  <c:v>33.700000000000003</c:v>
                </c:pt>
                <c:pt idx="8">
                  <c:v>35.099999999999994</c:v>
                </c:pt>
                <c:pt idx="9">
                  <c:v>39.1</c:v>
                </c:pt>
                <c:pt idx="10">
                  <c:v>34.1</c:v>
                </c:pt>
                <c:pt idx="11">
                  <c:v>36.299999999999997</c:v>
                </c:pt>
                <c:pt idx="12">
                  <c:v>31.400000000000002</c:v>
                </c:pt>
                <c:pt idx="13">
                  <c:v>29.799999999999997</c:v>
                </c:pt>
                <c:pt idx="14">
                  <c:v>44.3</c:v>
                </c:pt>
                <c:pt idx="15">
                  <c:v>39.200000000000003</c:v>
                </c:pt>
                <c:pt idx="16">
                  <c:v>40</c:v>
                </c:pt>
                <c:pt idx="17">
                  <c:v>43.2</c:v>
                </c:pt>
                <c:pt idx="18">
                  <c:v>41.199999999999996</c:v>
                </c:pt>
                <c:pt idx="19">
                  <c:v>45.300000000000004</c:v>
                </c:pt>
                <c:pt idx="20">
                  <c:v>44.699999999999996</c:v>
                </c:pt>
                <c:pt idx="21">
                  <c:v>54.4</c:v>
                </c:pt>
                <c:pt idx="22">
                  <c:v>43.4</c:v>
                </c:pt>
                <c:pt idx="23">
                  <c:v>42.399999999999991</c:v>
                </c:pt>
                <c:pt idx="24">
                  <c:v>35.799999999999997</c:v>
                </c:pt>
                <c:pt idx="25">
                  <c:v>36.9</c:v>
                </c:pt>
                <c:pt idx="26">
                  <c:v>46.8</c:v>
                </c:pt>
                <c:pt idx="27">
                  <c:v>41.7</c:v>
                </c:pt>
                <c:pt idx="28">
                  <c:v>52.400000000000006</c:v>
                </c:pt>
                <c:pt idx="29">
                  <c:v>52.5</c:v>
                </c:pt>
                <c:pt idx="30">
                  <c:v>42.800000000000004</c:v>
                </c:pt>
                <c:pt idx="31">
                  <c:v>47.199999999999996</c:v>
                </c:pt>
                <c:pt idx="32">
                  <c:v>50.5</c:v>
                </c:pt>
                <c:pt idx="33">
                  <c:v>48.900000000000006</c:v>
                </c:pt>
                <c:pt idx="34">
                  <c:v>49.899999999999991</c:v>
                </c:pt>
                <c:pt idx="35">
                  <c:v>49.1</c:v>
                </c:pt>
                <c:pt idx="36">
                  <c:v>56.300000000000004</c:v>
                </c:pt>
                <c:pt idx="37">
                  <c:v>40.099999999999994</c:v>
                </c:pt>
                <c:pt idx="38">
                  <c:v>46.6</c:v>
                </c:pt>
                <c:pt idx="39">
                  <c:v>52.900000000000006</c:v>
                </c:pt>
                <c:pt idx="40">
                  <c:v>52.900000000000006</c:v>
                </c:pt>
                <c:pt idx="41">
                  <c:v>54</c:v>
                </c:pt>
                <c:pt idx="42">
                  <c:v>47.6</c:v>
                </c:pt>
                <c:pt idx="43">
                  <c:v>54.300000000000004</c:v>
                </c:pt>
                <c:pt idx="44">
                  <c:v>43.7</c:v>
                </c:pt>
                <c:pt idx="45">
                  <c:v>52.400000000000006</c:v>
                </c:pt>
                <c:pt idx="46">
                  <c:v>49.3</c:v>
                </c:pt>
                <c:pt idx="47">
                  <c:v>42.3</c:v>
                </c:pt>
                <c:pt idx="48">
                  <c:v>46.400000000000006</c:v>
                </c:pt>
                <c:pt idx="49">
                  <c:v>45.7</c:v>
                </c:pt>
                <c:pt idx="50">
                  <c:v>47.599999999999994</c:v>
                </c:pt>
                <c:pt idx="51">
                  <c:v>49.000000000000007</c:v>
                </c:pt>
                <c:pt idx="52">
                  <c:v>52.4</c:v>
                </c:pt>
                <c:pt idx="53">
                  <c:v>46.6</c:v>
                </c:pt>
                <c:pt idx="54">
                  <c:v>50.9</c:v>
                </c:pt>
                <c:pt idx="55">
                  <c:v>47.2</c:v>
                </c:pt>
                <c:pt idx="56">
                  <c:v>47.599999999999994</c:v>
                </c:pt>
                <c:pt idx="57">
                  <c:v>49.300000000000004</c:v>
                </c:pt>
                <c:pt idx="58">
                  <c:v>45.099999999999994</c:v>
                </c:pt>
                <c:pt idx="59">
                  <c:v>42.7</c:v>
                </c:pt>
                <c:pt idx="60">
                  <c:v>41.1</c:v>
                </c:pt>
                <c:pt idx="61">
                  <c:v>43.399999999999991</c:v>
                </c:pt>
                <c:pt idx="62">
                  <c:v>40.999999999999986</c:v>
                </c:pt>
                <c:pt idx="63">
                  <c:v>26.799999999999997</c:v>
                </c:pt>
                <c:pt idx="64">
                  <c:v>27.6</c:v>
                </c:pt>
                <c:pt idx="65">
                  <c:v>39.4</c:v>
                </c:pt>
                <c:pt idx="66">
                  <c:v>53.800000000000004</c:v>
                </c:pt>
                <c:pt idx="67">
                  <c:v>51.2</c:v>
                </c:pt>
                <c:pt idx="68">
                  <c:v>59.3</c:v>
                </c:pt>
                <c:pt idx="69">
                  <c:v>58.099999999999994</c:v>
                </c:pt>
                <c:pt idx="70">
                  <c:v>52.500000000000007</c:v>
                </c:pt>
                <c:pt idx="71">
                  <c:v>51.900000000000006</c:v>
                </c:pt>
                <c:pt idx="72">
                  <c:v>47.9</c:v>
                </c:pt>
                <c:pt idx="73">
                  <c:v>55.999999999999993</c:v>
                </c:pt>
                <c:pt idx="74">
                  <c:v>78</c:v>
                </c:pt>
                <c:pt idx="75">
                  <c:v>74</c:v>
                </c:pt>
                <c:pt idx="76">
                  <c:v>79.699999999999989</c:v>
                </c:pt>
                <c:pt idx="77">
                  <c:v>70.8</c:v>
                </c:pt>
                <c:pt idx="78">
                  <c:v>71.8</c:v>
                </c:pt>
              </c:numCache>
            </c:numRef>
          </c:val>
          <c:extLst>
            <c:ext xmlns:c16="http://schemas.microsoft.com/office/drawing/2014/chart" uri="{C3380CC4-5D6E-409C-BE32-E72D297353CC}">
              <c16:uniqueId val="{00000000-42DC-47AF-B550-8E8163BAA58D}"/>
            </c:ext>
          </c:extLst>
        </c:ser>
        <c:ser>
          <c:idx val="1"/>
          <c:order val="1"/>
          <c:tx>
            <c:strRef>
              <c:f>Sheet2!$B$15</c:f>
              <c:strCache>
                <c:ptCount val="1"/>
                <c:pt idx="0">
                  <c:v> patēriņa kredīti mājsaimniecībām</c:v>
                </c:pt>
              </c:strCache>
            </c:strRef>
          </c:tx>
          <c:spPr>
            <a:solidFill>
              <a:schemeClr val="accent2"/>
            </a:solidFill>
            <a:ln>
              <a:noFill/>
            </a:ln>
            <a:effectLst/>
          </c:spPr>
          <c:invertIfNegative val="0"/>
          <c:cat>
            <c:numRef>
              <c:f>Sheet2!$C$13:$CC$13</c:f>
              <c:numCache>
                <c:formatCode>mmm\-yy</c:formatCode>
                <c:ptCount val="79"/>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numCache>
            </c:numRef>
          </c:cat>
          <c:val>
            <c:numRef>
              <c:f>Sheet2!$C$15:$CC$15</c:f>
              <c:numCache>
                <c:formatCode>#\ ##0.0</c:formatCode>
                <c:ptCount val="79"/>
                <c:pt idx="0">
                  <c:v>8.9</c:v>
                </c:pt>
                <c:pt idx="1">
                  <c:v>11.299999999999999</c:v>
                </c:pt>
                <c:pt idx="2">
                  <c:v>11.4</c:v>
                </c:pt>
                <c:pt idx="3">
                  <c:v>14.4</c:v>
                </c:pt>
                <c:pt idx="4">
                  <c:v>14.3</c:v>
                </c:pt>
                <c:pt idx="5">
                  <c:v>14.3</c:v>
                </c:pt>
                <c:pt idx="6">
                  <c:v>17.600000000000001</c:v>
                </c:pt>
                <c:pt idx="7">
                  <c:v>14.900000000000002</c:v>
                </c:pt>
                <c:pt idx="8">
                  <c:v>15.2</c:v>
                </c:pt>
                <c:pt idx="9">
                  <c:v>17.400000000000002</c:v>
                </c:pt>
                <c:pt idx="10">
                  <c:v>14</c:v>
                </c:pt>
                <c:pt idx="11">
                  <c:v>15.8</c:v>
                </c:pt>
                <c:pt idx="12">
                  <c:v>14.6</c:v>
                </c:pt>
                <c:pt idx="13">
                  <c:v>16.600000000000001</c:v>
                </c:pt>
                <c:pt idx="14">
                  <c:v>18.7</c:v>
                </c:pt>
                <c:pt idx="15">
                  <c:v>20.100000000000001</c:v>
                </c:pt>
                <c:pt idx="16">
                  <c:v>21.3</c:v>
                </c:pt>
                <c:pt idx="17">
                  <c:v>20.2</c:v>
                </c:pt>
                <c:pt idx="18">
                  <c:v>18.7</c:v>
                </c:pt>
                <c:pt idx="19">
                  <c:v>19.2</c:v>
                </c:pt>
                <c:pt idx="20">
                  <c:v>17.600000000000001</c:v>
                </c:pt>
                <c:pt idx="21">
                  <c:v>19</c:v>
                </c:pt>
                <c:pt idx="22">
                  <c:v>18.600000000000001</c:v>
                </c:pt>
                <c:pt idx="23">
                  <c:v>19.400000000000002</c:v>
                </c:pt>
                <c:pt idx="24">
                  <c:v>20.099999999999998</c:v>
                </c:pt>
                <c:pt idx="25">
                  <c:v>18.8</c:v>
                </c:pt>
                <c:pt idx="26">
                  <c:v>22.7</c:v>
                </c:pt>
                <c:pt idx="27">
                  <c:v>21.1</c:v>
                </c:pt>
                <c:pt idx="28">
                  <c:v>22.5</c:v>
                </c:pt>
                <c:pt idx="29">
                  <c:v>21.3</c:v>
                </c:pt>
                <c:pt idx="30">
                  <c:v>21.8</c:v>
                </c:pt>
                <c:pt idx="31">
                  <c:v>23.3</c:v>
                </c:pt>
                <c:pt idx="32">
                  <c:v>18.8</c:v>
                </c:pt>
                <c:pt idx="33">
                  <c:v>18.7</c:v>
                </c:pt>
                <c:pt idx="34">
                  <c:v>17</c:v>
                </c:pt>
                <c:pt idx="35">
                  <c:v>16.200000000000003</c:v>
                </c:pt>
                <c:pt idx="36">
                  <c:v>20</c:v>
                </c:pt>
                <c:pt idx="37">
                  <c:v>16.7</c:v>
                </c:pt>
                <c:pt idx="38">
                  <c:v>18.299999999999997</c:v>
                </c:pt>
                <c:pt idx="39">
                  <c:v>19.7</c:v>
                </c:pt>
                <c:pt idx="40">
                  <c:v>21.2</c:v>
                </c:pt>
                <c:pt idx="41">
                  <c:v>20.399999999999999</c:v>
                </c:pt>
                <c:pt idx="42">
                  <c:v>22.400000000000002</c:v>
                </c:pt>
                <c:pt idx="43">
                  <c:v>23.9</c:v>
                </c:pt>
                <c:pt idx="44">
                  <c:v>20.599999999999998</c:v>
                </c:pt>
                <c:pt idx="45">
                  <c:v>24</c:v>
                </c:pt>
                <c:pt idx="46">
                  <c:v>20.2</c:v>
                </c:pt>
                <c:pt idx="47">
                  <c:v>18.600000000000001</c:v>
                </c:pt>
                <c:pt idx="48">
                  <c:v>17.900000000000002</c:v>
                </c:pt>
                <c:pt idx="49">
                  <c:v>17</c:v>
                </c:pt>
                <c:pt idx="50">
                  <c:v>19.399999999999999</c:v>
                </c:pt>
                <c:pt idx="51">
                  <c:v>21</c:v>
                </c:pt>
                <c:pt idx="52">
                  <c:v>23.599999999999998</c:v>
                </c:pt>
                <c:pt idx="53">
                  <c:v>20.599999999999998</c:v>
                </c:pt>
                <c:pt idx="54">
                  <c:v>19.100000000000001</c:v>
                </c:pt>
                <c:pt idx="55">
                  <c:v>18.3</c:v>
                </c:pt>
                <c:pt idx="56">
                  <c:v>17.700000000000003</c:v>
                </c:pt>
                <c:pt idx="57">
                  <c:v>20.5</c:v>
                </c:pt>
                <c:pt idx="58">
                  <c:v>18.400000000000002</c:v>
                </c:pt>
                <c:pt idx="59">
                  <c:v>15.399999999999999</c:v>
                </c:pt>
                <c:pt idx="60">
                  <c:v>15.2</c:v>
                </c:pt>
                <c:pt idx="61">
                  <c:v>15.2</c:v>
                </c:pt>
                <c:pt idx="62">
                  <c:v>13.8</c:v>
                </c:pt>
                <c:pt idx="63">
                  <c:v>8</c:v>
                </c:pt>
                <c:pt idx="64">
                  <c:v>12.2</c:v>
                </c:pt>
                <c:pt idx="65">
                  <c:v>13.7</c:v>
                </c:pt>
                <c:pt idx="66">
                  <c:v>16.3</c:v>
                </c:pt>
                <c:pt idx="67">
                  <c:v>16.5</c:v>
                </c:pt>
                <c:pt idx="68">
                  <c:v>18.5</c:v>
                </c:pt>
                <c:pt idx="69">
                  <c:v>15.900000000000002</c:v>
                </c:pt>
                <c:pt idx="70">
                  <c:v>13.499999999999998</c:v>
                </c:pt>
                <c:pt idx="71">
                  <c:v>12.4</c:v>
                </c:pt>
                <c:pt idx="72">
                  <c:v>11.3</c:v>
                </c:pt>
                <c:pt idx="73">
                  <c:v>11.700000000000001</c:v>
                </c:pt>
                <c:pt idx="74">
                  <c:v>16.299999999999997</c:v>
                </c:pt>
                <c:pt idx="75">
                  <c:v>17.899999999999999</c:v>
                </c:pt>
                <c:pt idx="76">
                  <c:v>17.600000000000001</c:v>
                </c:pt>
                <c:pt idx="77">
                  <c:v>17.400000000000002</c:v>
                </c:pt>
                <c:pt idx="78">
                  <c:v>19.7</c:v>
                </c:pt>
              </c:numCache>
            </c:numRef>
          </c:val>
          <c:extLst>
            <c:ext xmlns:c16="http://schemas.microsoft.com/office/drawing/2014/chart" uri="{C3380CC4-5D6E-409C-BE32-E72D297353CC}">
              <c16:uniqueId val="{00000001-42DC-47AF-B550-8E8163BAA58D}"/>
            </c:ext>
          </c:extLst>
        </c:ser>
        <c:ser>
          <c:idx val="2"/>
          <c:order val="2"/>
          <c:tx>
            <c:strRef>
              <c:f>Sheet2!$B$16</c:f>
              <c:strCache>
                <c:ptCount val="1"/>
                <c:pt idx="0">
                  <c:v> pārējie kredīti mājsaimniecībām</c:v>
                </c:pt>
              </c:strCache>
            </c:strRef>
          </c:tx>
          <c:spPr>
            <a:solidFill>
              <a:schemeClr val="accent3"/>
            </a:solidFill>
            <a:ln>
              <a:noFill/>
            </a:ln>
            <a:effectLst/>
          </c:spPr>
          <c:invertIfNegative val="0"/>
          <c:cat>
            <c:numRef>
              <c:f>Sheet2!$C$13:$CC$13</c:f>
              <c:numCache>
                <c:formatCode>mmm\-yy</c:formatCode>
                <c:ptCount val="79"/>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numCache>
            </c:numRef>
          </c:cat>
          <c:val>
            <c:numRef>
              <c:f>Sheet2!$C$16:$CC$16</c:f>
              <c:numCache>
                <c:formatCode>#\ ##0.0</c:formatCode>
                <c:ptCount val="79"/>
                <c:pt idx="0">
                  <c:v>2.3999999999999986</c:v>
                </c:pt>
                <c:pt idx="1">
                  <c:v>3.1999999999999993</c:v>
                </c:pt>
                <c:pt idx="2">
                  <c:v>11.9</c:v>
                </c:pt>
                <c:pt idx="3">
                  <c:v>4.6000000000000005</c:v>
                </c:pt>
                <c:pt idx="4">
                  <c:v>2.2999999999999998</c:v>
                </c:pt>
                <c:pt idx="5">
                  <c:v>4.2999999999999989</c:v>
                </c:pt>
                <c:pt idx="6">
                  <c:v>4.1000000000000014</c:v>
                </c:pt>
                <c:pt idx="7">
                  <c:v>3.0000000000000009</c:v>
                </c:pt>
                <c:pt idx="8">
                  <c:v>4.6999999999999993</c:v>
                </c:pt>
                <c:pt idx="9">
                  <c:v>3.2</c:v>
                </c:pt>
                <c:pt idx="10">
                  <c:v>4.5</c:v>
                </c:pt>
                <c:pt idx="11">
                  <c:v>5.4999999999999982</c:v>
                </c:pt>
                <c:pt idx="12">
                  <c:v>3.7000000000000011</c:v>
                </c:pt>
                <c:pt idx="13">
                  <c:v>5.0999999999999996</c:v>
                </c:pt>
                <c:pt idx="14">
                  <c:v>4.9999999999999991</c:v>
                </c:pt>
                <c:pt idx="15">
                  <c:v>6.5000000000000009</c:v>
                </c:pt>
                <c:pt idx="16">
                  <c:v>2.9000000000000004</c:v>
                </c:pt>
                <c:pt idx="17">
                  <c:v>3.8999999999999995</c:v>
                </c:pt>
                <c:pt idx="18">
                  <c:v>5</c:v>
                </c:pt>
                <c:pt idx="19">
                  <c:v>5.1999999999999993</c:v>
                </c:pt>
                <c:pt idx="20">
                  <c:v>3.7</c:v>
                </c:pt>
                <c:pt idx="21">
                  <c:v>13</c:v>
                </c:pt>
                <c:pt idx="22">
                  <c:v>5.8999999999999995</c:v>
                </c:pt>
                <c:pt idx="23">
                  <c:v>21.9</c:v>
                </c:pt>
                <c:pt idx="24">
                  <c:v>2.5999999999999996</c:v>
                </c:pt>
                <c:pt idx="25">
                  <c:v>1.5999999999999996</c:v>
                </c:pt>
                <c:pt idx="26">
                  <c:v>3.8000000000000007</c:v>
                </c:pt>
                <c:pt idx="27">
                  <c:v>3.9999999999999996</c:v>
                </c:pt>
                <c:pt idx="28">
                  <c:v>4.2000000000000011</c:v>
                </c:pt>
                <c:pt idx="29">
                  <c:v>6.3</c:v>
                </c:pt>
                <c:pt idx="30">
                  <c:v>2.9</c:v>
                </c:pt>
                <c:pt idx="31">
                  <c:v>5.2</c:v>
                </c:pt>
                <c:pt idx="32">
                  <c:v>5.4</c:v>
                </c:pt>
                <c:pt idx="33">
                  <c:v>4.3000000000000007</c:v>
                </c:pt>
                <c:pt idx="34">
                  <c:v>4.5999999999999979</c:v>
                </c:pt>
                <c:pt idx="35">
                  <c:v>7.1999999999999993</c:v>
                </c:pt>
                <c:pt idx="36">
                  <c:v>3.8000000000000003</c:v>
                </c:pt>
                <c:pt idx="37">
                  <c:v>3.1000000000000005</c:v>
                </c:pt>
                <c:pt idx="38">
                  <c:v>3.3999999999999986</c:v>
                </c:pt>
                <c:pt idx="39">
                  <c:v>6.2</c:v>
                </c:pt>
                <c:pt idx="40">
                  <c:v>8.1999999999999993</c:v>
                </c:pt>
                <c:pt idx="41">
                  <c:v>7.5</c:v>
                </c:pt>
                <c:pt idx="42">
                  <c:v>4.4000000000000004</c:v>
                </c:pt>
                <c:pt idx="43">
                  <c:v>6</c:v>
                </c:pt>
                <c:pt idx="44">
                  <c:v>3.2999999999999989</c:v>
                </c:pt>
                <c:pt idx="45">
                  <c:v>8.5</c:v>
                </c:pt>
                <c:pt idx="46">
                  <c:v>5.3000000000000007</c:v>
                </c:pt>
                <c:pt idx="47">
                  <c:v>6.6999999999999993</c:v>
                </c:pt>
                <c:pt idx="48">
                  <c:v>4.7</c:v>
                </c:pt>
                <c:pt idx="49">
                  <c:v>4.0999999999999996</c:v>
                </c:pt>
                <c:pt idx="50">
                  <c:v>5.6000000000000005</c:v>
                </c:pt>
                <c:pt idx="51">
                  <c:v>5.0999999999999979</c:v>
                </c:pt>
                <c:pt idx="52">
                  <c:v>5.2</c:v>
                </c:pt>
                <c:pt idx="53">
                  <c:v>5.5</c:v>
                </c:pt>
                <c:pt idx="54">
                  <c:v>5.3999999999999986</c:v>
                </c:pt>
                <c:pt idx="55">
                  <c:v>4.6000000000000014</c:v>
                </c:pt>
                <c:pt idx="56">
                  <c:v>6.8999999999999986</c:v>
                </c:pt>
                <c:pt idx="57">
                  <c:v>5.9</c:v>
                </c:pt>
                <c:pt idx="58">
                  <c:v>7.3999999999999995</c:v>
                </c:pt>
                <c:pt idx="59">
                  <c:v>6.1</c:v>
                </c:pt>
                <c:pt idx="60">
                  <c:v>3.5999999999999996</c:v>
                </c:pt>
                <c:pt idx="61">
                  <c:v>5</c:v>
                </c:pt>
                <c:pt idx="62">
                  <c:v>4.5</c:v>
                </c:pt>
                <c:pt idx="63">
                  <c:v>8.6999999999999993</c:v>
                </c:pt>
                <c:pt idx="64">
                  <c:v>6.7999999999999989</c:v>
                </c:pt>
                <c:pt idx="65">
                  <c:v>4.3999999999999995</c:v>
                </c:pt>
                <c:pt idx="66">
                  <c:v>6</c:v>
                </c:pt>
                <c:pt idx="67">
                  <c:v>8.3000000000000007</c:v>
                </c:pt>
                <c:pt idx="68">
                  <c:v>11.4</c:v>
                </c:pt>
                <c:pt idx="69">
                  <c:v>4.7000000000000011</c:v>
                </c:pt>
                <c:pt idx="70">
                  <c:v>3.0000000000000009</c:v>
                </c:pt>
                <c:pt idx="71">
                  <c:v>4.2</c:v>
                </c:pt>
                <c:pt idx="72">
                  <c:v>3.1999999999999993</c:v>
                </c:pt>
                <c:pt idx="73">
                  <c:v>4</c:v>
                </c:pt>
                <c:pt idx="74">
                  <c:v>5.5</c:v>
                </c:pt>
                <c:pt idx="75">
                  <c:v>3.3000000000000007</c:v>
                </c:pt>
                <c:pt idx="76">
                  <c:v>3.3999999999999995</c:v>
                </c:pt>
                <c:pt idx="77">
                  <c:v>3.2</c:v>
                </c:pt>
                <c:pt idx="78">
                  <c:v>3.5999999999999996</c:v>
                </c:pt>
              </c:numCache>
            </c:numRef>
          </c:val>
          <c:extLst>
            <c:ext xmlns:c16="http://schemas.microsoft.com/office/drawing/2014/chart" uri="{C3380CC4-5D6E-409C-BE32-E72D297353CC}">
              <c16:uniqueId val="{00000002-42DC-47AF-B550-8E8163BAA58D}"/>
            </c:ext>
          </c:extLst>
        </c:ser>
        <c:ser>
          <c:idx val="3"/>
          <c:order val="3"/>
          <c:tx>
            <c:strRef>
              <c:f>Sheet2!$B$17</c:f>
              <c:strCache>
                <c:ptCount val="1"/>
                <c:pt idx="0">
                  <c:v> kredīti nefinanšu sabiedrībām</c:v>
                </c:pt>
              </c:strCache>
            </c:strRef>
          </c:tx>
          <c:spPr>
            <a:solidFill>
              <a:schemeClr val="accent4"/>
            </a:solidFill>
            <a:ln>
              <a:noFill/>
            </a:ln>
            <a:effectLst/>
          </c:spPr>
          <c:invertIfNegative val="0"/>
          <c:cat>
            <c:numRef>
              <c:f>Sheet2!$C$13:$CC$13</c:f>
              <c:numCache>
                <c:formatCode>mmm\-yy</c:formatCode>
                <c:ptCount val="79"/>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numCache>
            </c:numRef>
          </c:cat>
          <c:val>
            <c:numRef>
              <c:f>Sheet2!$C$17:$CC$17</c:f>
              <c:numCache>
                <c:formatCode>#\ ##0.0</c:formatCode>
                <c:ptCount val="79"/>
                <c:pt idx="0">
                  <c:v>25.799999999999997</c:v>
                </c:pt>
                <c:pt idx="1">
                  <c:v>128.19999999999999</c:v>
                </c:pt>
                <c:pt idx="2">
                  <c:v>95.100000000000023</c:v>
                </c:pt>
                <c:pt idx="3">
                  <c:v>50.600000000000023</c:v>
                </c:pt>
                <c:pt idx="4">
                  <c:v>175.7</c:v>
                </c:pt>
                <c:pt idx="5">
                  <c:v>83.399999999999977</c:v>
                </c:pt>
                <c:pt idx="6">
                  <c:v>108.5</c:v>
                </c:pt>
                <c:pt idx="7">
                  <c:v>81.600000000000023</c:v>
                </c:pt>
                <c:pt idx="8">
                  <c:v>104.49999999999997</c:v>
                </c:pt>
                <c:pt idx="9">
                  <c:v>66.7</c:v>
                </c:pt>
                <c:pt idx="10">
                  <c:v>96.9</c:v>
                </c:pt>
                <c:pt idx="11">
                  <c:v>101.5</c:v>
                </c:pt>
                <c:pt idx="12">
                  <c:v>97.199999999999989</c:v>
                </c:pt>
                <c:pt idx="13">
                  <c:v>113.50000000000003</c:v>
                </c:pt>
                <c:pt idx="14">
                  <c:v>116.80000000000001</c:v>
                </c:pt>
                <c:pt idx="15">
                  <c:v>156.39999999999998</c:v>
                </c:pt>
                <c:pt idx="16">
                  <c:v>195.80000000000007</c:v>
                </c:pt>
                <c:pt idx="17">
                  <c:v>108.00000000000003</c:v>
                </c:pt>
                <c:pt idx="18">
                  <c:v>141.79999999999998</c:v>
                </c:pt>
                <c:pt idx="19">
                  <c:v>121.60000000000002</c:v>
                </c:pt>
                <c:pt idx="20">
                  <c:v>149.69999999999999</c:v>
                </c:pt>
                <c:pt idx="21">
                  <c:v>183.90000000000003</c:v>
                </c:pt>
                <c:pt idx="22">
                  <c:v>101.80000000000001</c:v>
                </c:pt>
                <c:pt idx="23">
                  <c:v>134.30000000000001</c:v>
                </c:pt>
                <c:pt idx="24">
                  <c:v>72.599999999999994</c:v>
                </c:pt>
                <c:pt idx="25">
                  <c:v>145.30000000000001</c:v>
                </c:pt>
                <c:pt idx="26">
                  <c:v>123.5</c:v>
                </c:pt>
                <c:pt idx="27">
                  <c:v>114.70000000000002</c:v>
                </c:pt>
                <c:pt idx="28">
                  <c:v>118.09999999999997</c:v>
                </c:pt>
                <c:pt idx="29">
                  <c:v>93.599999999999966</c:v>
                </c:pt>
                <c:pt idx="30">
                  <c:v>142.60000000000002</c:v>
                </c:pt>
                <c:pt idx="31">
                  <c:v>171.6</c:v>
                </c:pt>
                <c:pt idx="32">
                  <c:v>114.40000000000003</c:v>
                </c:pt>
                <c:pt idx="33">
                  <c:v>121.79999999999995</c:v>
                </c:pt>
                <c:pt idx="34">
                  <c:v>111.89999999999998</c:v>
                </c:pt>
                <c:pt idx="35">
                  <c:v>233.29999999999995</c:v>
                </c:pt>
                <c:pt idx="36">
                  <c:v>94.699999999999989</c:v>
                </c:pt>
                <c:pt idx="37">
                  <c:v>56.199999999999989</c:v>
                </c:pt>
                <c:pt idx="38">
                  <c:v>95.599999999999966</c:v>
                </c:pt>
                <c:pt idx="39">
                  <c:v>66.399999999999977</c:v>
                </c:pt>
                <c:pt idx="40">
                  <c:v>69.699999999999989</c:v>
                </c:pt>
                <c:pt idx="41">
                  <c:v>177.39999999999998</c:v>
                </c:pt>
                <c:pt idx="42">
                  <c:v>61.399999999999977</c:v>
                </c:pt>
                <c:pt idx="43">
                  <c:v>90.6</c:v>
                </c:pt>
                <c:pt idx="44">
                  <c:v>47.199999999999989</c:v>
                </c:pt>
                <c:pt idx="45">
                  <c:v>102.70000000000002</c:v>
                </c:pt>
                <c:pt idx="46">
                  <c:v>143.5</c:v>
                </c:pt>
                <c:pt idx="47">
                  <c:v>302.40000000000003</c:v>
                </c:pt>
                <c:pt idx="48">
                  <c:v>53</c:v>
                </c:pt>
                <c:pt idx="49">
                  <c:v>87.600000000000023</c:v>
                </c:pt>
                <c:pt idx="50">
                  <c:v>118.60000000000002</c:v>
                </c:pt>
                <c:pt idx="51">
                  <c:v>78.800000000000011</c:v>
                </c:pt>
                <c:pt idx="52">
                  <c:v>132.39999999999998</c:v>
                </c:pt>
                <c:pt idx="53">
                  <c:v>76.699999999999989</c:v>
                </c:pt>
                <c:pt idx="54">
                  <c:v>94</c:v>
                </c:pt>
                <c:pt idx="55">
                  <c:v>49.300000000000011</c:v>
                </c:pt>
                <c:pt idx="56">
                  <c:v>112.10000000000002</c:v>
                </c:pt>
                <c:pt idx="57">
                  <c:v>94.9</c:v>
                </c:pt>
                <c:pt idx="58">
                  <c:v>18.099999999999994</c:v>
                </c:pt>
                <c:pt idx="59">
                  <c:v>82.800000000000011</c:v>
                </c:pt>
                <c:pt idx="60">
                  <c:v>72.599999999999994</c:v>
                </c:pt>
                <c:pt idx="61">
                  <c:v>128.70000000000002</c:v>
                </c:pt>
                <c:pt idx="62">
                  <c:v>139</c:v>
                </c:pt>
                <c:pt idx="63">
                  <c:v>33.299999999999955</c:v>
                </c:pt>
                <c:pt idx="64">
                  <c:v>16.800000000000011</c:v>
                </c:pt>
                <c:pt idx="65">
                  <c:v>165</c:v>
                </c:pt>
                <c:pt idx="66">
                  <c:v>48.399999999999977</c:v>
                </c:pt>
                <c:pt idx="67">
                  <c:v>50.199999999999989</c:v>
                </c:pt>
                <c:pt idx="68">
                  <c:v>69</c:v>
                </c:pt>
                <c:pt idx="69">
                  <c:v>76.5</c:v>
                </c:pt>
                <c:pt idx="70">
                  <c:v>101.39999999999998</c:v>
                </c:pt>
                <c:pt idx="71">
                  <c:v>91.599999999999966</c:v>
                </c:pt>
                <c:pt idx="72">
                  <c:v>53.299999999999955</c:v>
                </c:pt>
                <c:pt idx="73">
                  <c:v>43.299999999999955</c:v>
                </c:pt>
                <c:pt idx="74">
                  <c:v>156.30000000000001</c:v>
                </c:pt>
                <c:pt idx="75">
                  <c:v>117</c:v>
                </c:pt>
                <c:pt idx="76">
                  <c:v>71.300000000000068</c:v>
                </c:pt>
                <c:pt idx="77">
                  <c:v>38</c:v>
                </c:pt>
                <c:pt idx="78">
                  <c:v>93.800000000000011</c:v>
                </c:pt>
              </c:numCache>
            </c:numRef>
          </c:val>
          <c:extLst>
            <c:ext xmlns:c16="http://schemas.microsoft.com/office/drawing/2014/chart" uri="{C3380CC4-5D6E-409C-BE32-E72D297353CC}">
              <c16:uniqueId val="{00000003-42DC-47AF-B550-8E8163BAA58D}"/>
            </c:ext>
          </c:extLst>
        </c:ser>
        <c:dLbls>
          <c:showLegendKey val="0"/>
          <c:showVal val="0"/>
          <c:showCatName val="0"/>
          <c:showSerName val="0"/>
          <c:showPercent val="0"/>
          <c:showBubbleSize val="0"/>
        </c:dLbls>
        <c:gapWidth val="50"/>
        <c:overlap val="100"/>
        <c:axId val="1602556559"/>
        <c:axId val="1602560719"/>
      </c:barChart>
      <c:catAx>
        <c:axId val="1602556559"/>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02560719"/>
        <c:crosses val="autoZero"/>
        <c:auto val="0"/>
        <c:lblAlgn val="ctr"/>
        <c:lblOffset val="100"/>
        <c:tickLblSkip val="6"/>
        <c:tickMarkSkip val="12"/>
        <c:noMultiLvlLbl val="1"/>
      </c:catAx>
      <c:valAx>
        <c:axId val="16025607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02556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717891513560804"/>
          <c:y val="0.1214653984387036"/>
          <c:w val="0.45897572178477691"/>
          <c:h val="0.87853460156129637"/>
        </c:manualLayout>
      </c:layout>
      <c:pieChart>
        <c:varyColors val="1"/>
        <c:ser>
          <c:idx val="0"/>
          <c:order val="0"/>
          <c:spPr>
            <a:pattFill prst="dkUpDiag">
              <a:fgClr>
                <a:schemeClr val="accent1"/>
              </a:fgClr>
              <a:bgClr>
                <a:schemeClr val="bg1"/>
              </a:bgClr>
            </a:pattFill>
          </c:spPr>
          <c:dPt>
            <c:idx val="0"/>
            <c:bubble3D val="0"/>
            <c:spPr>
              <a:pattFill prst="dkUpDiag">
                <a:fgClr>
                  <a:schemeClr val="accent6">
                    <a:lumMod val="60000"/>
                    <a:lumOff val="40000"/>
                  </a:schemeClr>
                </a:fgClr>
                <a:bgClr>
                  <a:schemeClr val="bg1"/>
                </a:bgClr>
              </a:pattFill>
              <a:ln w="19050">
                <a:solidFill>
                  <a:schemeClr val="lt1"/>
                </a:solidFill>
              </a:ln>
              <a:effectLst/>
            </c:spPr>
            <c:extLst>
              <c:ext xmlns:c16="http://schemas.microsoft.com/office/drawing/2014/chart" uri="{C3380CC4-5D6E-409C-BE32-E72D297353CC}">
                <c16:uniqueId val="{00000001-A9A7-4661-9E15-A3975D0CD4D3}"/>
              </c:ext>
            </c:extLst>
          </c:dPt>
          <c:dPt>
            <c:idx val="1"/>
            <c:bubble3D val="0"/>
            <c:spPr>
              <a:pattFill prst="dkUpDiag">
                <a:fgClr>
                  <a:schemeClr val="accent1"/>
                </a:fgClr>
                <a:bgClr>
                  <a:schemeClr val="bg1"/>
                </a:bgClr>
              </a:pattFill>
              <a:ln w="19050">
                <a:solidFill>
                  <a:schemeClr val="lt1"/>
                </a:solidFill>
              </a:ln>
              <a:effectLst/>
            </c:spPr>
            <c:extLst>
              <c:ext xmlns:c16="http://schemas.microsoft.com/office/drawing/2014/chart" uri="{C3380CC4-5D6E-409C-BE32-E72D297353CC}">
                <c16:uniqueId val="{00000003-A9A7-4661-9E15-A3975D0CD4D3}"/>
              </c:ext>
            </c:extLst>
          </c:dPt>
          <c:dPt>
            <c:idx val="2"/>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5-A9A7-4661-9E15-A3975D0CD4D3}"/>
              </c:ext>
            </c:extLst>
          </c:dPt>
          <c:dLbls>
            <c:dLbl>
              <c:idx val="0"/>
              <c:layout>
                <c:manualLayout>
                  <c:x val="4.3855643044619426E-2"/>
                  <c:y val="-7.543564559120541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A7-4661-9E15-A3975D0CD4D3}"/>
                </c:ext>
              </c:extLst>
            </c:dLbl>
            <c:dLbl>
              <c:idx val="1"/>
              <c:layout>
                <c:manualLayout>
                  <c:x val="-6.6877734033245848E-3"/>
                  <c:y val="5.8543338743069877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A7-4661-9E15-A3975D0CD4D3}"/>
                </c:ext>
              </c:extLst>
            </c:dLbl>
            <c:dLbl>
              <c:idx val="2"/>
              <c:layout>
                <c:manualLayout>
                  <c:x val="2.6730971128608925E-2"/>
                  <c:y val="2.1441972661484857E-2"/>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1869444444444444"/>
                      <c:h val="0.12699008308764406"/>
                    </c:manualLayout>
                  </c15:layout>
                </c:ext>
                <c:ext xmlns:c16="http://schemas.microsoft.com/office/drawing/2014/chart" uri="{C3380CC4-5D6E-409C-BE32-E72D297353CC}">
                  <c16:uniqueId val="{00000005-A9A7-4661-9E15-A3975D0CD4D3}"/>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'Lauksaimniecība(A)'!$B$8:$B$10</c:f>
              <c:strCache>
                <c:ptCount val="3"/>
                <c:pt idx="0">
                  <c:v>Lauksaimniecība (lopkopība un augkopība)</c:v>
                </c:pt>
                <c:pt idx="1">
                  <c:v>Mežsaimniecība un mežizstrāde</c:v>
                </c:pt>
                <c:pt idx="2">
                  <c:v>Zivsaimniecība</c:v>
                </c:pt>
              </c:strCache>
            </c:strRef>
          </c:cat>
          <c:val>
            <c:numRef>
              <c:f>'Lauksaimniecība(A)'!$N$8:$N$10</c:f>
              <c:numCache>
                <c:formatCode>0%</c:formatCode>
                <c:ptCount val="3"/>
                <c:pt idx="0">
                  <c:v>0.51884544289657875</c:v>
                </c:pt>
                <c:pt idx="1">
                  <c:v>0.45408943266362833</c:v>
                </c:pt>
                <c:pt idx="2">
                  <c:v>2.706512443979292E-2</c:v>
                </c:pt>
              </c:numCache>
            </c:numRef>
          </c:val>
          <c:extLst>
            <c:ext xmlns:c16="http://schemas.microsoft.com/office/drawing/2014/chart" uri="{C3380CC4-5D6E-409C-BE32-E72D297353CC}">
              <c16:uniqueId val="{00000006-A9A7-4661-9E15-A3975D0CD4D3}"/>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0"/>
          <c:order val="0"/>
          <c:tx>
            <c:strRef>
              <c:f>Kopā!$B$3</c:f>
              <c:strCache>
                <c:ptCount val="1"/>
                <c:pt idx="0">
                  <c:v>Lauksaimniecības produkcija kopā</c:v>
                </c:pt>
              </c:strCache>
            </c:strRef>
          </c:tx>
          <c:spPr>
            <a:pattFill prst="dkUpDiag">
              <a:fgClr>
                <a:schemeClr val="tx1">
                  <a:lumMod val="50000"/>
                  <a:lumOff val="50000"/>
                </a:schemeClr>
              </a:fgClr>
              <a:bgClr>
                <a:schemeClr val="bg1"/>
              </a:bgClr>
            </a:pattFill>
            <a:ln>
              <a:noFill/>
            </a:ln>
            <a:effectLst/>
          </c:spPr>
          <c:cat>
            <c:strRef>
              <c:f>Kopā!$A$10:$A$15</c:f>
              <c:strCache>
                <c:ptCount val="6"/>
                <c:pt idx="0">
                  <c:v>2015</c:v>
                </c:pt>
                <c:pt idx="1">
                  <c:v>2016</c:v>
                </c:pt>
                <c:pt idx="2">
                  <c:v>2017</c:v>
                </c:pt>
                <c:pt idx="3">
                  <c:v>2018</c:v>
                </c:pt>
                <c:pt idx="4">
                  <c:v>2019</c:v>
                </c:pt>
                <c:pt idx="5">
                  <c:v>2020</c:v>
                </c:pt>
              </c:strCache>
            </c:strRef>
          </c:cat>
          <c:val>
            <c:numRef>
              <c:f>Kopā!$B$10:$B$15</c:f>
              <c:numCache>
                <c:formatCode>0.0</c:formatCode>
                <c:ptCount val="6"/>
                <c:pt idx="0">
                  <c:v>100</c:v>
                </c:pt>
                <c:pt idx="1">
                  <c:v>94.2</c:v>
                </c:pt>
                <c:pt idx="2">
                  <c:v>95.4</c:v>
                </c:pt>
                <c:pt idx="3">
                  <c:v>85</c:v>
                </c:pt>
                <c:pt idx="4" formatCode="General">
                  <c:v>103.7</c:v>
                </c:pt>
                <c:pt idx="5" formatCode="General">
                  <c:v>106.6</c:v>
                </c:pt>
              </c:numCache>
            </c:numRef>
          </c:val>
          <c:extLst>
            <c:ext xmlns:c16="http://schemas.microsoft.com/office/drawing/2014/chart" uri="{C3380CC4-5D6E-409C-BE32-E72D297353CC}">
              <c16:uniqueId val="{00000000-3627-40E8-A7F8-129DFF1B7256}"/>
            </c:ext>
          </c:extLst>
        </c:ser>
        <c:dLbls>
          <c:showLegendKey val="0"/>
          <c:showVal val="0"/>
          <c:showCatName val="0"/>
          <c:showSerName val="0"/>
          <c:showPercent val="0"/>
          <c:showBubbleSize val="0"/>
        </c:dLbls>
        <c:axId val="962158304"/>
        <c:axId val="962144160"/>
      </c:areaChart>
      <c:lineChart>
        <c:grouping val="standard"/>
        <c:varyColors val="0"/>
        <c:ser>
          <c:idx val="1"/>
          <c:order val="1"/>
          <c:tx>
            <c:strRef>
              <c:f>Kopā!$C$3</c:f>
              <c:strCache>
                <c:ptCount val="1"/>
                <c:pt idx="0">
                  <c:v>Augkopība</c:v>
                </c:pt>
              </c:strCache>
            </c:strRef>
          </c:tx>
          <c:spPr>
            <a:ln w="28575" cap="rnd">
              <a:solidFill>
                <a:srgbClr val="0070C0"/>
              </a:solidFill>
              <a:round/>
            </a:ln>
            <a:effectLst/>
          </c:spPr>
          <c:marker>
            <c:symbol val="diamond"/>
            <c:size val="8"/>
            <c:spPr>
              <a:solidFill>
                <a:srgbClr val="0070C0"/>
              </a:solidFill>
              <a:ln w="9525">
                <a:solidFill>
                  <a:srgbClr val="0070C0"/>
                </a:solidFill>
              </a:ln>
              <a:effectLst/>
            </c:spPr>
          </c:marker>
          <c:cat>
            <c:strRef>
              <c:f>Kopā!$A$10:$A$15</c:f>
              <c:strCache>
                <c:ptCount val="6"/>
                <c:pt idx="0">
                  <c:v>2015</c:v>
                </c:pt>
                <c:pt idx="1">
                  <c:v>2016</c:v>
                </c:pt>
                <c:pt idx="2">
                  <c:v>2017</c:v>
                </c:pt>
                <c:pt idx="3">
                  <c:v>2018</c:v>
                </c:pt>
                <c:pt idx="4">
                  <c:v>2019</c:v>
                </c:pt>
                <c:pt idx="5">
                  <c:v>2020</c:v>
                </c:pt>
              </c:strCache>
            </c:strRef>
          </c:cat>
          <c:val>
            <c:numRef>
              <c:f>Kopā!$C$10:$C$15</c:f>
              <c:numCache>
                <c:formatCode>0.0</c:formatCode>
                <c:ptCount val="6"/>
                <c:pt idx="0">
                  <c:v>100</c:v>
                </c:pt>
                <c:pt idx="1">
                  <c:v>90.1</c:v>
                </c:pt>
                <c:pt idx="2">
                  <c:v>90.9</c:v>
                </c:pt>
                <c:pt idx="3">
                  <c:v>74</c:v>
                </c:pt>
                <c:pt idx="4" formatCode="General">
                  <c:v>103.5</c:v>
                </c:pt>
                <c:pt idx="5" formatCode="General">
                  <c:v>108.7</c:v>
                </c:pt>
              </c:numCache>
            </c:numRef>
          </c:val>
          <c:smooth val="1"/>
          <c:extLst>
            <c:ext xmlns:c16="http://schemas.microsoft.com/office/drawing/2014/chart" uri="{C3380CC4-5D6E-409C-BE32-E72D297353CC}">
              <c16:uniqueId val="{00000001-3627-40E8-A7F8-129DFF1B7256}"/>
            </c:ext>
          </c:extLst>
        </c:ser>
        <c:ser>
          <c:idx val="2"/>
          <c:order val="2"/>
          <c:tx>
            <c:strRef>
              <c:f>Kopā!$D$3</c:f>
              <c:strCache>
                <c:ptCount val="1"/>
                <c:pt idx="0">
                  <c:v>Lopkopība</c:v>
                </c:pt>
              </c:strCache>
            </c:strRef>
          </c:tx>
          <c:spPr>
            <a:ln w="28575" cap="rnd">
              <a:solidFill>
                <a:srgbClr val="00B050"/>
              </a:solidFill>
              <a:round/>
            </a:ln>
            <a:effectLst/>
          </c:spPr>
          <c:marker>
            <c:symbol val="diamond"/>
            <c:size val="9"/>
            <c:spPr>
              <a:solidFill>
                <a:srgbClr val="00B050"/>
              </a:solidFill>
              <a:ln w="9525">
                <a:noFill/>
              </a:ln>
              <a:effectLst/>
            </c:spPr>
          </c:marker>
          <c:cat>
            <c:strRef>
              <c:f>Kopā!$A$10:$A$15</c:f>
              <c:strCache>
                <c:ptCount val="6"/>
                <c:pt idx="0">
                  <c:v>2015</c:v>
                </c:pt>
                <c:pt idx="1">
                  <c:v>2016</c:v>
                </c:pt>
                <c:pt idx="2">
                  <c:v>2017</c:v>
                </c:pt>
                <c:pt idx="3">
                  <c:v>2018</c:v>
                </c:pt>
                <c:pt idx="4">
                  <c:v>2019</c:v>
                </c:pt>
                <c:pt idx="5">
                  <c:v>2020</c:v>
                </c:pt>
              </c:strCache>
            </c:strRef>
          </c:cat>
          <c:val>
            <c:numRef>
              <c:f>Kopā!$D$10:$D$15</c:f>
              <c:numCache>
                <c:formatCode>0.0</c:formatCode>
                <c:ptCount val="6"/>
                <c:pt idx="0">
                  <c:v>100</c:v>
                </c:pt>
                <c:pt idx="1">
                  <c:v>98.5</c:v>
                </c:pt>
                <c:pt idx="2">
                  <c:v>103.4</c:v>
                </c:pt>
                <c:pt idx="3">
                  <c:v>102.7</c:v>
                </c:pt>
                <c:pt idx="4" formatCode="General">
                  <c:v>103.2</c:v>
                </c:pt>
                <c:pt idx="5" formatCode="General">
                  <c:v>102.4</c:v>
                </c:pt>
              </c:numCache>
            </c:numRef>
          </c:val>
          <c:smooth val="1"/>
          <c:extLst>
            <c:ext xmlns:c16="http://schemas.microsoft.com/office/drawing/2014/chart" uri="{C3380CC4-5D6E-409C-BE32-E72D297353CC}">
              <c16:uniqueId val="{00000002-3627-40E8-A7F8-129DFF1B7256}"/>
            </c:ext>
          </c:extLst>
        </c:ser>
        <c:dLbls>
          <c:showLegendKey val="0"/>
          <c:showVal val="0"/>
          <c:showCatName val="0"/>
          <c:showSerName val="0"/>
          <c:showPercent val="0"/>
          <c:showBubbleSize val="0"/>
        </c:dLbls>
        <c:marker val="1"/>
        <c:smooth val="0"/>
        <c:axId val="962158304"/>
        <c:axId val="962144160"/>
      </c:lineChart>
      <c:catAx>
        <c:axId val="96215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62144160"/>
        <c:crosses val="autoZero"/>
        <c:auto val="1"/>
        <c:lblAlgn val="ctr"/>
        <c:lblOffset val="100"/>
        <c:noMultiLvlLbl val="0"/>
      </c:catAx>
      <c:valAx>
        <c:axId val="962144160"/>
        <c:scaling>
          <c:orientation val="minMax"/>
          <c:min val="7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62158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592407348070176E-2"/>
          <c:y val="5.0949513663733209E-2"/>
          <c:w val="0.85597964473077992"/>
          <c:h val="0.76990732804995021"/>
        </c:manualLayout>
      </c:layout>
      <c:lineChart>
        <c:grouping val="standard"/>
        <c:varyColors val="0"/>
        <c:ser>
          <c:idx val="0"/>
          <c:order val="0"/>
          <c:tx>
            <c:strRef>
              <c:f>'Cenas eur'!$A$4</c:f>
              <c:strCache>
                <c:ptCount val="1"/>
                <c:pt idx="0">
                  <c:v>Graudi</c:v>
                </c:pt>
              </c:strCache>
            </c:strRef>
          </c:tx>
          <c:spPr>
            <a:ln w="28575" cap="rnd">
              <a:solidFill>
                <a:srgbClr val="0070C0"/>
              </a:solidFill>
              <a:round/>
            </a:ln>
            <a:effectLst/>
          </c:spPr>
          <c:marker>
            <c:symbol val="none"/>
          </c:marker>
          <c:cat>
            <c:strRef>
              <c:f>'Cenas eur'!$G$3:$Q$3</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'Cenas eur'!$G$4:$Q$4</c:f>
              <c:numCache>
                <c:formatCode>0.00</c:formatCode>
                <c:ptCount val="11"/>
                <c:pt idx="0">
                  <c:v>150.91</c:v>
                </c:pt>
                <c:pt idx="1">
                  <c:v>191.66</c:v>
                </c:pt>
                <c:pt idx="2">
                  <c:v>207.2</c:v>
                </c:pt>
                <c:pt idx="3">
                  <c:v>177.3</c:v>
                </c:pt>
                <c:pt idx="4">
                  <c:v>148.13</c:v>
                </c:pt>
                <c:pt idx="5">
                  <c:v>144.34</c:v>
                </c:pt>
                <c:pt idx="6">
                  <c:v>132.31</c:v>
                </c:pt>
                <c:pt idx="7">
                  <c:v>145.16999999999999</c:v>
                </c:pt>
                <c:pt idx="8">
                  <c:v>168.34</c:v>
                </c:pt>
                <c:pt idx="9">
                  <c:v>158.24</c:v>
                </c:pt>
                <c:pt idx="10" formatCode="General">
                  <c:v>163.59</c:v>
                </c:pt>
              </c:numCache>
            </c:numRef>
          </c:val>
          <c:smooth val="1"/>
          <c:extLst>
            <c:ext xmlns:c16="http://schemas.microsoft.com/office/drawing/2014/chart" uri="{C3380CC4-5D6E-409C-BE32-E72D297353CC}">
              <c16:uniqueId val="{00000000-8933-448F-A4BB-4E422F47CACC}"/>
            </c:ext>
          </c:extLst>
        </c:ser>
        <c:ser>
          <c:idx val="2"/>
          <c:order val="2"/>
          <c:tx>
            <c:strRef>
              <c:f>'Cenas eur'!$A$44</c:f>
              <c:strCache>
                <c:ptCount val="1"/>
                <c:pt idx="0">
                  <c:v>Piens</c:v>
                </c:pt>
              </c:strCache>
            </c:strRef>
          </c:tx>
          <c:spPr>
            <a:ln w="28575" cap="rnd">
              <a:solidFill>
                <a:srgbClr val="00B050"/>
              </a:solidFill>
              <a:round/>
            </a:ln>
            <a:effectLst/>
          </c:spPr>
          <c:marker>
            <c:symbol val="none"/>
          </c:marker>
          <c:cat>
            <c:strRef>
              <c:f>'Cenas eur'!$G$3:$Q$3</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'Cenas eur'!$G$44:$Q$44</c:f>
              <c:numCache>
                <c:formatCode>0.00</c:formatCode>
                <c:ptCount val="11"/>
                <c:pt idx="0">
                  <c:v>253.02</c:v>
                </c:pt>
                <c:pt idx="1">
                  <c:v>294.72000000000003</c:v>
                </c:pt>
                <c:pt idx="2">
                  <c:v>271.43</c:v>
                </c:pt>
                <c:pt idx="3">
                  <c:v>305.3</c:v>
                </c:pt>
                <c:pt idx="4">
                  <c:v>290.61</c:v>
                </c:pt>
                <c:pt idx="5">
                  <c:v>216.06</c:v>
                </c:pt>
                <c:pt idx="6">
                  <c:v>214.52</c:v>
                </c:pt>
                <c:pt idx="7">
                  <c:v>305.88</c:v>
                </c:pt>
                <c:pt idx="8">
                  <c:v>283.37</c:v>
                </c:pt>
                <c:pt idx="9">
                  <c:v>293.5</c:v>
                </c:pt>
                <c:pt idx="10" formatCode="General">
                  <c:v>280.93</c:v>
                </c:pt>
              </c:numCache>
            </c:numRef>
          </c:val>
          <c:smooth val="1"/>
          <c:extLst>
            <c:ext xmlns:c16="http://schemas.microsoft.com/office/drawing/2014/chart" uri="{C3380CC4-5D6E-409C-BE32-E72D297353CC}">
              <c16:uniqueId val="{00000001-8933-448F-A4BB-4E422F47CACC}"/>
            </c:ext>
          </c:extLst>
        </c:ser>
        <c:dLbls>
          <c:showLegendKey val="0"/>
          <c:showVal val="0"/>
          <c:showCatName val="0"/>
          <c:showSerName val="0"/>
          <c:showPercent val="0"/>
          <c:showBubbleSize val="0"/>
        </c:dLbls>
        <c:marker val="1"/>
        <c:smooth val="0"/>
        <c:axId val="956682448"/>
        <c:axId val="956676208"/>
      </c:lineChart>
      <c:lineChart>
        <c:grouping val="standard"/>
        <c:varyColors val="0"/>
        <c:ser>
          <c:idx val="1"/>
          <c:order val="1"/>
          <c:tx>
            <c:strRef>
              <c:f>'Cenas eur'!$A$39</c:f>
              <c:strCache>
                <c:ptCount val="1"/>
                <c:pt idx="0">
                  <c:v>Lauksaimniecības dzīvnieki (kautsvarā, la)</c:v>
                </c:pt>
              </c:strCache>
            </c:strRef>
          </c:tx>
          <c:spPr>
            <a:ln w="28575" cap="rnd">
              <a:solidFill>
                <a:schemeClr val="tx1">
                  <a:lumMod val="50000"/>
                  <a:lumOff val="50000"/>
                </a:schemeClr>
              </a:solidFill>
              <a:round/>
            </a:ln>
            <a:effectLst/>
          </c:spPr>
          <c:marker>
            <c:symbol val="none"/>
          </c:marker>
          <c:val>
            <c:numRef>
              <c:f>'Cenas eur'!$G$39:$Q$39</c:f>
              <c:numCache>
                <c:formatCode>0.00</c:formatCode>
                <c:ptCount val="11"/>
                <c:pt idx="0">
                  <c:v>1469.61</c:v>
                </c:pt>
                <c:pt idx="1">
                  <c:v>1654.96</c:v>
                </c:pt>
                <c:pt idx="2">
                  <c:v>1836.19</c:v>
                </c:pt>
                <c:pt idx="3">
                  <c:v>1772.47</c:v>
                </c:pt>
                <c:pt idx="4">
                  <c:v>1549.82</c:v>
                </c:pt>
                <c:pt idx="5">
                  <c:v>1455.68</c:v>
                </c:pt>
                <c:pt idx="6">
                  <c:v>1492.19</c:v>
                </c:pt>
                <c:pt idx="7">
                  <c:v>1529.48</c:v>
                </c:pt>
                <c:pt idx="8">
                  <c:v>1458.78</c:v>
                </c:pt>
                <c:pt idx="9">
                  <c:v>1577.46</c:v>
                </c:pt>
                <c:pt idx="10" formatCode="General">
                  <c:v>1509.99</c:v>
                </c:pt>
              </c:numCache>
            </c:numRef>
          </c:val>
          <c:smooth val="1"/>
          <c:extLst>
            <c:ext xmlns:c16="http://schemas.microsoft.com/office/drawing/2014/chart" uri="{C3380CC4-5D6E-409C-BE32-E72D297353CC}">
              <c16:uniqueId val="{00000002-8933-448F-A4BB-4E422F47CACC}"/>
            </c:ext>
          </c:extLst>
        </c:ser>
        <c:dLbls>
          <c:showLegendKey val="0"/>
          <c:showVal val="0"/>
          <c:showCatName val="0"/>
          <c:showSerName val="0"/>
          <c:showPercent val="0"/>
          <c:showBubbleSize val="0"/>
        </c:dLbls>
        <c:marker val="1"/>
        <c:smooth val="0"/>
        <c:axId val="964553984"/>
        <c:axId val="964553152"/>
      </c:lineChart>
      <c:catAx>
        <c:axId val="956682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56676208"/>
        <c:crosses val="autoZero"/>
        <c:auto val="1"/>
        <c:lblAlgn val="ctr"/>
        <c:lblOffset val="100"/>
        <c:noMultiLvlLbl val="0"/>
      </c:catAx>
      <c:valAx>
        <c:axId val="956676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56682448"/>
        <c:crosses val="autoZero"/>
        <c:crossBetween val="between"/>
      </c:valAx>
      <c:valAx>
        <c:axId val="964553152"/>
        <c:scaling>
          <c:orientation val="minMax"/>
          <c:max val="2100"/>
          <c:min val="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64553984"/>
        <c:crosses val="max"/>
        <c:crossBetween val="between"/>
        <c:majorUnit val="300"/>
      </c:valAx>
      <c:catAx>
        <c:axId val="964553984"/>
        <c:scaling>
          <c:orientation val="minMax"/>
        </c:scaling>
        <c:delete val="1"/>
        <c:axPos val="b"/>
        <c:majorTickMark val="out"/>
        <c:minorTickMark val="none"/>
        <c:tickLblPos val="nextTo"/>
        <c:crossAx val="964553152"/>
        <c:crosses val="autoZero"/>
        <c:auto val="1"/>
        <c:lblAlgn val="ctr"/>
        <c:lblOffset val="100"/>
        <c:noMultiLvlLbl val="0"/>
      </c:catAx>
      <c:spPr>
        <a:noFill/>
        <a:ln>
          <a:noFill/>
        </a:ln>
        <a:effectLst/>
      </c:spPr>
    </c:plotArea>
    <c:legend>
      <c:legendPos val="b"/>
      <c:layout>
        <c:manualLayout>
          <c:xMode val="edge"/>
          <c:yMode val="edge"/>
          <c:x val="0.11965944360494549"/>
          <c:y val="0.91687003232534103"/>
          <c:w val="0.75104933157133347"/>
          <c:h val="8.312996767465895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340211123244631E-2"/>
          <c:y val="2.8368794326241134E-2"/>
          <c:w val="0.91689579860911552"/>
          <c:h val="0.7104410884809611"/>
        </c:manualLayout>
      </c:layout>
      <c:barChart>
        <c:barDir val="col"/>
        <c:grouping val="clustered"/>
        <c:varyColors val="0"/>
        <c:ser>
          <c:idx val="5"/>
          <c:order val="5"/>
          <c:tx>
            <c:strRef>
              <c:f>Sheet2!$A$10</c:f>
              <c:strCache>
                <c:ptCount val="1"/>
                <c:pt idx="0">
                  <c:v>Latvija kopā</c:v>
                </c:pt>
              </c:strCache>
            </c:strRef>
          </c:tx>
          <c:spPr>
            <a:solidFill>
              <a:srgbClr val="FF9F9F"/>
            </a:solidFill>
            <a:ln>
              <a:noFill/>
            </a:ln>
            <a:effectLst/>
          </c:spPr>
          <c:invertIfNegative val="0"/>
          <c:cat>
            <c:strRef>
              <c:f>Sheet2!$B$4:$FU$4</c:f>
              <c:strCache>
                <c:ptCount val="176"/>
                <c:pt idx="0">
                  <c:v>2007`I</c:v>
                </c:pt>
                <c:pt idx="1">
                  <c:v>II</c:v>
                </c:pt>
                <c:pt idx="2">
                  <c:v>III</c:v>
                </c:pt>
                <c:pt idx="3">
                  <c:v>IV</c:v>
                </c:pt>
                <c:pt idx="4">
                  <c:v>V</c:v>
                </c:pt>
                <c:pt idx="5">
                  <c:v>VI</c:v>
                </c:pt>
                <c:pt idx="6">
                  <c:v>VII</c:v>
                </c:pt>
                <c:pt idx="7">
                  <c:v>VIII</c:v>
                </c:pt>
                <c:pt idx="8">
                  <c:v>IX</c:v>
                </c:pt>
                <c:pt idx="9">
                  <c:v>X</c:v>
                </c:pt>
                <c:pt idx="10">
                  <c:v>XI</c:v>
                </c:pt>
                <c:pt idx="11">
                  <c:v>XII</c:v>
                </c:pt>
                <c:pt idx="12">
                  <c:v>2008`I</c:v>
                </c:pt>
                <c:pt idx="13">
                  <c:v>II</c:v>
                </c:pt>
                <c:pt idx="14">
                  <c:v>III</c:v>
                </c:pt>
                <c:pt idx="15">
                  <c:v>IV</c:v>
                </c:pt>
                <c:pt idx="16">
                  <c:v>V</c:v>
                </c:pt>
                <c:pt idx="17">
                  <c:v>VI</c:v>
                </c:pt>
                <c:pt idx="18">
                  <c:v>VII</c:v>
                </c:pt>
                <c:pt idx="19">
                  <c:v>VIII</c:v>
                </c:pt>
                <c:pt idx="20">
                  <c:v>IX</c:v>
                </c:pt>
                <c:pt idx="21">
                  <c:v>X</c:v>
                </c:pt>
                <c:pt idx="22">
                  <c:v>XI</c:v>
                </c:pt>
                <c:pt idx="23">
                  <c:v>XII</c:v>
                </c:pt>
                <c:pt idx="24">
                  <c:v>2009`I</c:v>
                </c:pt>
                <c:pt idx="25">
                  <c:v>II</c:v>
                </c:pt>
                <c:pt idx="26">
                  <c:v>III</c:v>
                </c:pt>
                <c:pt idx="27">
                  <c:v>IV</c:v>
                </c:pt>
                <c:pt idx="28">
                  <c:v>V</c:v>
                </c:pt>
                <c:pt idx="29">
                  <c:v>VI</c:v>
                </c:pt>
                <c:pt idx="30">
                  <c:v>VII</c:v>
                </c:pt>
                <c:pt idx="31">
                  <c:v>VIII</c:v>
                </c:pt>
                <c:pt idx="32">
                  <c:v>IX</c:v>
                </c:pt>
                <c:pt idx="33">
                  <c:v>X</c:v>
                </c:pt>
                <c:pt idx="34">
                  <c:v>XI</c:v>
                </c:pt>
                <c:pt idx="35">
                  <c:v>XII</c:v>
                </c:pt>
                <c:pt idx="36">
                  <c:v>2010`I</c:v>
                </c:pt>
                <c:pt idx="37">
                  <c:v>II</c:v>
                </c:pt>
                <c:pt idx="38">
                  <c:v>III</c:v>
                </c:pt>
                <c:pt idx="39">
                  <c:v>IV</c:v>
                </c:pt>
                <c:pt idx="40">
                  <c:v>V</c:v>
                </c:pt>
                <c:pt idx="41">
                  <c:v>VI</c:v>
                </c:pt>
                <c:pt idx="42">
                  <c:v>VII</c:v>
                </c:pt>
                <c:pt idx="43">
                  <c:v>VIII</c:v>
                </c:pt>
                <c:pt idx="44">
                  <c:v>IX</c:v>
                </c:pt>
                <c:pt idx="45">
                  <c:v>X</c:v>
                </c:pt>
                <c:pt idx="46">
                  <c:v>XI</c:v>
                </c:pt>
                <c:pt idx="47">
                  <c:v>XII</c:v>
                </c:pt>
                <c:pt idx="48">
                  <c:v>2011`I</c:v>
                </c:pt>
                <c:pt idx="49">
                  <c:v>II</c:v>
                </c:pt>
                <c:pt idx="50">
                  <c:v>III</c:v>
                </c:pt>
                <c:pt idx="51">
                  <c:v>IV</c:v>
                </c:pt>
                <c:pt idx="52">
                  <c:v>V</c:v>
                </c:pt>
                <c:pt idx="53">
                  <c:v>VI</c:v>
                </c:pt>
                <c:pt idx="54">
                  <c:v>VII</c:v>
                </c:pt>
                <c:pt idx="55">
                  <c:v>VIII</c:v>
                </c:pt>
                <c:pt idx="56">
                  <c:v>IX</c:v>
                </c:pt>
                <c:pt idx="57">
                  <c:v>X</c:v>
                </c:pt>
                <c:pt idx="58">
                  <c:v>XI</c:v>
                </c:pt>
                <c:pt idx="59">
                  <c:v>XII</c:v>
                </c:pt>
                <c:pt idx="60">
                  <c:v>2012`I</c:v>
                </c:pt>
                <c:pt idx="61">
                  <c:v>II</c:v>
                </c:pt>
                <c:pt idx="62">
                  <c:v>III</c:v>
                </c:pt>
                <c:pt idx="63">
                  <c:v>IV</c:v>
                </c:pt>
                <c:pt idx="64">
                  <c:v>V</c:v>
                </c:pt>
                <c:pt idx="65">
                  <c:v>VI</c:v>
                </c:pt>
                <c:pt idx="66">
                  <c:v>VII</c:v>
                </c:pt>
                <c:pt idx="67">
                  <c:v>VIII</c:v>
                </c:pt>
                <c:pt idx="68">
                  <c:v>IX</c:v>
                </c:pt>
                <c:pt idx="69">
                  <c:v>X</c:v>
                </c:pt>
                <c:pt idx="70">
                  <c:v>XI</c:v>
                </c:pt>
                <c:pt idx="71">
                  <c:v>XII</c:v>
                </c:pt>
                <c:pt idx="72">
                  <c:v>2013`I</c:v>
                </c:pt>
                <c:pt idx="73">
                  <c:v>II</c:v>
                </c:pt>
                <c:pt idx="74">
                  <c:v>III</c:v>
                </c:pt>
                <c:pt idx="75">
                  <c:v>IV</c:v>
                </c:pt>
                <c:pt idx="76">
                  <c:v>V</c:v>
                </c:pt>
                <c:pt idx="77">
                  <c:v>VI</c:v>
                </c:pt>
                <c:pt idx="78">
                  <c:v>VII</c:v>
                </c:pt>
                <c:pt idx="79">
                  <c:v>VIII</c:v>
                </c:pt>
                <c:pt idx="80">
                  <c:v>IX</c:v>
                </c:pt>
                <c:pt idx="81">
                  <c:v>X</c:v>
                </c:pt>
                <c:pt idx="82">
                  <c:v>XI</c:v>
                </c:pt>
                <c:pt idx="83">
                  <c:v>XII</c:v>
                </c:pt>
                <c:pt idx="84">
                  <c:v>2014`I</c:v>
                </c:pt>
                <c:pt idx="85">
                  <c:v>II</c:v>
                </c:pt>
                <c:pt idx="86">
                  <c:v>III</c:v>
                </c:pt>
                <c:pt idx="87">
                  <c:v>IV</c:v>
                </c:pt>
                <c:pt idx="88">
                  <c:v>V</c:v>
                </c:pt>
                <c:pt idx="89">
                  <c:v>VI</c:v>
                </c:pt>
                <c:pt idx="90">
                  <c:v>VII</c:v>
                </c:pt>
                <c:pt idx="91">
                  <c:v>VIII</c:v>
                </c:pt>
                <c:pt idx="92">
                  <c:v>IX</c:v>
                </c:pt>
                <c:pt idx="93">
                  <c:v>X</c:v>
                </c:pt>
                <c:pt idx="94">
                  <c:v>XI</c:v>
                </c:pt>
                <c:pt idx="95">
                  <c:v>XII</c:v>
                </c:pt>
                <c:pt idx="96">
                  <c:v>2015`I</c:v>
                </c:pt>
                <c:pt idx="97">
                  <c:v>II</c:v>
                </c:pt>
                <c:pt idx="98">
                  <c:v>III</c:v>
                </c:pt>
                <c:pt idx="99">
                  <c:v>IV</c:v>
                </c:pt>
                <c:pt idx="100">
                  <c:v>V</c:v>
                </c:pt>
                <c:pt idx="101">
                  <c:v>VI</c:v>
                </c:pt>
                <c:pt idx="102">
                  <c:v>VII</c:v>
                </c:pt>
                <c:pt idx="103">
                  <c:v>VIII</c:v>
                </c:pt>
                <c:pt idx="104">
                  <c:v>IX</c:v>
                </c:pt>
                <c:pt idx="105">
                  <c:v>X</c:v>
                </c:pt>
                <c:pt idx="106">
                  <c:v>XI</c:v>
                </c:pt>
                <c:pt idx="107">
                  <c:v>XII</c:v>
                </c:pt>
                <c:pt idx="108">
                  <c:v>2016`I</c:v>
                </c:pt>
                <c:pt idx="109">
                  <c:v>II</c:v>
                </c:pt>
                <c:pt idx="110">
                  <c:v>III</c:v>
                </c:pt>
                <c:pt idx="111">
                  <c:v>IV</c:v>
                </c:pt>
                <c:pt idx="112">
                  <c:v>V</c:v>
                </c:pt>
                <c:pt idx="113">
                  <c:v>VI</c:v>
                </c:pt>
                <c:pt idx="114">
                  <c:v>VII</c:v>
                </c:pt>
                <c:pt idx="115">
                  <c:v>VIII</c:v>
                </c:pt>
                <c:pt idx="116">
                  <c:v>IX</c:v>
                </c:pt>
                <c:pt idx="117">
                  <c:v>X</c:v>
                </c:pt>
                <c:pt idx="118">
                  <c:v>XI</c:v>
                </c:pt>
                <c:pt idx="119">
                  <c:v>XII</c:v>
                </c:pt>
                <c:pt idx="120">
                  <c:v>2017`I</c:v>
                </c:pt>
                <c:pt idx="121">
                  <c:v>II</c:v>
                </c:pt>
                <c:pt idx="122">
                  <c:v>III</c:v>
                </c:pt>
                <c:pt idx="123">
                  <c:v>IV</c:v>
                </c:pt>
                <c:pt idx="124">
                  <c:v>V</c:v>
                </c:pt>
                <c:pt idx="125">
                  <c:v>VI</c:v>
                </c:pt>
                <c:pt idx="126">
                  <c:v>VII</c:v>
                </c:pt>
                <c:pt idx="127">
                  <c:v>VIII</c:v>
                </c:pt>
                <c:pt idx="128">
                  <c:v>IX</c:v>
                </c:pt>
                <c:pt idx="129">
                  <c:v>X</c:v>
                </c:pt>
                <c:pt idx="130">
                  <c:v>XI</c:v>
                </c:pt>
                <c:pt idx="131">
                  <c:v>XII</c:v>
                </c:pt>
                <c:pt idx="132">
                  <c:v>2018`I</c:v>
                </c:pt>
                <c:pt idx="133">
                  <c:v>II</c:v>
                </c:pt>
                <c:pt idx="134">
                  <c:v>III</c:v>
                </c:pt>
                <c:pt idx="135">
                  <c:v>IV</c:v>
                </c:pt>
                <c:pt idx="136">
                  <c:v>V</c:v>
                </c:pt>
                <c:pt idx="137">
                  <c:v>VI</c:v>
                </c:pt>
                <c:pt idx="138">
                  <c:v>VII</c:v>
                </c:pt>
                <c:pt idx="139">
                  <c:v>VIII</c:v>
                </c:pt>
                <c:pt idx="140">
                  <c:v>IX</c:v>
                </c:pt>
                <c:pt idx="141">
                  <c:v>X</c:v>
                </c:pt>
                <c:pt idx="142">
                  <c:v>XI</c:v>
                </c:pt>
                <c:pt idx="143">
                  <c:v>XII</c:v>
                </c:pt>
                <c:pt idx="144">
                  <c:v>2019`I</c:v>
                </c:pt>
                <c:pt idx="145">
                  <c:v>II</c:v>
                </c:pt>
                <c:pt idx="146">
                  <c:v>III</c:v>
                </c:pt>
                <c:pt idx="147">
                  <c:v>IV</c:v>
                </c:pt>
                <c:pt idx="148">
                  <c:v>V</c:v>
                </c:pt>
                <c:pt idx="149">
                  <c:v>VI</c:v>
                </c:pt>
                <c:pt idx="150">
                  <c:v>VII</c:v>
                </c:pt>
                <c:pt idx="151">
                  <c:v>VIII</c:v>
                </c:pt>
                <c:pt idx="152">
                  <c:v>IX</c:v>
                </c:pt>
                <c:pt idx="153">
                  <c:v>X</c:v>
                </c:pt>
                <c:pt idx="154">
                  <c:v>XI</c:v>
                </c:pt>
                <c:pt idx="155">
                  <c:v>XII</c:v>
                </c:pt>
                <c:pt idx="156">
                  <c:v>2020`I</c:v>
                </c:pt>
                <c:pt idx="157">
                  <c:v>II</c:v>
                </c:pt>
                <c:pt idx="158">
                  <c:v>III</c:v>
                </c:pt>
                <c:pt idx="159">
                  <c:v>IV</c:v>
                </c:pt>
                <c:pt idx="160">
                  <c:v>V</c:v>
                </c:pt>
                <c:pt idx="161">
                  <c:v>VI</c:v>
                </c:pt>
                <c:pt idx="162">
                  <c:v>VII</c:v>
                </c:pt>
                <c:pt idx="163">
                  <c:v>VIII</c:v>
                </c:pt>
                <c:pt idx="164">
                  <c:v>IX</c:v>
                </c:pt>
                <c:pt idx="165">
                  <c:v>X</c:v>
                </c:pt>
                <c:pt idx="166">
                  <c:v>XI</c:v>
                </c:pt>
                <c:pt idx="167">
                  <c:v>XII</c:v>
                </c:pt>
                <c:pt idx="168">
                  <c:v>2021`I</c:v>
                </c:pt>
                <c:pt idx="169">
                  <c:v>II</c:v>
                </c:pt>
                <c:pt idx="170">
                  <c:v>III</c:v>
                </c:pt>
                <c:pt idx="171">
                  <c:v>IV</c:v>
                </c:pt>
                <c:pt idx="172">
                  <c:v>V</c:v>
                </c:pt>
                <c:pt idx="173">
                  <c:v>VI</c:v>
                </c:pt>
                <c:pt idx="174">
                  <c:v>VII</c:v>
                </c:pt>
                <c:pt idx="175">
                  <c:v>VIII</c:v>
                </c:pt>
              </c:strCache>
            </c:strRef>
          </c:cat>
          <c:val>
            <c:numRef>
              <c:f>Sheet2!$B$10:$FU$10</c:f>
              <c:numCache>
                <c:formatCode>General</c:formatCode>
                <c:ptCount val="176"/>
                <c:pt idx="0">
                  <c:v>6.5</c:v>
                </c:pt>
                <c:pt idx="1">
                  <c:v>6.5</c:v>
                </c:pt>
                <c:pt idx="2">
                  <c:v>6.3</c:v>
                </c:pt>
                <c:pt idx="3">
                  <c:v>6.1</c:v>
                </c:pt>
                <c:pt idx="4">
                  <c:v>5.9</c:v>
                </c:pt>
                <c:pt idx="5">
                  <c:v>5.8</c:v>
                </c:pt>
                <c:pt idx="6">
                  <c:v>5.7</c:v>
                </c:pt>
                <c:pt idx="7">
                  <c:v>5.4</c:v>
                </c:pt>
                <c:pt idx="8">
                  <c:v>5.0999999999999996</c:v>
                </c:pt>
                <c:pt idx="9">
                  <c:v>4.9000000000000004</c:v>
                </c:pt>
                <c:pt idx="10">
                  <c:v>4.8</c:v>
                </c:pt>
                <c:pt idx="11">
                  <c:v>4.9000000000000004</c:v>
                </c:pt>
                <c:pt idx="12">
                  <c:v>5</c:v>
                </c:pt>
                <c:pt idx="13">
                  <c:v>5</c:v>
                </c:pt>
                <c:pt idx="14">
                  <c:v>4.9000000000000004</c:v>
                </c:pt>
                <c:pt idx="15">
                  <c:v>4.8</c:v>
                </c:pt>
                <c:pt idx="16">
                  <c:v>4.8</c:v>
                </c:pt>
                <c:pt idx="17">
                  <c:v>4.9000000000000004</c:v>
                </c:pt>
                <c:pt idx="18">
                  <c:v>5.0999999999999996</c:v>
                </c:pt>
                <c:pt idx="19">
                  <c:v>5.2</c:v>
                </c:pt>
                <c:pt idx="20">
                  <c:v>5.3</c:v>
                </c:pt>
                <c:pt idx="21">
                  <c:v>5.6</c:v>
                </c:pt>
                <c:pt idx="22">
                  <c:v>6.1</c:v>
                </c:pt>
                <c:pt idx="23">
                  <c:v>7</c:v>
                </c:pt>
                <c:pt idx="24">
                  <c:v>8.3000000000000007</c:v>
                </c:pt>
                <c:pt idx="25">
                  <c:v>9.5</c:v>
                </c:pt>
                <c:pt idx="26">
                  <c:v>10.7</c:v>
                </c:pt>
                <c:pt idx="27">
                  <c:v>11</c:v>
                </c:pt>
                <c:pt idx="28">
                  <c:v>11.3</c:v>
                </c:pt>
                <c:pt idx="29">
                  <c:v>11.5</c:v>
                </c:pt>
                <c:pt idx="30">
                  <c:v>11.8</c:v>
                </c:pt>
                <c:pt idx="31">
                  <c:v>12.3</c:v>
                </c:pt>
                <c:pt idx="32">
                  <c:v>13.2</c:v>
                </c:pt>
                <c:pt idx="33">
                  <c:v>14.1</c:v>
                </c:pt>
                <c:pt idx="34">
                  <c:v>15.1</c:v>
                </c:pt>
                <c:pt idx="35">
                  <c:v>16</c:v>
                </c:pt>
                <c:pt idx="36">
                  <c:v>16.600000000000001</c:v>
                </c:pt>
                <c:pt idx="37">
                  <c:v>17.100000000000001</c:v>
                </c:pt>
                <c:pt idx="38">
                  <c:v>17.3</c:v>
                </c:pt>
                <c:pt idx="39">
                  <c:v>16.7</c:v>
                </c:pt>
                <c:pt idx="40">
                  <c:v>16.2</c:v>
                </c:pt>
                <c:pt idx="41">
                  <c:v>15.6</c:v>
                </c:pt>
                <c:pt idx="42">
                  <c:v>15.3</c:v>
                </c:pt>
                <c:pt idx="43">
                  <c:v>15</c:v>
                </c:pt>
                <c:pt idx="44">
                  <c:v>14.6</c:v>
                </c:pt>
                <c:pt idx="45">
                  <c:v>14.3</c:v>
                </c:pt>
                <c:pt idx="46">
                  <c:v>14.3</c:v>
                </c:pt>
                <c:pt idx="47">
                  <c:v>14.3</c:v>
                </c:pt>
                <c:pt idx="48">
                  <c:v>14.5</c:v>
                </c:pt>
                <c:pt idx="49">
                  <c:v>14.5</c:v>
                </c:pt>
                <c:pt idx="50">
                  <c:v>14.4</c:v>
                </c:pt>
                <c:pt idx="51">
                  <c:v>13.9</c:v>
                </c:pt>
                <c:pt idx="52">
                  <c:v>13.2</c:v>
                </c:pt>
                <c:pt idx="53">
                  <c:v>12.6</c:v>
                </c:pt>
                <c:pt idx="54">
                  <c:v>12.1</c:v>
                </c:pt>
                <c:pt idx="55">
                  <c:v>11.8</c:v>
                </c:pt>
                <c:pt idx="56">
                  <c:v>11.6</c:v>
                </c:pt>
                <c:pt idx="57">
                  <c:v>11.5</c:v>
                </c:pt>
                <c:pt idx="58">
                  <c:v>11.5</c:v>
                </c:pt>
                <c:pt idx="59">
                  <c:v>11.5</c:v>
                </c:pt>
                <c:pt idx="60">
                  <c:v>11.7</c:v>
                </c:pt>
                <c:pt idx="61">
                  <c:v>11.8</c:v>
                </c:pt>
                <c:pt idx="62">
                  <c:v>11.7</c:v>
                </c:pt>
                <c:pt idx="63">
                  <c:v>12.9</c:v>
                </c:pt>
                <c:pt idx="64">
                  <c:v>12.3</c:v>
                </c:pt>
                <c:pt idx="65">
                  <c:v>11.9</c:v>
                </c:pt>
                <c:pt idx="66">
                  <c:v>11.6</c:v>
                </c:pt>
                <c:pt idx="67">
                  <c:v>11.3</c:v>
                </c:pt>
                <c:pt idx="68">
                  <c:v>11</c:v>
                </c:pt>
                <c:pt idx="69">
                  <c:v>10.7</c:v>
                </c:pt>
                <c:pt idx="70">
                  <c:v>10.6</c:v>
                </c:pt>
                <c:pt idx="71">
                  <c:v>10.5</c:v>
                </c:pt>
                <c:pt idx="72">
                  <c:v>10.9</c:v>
                </c:pt>
                <c:pt idx="73">
                  <c:v>10.9</c:v>
                </c:pt>
                <c:pt idx="74">
                  <c:v>10.8</c:v>
                </c:pt>
                <c:pt idx="75">
                  <c:v>10.4</c:v>
                </c:pt>
                <c:pt idx="76">
                  <c:v>9.9</c:v>
                </c:pt>
                <c:pt idx="77">
                  <c:v>9.6</c:v>
                </c:pt>
                <c:pt idx="78" formatCode="#\ ##0.0">
                  <c:v>9.5</c:v>
                </c:pt>
                <c:pt idx="79">
                  <c:v>9.3000000000000007</c:v>
                </c:pt>
                <c:pt idx="80">
                  <c:v>9.1</c:v>
                </c:pt>
                <c:pt idx="81">
                  <c:v>9.1</c:v>
                </c:pt>
                <c:pt idx="82" formatCode="#\ ##0.0">
                  <c:v>9.3000000000000007</c:v>
                </c:pt>
                <c:pt idx="83">
                  <c:v>9.5</c:v>
                </c:pt>
                <c:pt idx="84" formatCode="#\ ##0.0">
                  <c:v>9.8000000000000007</c:v>
                </c:pt>
                <c:pt idx="85" formatCode="#\ ##0.0">
                  <c:v>9.9</c:v>
                </c:pt>
                <c:pt idx="86" formatCode="#\ ##0.0">
                  <c:v>9.8000000000000007</c:v>
                </c:pt>
                <c:pt idx="87" formatCode="#\ ##0.0">
                  <c:v>9.6</c:v>
                </c:pt>
                <c:pt idx="88" formatCode="#\ ##0.0">
                  <c:v>9.1</c:v>
                </c:pt>
                <c:pt idx="89" formatCode="#\ ##0.0">
                  <c:v>8.9</c:v>
                </c:pt>
                <c:pt idx="90" formatCode="#\ ##0.0">
                  <c:v>8.6</c:v>
                </c:pt>
                <c:pt idx="91" formatCode="#\ ##0.0">
                  <c:v>8.4</c:v>
                </c:pt>
                <c:pt idx="92" formatCode="#\ ##0.0">
                  <c:v>8.1999999999999993</c:v>
                </c:pt>
                <c:pt idx="93" formatCode="#\ ##0.0">
                  <c:v>8.1999999999999993</c:v>
                </c:pt>
                <c:pt idx="94" formatCode="#\ ##0.0">
                  <c:v>8.3000000000000007</c:v>
                </c:pt>
                <c:pt idx="95" formatCode="#\ ##0.0">
                  <c:v>8.5</c:v>
                </c:pt>
                <c:pt idx="96" formatCode="#\ ##0.0">
                  <c:v>9</c:v>
                </c:pt>
                <c:pt idx="97" formatCode="#\ ##0.0">
                  <c:v>9.1</c:v>
                </c:pt>
                <c:pt idx="98" formatCode="#\ ##0.0">
                  <c:v>9.1999999999999993</c:v>
                </c:pt>
                <c:pt idx="99" formatCode="#\ ##0.0">
                  <c:v>8.8000000000000007</c:v>
                </c:pt>
                <c:pt idx="100" formatCode="#\ ##0.0">
                  <c:v>8.6</c:v>
                </c:pt>
                <c:pt idx="101" formatCode="#\ ##0.0">
                  <c:v>8.6</c:v>
                </c:pt>
                <c:pt idx="102" formatCode="#\ ##0.0">
                  <c:v>8.6</c:v>
                </c:pt>
                <c:pt idx="103" formatCode="#\ ##0.0">
                  <c:v>8.5</c:v>
                </c:pt>
                <c:pt idx="104" formatCode="#\ ##0.0">
                  <c:v>8.3000000000000007</c:v>
                </c:pt>
                <c:pt idx="105" formatCode="#\ ##0.0">
                  <c:v>8.3000000000000007</c:v>
                </c:pt>
                <c:pt idx="106" formatCode="#\ ##0.0">
                  <c:v>8.4</c:v>
                </c:pt>
                <c:pt idx="107" formatCode="#\ ##0.0">
                  <c:v>8.6999999999999993</c:v>
                </c:pt>
                <c:pt idx="108" formatCode="#\ ##0.0">
                  <c:v>9.1</c:v>
                </c:pt>
                <c:pt idx="109" formatCode="#\ ##0.0">
                  <c:v>9.1999999999999993</c:v>
                </c:pt>
                <c:pt idx="110" formatCode="#\ ##0.0">
                  <c:v>9.1</c:v>
                </c:pt>
                <c:pt idx="111" formatCode="#\ ##0.0">
                  <c:v>8.8000000000000007</c:v>
                </c:pt>
                <c:pt idx="112" formatCode="#\ ##0.0">
                  <c:v>8.4</c:v>
                </c:pt>
                <c:pt idx="113" formatCode="#\ ##0.0">
                  <c:v>8.3000000000000007</c:v>
                </c:pt>
                <c:pt idx="114" formatCode="#\ ##0.0">
                  <c:v>8.3000000000000007</c:v>
                </c:pt>
                <c:pt idx="115" formatCode="#\ ##0.0">
                  <c:v>8.1</c:v>
                </c:pt>
                <c:pt idx="116" formatCode="#\ ##0.0">
                  <c:v>7.9</c:v>
                </c:pt>
                <c:pt idx="117" formatCode="#\ ##0.0">
                  <c:v>7.9</c:v>
                </c:pt>
                <c:pt idx="118" formatCode="#\ ##0.0">
                  <c:v>8</c:v>
                </c:pt>
                <c:pt idx="119" formatCode="0.0">
                  <c:v>8.4</c:v>
                </c:pt>
                <c:pt idx="120" formatCode="#\ ##0.0">
                  <c:v>8.5</c:v>
                </c:pt>
                <c:pt idx="121" formatCode="#\ ##0.0">
                  <c:v>8.4</c:v>
                </c:pt>
                <c:pt idx="122" formatCode="#\ ##0.0">
                  <c:v>8.3000000000000007</c:v>
                </c:pt>
                <c:pt idx="123" formatCode="#\ ##0.0">
                  <c:v>7.8</c:v>
                </c:pt>
                <c:pt idx="124" formatCode="#\ ##0.0">
                  <c:v>7.4</c:v>
                </c:pt>
                <c:pt idx="125" formatCode="#\ ##0.0">
                  <c:v>7.2</c:v>
                </c:pt>
                <c:pt idx="126" formatCode="#\ ##0.0">
                  <c:v>7.1</c:v>
                </c:pt>
                <c:pt idx="127" formatCode="#\ ##0.0">
                  <c:v>6.9</c:v>
                </c:pt>
                <c:pt idx="128" formatCode="#\ ##0.0">
                  <c:v>6.6</c:v>
                </c:pt>
                <c:pt idx="129" formatCode="#\ ##0.0">
                  <c:v>6.6</c:v>
                </c:pt>
                <c:pt idx="130" formatCode="#\ ##0.0">
                  <c:v>6.7</c:v>
                </c:pt>
                <c:pt idx="131" formatCode="#\ ##0.0">
                  <c:v>6.8</c:v>
                </c:pt>
                <c:pt idx="132" formatCode="#\ ##0.0">
                  <c:v>7</c:v>
                </c:pt>
                <c:pt idx="133" formatCode="#\ ##0.0">
                  <c:v>7.1</c:v>
                </c:pt>
                <c:pt idx="134" formatCode="#\ ##0.0">
                  <c:v>7</c:v>
                </c:pt>
                <c:pt idx="135" formatCode="#\ ##0.0">
                  <c:v>6.7</c:v>
                </c:pt>
                <c:pt idx="136" formatCode="#\ ##0.0">
                  <c:v>6.4</c:v>
                </c:pt>
                <c:pt idx="137" formatCode="#\ ##0.0">
                  <c:v>6.4</c:v>
                </c:pt>
                <c:pt idx="138" formatCode="#\ ##0.0">
                  <c:v>6.4</c:v>
                </c:pt>
                <c:pt idx="139" formatCode="#\ ##0.0">
                  <c:v>6.3</c:v>
                </c:pt>
                <c:pt idx="140" formatCode="#\ ##0.0">
                  <c:v>6.1</c:v>
                </c:pt>
                <c:pt idx="141" formatCode="#\ ##0.0">
                  <c:v>6.1</c:v>
                </c:pt>
                <c:pt idx="142" formatCode="#\ ##0.0">
                  <c:v>6.2</c:v>
                </c:pt>
                <c:pt idx="143" formatCode="#\ ##0.0">
                  <c:v>6.4</c:v>
                </c:pt>
                <c:pt idx="144" formatCode="#\ ##0.0">
                  <c:v>6.7</c:v>
                </c:pt>
                <c:pt idx="145" formatCode="#\ ##0.0">
                  <c:v>6.7</c:v>
                </c:pt>
                <c:pt idx="146" formatCode="#\ ##0.0">
                  <c:v>6.6</c:v>
                </c:pt>
                <c:pt idx="147" formatCode="#\ ##0.0">
                  <c:v>6.3</c:v>
                </c:pt>
                <c:pt idx="148" formatCode="#\ ##0.0">
                  <c:v>6.1</c:v>
                </c:pt>
                <c:pt idx="149" formatCode="#\ ##0.0">
                  <c:v>6</c:v>
                </c:pt>
                <c:pt idx="150" formatCode="#\ ##0.0">
                  <c:v>6</c:v>
                </c:pt>
                <c:pt idx="151" formatCode="#\ ##0.0">
                  <c:v>5.9</c:v>
                </c:pt>
                <c:pt idx="152" formatCode="#\ ##0.0">
                  <c:v>5.7</c:v>
                </c:pt>
                <c:pt idx="153" formatCode="#\ ##0.0">
                  <c:v>5.7</c:v>
                </c:pt>
                <c:pt idx="154" formatCode="#\ ##0.0">
                  <c:v>5.8</c:v>
                </c:pt>
                <c:pt idx="155" formatCode="#\ ##0.0">
                  <c:v>6.2</c:v>
                </c:pt>
                <c:pt idx="156">
                  <c:v>6.4</c:v>
                </c:pt>
                <c:pt idx="157">
                  <c:v>6.3</c:v>
                </c:pt>
                <c:pt idx="158">
                  <c:v>6.8</c:v>
                </c:pt>
                <c:pt idx="159">
                  <c:v>8</c:v>
                </c:pt>
                <c:pt idx="160">
                  <c:v>8.4</c:v>
                </c:pt>
                <c:pt idx="161">
                  <c:v>8.6</c:v>
                </c:pt>
                <c:pt idx="162">
                  <c:v>8.6</c:v>
                </c:pt>
                <c:pt idx="163">
                  <c:v>8.1999999999999993</c:v>
                </c:pt>
                <c:pt idx="164">
                  <c:v>7.7</c:v>
                </c:pt>
                <c:pt idx="165">
                  <c:v>7.4</c:v>
                </c:pt>
                <c:pt idx="166">
                  <c:v>7.4</c:v>
                </c:pt>
                <c:pt idx="167">
                  <c:v>7.7</c:v>
                </c:pt>
                <c:pt idx="168">
                  <c:v>8</c:v>
                </c:pt>
                <c:pt idx="169">
                  <c:v>8.1999999999999993</c:v>
                </c:pt>
                <c:pt idx="170">
                  <c:v>8.1999999999999993</c:v>
                </c:pt>
                <c:pt idx="171">
                  <c:v>7.9</c:v>
                </c:pt>
                <c:pt idx="172">
                  <c:v>7.6</c:v>
                </c:pt>
                <c:pt idx="173">
                  <c:v>7.4</c:v>
                </c:pt>
                <c:pt idx="174">
                  <c:v>7.1</c:v>
                </c:pt>
                <c:pt idx="175">
                  <c:v>6.5</c:v>
                </c:pt>
              </c:numCache>
            </c:numRef>
          </c:val>
          <c:extLst>
            <c:ext xmlns:c16="http://schemas.microsoft.com/office/drawing/2014/chart" uri="{C3380CC4-5D6E-409C-BE32-E72D297353CC}">
              <c16:uniqueId val="{00000000-087C-41C6-8B4B-9611A86BB70B}"/>
            </c:ext>
          </c:extLst>
        </c:ser>
        <c:dLbls>
          <c:showLegendKey val="0"/>
          <c:showVal val="0"/>
          <c:showCatName val="0"/>
          <c:showSerName val="0"/>
          <c:showPercent val="0"/>
          <c:showBubbleSize val="0"/>
        </c:dLbls>
        <c:gapWidth val="0"/>
        <c:axId val="336009504"/>
        <c:axId val="336013816"/>
      </c:barChart>
      <c:lineChart>
        <c:grouping val="standard"/>
        <c:varyColors val="0"/>
        <c:ser>
          <c:idx val="0"/>
          <c:order val="0"/>
          <c:tx>
            <c:strRef>
              <c:f>Sheet2!$A$5</c:f>
              <c:strCache>
                <c:ptCount val="1"/>
                <c:pt idx="0">
                  <c:v>Rīgas reģions</c:v>
                </c:pt>
              </c:strCache>
            </c:strRef>
          </c:tx>
          <c:spPr>
            <a:ln w="28575" cap="rnd">
              <a:solidFill>
                <a:srgbClr val="ED7D31"/>
              </a:solidFill>
              <a:round/>
            </a:ln>
            <a:effectLst/>
          </c:spPr>
          <c:marker>
            <c:symbol val="none"/>
          </c:marker>
          <c:cat>
            <c:strRef>
              <c:f>Sheet2!$B$4:$FU$4</c:f>
              <c:strCache>
                <c:ptCount val="176"/>
                <c:pt idx="0">
                  <c:v>2007`I</c:v>
                </c:pt>
                <c:pt idx="1">
                  <c:v>II</c:v>
                </c:pt>
                <c:pt idx="2">
                  <c:v>III</c:v>
                </c:pt>
                <c:pt idx="3">
                  <c:v>IV</c:v>
                </c:pt>
                <c:pt idx="4">
                  <c:v>V</c:v>
                </c:pt>
                <c:pt idx="5">
                  <c:v>VI</c:v>
                </c:pt>
                <c:pt idx="6">
                  <c:v>VII</c:v>
                </c:pt>
                <c:pt idx="7">
                  <c:v>VIII</c:v>
                </c:pt>
                <c:pt idx="8">
                  <c:v>IX</c:v>
                </c:pt>
                <c:pt idx="9">
                  <c:v>X</c:v>
                </c:pt>
                <c:pt idx="10">
                  <c:v>XI</c:v>
                </c:pt>
                <c:pt idx="11">
                  <c:v>XII</c:v>
                </c:pt>
                <c:pt idx="12">
                  <c:v>2008`I</c:v>
                </c:pt>
                <c:pt idx="13">
                  <c:v>II</c:v>
                </c:pt>
                <c:pt idx="14">
                  <c:v>III</c:v>
                </c:pt>
                <c:pt idx="15">
                  <c:v>IV</c:v>
                </c:pt>
                <c:pt idx="16">
                  <c:v>V</c:v>
                </c:pt>
                <c:pt idx="17">
                  <c:v>VI</c:v>
                </c:pt>
                <c:pt idx="18">
                  <c:v>VII</c:v>
                </c:pt>
                <c:pt idx="19">
                  <c:v>VIII</c:v>
                </c:pt>
                <c:pt idx="20">
                  <c:v>IX</c:v>
                </c:pt>
                <c:pt idx="21">
                  <c:v>X</c:v>
                </c:pt>
                <c:pt idx="22">
                  <c:v>XI</c:v>
                </c:pt>
                <c:pt idx="23">
                  <c:v>XII</c:v>
                </c:pt>
                <c:pt idx="24">
                  <c:v>2009`I</c:v>
                </c:pt>
                <c:pt idx="25">
                  <c:v>II</c:v>
                </c:pt>
                <c:pt idx="26">
                  <c:v>III</c:v>
                </c:pt>
                <c:pt idx="27">
                  <c:v>IV</c:v>
                </c:pt>
                <c:pt idx="28">
                  <c:v>V</c:v>
                </c:pt>
                <c:pt idx="29">
                  <c:v>VI</c:v>
                </c:pt>
                <c:pt idx="30">
                  <c:v>VII</c:v>
                </c:pt>
                <c:pt idx="31">
                  <c:v>VIII</c:v>
                </c:pt>
                <c:pt idx="32">
                  <c:v>IX</c:v>
                </c:pt>
                <c:pt idx="33">
                  <c:v>X</c:v>
                </c:pt>
                <c:pt idx="34">
                  <c:v>XI</c:v>
                </c:pt>
                <c:pt idx="35">
                  <c:v>XII</c:v>
                </c:pt>
                <c:pt idx="36">
                  <c:v>2010`I</c:v>
                </c:pt>
                <c:pt idx="37">
                  <c:v>II</c:v>
                </c:pt>
                <c:pt idx="38">
                  <c:v>III</c:v>
                </c:pt>
                <c:pt idx="39">
                  <c:v>IV</c:v>
                </c:pt>
                <c:pt idx="40">
                  <c:v>V</c:v>
                </c:pt>
                <c:pt idx="41">
                  <c:v>VI</c:v>
                </c:pt>
                <c:pt idx="42">
                  <c:v>VII</c:v>
                </c:pt>
                <c:pt idx="43">
                  <c:v>VIII</c:v>
                </c:pt>
                <c:pt idx="44">
                  <c:v>IX</c:v>
                </c:pt>
                <c:pt idx="45">
                  <c:v>X</c:v>
                </c:pt>
                <c:pt idx="46">
                  <c:v>XI</c:v>
                </c:pt>
                <c:pt idx="47">
                  <c:v>XII</c:v>
                </c:pt>
                <c:pt idx="48">
                  <c:v>2011`I</c:v>
                </c:pt>
                <c:pt idx="49">
                  <c:v>II</c:v>
                </c:pt>
                <c:pt idx="50">
                  <c:v>III</c:v>
                </c:pt>
                <c:pt idx="51">
                  <c:v>IV</c:v>
                </c:pt>
                <c:pt idx="52">
                  <c:v>V</c:v>
                </c:pt>
                <c:pt idx="53">
                  <c:v>VI</c:v>
                </c:pt>
                <c:pt idx="54">
                  <c:v>VII</c:v>
                </c:pt>
                <c:pt idx="55">
                  <c:v>VIII</c:v>
                </c:pt>
                <c:pt idx="56">
                  <c:v>IX</c:v>
                </c:pt>
                <c:pt idx="57">
                  <c:v>X</c:v>
                </c:pt>
                <c:pt idx="58">
                  <c:v>XI</c:v>
                </c:pt>
                <c:pt idx="59">
                  <c:v>XII</c:v>
                </c:pt>
                <c:pt idx="60">
                  <c:v>2012`I</c:v>
                </c:pt>
                <c:pt idx="61">
                  <c:v>II</c:v>
                </c:pt>
                <c:pt idx="62">
                  <c:v>III</c:v>
                </c:pt>
                <c:pt idx="63">
                  <c:v>IV</c:v>
                </c:pt>
                <c:pt idx="64">
                  <c:v>V</c:v>
                </c:pt>
                <c:pt idx="65">
                  <c:v>VI</c:v>
                </c:pt>
                <c:pt idx="66">
                  <c:v>VII</c:v>
                </c:pt>
                <c:pt idx="67">
                  <c:v>VIII</c:v>
                </c:pt>
                <c:pt idx="68">
                  <c:v>IX</c:v>
                </c:pt>
                <c:pt idx="69">
                  <c:v>X</c:v>
                </c:pt>
                <c:pt idx="70">
                  <c:v>XI</c:v>
                </c:pt>
                <c:pt idx="71">
                  <c:v>XII</c:v>
                </c:pt>
                <c:pt idx="72">
                  <c:v>2013`I</c:v>
                </c:pt>
                <c:pt idx="73">
                  <c:v>II</c:v>
                </c:pt>
                <c:pt idx="74">
                  <c:v>III</c:v>
                </c:pt>
                <c:pt idx="75">
                  <c:v>IV</c:v>
                </c:pt>
                <c:pt idx="76">
                  <c:v>V</c:v>
                </c:pt>
                <c:pt idx="77">
                  <c:v>VI</c:v>
                </c:pt>
                <c:pt idx="78">
                  <c:v>VII</c:v>
                </c:pt>
                <c:pt idx="79">
                  <c:v>VIII</c:v>
                </c:pt>
                <c:pt idx="80">
                  <c:v>IX</c:v>
                </c:pt>
                <c:pt idx="81">
                  <c:v>X</c:v>
                </c:pt>
                <c:pt idx="82">
                  <c:v>XI</c:v>
                </c:pt>
                <c:pt idx="83">
                  <c:v>XII</c:v>
                </c:pt>
                <c:pt idx="84">
                  <c:v>2014`I</c:v>
                </c:pt>
                <c:pt idx="85">
                  <c:v>II</c:v>
                </c:pt>
                <c:pt idx="86">
                  <c:v>III</c:v>
                </c:pt>
                <c:pt idx="87">
                  <c:v>IV</c:v>
                </c:pt>
                <c:pt idx="88">
                  <c:v>V</c:v>
                </c:pt>
                <c:pt idx="89">
                  <c:v>VI</c:v>
                </c:pt>
                <c:pt idx="90">
                  <c:v>VII</c:v>
                </c:pt>
                <c:pt idx="91">
                  <c:v>VIII</c:v>
                </c:pt>
                <c:pt idx="92">
                  <c:v>IX</c:v>
                </c:pt>
                <c:pt idx="93">
                  <c:v>X</c:v>
                </c:pt>
                <c:pt idx="94">
                  <c:v>XI</c:v>
                </c:pt>
                <c:pt idx="95">
                  <c:v>XII</c:v>
                </c:pt>
                <c:pt idx="96">
                  <c:v>2015`I</c:v>
                </c:pt>
                <c:pt idx="97">
                  <c:v>II</c:v>
                </c:pt>
                <c:pt idx="98">
                  <c:v>III</c:v>
                </c:pt>
                <c:pt idx="99">
                  <c:v>IV</c:v>
                </c:pt>
                <c:pt idx="100">
                  <c:v>V</c:v>
                </c:pt>
                <c:pt idx="101">
                  <c:v>VI</c:v>
                </c:pt>
                <c:pt idx="102">
                  <c:v>VII</c:v>
                </c:pt>
                <c:pt idx="103">
                  <c:v>VIII</c:v>
                </c:pt>
                <c:pt idx="104">
                  <c:v>IX</c:v>
                </c:pt>
                <c:pt idx="105">
                  <c:v>X</c:v>
                </c:pt>
                <c:pt idx="106">
                  <c:v>XI</c:v>
                </c:pt>
                <c:pt idx="107">
                  <c:v>XII</c:v>
                </c:pt>
                <c:pt idx="108">
                  <c:v>2016`I</c:v>
                </c:pt>
                <c:pt idx="109">
                  <c:v>II</c:v>
                </c:pt>
                <c:pt idx="110">
                  <c:v>III</c:v>
                </c:pt>
                <c:pt idx="111">
                  <c:v>IV</c:v>
                </c:pt>
                <c:pt idx="112">
                  <c:v>V</c:v>
                </c:pt>
                <c:pt idx="113">
                  <c:v>VI</c:v>
                </c:pt>
                <c:pt idx="114">
                  <c:v>VII</c:v>
                </c:pt>
                <c:pt idx="115">
                  <c:v>VIII</c:v>
                </c:pt>
                <c:pt idx="116">
                  <c:v>IX</c:v>
                </c:pt>
                <c:pt idx="117">
                  <c:v>X</c:v>
                </c:pt>
                <c:pt idx="118">
                  <c:v>XI</c:v>
                </c:pt>
                <c:pt idx="119">
                  <c:v>XII</c:v>
                </c:pt>
                <c:pt idx="120">
                  <c:v>2017`I</c:v>
                </c:pt>
                <c:pt idx="121">
                  <c:v>II</c:v>
                </c:pt>
                <c:pt idx="122">
                  <c:v>III</c:v>
                </c:pt>
                <c:pt idx="123">
                  <c:v>IV</c:v>
                </c:pt>
                <c:pt idx="124">
                  <c:v>V</c:v>
                </c:pt>
                <c:pt idx="125">
                  <c:v>VI</c:v>
                </c:pt>
                <c:pt idx="126">
                  <c:v>VII</c:v>
                </c:pt>
                <c:pt idx="127">
                  <c:v>VIII</c:v>
                </c:pt>
                <c:pt idx="128">
                  <c:v>IX</c:v>
                </c:pt>
                <c:pt idx="129">
                  <c:v>X</c:v>
                </c:pt>
                <c:pt idx="130">
                  <c:v>XI</c:v>
                </c:pt>
                <c:pt idx="131">
                  <c:v>XII</c:v>
                </c:pt>
                <c:pt idx="132">
                  <c:v>2018`I</c:v>
                </c:pt>
                <c:pt idx="133">
                  <c:v>II</c:v>
                </c:pt>
                <c:pt idx="134">
                  <c:v>III</c:v>
                </c:pt>
                <c:pt idx="135">
                  <c:v>IV</c:v>
                </c:pt>
                <c:pt idx="136">
                  <c:v>V</c:v>
                </c:pt>
                <c:pt idx="137">
                  <c:v>VI</c:v>
                </c:pt>
                <c:pt idx="138">
                  <c:v>VII</c:v>
                </c:pt>
                <c:pt idx="139">
                  <c:v>VIII</c:v>
                </c:pt>
                <c:pt idx="140">
                  <c:v>IX</c:v>
                </c:pt>
                <c:pt idx="141">
                  <c:v>X</c:v>
                </c:pt>
                <c:pt idx="142">
                  <c:v>XI</c:v>
                </c:pt>
                <c:pt idx="143">
                  <c:v>XII</c:v>
                </c:pt>
                <c:pt idx="144">
                  <c:v>2019`I</c:v>
                </c:pt>
                <c:pt idx="145">
                  <c:v>II</c:v>
                </c:pt>
                <c:pt idx="146">
                  <c:v>III</c:v>
                </c:pt>
                <c:pt idx="147">
                  <c:v>IV</c:v>
                </c:pt>
                <c:pt idx="148">
                  <c:v>V</c:v>
                </c:pt>
                <c:pt idx="149">
                  <c:v>VI</c:v>
                </c:pt>
                <c:pt idx="150">
                  <c:v>VII</c:v>
                </c:pt>
                <c:pt idx="151">
                  <c:v>VIII</c:v>
                </c:pt>
                <c:pt idx="152">
                  <c:v>IX</c:v>
                </c:pt>
                <c:pt idx="153">
                  <c:v>X</c:v>
                </c:pt>
                <c:pt idx="154">
                  <c:v>XI</c:v>
                </c:pt>
                <c:pt idx="155">
                  <c:v>XII</c:v>
                </c:pt>
                <c:pt idx="156">
                  <c:v>2020`I</c:v>
                </c:pt>
                <c:pt idx="157">
                  <c:v>II</c:v>
                </c:pt>
                <c:pt idx="158">
                  <c:v>III</c:v>
                </c:pt>
                <c:pt idx="159">
                  <c:v>IV</c:v>
                </c:pt>
                <c:pt idx="160">
                  <c:v>V</c:v>
                </c:pt>
                <c:pt idx="161">
                  <c:v>VI</c:v>
                </c:pt>
                <c:pt idx="162">
                  <c:v>VII</c:v>
                </c:pt>
                <c:pt idx="163">
                  <c:v>VIII</c:v>
                </c:pt>
                <c:pt idx="164">
                  <c:v>IX</c:v>
                </c:pt>
                <c:pt idx="165">
                  <c:v>X</c:v>
                </c:pt>
                <c:pt idx="166">
                  <c:v>XI</c:v>
                </c:pt>
                <c:pt idx="167">
                  <c:v>XII</c:v>
                </c:pt>
                <c:pt idx="168">
                  <c:v>2021`I</c:v>
                </c:pt>
                <c:pt idx="169">
                  <c:v>II</c:v>
                </c:pt>
                <c:pt idx="170">
                  <c:v>III</c:v>
                </c:pt>
                <c:pt idx="171">
                  <c:v>IV</c:v>
                </c:pt>
                <c:pt idx="172">
                  <c:v>V</c:v>
                </c:pt>
                <c:pt idx="173">
                  <c:v>VI</c:v>
                </c:pt>
                <c:pt idx="174">
                  <c:v>VII</c:v>
                </c:pt>
                <c:pt idx="175">
                  <c:v>VIII</c:v>
                </c:pt>
              </c:strCache>
            </c:strRef>
          </c:cat>
          <c:val>
            <c:numRef>
              <c:f>Sheet2!$B$5:$FU$5</c:f>
              <c:numCache>
                <c:formatCode>General</c:formatCode>
                <c:ptCount val="176"/>
                <c:pt idx="1">
                  <c:v>4.2</c:v>
                </c:pt>
                <c:pt idx="2">
                  <c:v>4.0999999999999996</c:v>
                </c:pt>
                <c:pt idx="3">
                  <c:v>4</c:v>
                </c:pt>
                <c:pt idx="4">
                  <c:v>3.9</c:v>
                </c:pt>
                <c:pt idx="5">
                  <c:v>3.9</c:v>
                </c:pt>
                <c:pt idx="6">
                  <c:v>3.9</c:v>
                </c:pt>
                <c:pt idx="7">
                  <c:v>3.7</c:v>
                </c:pt>
                <c:pt idx="8">
                  <c:v>3.6</c:v>
                </c:pt>
                <c:pt idx="9">
                  <c:v>3.5</c:v>
                </c:pt>
                <c:pt idx="10">
                  <c:v>3.4</c:v>
                </c:pt>
                <c:pt idx="11">
                  <c:v>3.4</c:v>
                </c:pt>
                <c:pt idx="12">
                  <c:v>3.5</c:v>
                </c:pt>
                <c:pt idx="13">
                  <c:v>3.5</c:v>
                </c:pt>
                <c:pt idx="14">
                  <c:v>3.5</c:v>
                </c:pt>
                <c:pt idx="15">
                  <c:v>3.4</c:v>
                </c:pt>
                <c:pt idx="16">
                  <c:v>3.4</c:v>
                </c:pt>
                <c:pt idx="17">
                  <c:v>3.6</c:v>
                </c:pt>
                <c:pt idx="18">
                  <c:v>3.8</c:v>
                </c:pt>
                <c:pt idx="19">
                  <c:v>3.9</c:v>
                </c:pt>
                <c:pt idx="20">
                  <c:v>4</c:v>
                </c:pt>
                <c:pt idx="21">
                  <c:v>4.3</c:v>
                </c:pt>
                <c:pt idx="22">
                  <c:v>4.8</c:v>
                </c:pt>
                <c:pt idx="23">
                  <c:v>5.5</c:v>
                </c:pt>
                <c:pt idx="24">
                  <c:v>6.6</c:v>
                </c:pt>
                <c:pt idx="25">
                  <c:v>7.6</c:v>
                </c:pt>
                <c:pt idx="26">
                  <c:v>8.6999999999999993</c:v>
                </c:pt>
                <c:pt idx="27">
                  <c:v>9.1</c:v>
                </c:pt>
                <c:pt idx="28">
                  <c:v>9.5</c:v>
                </c:pt>
                <c:pt idx="29">
                  <c:v>9.8000000000000007</c:v>
                </c:pt>
                <c:pt idx="30">
                  <c:v>10.1</c:v>
                </c:pt>
                <c:pt idx="31">
                  <c:v>10.5</c:v>
                </c:pt>
                <c:pt idx="32">
                  <c:v>11.1</c:v>
                </c:pt>
                <c:pt idx="33">
                  <c:v>11.7</c:v>
                </c:pt>
                <c:pt idx="34">
                  <c:v>12.5</c:v>
                </c:pt>
                <c:pt idx="35">
                  <c:v>13.2</c:v>
                </c:pt>
                <c:pt idx="36">
                  <c:v>13.7</c:v>
                </c:pt>
                <c:pt idx="37">
                  <c:v>14.1</c:v>
                </c:pt>
                <c:pt idx="38">
                  <c:v>14.2</c:v>
                </c:pt>
                <c:pt idx="39">
                  <c:v>13.7</c:v>
                </c:pt>
                <c:pt idx="40">
                  <c:v>13.2</c:v>
                </c:pt>
                <c:pt idx="41">
                  <c:v>12.6</c:v>
                </c:pt>
                <c:pt idx="42">
                  <c:v>12.3</c:v>
                </c:pt>
                <c:pt idx="43">
                  <c:v>11.9</c:v>
                </c:pt>
                <c:pt idx="44">
                  <c:v>11.6</c:v>
                </c:pt>
                <c:pt idx="45">
                  <c:v>11.2</c:v>
                </c:pt>
                <c:pt idx="46">
                  <c:v>11</c:v>
                </c:pt>
                <c:pt idx="47">
                  <c:v>10.9</c:v>
                </c:pt>
                <c:pt idx="48">
                  <c:v>11</c:v>
                </c:pt>
                <c:pt idx="49">
                  <c:v>10.9</c:v>
                </c:pt>
                <c:pt idx="50">
                  <c:v>10.8</c:v>
                </c:pt>
                <c:pt idx="51">
                  <c:v>10.5</c:v>
                </c:pt>
                <c:pt idx="52">
                  <c:v>9.9</c:v>
                </c:pt>
                <c:pt idx="53">
                  <c:v>9.4</c:v>
                </c:pt>
                <c:pt idx="54">
                  <c:v>9</c:v>
                </c:pt>
                <c:pt idx="55">
                  <c:v>8.8000000000000007</c:v>
                </c:pt>
                <c:pt idx="56">
                  <c:v>8.6</c:v>
                </c:pt>
                <c:pt idx="57">
                  <c:v>8.5</c:v>
                </c:pt>
                <c:pt idx="58">
                  <c:v>8.5</c:v>
                </c:pt>
                <c:pt idx="59">
                  <c:v>8.3000000000000007</c:v>
                </c:pt>
                <c:pt idx="60">
                  <c:v>8.4</c:v>
                </c:pt>
                <c:pt idx="61">
                  <c:v>8.4</c:v>
                </c:pt>
                <c:pt idx="62">
                  <c:v>8.3000000000000007</c:v>
                </c:pt>
                <c:pt idx="63" formatCode="0.0">
                  <c:v>9</c:v>
                </c:pt>
                <c:pt idx="64" formatCode="0.0">
                  <c:v>8.5</c:v>
                </c:pt>
                <c:pt idx="65">
                  <c:v>8.1</c:v>
                </c:pt>
                <c:pt idx="66">
                  <c:v>7.8</c:v>
                </c:pt>
                <c:pt idx="67">
                  <c:v>7.6</c:v>
                </c:pt>
                <c:pt idx="68">
                  <c:v>7.3</c:v>
                </c:pt>
                <c:pt idx="69">
                  <c:v>7</c:v>
                </c:pt>
                <c:pt idx="70">
                  <c:v>6.8</c:v>
                </c:pt>
                <c:pt idx="71">
                  <c:v>6.8</c:v>
                </c:pt>
                <c:pt idx="72">
                  <c:v>7</c:v>
                </c:pt>
                <c:pt idx="73">
                  <c:v>7</c:v>
                </c:pt>
                <c:pt idx="74">
                  <c:v>7</c:v>
                </c:pt>
                <c:pt idx="75">
                  <c:v>6.8</c:v>
                </c:pt>
                <c:pt idx="76">
                  <c:v>6.5</c:v>
                </c:pt>
                <c:pt idx="77">
                  <c:v>6.2</c:v>
                </c:pt>
                <c:pt idx="78">
                  <c:v>6.2</c:v>
                </c:pt>
                <c:pt idx="79">
                  <c:v>6.1</c:v>
                </c:pt>
                <c:pt idx="80">
                  <c:v>6</c:v>
                </c:pt>
                <c:pt idx="81">
                  <c:v>6</c:v>
                </c:pt>
                <c:pt idx="82">
                  <c:v>6</c:v>
                </c:pt>
                <c:pt idx="83">
                  <c:v>6</c:v>
                </c:pt>
                <c:pt idx="84">
                  <c:v>6.2</c:v>
                </c:pt>
                <c:pt idx="85">
                  <c:v>6.2</c:v>
                </c:pt>
                <c:pt idx="86">
                  <c:v>6.2</c:v>
                </c:pt>
                <c:pt idx="87">
                  <c:v>6</c:v>
                </c:pt>
                <c:pt idx="88">
                  <c:v>5.8</c:v>
                </c:pt>
                <c:pt idx="89">
                  <c:v>5.5</c:v>
                </c:pt>
                <c:pt idx="90">
                  <c:v>5.4</c:v>
                </c:pt>
                <c:pt idx="91">
                  <c:v>5.3</c:v>
                </c:pt>
                <c:pt idx="92">
                  <c:v>5.2</c:v>
                </c:pt>
                <c:pt idx="93">
                  <c:v>5.2</c:v>
                </c:pt>
                <c:pt idx="94">
                  <c:v>5.2</c:v>
                </c:pt>
                <c:pt idx="95">
                  <c:v>5.2</c:v>
                </c:pt>
                <c:pt idx="96">
                  <c:v>5.5</c:v>
                </c:pt>
                <c:pt idx="97">
                  <c:v>5.6</c:v>
                </c:pt>
                <c:pt idx="98">
                  <c:v>5.6</c:v>
                </c:pt>
                <c:pt idx="99">
                  <c:v>5.4</c:v>
                </c:pt>
                <c:pt idx="100">
                  <c:v>5.3</c:v>
                </c:pt>
                <c:pt idx="101">
                  <c:v>5.3</c:v>
                </c:pt>
                <c:pt idx="102">
                  <c:v>5.4</c:v>
                </c:pt>
                <c:pt idx="103">
                  <c:v>5.3</c:v>
                </c:pt>
                <c:pt idx="104">
                  <c:v>5.2</c:v>
                </c:pt>
                <c:pt idx="105">
                  <c:v>5.2</c:v>
                </c:pt>
                <c:pt idx="106">
                  <c:v>5.2</c:v>
                </c:pt>
                <c:pt idx="107">
                  <c:v>5.4</c:v>
                </c:pt>
                <c:pt idx="108">
                  <c:v>5.6</c:v>
                </c:pt>
                <c:pt idx="109">
                  <c:v>5.7</c:v>
                </c:pt>
                <c:pt idx="110">
                  <c:v>5.7</c:v>
                </c:pt>
                <c:pt idx="111">
                  <c:v>5.3</c:v>
                </c:pt>
                <c:pt idx="112">
                  <c:v>5.3</c:v>
                </c:pt>
                <c:pt idx="113">
                  <c:v>5.3</c:v>
                </c:pt>
                <c:pt idx="114">
                  <c:v>5.3</c:v>
                </c:pt>
                <c:pt idx="115">
                  <c:v>5.2</c:v>
                </c:pt>
                <c:pt idx="116">
                  <c:v>5.0999999999999996</c:v>
                </c:pt>
                <c:pt idx="117">
                  <c:v>5.0999999999999996</c:v>
                </c:pt>
                <c:pt idx="118" formatCode="0.0">
                  <c:v>5.0999999999999996</c:v>
                </c:pt>
                <c:pt idx="119">
                  <c:v>5.3</c:v>
                </c:pt>
                <c:pt idx="120">
                  <c:v>5.4</c:v>
                </c:pt>
                <c:pt idx="121">
                  <c:v>5.3</c:v>
                </c:pt>
                <c:pt idx="122">
                  <c:v>5.0999999999999996</c:v>
                </c:pt>
                <c:pt idx="123">
                  <c:v>4.9000000000000004</c:v>
                </c:pt>
                <c:pt idx="124">
                  <c:v>4.7</c:v>
                </c:pt>
                <c:pt idx="125">
                  <c:v>4.5999999999999996</c:v>
                </c:pt>
                <c:pt idx="126">
                  <c:v>4.5999999999999996</c:v>
                </c:pt>
                <c:pt idx="127">
                  <c:v>4.5999999999999996</c:v>
                </c:pt>
                <c:pt idx="128">
                  <c:v>4.2</c:v>
                </c:pt>
                <c:pt idx="129">
                  <c:v>4.2</c:v>
                </c:pt>
                <c:pt idx="130">
                  <c:v>4.2</c:v>
                </c:pt>
                <c:pt idx="131">
                  <c:v>4.3</c:v>
                </c:pt>
                <c:pt idx="132">
                  <c:v>4.4000000000000004</c:v>
                </c:pt>
                <c:pt idx="133">
                  <c:v>4.4000000000000004</c:v>
                </c:pt>
                <c:pt idx="134">
                  <c:v>4.3</c:v>
                </c:pt>
                <c:pt idx="135">
                  <c:v>4.2</c:v>
                </c:pt>
                <c:pt idx="136">
                  <c:v>4.0999999999999996</c:v>
                </c:pt>
                <c:pt idx="137">
                  <c:v>4.2</c:v>
                </c:pt>
                <c:pt idx="138">
                  <c:v>4.2</c:v>
                </c:pt>
                <c:pt idx="139">
                  <c:v>4.2</c:v>
                </c:pt>
                <c:pt idx="140">
                  <c:v>4.0999999999999996</c:v>
                </c:pt>
                <c:pt idx="141">
                  <c:v>4.0999999999999996</c:v>
                </c:pt>
                <c:pt idx="142">
                  <c:v>4.0999999999999996</c:v>
                </c:pt>
                <c:pt idx="143">
                  <c:v>4.2</c:v>
                </c:pt>
                <c:pt idx="144">
                  <c:v>4.4000000000000004</c:v>
                </c:pt>
                <c:pt idx="145">
                  <c:v>4.4000000000000004</c:v>
                </c:pt>
                <c:pt idx="146">
                  <c:v>4.2</c:v>
                </c:pt>
                <c:pt idx="147">
                  <c:v>4.0999999999999996</c:v>
                </c:pt>
                <c:pt idx="148">
                  <c:v>4</c:v>
                </c:pt>
                <c:pt idx="149">
                  <c:v>4.0999999999999996</c:v>
                </c:pt>
                <c:pt idx="150">
                  <c:v>4.0999999999999996</c:v>
                </c:pt>
                <c:pt idx="151">
                  <c:v>4.0999999999999996</c:v>
                </c:pt>
                <c:pt idx="152">
                  <c:v>3.9</c:v>
                </c:pt>
                <c:pt idx="153">
                  <c:v>3.9</c:v>
                </c:pt>
                <c:pt idx="154">
                  <c:v>3.9</c:v>
                </c:pt>
                <c:pt idx="155">
                  <c:v>4.3</c:v>
                </c:pt>
                <c:pt idx="156">
                  <c:v>4.3</c:v>
                </c:pt>
                <c:pt idx="157">
                  <c:v>4.3</c:v>
                </c:pt>
                <c:pt idx="158">
                  <c:v>4.7</c:v>
                </c:pt>
                <c:pt idx="159">
                  <c:v>6.3</c:v>
                </c:pt>
                <c:pt idx="160">
                  <c:v>6.8</c:v>
                </c:pt>
                <c:pt idx="161">
                  <c:v>6.9</c:v>
                </c:pt>
                <c:pt idx="162">
                  <c:v>6.9</c:v>
                </c:pt>
                <c:pt idx="163">
                  <c:v>6.6</c:v>
                </c:pt>
                <c:pt idx="164">
                  <c:v>6.1</c:v>
                </c:pt>
                <c:pt idx="165">
                  <c:v>5.8</c:v>
                </c:pt>
                <c:pt idx="166">
                  <c:v>5.7</c:v>
                </c:pt>
                <c:pt idx="167">
                  <c:v>5.8</c:v>
                </c:pt>
                <c:pt idx="168">
                  <c:v>6</c:v>
                </c:pt>
                <c:pt idx="169">
                  <c:v>6.1</c:v>
                </c:pt>
                <c:pt idx="170">
                  <c:v>6.2</c:v>
                </c:pt>
                <c:pt idx="171">
                  <c:v>6</c:v>
                </c:pt>
                <c:pt idx="172">
                  <c:v>5.7</c:v>
                </c:pt>
                <c:pt idx="173">
                  <c:v>5.6</c:v>
                </c:pt>
                <c:pt idx="174">
                  <c:v>5.2</c:v>
                </c:pt>
                <c:pt idx="175">
                  <c:v>4.7</c:v>
                </c:pt>
              </c:numCache>
            </c:numRef>
          </c:val>
          <c:smooth val="1"/>
          <c:extLst>
            <c:ext xmlns:c16="http://schemas.microsoft.com/office/drawing/2014/chart" uri="{C3380CC4-5D6E-409C-BE32-E72D297353CC}">
              <c16:uniqueId val="{00000001-087C-41C6-8B4B-9611A86BB70B}"/>
            </c:ext>
          </c:extLst>
        </c:ser>
        <c:ser>
          <c:idx val="1"/>
          <c:order val="1"/>
          <c:tx>
            <c:strRef>
              <c:f>Sheet2!$A$6</c:f>
              <c:strCache>
                <c:ptCount val="1"/>
                <c:pt idx="0">
                  <c:v>Kurzeme</c:v>
                </c:pt>
              </c:strCache>
            </c:strRef>
          </c:tx>
          <c:spPr>
            <a:ln w="28575" cap="rnd">
              <a:solidFill>
                <a:srgbClr val="FFC000"/>
              </a:solidFill>
              <a:round/>
            </a:ln>
            <a:effectLst/>
          </c:spPr>
          <c:marker>
            <c:symbol val="none"/>
          </c:marker>
          <c:cat>
            <c:strRef>
              <c:f>Sheet2!$B$4:$FU$4</c:f>
              <c:strCache>
                <c:ptCount val="176"/>
                <c:pt idx="0">
                  <c:v>2007`I</c:v>
                </c:pt>
                <c:pt idx="1">
                  <c:v>II</c:v>
                </c:pt>
                <c:pt idx="2">
                  <c:v>III</c:v>
                </c:pt>
                <c:pt idx="3">
                  <c:v>IV</c:v>
                </c:pt>
                <c:pt idx="4">
                  <c:v>V</c:v>
                </c:pt>
                <c:pt idx="5">
                  <c:v>VI</c:v>
                </c:pt>
                <c:pt idx="6">
                  <c:v>VII</c:v>
                </c:pt>
                <c:pt idx="7">
                  <c:v>VIII</c:v>
                </c:pt>
                <c:pt idx="8">
                  <c:v>IX</c:v>
                </c:pt>
                <c:pt idx="9">
                  <c:v>X</c:v>
                </c:pt>
                <c:pt idx="10">
                  <c:v>XI</c:v>
                </c:pt>
                <c:pt idx="11">
                  <c:v>XII</c:v>
                </c:pt>
                <c:pt idx="12">
                  <c:v>2008`I</c:v>
                </c:pt>
                <c:pt idx="13">
                  <c:v>II</c:v>
                </c:pt>
                <c:pt idx="14">
                  <c:v>III</c:v>
                </c:pt>
                <c:pt idx="15">
                  <c:v>IV</c:v>
                </c:pt>
                <c:pt idx="16">
                  <c:v>V</c:v>
                </c:pt>
                <c:pt idx="17">
                  <c:v>VI</c:v>
                </c:pt>
                <c:pt idx="18">
                  <c:v>VII</c:v>
                </c:pt>
                <c:pt idx="19">
                  <c:v>VIII</c:v>
                </c:pt>
                <c:pt idx="20">
                  <c:v>IX</c:v>
                </c:pt>
                <c:pt idx="21">
                  <c:v>X</c:v>
                </c:pt>
                <c:pt idx="22">
                  <c:v>XI</c:v>
                </c:pt>
                <c:pt idx="23">
                  <c:v>XII</c:v>
                </c:pt>
                <c:pt idx="24">
                  <c:v>2009`I</c:v>
                </c:pt>
                <c:pt idx="25">
                  <c:v>II</c:v>
                </c:pt>
                <c:pt idx="26">
                  <c:v>III</c:v>
                </c:pt>
                <c:pt idx="27">
                  <c:v>IV</c:v>
                </c:pt>
                <c:pt idx="28">
                  <c:v>V</c:v>
                </c:pt>
                <c:pt idx="29">
                  <c:v>VI</c:v>
                </c:pt>
                <c:pt idx="30">
                  <c:v>VII</c:v>
                </c:pt>
                <c:pt idx="31">
                  <c:v>VIII</c:v>
                </c:pt>
                <c:pt idx="32">
                  <c:v>IX</c:v>
                </c:pt>
                <c:pt idx="33">
                  <c:v>X</c:v>
                </c:pt>
                <c:pt idx="34">
                  <c:v>XI</c:v>
                </c:pt>
                <c:pt idx="35">
                  <c:v>XII</c:v>
                </c:pt>
                <c:pt idx="36">
                  <c:v>2010`I</c:v>
                </c:pt>
                <c:pt idx="37">
                  <c:v>II</c:v>
                </c:pt>
                <c:pt idx="38">
                  <c:v>III</c:v>
                </c:pt>
                <c:pt idx="39">
                  <c:v>IV</c:v>
                </c:pt>
                <c:pt idx="40">
                  <c:v>V</c:v>
                </c:pt>
                <c:pt idx="41">
                  <c:v>VI</c:v>
                </c:pt>
                <c:pt idx="42">
                  <c:v>VII</c:v>
                </c:pt>
                <c:pt idx="43">
                  <c:v>VIII</c:v>
                </c:pt>
                <c:pt idx="44">
                  <c:v>IX</c:v>
                </c:pt>
                <c:pt idx="45">
                  <c:v>X</c:v>
                </c:pt>
                <c:pt idx="46">
                  <c:v>XI</c:v>
                </c:pt>
                <c:pt idx="47">
                  <c:v>XII</c:v>
                </c:pt>
                <c:pt idx="48">
                  <c:v>2011`I</c:v>
                </c:pt>
                <c:pt idx="49">
                  <c:v>II</c:v>
                </c:pt>
                <c:pt idx="50">
                  <c:v>III</c:v>
                </c:pt>
                <c:pt idx="51">
                  <c:v>IV</c:v>
                </c:pt>
                <c:pt idx="52">
                  <c:v>V</c:v>
                </c:pt>
                <c:pt idx="53">
                  <c:v>VI</c:v>
                </c:pt>
                <c:pt idx="54">
                  <c:v>VII</c:v>
                </c:pt>
                <c:pt idx="55">
                  <c:v>VIII</c:v>
                </c:pt>
                <c:pt idx="56">
                  <c:v>IX</c:v>
                </c:pt>
                <c:pt idx="57">
                  <c:v>X</c:v>
                </c:pt>
                <c:pt idx="58">
                  <c:v>XI</c:v>
                </c:pt>
                <c:pt idx="59">
                  <c:v>XII</c:v>
                </c:pt>
                <c:pt idx="60">
                  <c:v>2012`I</c:v>
                </c:pt>
                <c:pt idx="61">
                  <c:v>II</c:v>
                </c:pt>
                <c:pt idx="62">
                  <c:v>III</c:v>
                </c:pt>
                <c:pt idx="63">
                  <c:v>IV</c:v>
                </c:pt>
                <c:pt idx="64">
                  <c:v>V</c:v>
                </c:pt>
                <c:pt idx="65">
                  <c:v>VI</c:v>
                </c:pt>
                <c:pt idx="66">
                  <c:v>VII</c:v>
                </c:pt>
                <c:pt idx="67">
                  <c:v>VIII</c:v>
                </c:pt>
                <c:pt idx="68">
                  <c:v>IX</c:v>
                </c:pt>
                <c:pt idx="69">
                  <c:v>X</c:v>
                </c:pt>
                <c:pt idx="70">
                  <c:v>XI</c:v>
                </c:pt>
                <c:pt idx="71">
                  <c:v>XII</c:v>
                </c:pt>
                <c:pt idx="72">
                  <c:v>2013`I</c:v>
                </c:pt>
                <c:pt idx="73">
                  <c:v>II</c:v>
                </c:pt>
                <c:pt idx="74">
                  <c:v>III</c:v>
                </c:pt>
                <c:pt idx="75">
                  <c:v>IV</c:v>
                </c:pt>
                <c:pt idx="76">
                  <c:v>V</c:v>
                </c:pt>
                <c:pt idx="77">
                  <c:v>VI</c:v>
                </c:pt>
                <c:pt idx="78">
                  <c:v>VII</c:v>
                </c:pt>
                <c:pt idx="79">
                  <c:v>VIII</c:v>
                </c:pt>
                <c:pt idx="80">
                  <c:v>IX</c:v>
                </c:pt>
                <c:pt idx="81">
                  <c:v>X</c:v>
                </c:pt>
                <c:pt idx="82">
                  <c:v>XI</c:v>
                </c:pt>
                <c:pt idx="83">
                  <c:v>XII</c:v>
                </c:pt>
                <c:pt idx="84">
                  <c:v>2014`I</c:v>
                </c:pt>
                <c:pt idx="85">
                  <c:v>II</c:v>
                </c:pt>
                <c:pt idx="86">
                  <c:v>III</c:v>
                </c:pt>
                <c:pt idx="87">
                  <c:v>IV</c:v>
                </c:pt>
                <c:pt idx="88">
                  <c:v>V</c:v>
                </c:pt>
                <c:pt idx="89">
                  <c:v>VI</c:v>
                </c:pt>
                <c:pt idx="90">
                  <c:v>VII</c:v>
                </c:pt>
                <c:pt idx="91">
                  <c:v>VIII</c:v>
                </c:pt>
                <c:pt idx="92">
                  <c:v>IX</c:v>
                </c:pt>
                <c:pt idx="93">
                  <c:v>X</c:v>
                </c:pt>
                <c:pt idx="94">
                  <c:v>XI</c:v>
                </c:pt>
                <c:pt idx="95">
                  <c:v>XII</c:v>
                </c:pt>
                <c:pt idx="96">
                  <c:v>2015`I</c:v>
                </c:pt>
                <c:pt idx="97">
                  <c:v>II</c:v>
                </c:pt>
                <c:pt idx="98">
                  <c:v>III</c:v>
                </c:pt>
                <c:pt idx="99">
                  <c:v>IV</c:v>
                </c:pt>
                <c:pt idx="100">
                  <c:v>V</c:v>
                </c:pt>
                <c:pt idx="101">
                  <c:v>VI</c:v>
                </c:pt>
                <c:pt idx="102">
                  <c:v>VII</c:v>
                </c:pt>
                <c:pt idx="103">
                  <c:v>VIII</c:v>
                </c:pt>
                <c:pt idx="104">
                  <c:v>IX</c:v>
                </c:pt>
                <c:pt idx="105">
                  <c:v>X</c:v>
                </c:pt>
                <c:pt idx="106">
                  <c:v>XI</c:v>
                </c:pt>
                <c:pt idx="107">
                  <c:v>XII</c:v>
                </c:pt>
                <c:pt idx="108">
                  <c:v>2016`I</c:v>
                </c:pt>
                <c:pt idx="109">
                  <c:v>II</c:v>
                </c:pt>
                <c:pt idx="110">
                  <c:v>III</c:v>
                </c:pt>
                <c:pt idx="111">
                  <c:v>IV</c:v>
                </c:pt>
                <c:pt idx="112">
                  <c:v>V</c:v>
                </c:pt>
                <c:pt idx="113">
                  <c:v>VI</c:v>
                </c:pt>
                <c:pt idx="114">
                  <c:v>VII</c:v>
                </c:pt>
                <c:pt idx="115">
                  <c:v>VIII</c:v>
                </c:pt>
                <c:pt idx="116">
                  <c:v>IX</c:v>
                </c:pt>
                <c:pt idx="117">
                  <c:v>X</c:v>
                </c:pt>
                <c:pt idx="118">
                  <c:v>XI</c:v>
                </c:pt>
                <c:pt idx="119">
                  <c:v>XII</c:v>
                </c:pt>
                <c:pt idx="120">
                  <c:v>2017`I</c:v>
                </c:pt>
                <c:pt idx="121">
                  <c:v>II</c:v>
                </c:pt>
                <c:pt idx="122">
                  <c:v>III</c:v>
                </c:pt>
                <c:pt idx="123">
                  <c:v>IV</c:v>
                </c:pt>
                <c:pt idx="124">
                  <c:v>V</c:v>
                </c:pt>
                <c:pt idx="125">
                  <c:v>VI</c:v>
                </c:pt>
                <c:pt idx="126">
                  <c:v>VII</c:v>
                </c:pt>
                <c:pt idx="127">
                  <c:v>VIII</c:v>
                </c:pt>
                <c:pt idx="128">
                  <c:v>IX</c:v>
                </c:pt>
                <c:pt idx="129">
                  <c:v>X</c:v>
                </c:pt>
                <c:pt idx="130">
                  <c:v>XI</c:v>
                </c:pt>
                <c:pt idx="131">
                  <c:v>XII</c:v>
                </c:pt>
                <c:pt idx="132">
                  <c:v>2018`I</c:v>
                </c:pt>
                <c:pt idx="133">
                  <c:v>II</c:v>
                </c:pt>
                <c:pt idx="134">
                  <c:v>III</c:v>
                </c:pt>
                <c:pt idx="135">
                  <c:v>IV</c:v>
                </c:pt>
                <c:pt idx="136">
                  <c:v>V</c:v>
                </c:pt>
                <c:pt idx="137">
                  <c:v>VI</c:v>
                </c:pt>
                <c:pt idx="138">
                  <c:v>VII</c:v>
                </c:pt>
                <c:pt idx="139">
                  <c:v>VIII</c:v>
                </c:pt>
                <c:pt idx="140">
                  <c:v>IX</c:v>
                </c:pt>
                <c:pt idx="141">
                  <c:v>X</c:v>
                </c:pt>
                <c:pt idx="142">
                  <c:v>XI</c:v>
                </c:pt>
                <c:pt idx="143">
                  <c:v>XII</c:v>
                </c:pt>
                <c:pt idx="144">
                  <c:v>2019`I</c:v>
                </c:pt>
                <c:pt idx="145">
                  <c:v>II</c:v>
                </c:pt>
                <c:pt idx="146">
                  <c:v>III</c:v>
                </c:pt>
                <c:pt idx="147">
                  <c:v>IV</c:v>
                </c:pt>
                <c:pt idx="148">
                  <c:v>V</c:v>
                </c:pt>
                <c:pt idx="149">
                  <c:v>VI</c:v>
                </c:pt>
                <c:pt idx="150">
                  <c:v>VII</c:v>
                </c:pt>
                <c:pt idx="151">
                  <c:v>VIII</c:v>
                </c:pt>
                <c:pt idx="152">
                  <c:v>IX</c:v>
                </c:pt>
                <c:pt idx="153">
                  <c:v>X</c:v>
                </c:pt>
                <c:pt idx="154">
                  <c:v>XI</c:v>
                </c:pt>
                <c:pt idx="155">
                  <c:v>XII</c:v>
                </c:pt>
                <c:pt idx="156">
                  <c:v>2020`I</c:v>
                </c:pt>
                <c:pt idx="157">
                  <c:v>II</c:v>
                </c:pt>
                <c:pt idx="158">
                  <c:v>III</c:v>
                </c:pt>
                <c:pt idx="159">
                  <c:v>IV</c:v>
                </c:pt>
                <c:pt idx="160">
                  <c:v>V</c:v>
                </c:pt>
                <c:pt idx="161">
                  <c:v>VI</c:v>
                </c:pt>
                <c:pt idx="162">
                  <c:v>VII</c:v>
                </c:pt>
                <c:pt idx="163">
                  <c:v>VIII</c:v>
                </c:pt>
                <c:pt idx="164">
                  <c:v>IX</c:v>
                </c:pt>
                <c:pt idx="165">
                  <c:v>X</c:v>
                </c:pt>
                <c:pt idx="166">
                  <c:v>XI</c:v>
                </c:pt>
                <c:pt idx="167">
                  <c:v>XII</c:v>
                </c:pt>
                <c:pt idx="168">
                  <c:v>2021`I</c:v>
                </c:pt>
                <c:pt idx="169">
                  <c:v>II</c:v>
                </c:pt>
                <c:pt idx="170">
                  <c:v>III</c:v>
                </c:pt>
                <c:pt idx="171">
                  <c:v>IV</c:v>
                </c:pt>
                <c:pt idx="172">
                  <c:v>V</c:v>
                </c:pt>
                <c:pt idx="173">
                  <c:v>VI</c:v>
                </c:pt>
                <c:pt idx="174">
                  <c:v>VII</c:v>
                </c:pt>
                <c:pt idx="175">
                  <c:v>VIII</c:v>
                </c:pt>
              </c:strCache>
            </c:strRef>
          </c:cat>
          <c:val>
            <c:numRef>
              <c:f>Sheet2!$B$6:$FU$6</c:f>
              <c:numCache>
                <c:formatCode>General</c:formatCode>
                <c:ptCount val="176"/>
                <c:pt idx="1">
                  <c:v>6.6</c:v>
                </c:pt>
                <c:pt idx="2">
                  <c:v>6.4</c:v>
                </c:pt>
                <c:pt idx="3">
                  <c:v>6.1</c:v>
                </c:pt>
                <c:pt idx="4">
                  <c:v>5.7</c:v>
                </c:pt>
                <c:pt idx="5">
                  <c:v>5.7</c:v>
                </c:pt>
                <c:pt idx="6">
                  <c:v>5.6</c:v>
                </c:pt>
                <c:pt idx="7">
                  <c:v>5.4</c:v>
                </c:pt>
                <c:pt idx="8">
                  <c:v>4.9000000000000004</c:v>
                </c:pt>
                <c:pt idx="9">
                  <c:v>4.8</c:v>
                </c:pt>
                <c:pt idx="10">
                  <c:v>4.8</c:v>
                </c:pt>
                <c:pt idx="11">
                  <c:v>5.0999999999999996</c:v>
                </c:pt>
                <c:pt idx="12">
                  <c:v>5.3</c:v>
                </c:pt>
                <c:pt idx="13">
                  <c:v>5.3</c:v>
                </c:pt>
                <c:pt idx="14">
                  <c:v>5.2</c:v>
                </c:pt>
                <c:pt idx="15">
                  <c:v>5.2</c:v>
                </c:pt>
                <c:pt idx="16">
                  <c:v>5.0999999999999996</c:v>
                </c:pt>
                <c:pt idx="17">
                  <c:v>5.4</c:v>
                </c:pt>
                <c:pt idx="18">
                  <c:v>5.5</c:v>
                </c:pt>
                <c:pt idx="19">
                  <c:v>5.5</c:v>
                </c:pt>
                <c:pt idx="20">
                  <c:v>5.5</c:v>
                </c:pt>
                <c:pt idx="21">
                  <c:v>5.7</c:v>
                </c:pt>
                <c:pt idx="22">
                  <c:v>6.3</c:v>
                </c:pt>
                <c:pt idx="23">
                  <c:v>7.5</c:v>
                </c:pt>
                <c:pt idx="24">
                  <c:v>9.1</c:v>
                </c:pt>
                <c:pt idx="25">
                  <c:v>10.6</c:v>
                </c:pt>
                <c:pt idx="26">
                  <c:v>11.9</c:v>
                </c:pt>
                <c:pt idx="27">
                  <c:v>12</c:v>
                </c:pt>
                <c:pt idx="28">
                  <c:v>12.4</c:v>
                </c:pt>
                <c:pt idx="29">
                  <c:v>12.7</c:v>
                </c:pt>
                <c:pt idx="30">
                  <c:v>13.1</c:v>
                </c:pt>
                <c:pt idx="31">
                  <c:v>13.6</c:v>
                </c:pt>
                <c:pt idx="32">
                  <c:v>14.6</c:v>
                </c:pt>
                <c:pt idx="33">
                  <c:v>15.7</c:v>
                </c:pt>
                <c:pt idx="34">
                  <c:v>16.7</c:v>
                </c:pt>
                <c:pt idx="35">
                  <c:v>17.7</c:v>
                </c:pt>
                <c:pt idx="36">
                  <c:v>18.399999999999999</c:v>
                </c:pt>
                <c:pt idx="37">
                  <c:v>18.899999999999999</c:v>
                </c:pt>
                <c:pt idx="38">
                  <c:v>19</c:v>
                </c:pt>
                <c:pt idx="39">
                  <c:v>17.899999999999999</c:v>
                </c:pt>
                <c:pt idx="40">
                  <c:v>17.100000000000001</c:v>
                </c:pt>
                <c:pt idx="41">
                  <c:v>16.7</c:v>
                </c:pt>
                <c:pt idx="42">
                  <c:v>16.399999999999999</c:v>
                </c:pt>
                <c:pt idx="43">
                  <c:v>16.100000000000001</c:v>
                </c:pt>
                <c:pt idx="44">
                  <c:v>15.5</c:v>
                </c:pt>
                <c:pt idx="45">
                  <c:v>15.4</c:v>
                </c:pt>
                <c:pt idx="46">
                  <c:v>15.5</c:v>
                </c:pt>
                <c:pt idx="47">
                  <c:v>15.7</c:v>
                </c:pt>
                <c:pt idx="48">
                  <c:v>16</c:v>
                </c:pt>
                <c:pt idx="49">
                  <c:v>16</c:v>
                </c:pt>
                <c:pt idx="50">
                  <c:v>15.7</c:v>
                </c:pt>
                <c:pt idx="51">
                  <c:v>14.8</c:v>
                </c:pt>
                <c:pt idx="52">
                  <c:v>13.9</c:v>
                </c:pt>
                <c:pt idx="53">
                  <c:v>13.2</c:v>
                </c:pt>
                <c:pt idx="54">
                  <c:v>12.8</c:v>
                </c:pt>
                <c:pt idx="55">
                  <c:v>12.5</c:v>
                </c:pt>
                <c:pt idx="56">
                  <c:v>12.1</c:v>
                </c:pt>
                <c:pt idx="57">
                  <c:v>12</c:v>
                </c:pt>
                <c:pt idx="58">
                  <c:v>12</c:v>
                </c:pt>
                <c:pt idx="59">
                  <c:v>12.1</c:v>
                </c:pt>
                <c:pt idx="60">
                  <c:v>12.4</c:v>
                </c:pt>
                <c:pt idx="61">
                  <c:v>12.6</c:v>
                </c:pt>
                <c:pt idx="62">
                  <c:v>12.3</c:v>
                </c:pt>
                <c:pt idx="63" formatCode="0.0">
                  <c:v>13.9</c:v>
                </c:pt>
                <c:pt idx="64" formatCode="0.0">
                  <c:v>13.2</c:v>
                </c:pt>
                <c:pt idx="65">
                  <c:v>12.7</c:v>
                </c:pt>
                <c:pt idx="66">
                  <c:v>12.4</c:v>
                </c:pt>
                <c:pt idx="67">
                  <c:v>12</c:v>
                </c:pt>
                <c:pt idx="68">
                  <c:v>11.6</c:v>
                </c:pt>
                <c:pt idx="69">
                  <c:v>11.3</c:v>
                </c:pt>
                <c:pt idx="70">
                  <c:v>11.2</c:v>
                </c:pt>
                <c:pt idx="71">
                  <c:v>11.4</c:v>
                </c:pt>
                <c:pt idx="72">
                  <c:v>12.2</c:v>
                </c:pt>
                <c:pt idx="73">
                  <c:v>12.2</c:v>
                </c:pt>
                <c:pt idx="74">
                  <c:v>12</c:v>
                </c:pt>
                <c:pt idx="75">
                  <c:v>11.1</c:v>
                </c:pt>
                <c:pt idx="76">
                  <c:v>10.5</c:v>
                </c:pt>
                <c:pt idx="77">
                  <c:v>10.5</c:v>
                </c:pt>
                <c:pt idx="78">
                  <c:v>10.3</c:v>
                </c:pt>
                <c:pt idx="79">
                  <c:v>10</c:v>
                </c:pt>
                <c:pt idx="80">
                  <c:v>9.6999999999999993</c:v>
                </c:pt>
                <c:pt idx="81">
                  <c:v>9.8000000000000007</c:v>
                </c:pt>
                <c:pt idx="82">
                  <c:v>11</c:v>
                </c:pt>
                <c:pt idx="83">
                  <c:v>11.5</c:v>
                </c:pt>
                <c:pt idx="84">
                  <c:v>12.1</c:v>
                </c:pt>
                <c:pt idx="85">
                  <c:v>12.4</c:v>
                </c:pt>
                <c:pt idx="86">
                  <c:v>12.2</c:v>
                </c:pt>
                <c:pt idx="87">
                  <c:v>11.6</c:v>
                </c:pt>
                <c:pt idx="88">
                  <c:v>11</c:v>
                </c:pt>
                <c:pt idx="89">
                  <c:v>11.1</c:v>
                </c:pt>
                <c:pt idx="90">
                  <c:v>10.9</c:v>
                </c:pt>
                <c:pt idx="91">
                  <c:v>10.4</c:v>
                </c:pt>
                <c:pt idx="92">
                  <c:v>9.6999999999999993</c:v>
                </c:pt>
                <c:pt idx="93">
                  <c:v>9.8000000000000007</c:v>
                </c:pt>
                <c:pt idx="94">
                  <c:v>10</c:v>
                </c:pt>
                <c:pt idx="95">
                  <c:v>10.7</c:v>
                </c:pt>
                <c:pt idx="96">
                  <c:v>11.4</c:v>
                </c:pt>
                <c:pt idx="97">
                  <c:v>11.5</c:v>
                </c:pt>
                <c:pt idx="98">
                  <c:v>11.3</c:v>
                </c:pt>
                <c:pt idx="99">
                  <c:v>10.5</c:v>
                </c:pt>
                <c:pt idx="100">
                  <c:v>10.3</c:v>
                </c:pt>
                <c:pt idx="101">
                  <c:v>10.9</c:v>
                </c:pt>
                <c:pt idx="102">
                  <c:v>10.9</c:v>
                </c:pt>
                <c:pt idx="103">
                  <c:v>10.7</c:v>
                </c:pt>
                <c:pt idx="104">
                  <c:v>10.3</c:v>
                </c:pt>
                <c:pt idx="105">
                  <c:v>10.199999999999999</c:v>
                </c:pt>
                <c:pt idx="106">
                  <c:v>10.5</c:v>
                </c:pt>
                <c:pt idx="107">
                  <c:v>11</c:v>
                </c:pt>
                <c:pt idx="108">
                  <c:v>11.4</c:v>
                </c:pt>
                <c:pt idx="109">
                  <c:v>11.5</c:v>
                </c:pt>
                <c:pt idx="110">
                  <c:v>11.6</c:v>
                </c:pt>
                <c:pt idx="111">
                  <c:v>10.8</c:v>
                </c:pt>
                <c:pt idx="112">
                  <c:v>10.4</c:v>
                </c:pt>
                <c:pt idx="113">
                  <c:v>10.4</c:v>
                </c:pt>
                <c:pt idx="114">
                  <c:v>10.3</c:v>
                </c:pt>
                <c:pt idx="115">
                  <c:v>9.9</c:v>
                </c:pt>
                <c:pt idx="116">
                  <c:v>9.6</c:v>
                </c:pt>
                <c:pt idx="117">
                  <c:v>9.5</c:v>
                </c:pt>
                <c:pt idx="118" formatCode="0.0">
                  <c:v>9.8000000000000007</c:v>
                </c:pt>
                <c:pt idx="119">
                  <c:v>10.4</c:v>
                </c:pt>
                <c:pt idx="120">
                  <c:v>10.6</c:v>
                </c:pt>
                <c:pt idx="121">
                  <c:v>10.5</c:v>
                </c:pt>
                <c:pt idx="122">
                  <c:v>9.9</c:v>
                </c:pt>
                <c:pt idx="123">
                  <c:v>9</c:v>
                </c:pt>
                <c:pt idx="124">
                  <c:v>8.4</c:v>
                </c:pt>
                <c:pt idx="125">
                  <c:v>8</c:v>
                </c:pt>
                <c:pt idx="126">
                  <c:v>7.7</c:v>
                </c:pt>
                <c:pt idx="127">
                  <c:v>7.5</c:v>
                </c:pt>
                <c:pt idx="128">
                  <c:v>7.2</c:v>
                </c:pt>
                <c:pt idx="129">
                  <c:v>7.2</c:v>
                </c:pt>
                <c:pt idx="130">
                  <c:v>7.3</c:v>
                </c:pt>
                <c:pt idx="131">
                  <c:v>7.7</c:v>
                </c:pt>
                <c:pt idx="132">
                  <c:v>8.1</c:v>
                </c:pt>
                <c:pt idx="133">
                  <c:v>8.1</c:v>
                </c:pt>
                <c:pt idx="134">
                  <c:v>8.1</c:v>
                </c:pt>
                <c:pt idx="135">
                  <c:v>7.4</c:v>
                </c:pt>
                <c:pt idx="136">
                  <c:v>7.1</c:v>
                </c:pt>
                <c:pt idx="137">
                  <c:v>7.1</c:v>
                </c:pt>
                <c:pt idx="138">
                  <c:v>7.1</c:v>
                </c:pt>
                <c:pt idx="139">
                  <c:v>7</c:v>
                </c:pt>
                <c:pt idx="140">
                  <c:v>6.9</c:v>
                </c:pt>
                <c:pt idx="141">
                  <c:v>6.9</c:v>
                </c:pt>
                <c:pt idx="142">
                  <c:v>7</c:v>
                </c:pt>
                <c:pt idx="143">
                  <c:v>7.5</c:v>
                </c:pt>
                <c:pt idx="144">
                  <c:v>7.9</c:v>
                </c:pt>
                <c:pt idx="145">
                  <c:v>8.1</c:v>
                </c:pt>
                <c:pt idx="146">
                  <c:v>7.8</c:v>
                </c:pt>
                <c:pt idx="147">
                  <c:v>7.1</c:v>
                </c:pt>
                <c:pt idx="148">
                  <c:v>6.7</c:v>
                </c:pt>
                <c:pt idx="149">
                  <c:v>6.6</c:v>
                </c:pt>
                <c:pt idx="150">
                  <c:v>6.5</c:v>
                </c:pt>
                <c:pt idx="151">
                  <c:v>6.3</c:v>
                </c:pt>
                <c:pt idx="152">
                  <c:v>6.1</c:v>
                </c:pt>
                <c:pt idx="153">
                  <c:v>6.2</c:v>
                </c:pt>
                <c:pt idx="154">
                  <c:v>6.2</c:v>
                </c:pt>
                <c:pt idx="155">
                  <c:v>7.2</c:v>
                </c:pt>
                <c:pt idx="156">
                  <c:v>7.4</c:v>
                </c:pt>
                <c:pt idx="157">
                  <c:v>7.3</c:v>
                </c:pt>
                <c:pt idx="158">
                  <c:v>7.7</c:v>
                </c:pt>
                <c:pt idx="159">
                  <c:v>8.6</c:v>
                </c:pt>
                <c:pt idx="160">
                  <c:v>8.9</c:v>
                </c:pt>
                <c:pt idx="161">
                  <c:v>9.1999999999999993</c:v>
                </c:pt>
                <c:pt idx="162">
                  <c:v>9.1</c:v>
                </c:pt>
                <c:pt idx="163">
                  <c:v>8.6</c:v>
                </c:pt>
                <c:pt idx="164">
                  <c:v>7.9</c:v>
                </c:pt>
                <c:pt idx="165">
                  <c:v>7.6</c:v>
                </c:pt>
                <c:pt idx="166">
                  <c:v>7.7</c:v>
                </c:pt>
                <c:pt idx="167">
                  <c:v>8.1999999999999993</c:v>
                </c:pt>
                <c:pt idx="168">
                  <c:v>8.6</c:v>
                </c:pt>
                <c:pt idx="169">
                  <c:v>9</c:v>
                </c:pt>
                <c:pt idx="170">
                  <c:v>8.6999999999999993</c:v>
                </c:pt>
                <c:pt idx="171">
                  <c:v>8.1</c:v>
                </c:pt>
                <c:pt idx="172">
                  <c:v>7.8</c:v>
                </c:pt>
                <c:pt idx="173">
                  <c:v>7.6</c:v>
                </c:pt>
                <c:pt idx="174">
                  <c:v>7.2</c:v>
                </c:pt>
                <c:pt idx="175">
                  <c:v>6.5</c:v>
                </c:pt>
              </c:numCache>
            </c:numRef>
          </c:val>
          <c:smooth val="0"/>
          <c:extLst>
            <c:ext xmlns:c16="http://schemas.microsoft.com/office/drawing/2014/chart" uri="{C3380CC4-5D6E-409C-BE32-E72D297353CC}">
              <c16:uniqueId val="{00000002-087C-41C6-8B4B-9611A86BB70B}"/>
            </c:ext>
          </c:extLst>
        </c:ser>
        <c:ser>
          <c:idx val="2"/>
          <c:order val="2"/>
          <c:tx>
            <c:strRef>
              <c:f>Sheet2!$A$7</c:f>
              <c:strCache>
                <c:ptCount val="1"/>
                <c:pt idx="0">
                  <c:v>Latgale</c:v>
                </c:pt>
              </c:strCache>
            </c:strRef>
          </c:tx>
          <c:spPr>
            <a:ln w="28575" cap="rnd">
              <a:solidFill>
                <a:srgbClr val="70AD47"/>
              </a:solidFill>
              <a:round/>
            </a:ln>
            <a:effectLst/>
          </c:spPr>
          <c:marker>
            <c:symbol val="none"/>
          </c:marker>
          <c:cat>
            <c:strRef>
              <c:f>Sheet2!$B$4:$FU$4</c:f>
              <c:strCache>
                <c:ptCount val="176"/>
                <c:pt idx="0">
                  <c:v>2007`I</c:v>
                </c:pt>
                <c:pt idx="1">
                  <c:v>II</c:v>
                </c:pt>
                <c:pt idx="2">
                  <c:v>III</c:v>
                </c:pt>
                <c:pt idx="3">
                  <c:v>IV</c:v>
                </c:pt>
                <c:pt idx="4">
                  <c:v>V</c:v>
                </c:pt>
                <c:pt idx="5">
                  <c:v>VI</c:v>
                </c:pt>
                <c:pt idx="6">
                  <c:v>VII</c:v>
                </c:pt>
                <c:pt idx="7">
                  <c:v>VIII</c:v>
                </c:pt>
                <c:pt idx="8">
                  <c:v>IX</c:v>
                </c:pt>
                <c:pt idx="9">
                  <c:v>X</c:v>
                </c:pt>
                <c:pt idx="10">
                  <c:v>XI</c:v>
                </c:pt>
                <c:pt idx="11">
                  <c:v>XII</c:v>
                </c:pt>
                <c:pt idx="12">
                  <c:v>2008`I</c:v>
                </c:pt>
                <c:pt idx="13">
                  <c:v>II</c:v>
                </c:pt>
                <c:pt idx="14">
                  <c:v>III</c:v>
                </c:pt>
                <c:pt idx="15">
                  <c:v>IV</c:v>
                </c:pt>
                <c:pt idx="16">
                  <c:v>V</c:v>
                </c:pt>
                <c:pt idx="17">
                  <c:v>VI</c:v>
                </c:pt>
                <c:pt idx="18">
                  <c:v>VII</c:v>
                </c:pt>
                <c:pt idx="19">
                  <c:v>VIII</c:v>
                </c:pt>
                <c:pt idx="20">
                  <c:v>IX</c:v>
                </c:pt>
                <c:pt idx="21">
                  <c:v>X</c:v>
                </c:pt>
                <c:pt idx="22">
                  <c:v>XI</c:v>
                </c:pt>
                <c:pt idx="23">
                  <c:v>XII</c:v>
                </c:pt>
                <c:pt idx="24">
                  <c:v>2009`I</c:v>
                </c:pt>
                <c:pt idx="25">
                  <c:v>II</c:v>
                </c:pt>
                <c:pt idx="26">
                  <c:v>III</c:v>
                </c:pt>
                <c:pt idx="27">
                  <c:v>IV</c:v>
                </c:pt>
                <c:pt idx="28">
                  <c:v>V</c:v>
                </c:pt>
                <c:pt idx="29">
                  <c:v>VI</c:v>
                </c:pt>
                <c:pt idx="30">
                  <c:v>VII</c:v>
                </c:pt>
                <c:pt idx="31">
                  <c:v>VIII</c:v>
                </c:pt>
                <c:pt idx="32">
                  <c:v>IX</c:v>
                </c:pt>
                <c:pt idx="33">
                  <c:v>X</c:v>
                </c:pt>
                <c:pt idx="34">
                  <c:v>XI</c:v>
                </c:pt>
                <c:pt idx="35">
                  <c:v>XII</c:v>
                </c:pt>
                <c:pt idx="36">
                  <c:v>2010`I</c:v>
                </c:pt>
                <c:pt idx="37">
                  <c:v>II</c:v>
                </c:pt>
                <c:pt idx="38">
                  <c:v>III</c:v>
                </c:pt>
                <c:pt idx="39">
                  <c:v>IV</c:v>
                </c:pt>
                <c:pt idx="40">
                  <c:v>V</c:v>
                </c:pt>
                <c:pt idx="41">
                  <c:v>VI</c:v>
                </c:pt>
                <c:pt idx="42">
                  <c:v>VII</c:v>
                </c:pt>
                <c:pt idx="43">
                  <c:v>VIII</c:v>
                </c:pt>
                <c:pt idx="44">
                  <c:v>IX</c:v>
                </c:pt>
                <c:pt idx="45">
                  <c:v>X</c:v>
                </c:pt>
                <c:pt idx="46">
                  <c:v>XI</c:v>
                </c:pt>
                <c:pt idx="47">
                  <c:v>XII</c:v>
                </c:pt>
                <c:pt idx="48">
                  <c:v>2011`I</c:v>
                </c:pt>
                <c:pt idx="49">
                  <c:v>II</c:v>
                </c:pt>
                <c:pt idx="50">
                  <c:v>III</c:v>
                </c:pt>
                <c:pt idx="51">
                  <c:v>IV</c:v>
                </c:pt>
                <c:pt idx="52">
                  <c:v>V</c:v>
                </c:pt>
                <c:pt idx="53">
                  <c:v>VI</c:v>
                </c:pt>
                <c:pt idx="54">
                  <c:v>VII</c:v>
                </c:pt>
                <c:pt idx="55">
                  <c:v>VIII</c:v>
                </c:pt>
                <c:pt idx="56">
                  <c:v>IX</c:v>
                </c:pt>
                <c:pt idx="57">
                  <c:v>X</c:v>
                </c:pt>
                <c:pt idx="58">
                  <c:v>XI</c:v>
                </c:pt>
                <c:pt idx="59">
                  <c:v>XII</c:v>
                </c:pt>
                <c:pt idx="60">
                  <c:v>2012`I</c:v>
                </c:pt>
                <c:pt idx="61">
                  <c:v>II</c:v>
                </c:pt>
                <c:pt idx="62">
                  <c:v>III</c:v>
                </c:pt>
                <c:pt idx="63">
                  <c:v>IV</c:v>
                </c:pt>
                <c:pt idx="64">
                  <c:v>V</c:v>
                </c:pt>
                <c:pt idx="65">
                  <c:v>VI</c:v>
                </c:pt>
                <c:pt idx="66">
                  <c:v>VII</c:v>
                </c:pt>
                <c:pt idx="67">
                  <c:v>VIII</c:v>
                </c:pt>
                <c:pt idx="68">
                  <c:v>IX</c:v>
                </c:pt>
                <c:pt idx="69">
                  <c:v>X</c:v>
                </c:pt>
                <c:pt idx="70">
                  <c:v>XI</c:v>
                </c:pt>
                <c:pt idx="71">
                  <c:v>XII</c:v>
                </c:pt>
                <c:pt idx="72">
                  <c:v>2013`I</c:v>
                </c:pt>
                <c:pt idx="73">
                  <c:v>II</c:v>
                </c:pt>
                <c:pt idx="74">
                  <c:v>III</c:v>
                </c:pt>
                <c:pt idx="75">
                  <c:v>IV</c:v>
                </c:pt>
                <c:pt idx="76">
                  <c:v>V</c:v>
                </c:pt>
                <c:pt idx="77">
                  <c:v>VI</c:v>
                </c:pt>
                <c:pt idx="78">
                  <c:v>VII</c:v>
                </c:pt>
                <c:pt idx="79">
                  <c:v>VIII</c:v>
                </c:pt>
                <c:pt idx="80">
                  <c:v>IX</c:v>
                </c:pt>
                <c:pt idx="81">
                  <c:v>X</c:v>
                </c:pt>
                <c:pt idx="82">
                  <c:v>XI</c:v>
                </c:pt>
                <c:pt idx="83">
                  <c:v>XII</c:v>
                </c:pt>
                <c:pt idx="84">
                  <c:v>2014`I</c:v>
                </c:pt>
                <c:pt idx="85">
                  <c:v>II</c:v>
                </c:pt>
                <c:pt idx="86">
                  <c:v>III</c:v>
                </c:pt>
                <c:pt idx="87">
                  <c:v>IV</c:v>
                </c:pt>
                <c:pt idx="88">
                  <c:v>V</c:v>
                </c:pt>
                <c:pt idx="89">
                  <c:v>VI</c:v>
                </c:pt>
                <c:pt idx="90">
                  <c:v>VII</c:v>
                </c:pt>
                <c:pt idx="91">
                  <c:v>VIII</c:v>
                </c:pt>
                <c:pt idx="92">
                  <c:v>IX</c:v>
                </c:pt>
                <c:pt idx="93">
                  <c:v>X</c:v>
                </c:pt>
                <c:pt idx="94">
                  <c:v>XI</c:v>
                </c:pt>
                <c:pt idx="95">
                  <c:v>XII</c:v>
                </c:pt>
                <c:pt idx="96">
                  <c:v>2015`I</c:v>
                </c:pt>
                <c:pt idx="97">
                  <c:v>II</c:v>
                </c:pt>
                <c:pt idx="98">
                  <c:v>III</c:v>
                </c:pt>
                <c:pt idx="99">
                  <c:v>IV</c:v>
                </c:pt>
                <c:pt idx="100">
                  <c:v>V</c:v>
                </c:pt>
                <c:pt idx="101">
                  <c:v>VI</c:v>
                </c:pt>
                <c:pt idx="102">
                  <c:v>VII</c:v>
                </c:pt>
                <c:pt idx="103">
                  <c:v>VIII</c:v>
                </c:pt>
                <c:pt idx="104">
                  <c:v>IX</c:v>
                </c:pt>
                <c:pt idx="105">
                  <c:v>X</c:v>
                </c:pt>
                <c:pt idx="106">
                  <c:v>XI</c:v>
                </c:pt>
                <c:pt idx="107">
                  <c:v>XII</c:v>
                </c:pt>
                <c:pt idx="108">
                  <c:v>2016`I</c:v>
                </c:pt>
                <c:pt idx="109">
                  <c:v>II</c:v>
                </c:pt>
                <c:pt idx="110">
                  <c:v>III</c:v>
                </c:pt>
                <c:pt idx="111">
                  <c:v>IV</c:v>
                </c:pt>
                <c:pt idx="112">
                  <c:v>V</c:v>
                </c:pt>
                <c:pt idx="113">
                  <c:v>VI</c:v>
                </c:pt>
                <c:pt idx="114">
                  <c:v>VII</c:v>
                </c:pt>
                <c:pt idx="115">
                  <c:v>VIII</c:v>
                </c:pt>
                <c:pt idx="116">
                  <c:v>IX</c:v>
                </c:pt>
                <c:pt idx="117">
                  <c:v>X</c:v>
                </c:pt>
                <c:pt idx="118">
                  <c:v>XI</c:v>
                </c:pt>
                <c:pt idx="119">
                  <c:v>XII</c:v>
                </c:pt>
                <c:pt idx="120">
                  <c:v>2017`I</c:v>
                </c:pt>
                <c:pt idx="121">
                  <c:v>II</c:v>
                </c:pt>
                <c:pt idx="122">
                  <c:v>III</c:v>
                </c:pt>
                <c:pt idx="123">
                  <c:v>IV</c:v>
                </c:pt>
                <c:pt idx="124">
                  <c:v>V</c:v>
                </c:pt>
                <c:pt idx="125">
                  <c:v>VI</c:v>
                </c:pt>
                <c:pt idx="126">
                  <c:v>VII</c:v>
                </c:pt>
                <c:pt idx="127">
                  <c:v>VIII</c:v>
                </c:pt>
                <c:pt idx="128">
                  <c:v>IX</c:v>
                </c:pt>
                <c:pt idx="129">
                  <c:v>X</c:v>
                </c:pt>
                <c:pt idx="130">
                  <c:v>XI</c:v>
                </c:pt>
                <c:pt idx="131">
                  <c:v>XII</c:v>
                </c:pt>
                <c:pt idx="132">
                  <c:v>2018`I</c:v>
                </c:pt>
                <c:pt idx="133">
                  <c:v>II</c:v>
                </c:pt>
                <c:pt idx="134">
                  <c:v>III</c:v>
                </c:pt>
                <c:pt idx="135">
                  <c:v>IV</c:v>
                </c:pt>
                <c:pt idx="136">
                  <c:v>V</c:v>
                </c:pt>
                <c:pt idx="137">
                  <c:v>VI</c:v>
                </c:pt>
                <c:pt idx="138">
                  <c:v>VII</c:v>
                </c:pt>
                <c:pt idx="139">
                  <c:v>VIII</c:v>
                </c:pt>
                <c:pt idx="140">
                  <c:v>IX</c:v>
                </c:pt>
                <c:pt idx="141">
                  <c:v>X</c:v>
                </c:pt>
                <c:pt idx="142">
                  <c:v>XI</c:v>
                </c:pt>
                <c:pt idx="143">
                  <c:v>XII</c:v>
                </c:pt>
                <c:pt idx="144">
                  <c:v>2019`I</c:v>
                </c:pt>
                <c:pt idx="145">
                  <c:v>II</c:v>
                </c:pt>
                <c:pt idx="146">
                  <c:v>III</c:v>
                </c:pt>
                <c:pt idx="147">
                  <c:v>IV</c:v>
                </c:pt>
                <c:pt idx="148">
                  <c:v>V</c:v>
                </c:pt>
                <c:pt idx="149">
                  <c:v>VI</c:v>
                </c:pt>
                <c:pt idx="150">
                  <c:v>VII</c:v>
                </c:pt>
                <c:pt idx="151">
                  <c:v>VIII</c:v>
                </c:pt>
                <c:pt idx="152">
                  <c:v>IX</c:v>
                </c:pt>
                <c:pt idx="153">
                  <c:v>X</c:v>
                </c:pt>
                <c:pt idx="154">
                  <c:v>XI</c:v>
                </c:pt>
                <c:pt idx="155">
                  <c:v>XII</c:v>
                </c:pt>
                <c:pt idx="156">
                  <c:v>2020`I</c:v>
                </c:pt>
                <c:pt idx="157">
                  <c:v>II</c:v>
                </c:pt>
                <c:pt idx="158">
                  <c:v>III</c:v>
                </c:pt>
                <c:pt idx="159">
                  <c:v>IV</c:v>
                </c:pt>
                <c:pt idx="160">
                  <c:v>V</c:v>
                </c:pt>
                <c:pt idx="161">
                  <c:v>VI</c:v>
                </c:pt>
                <c:pt idx="162">
                  <c:v>VII</c:v>
                </c:pt>
                <c:pt idx="163">
                  <c:v>VIII</c:v>
                </c:pt>
                <c:pt idx="164">
                  <c:v>IX</c:v>
                </c:pt>
                <c:pt idx="165">
                  <c:v>X</c:v>
                </c:pt>
                <c:pt idx="166">
                  <c:v>XI</c:v>
                </c:pt>
                <c:pt idx="167">
                  <c:v>XII</c:v>
                </c:pt>
                <c:pt idx="168">
                  <c:v>2021`I</c:v>
                </c:pt>
                <c:pt idx="169">
                  <c:v>II</c:v>
                </c:pt>
                <c:pt idx="170">
                  <c:v>III</c:v>
                </c:pt>
                <c:pt idx="171">
                  <c:v>IV</c:v>
                </c:pt>
                <c:pt idx="172">
                  <c:v>V</c:v>
                </c:pt>
                <c:pt idx="173">
                  <c:v>VI</c:v>
                </c:pt>
                <c:pt idx="174">
                  <c:v>VII</c:v>
                </c:pt>
                <c:pt idx="175">
                  <c:v>VIII</c:v>
                </c:pt>
              </c:strCache>
            </c:strRef>
          </c:cat>
          <c:val>
            <c:numRef>
              <c:f>Sheet2!$B$7:$FU$7</c:f>
              <c:numCache>
                <c:formatCode>General</c:formatCode>
                <c:ptCount val="176"/>
                <c:pt idx="1">
                  <c:v>13.9</c:v>
                </c:pt>
                <c:pt idx="2">
                  <c:v>13.7</c:v>
                </c:pt>
                <c:pt idx="3">
                  <c:v>12.8</c:v>
                </c:pt>
                <c:pt idx="4">
                  <c:v>12.4</c:v>
                </c:pt>
                <c:pt idx="5">
                  <c:v>12.1</c:v>
                </c:pt>
                <c:pt idx="6">
                  <c:v>11.7</c:v>
                </c:pt>
                <c:pt idx="7">
                  <c:v>11.1</c:v>
                </c:pt>
                <c:pt idx="8">
                  <c:v>10.3</c:v>
                </c:pt>
                <c:pt idx="9">
                  <c:v>9.6999999999999993</c:v>
                </c:pt>
                <c:pt idx="10">
                  <c:v>9.4</c:v>
                </c:pt>
                <c:pt idx="11">
                  <c:v>9.4</c:v>
                </c:pt>
                <c:pt idx="12">
                  <c:v>9.6</c:v>
                </c:pt>
                <c:pt idx="13">
                  <c:v>9.6</c:v>
                </c:pt>
                <c:pt idx="14">
                  <c:v>9.5</c:v>
                </c:pt>
                <c:pt idx="15">
                  <c:v>9.3000000000000007</c:v>
                </c:pt>
                <c:pt idx="16">
                  <c:v>9.1</c:v>
                </c:pt>
                <c:pt idx="17">
                  <c:v>9.3000000000000007</c:v>
                </c:pt>
                <c:pt idx="18">
                  <c:v>9.3000000000000007</c:v>
                </c:pt>
                <c:pt idx="19">
                  <c:v>9.1999999999999993</c:v>
                </c:pt>
                <c:pt idx="20">
                  <c:v>9.3000000000000007</c:v>
                </c:pt>
                <c:pt idx="21">
                  <c:v>9.5</c:v>
                </c:pt>
                <c:pt idx="22">
                  <c:v>10</c:v>
                </c:pt>
                <c:pt idx="23">
                  <c:v>10.8</c:v>
                </c:pt>
                <c:pt idx="24">
                  <c:v>12.2</c:v>
                </c:pt>
                <c:pt idx="25">
                  <c:v>13.4</c:v>
                </c:pt>
                <c:pt idx="26">
                  <c:v>14.8</c:v>
                </c:pt>
                <c:pt idx="27">
                  <c:v>14.9</c:v>
                </c:pt>
                <c:pt idx="28">
                  <c:v>15.2</c:v>
                </c:pt>
                <c:pt idx="29">
                  <c:v>15.5</c:v>
                </c:pt>
                <c:pt idx="30">
                  <c:v>15.7</c:v>
                </c:pt>
                <c:pt idx="31">
                  <c:v>16.3</c:v>
                </c:pt>
                <c:pt idx="32">
                  <c:v>17.600000000000001</c:v>
                </c:pt>
                <c:pt idx="33">
                  <c:v>18.899999999999999</c:v>
                </c:pt>
                <c:pt idx="34">
                  <c:v>20.2</c:v>
                </c:pt>
                <c:pt idx="35">
                  <c:v>21.1</c:v>
                </c:pt>
                <c:pt idx="36">
                  <c:v>21.8</c:v>
                </c:pt>
                <c:pt idx="37">
                  <c:v>22.6</c:v>
                </c:pt>
                <c:pt idx="38">
                  <c:v>22.9</c:v>
                </c:pt>
                <c:pt idx="39">
                  <c:v>23.1</c:v>
                </c:pt>
                <c:pt idx="40">
                  <c:v>22.8</c:v>
                </c:pt>
                <c:pt idx="41">
                  <c:v>22.4</c:v>
                </c:pt>
                <c:pt idx="42">
                  <c:v>22.4</c:v>
                </c:pt>
                <c:pt idx="43">
                  <c:v>22.3</c:v>
                </c:pt>
                <c:pt idx="44">
                  <c:v>22</c:v>
                </c:pt>
                <c:pt idx="45">
                  <c:v>21.9</c:v>
                </c:pt>
                <c:pt idx="46">
                  <c:v>22.1</c:v>
                </c:pt>
                <c:pt idx="47">
                  <c:v>22.3</c:v>
                </c:pt>
                <c:pt idx="48">
                  <c:v>22.6</c:v>
                </c:pt>
                <c:pt idx="49">
                  <c:v>22.8</c:v>
                </c:pt>
                <c:pt idx="50">
                  <c:v>22.7</c:v>
                </c:pt>
                <c:pt idx="51">
                  <c:v>22.5</c:v>
                </c:pt>
                <c:pt idx="52">
                  <c:v>21.7</c:v>
                </c:pt>
                <c:pt idx="53">
                  <c:v>20.9</c:v>
                </c:pt>
                <c:pt idx="54">
                  <c:v>20.399999999999999</c:v>
                </c:pt>
                <c:pt idx="55">
                  <c:v>20</c:v>
                </c:pt>
                <c:pt idx="56">
                  <c:v>19.7</c:v>
                </c:pt>
                <c:pt idx="57">
                  <c:v>19.600000000000001</c:v>
                </c:pt>
                <c:pt idx="58">
                  <c:v>19.7</c:v>
                </c:pt>
                <c:pt idx="59">
                  <c:v>19.8</c:v>
                </c:pt>
                <c:pt idx="60">
                  <c:v>20.2</c:v>
                </c:pt>
                <c:pt idx="61">
                  <c:v>20.399999999999999</c:v>
                </c:pt>
                <c:pt idx="62">
                  <c:v>20.3</c:v>
                </c:pt>
                <c:pt idx="63" formatCode="0.0">
                  <c:v>24.1</c:v>
                </c:pt>
                <c:pt idx="64" formatCode="0.0">
                  <c:v>23.4</c:v>
                </c:pt>
                <c:pt idx="65">
                  <c:v>22.9</c:v>
                </c:pt>
                <c:pt idx="66">
                  <c:v>22.5</c:v>
                </c:pt>
                <c:pt idx="67">
                  <c:v>22</c:v>
                </c:pt>
                <c:pt idx="68">
                  <c:v>21.6</c:v>
                </c:pt>
                <c:pt idx="69">
                  <c:v>21.3</c:v>
                </c:pt>
                <c:pt idx="70">
                  <c:v>21.2</c:v>
                </c:pt>
                <c:pt idx="71">
                  <c:v>21.1</c:v>
                </c:pt>
                <c:pt idx="72">
                  <c:v>21.5</c:v>
                </c:pt>
                <c:pt idx="73">
                  <c:v>21.5</c:v>
                </c:pt>
                <c:pt idx="74">
                  <c:v>21.4</c:v>
                </c:pt>
                <c:pt idx="75">
                  <c:v>21</c:v>
                </c:pt>
                <c:pt idx="76">
                  <c:v>20.2</c:v>
                </c:pt>
                <c:pt idx="77">
                  <c:v>19.8</c:v>
                </c:pt>
                <c:pt idx="78">
                  <c:v>19.100000000000001</c:v>
                </c:pt>
                <c:pt idx="79">
                  <c:v>18.899999999999999</c:v>
                </c:pt>
                <c:pt idx="80">
                  <c:v>18.600000000000001</c:v>
                </c:pt>
                <c:pt idx="81">
                  <c:v>18.600000000000001</c:v>
                </c:pt>
                <c:pt idx="82">
                  <c:v>18.7</c:v>
                </c:pt>
                <c:pt idx="83">
                  <c:v>18.8</c:v>
                </c:pt>
                <c:pt idx="84">
                  <c:v>19.3</c:v>
                </c:pt>
                <c:pt idx="85">
                  <c:v>19.5</c:v>
                </c:pt>
                <c:pt idx="86">
                  <c:v>19.399999999999999</c:v>
                </c:pt>
                <c:pt idx="87">
                  <c:v>19.7</c:v>
                </c:pt>
                <c:pt idx="88">
                  <c:v>19</c:v>
                </c:pt>
                <c:pt idx="89">
                  <c:v>18.5</c:v>
                </c:pt>
                <c:pt idx="90">
                  <c:v>18.100000000000001</c:v>
                </c:pt>
                <c:pt idx="91">
                  <c:v>17.8</c:v>
                </c:pt>
                <c:pt idx="92">
                  <c:v>17.600000000000001</c:v>
                </c:pt>
                <c:pt idx="93">
                  <c:v>17.600000000000001</c:v>
                </c:pt>
                <c:pt idx="94">
                  <c:v>17.600000000000001</c:v>
                </c:pt>
                <c:pt idx="95">
                  <c:v>17.8</c:v>
                </c:pt>
                <c:pt idx="96">
                  <c:v>18.5</c:v>
                </c:pt>
                <c:pt idx="97">
                  <c:v>18.8</c:v>
                </c:pt>
                <c:pt idx="98">
                  <c:v>19.8</c:v>
                </c:pt>
                <c:pt idx="99">
                  <c:v>19.3</c:v>
                </c:pt>
                <c:pt idx="100">
                  <c:v>18.899999999999999</c:v>
                </c:pt>
                <c:pt idx="101">
                  <c:v>18.7</c:v>
                </c:pt>
                <c:pt idx="102">
                  <c:v>18.5</c:v>
                </c:pt>
                <c:pt idx="103">
                  <c:v>18.399999999999999</c:v>
                </c:pt>
                <c:pt idx="104">
                  <c:v>18.3</c:v>
                </c:pt>
                <c:pt idx="105">
                  <c:v>18.100000000000001</c:v>
                </c:pt>
                <c:pt idx="106">
                  <c:v>18.3</c:v>
                </c:pt>
                <c:pt idx="107">
                  <c:v>18.5</c:v>
                </c:pt>
                <c:pt idx="108">
                  <c:v>19.100000000000001</c:v>
                </c:pt>
                <c:pt idx="109">
                  <c:v>19.3</c:v>
                </c:pt>
                <c:pt idx="110">
                  <c:v>19.100000000000001</c:v>
                </c:pt>
                <c:pt idx="111">
                  <c:v>18.8</c:v>
                </c:pt>
                <c:pt idx="112">
                  <c:v>18.3</c:v>
                </c:pt>
                <c:pt idx="113">
                  <c:v>18</c:v>
                </c:pt>
                <c:pt idx="114">
                  <c:v>17.8</c:v>
                </c:pt>
                <c:pt idx="115">
                  <c:v>17.5</c:v>
                </c:pt>
                <c:pt idx="116">
                  <c:v>17.399999999999999</c:v>
                </c:pt>
                <c:pt idx="117">
                  <c:v>17.3</c:v>
                </c:pt>
                <c:pt idx="118" formatCode="0.0">
                  <c:v>17.600000000000001</c:v>
                </c:pt>
                <c:pt idx="119">
                  <c:v>17.899999999999999</c:v>
                </c:pt>
                <c:pt idx="120">
                  <c:v>18.2</c:v>
                </c:pt>
                <c:pt idx="121">
                  <c:v>18.2</c:v>
                </c:pt>
                <c:pt idx="122">
                  <c:v>18.399999999999999</c:v>
                </c:pt>
                <c:pt idx="123">
                  <c:v>17.7</c:v>
                </c:pt>
                <c:pt idx="124">
                  <c:v>17.100000000000001</c:v>
                </c:pt>
                <c:pt idx="125">
                  <c:v>16.600000000000001</c:v>
                </c:pt>
                <c:pt idx="126">
                  <c:v>16.399999999999999</c:v>
                </c:pt>
                <c:pt idx="127">
                  <c:v>16</c:v>
                </c:pt>
                <c:pt idx="128">
                  <c:v>15.7</c:v>
                </c:pt>
                <c:pt idx="129">
                  <c:v>15.6</c:v>
                </c:pt>
                <c:pt idx="130">
                  <c:v>15.7</c:v>
                </c:pt>
                <c:pt idx="131">
                  <c:v>15.8</c:v>
                </c:pt>
                <c:pt idx="132">
                  <c:v>16</c:v>
                </c:pt>
                <c:pt idx="133">
                  <c:v>16</c:v>
                </c:pt>
                <c:pt idx="134">
                  <c:v>16.399999999999999</c:v>
                </c:pt>
                <c:pt idx="135">
                  <c:v>15.9</c:v>
                </c:pt>
                <c:pt idx="136">
                  <c:v>15.4</c:v>
                </c:pt>
                <c:pt idx="137">
                  <c:v>14.9</c:v>
                </c:pt>
                <c:pt idx="138">
                  <c:v>14.7</c:v>
                </c:pt>
                <c:pt idx="139">
                  <c:v>14.4</c:v>
                </c:pt>
                <c:pt idx="140">
                  <c:v>14.3</c:v>
                </c:pt>
                <c:pt idx="141">
                  <c:v>14.2</c:v>
                </c:pt>
                <c:pt idx="142">
                  <c:v>14.4</c:v>
                </c:pt>
                <c:pt idx="143">
                  <c:v>14.7</c:v>
                </c:pt>
                <c:pt idx="144">
                  <c:v>15</c:v>
                </c:pt>
                <c:pt idx="145">
                  <c:v>15.2</c:v>
                </c:pt>
                <c:pt idx="146">
                  <c:v>15.4</c:v>
                </c:pt>
                <c:pt idx="147">
                  <c:v>14.9</c:v>
                </c:pt>
                <c:pt idx="148">
                  <c:v>14.4</c:v>
                </c:pt>
                <c:pt idx="149">
                  <c:v>14.1</c:v>
                </c:pt>
                <c:pt idx="150">
                  <c:v>13.8</c:v>
                </c:pt>
                <c:pt idx="151">
                  <c:v>13.6</c:v>
                </c:pt>
                <c:pt idx="152">
                  <c:v>13.3</c:v>
                </c:pt>
                <c:pt idx="153">
                  <c:v>13.2</c:v>
                </c:pt>
                <c:pt idx="154">
                  <c:v>13.3</c:v>
                </c:pt>
                <c:pt idx="155">
                  <c:v>13.8</c:v>
                </c:pt>
                <c:pt idx="156">
                  <c:v>13.9</c:v>
                </c:pt>
                <c:pt idx="157">
                  <c:v>13.9</c:v>
                </c:pt>
                <c:pt idx="158">
                  <c:v>14.5</c:v>
                </c:pt>
                <c:pt idx="159">
                  <c:v>15.3</c:v>
                </c:pt>
                <c:pt idx="160">
                  <c:v>15.7</c:v>
                </c:pt>
                <c:pt idx="161">
                  <c:v>16</c:v>
                </c:pt>
                <c:pt idx="162">
                  <c:v>16.100000000000001</c:v>
                </c:pt>
                <c:pt idx="163">
                  <c:v>15.8</c:v>
                </c:pt>
                <c:pt idx="164">
                  <c:v>15.4</c:v>
                </c:pt>
                <c:pt idx="165">
                  <c:v>15</c:v>
                </c:pt>
                <c:pt idx="166">
                  <c:v>15.1</c:v>
                </c:pt>
                <c:pt idx="167">
                  <c:v>15.4</c:v>
                </c:pt>
                <c:pt idx="168">
                  <c:v>16</c:v>
                </c:pt>
                <c:pt idx="169">
                  <c:v>16.5</c:v>
                </c:pt>
                <c:pt idx="170">
                  <c:v>16.5</c:v>
                </c:pt>
                <c:pt idx="171">
                  <c:v>16.2</c:v>
                </c:pt>
                <c:pt idx="172">
                  <c:v>15.9</c:v>
                </c:pt>
                <c:pt idx="173">
                  <c:v>15.8</c:v>
                </c:pt>
                <c:pt idx="174">
                  <c:v>15.6</c:v>
                </c:pt>
                <c:pt idx="175">
                  <c:v>14.9</c:v>
                </c:pt>
              </c:numCache>
            </c:numRef>
          </c:val>
          <c:smooth val="1"/>
          <c:extLst>
            <c:ext xmlns:c16="http://schemas.microsoft.com/office/drawing/2014/chart" uri="{C3380CC4-5D6E-409C-BE32-E72D297353CC}">
              <c16:uniqueId val="{00000003-087C-41C6-8B4B-9611A86BB70B}"/>
            </c:ext>
          </c:extLst>
        </c:ser>
        <c:ser>
          <c:idx val="3"/>
          <c:order val="3"/>
          <c:tx>
            <c:strRef>
              <c:f>Sheet2!$A$8</c:f>
              <c:strCache>
                <c:ptCount val="1"/>
                <c:pt idx="0">
                  <c:v>Vidzeme</c:v>
                </c:pt>
              </c:strCache>
            </c:strRef>
          </c:tx>
          <c:spPr>
            <a:ln w="28575" cap="rnd">
              <a:solidFill>
                <a:srgbClr val="A5A5A5"/>
              </a:solidFill>
              <a:round/>
            </a:ln>
            <a:effectLst/>
          </c:spPr>
          <c:marker>
            <c:symbol val="none"/>
          </c:marker>
          <c:cat>
            <c:strRef>
              <c:f>Sheet2!$B$4:$FU$4</c:f>
              <c:strCache>
                <c:ptCount val="176"/>
                <c:pt idx="0">
                  <c:v>2007`I</c:v>
                </c:pt>
                <c:pt idx="1">
                  <c:v>II</c:v>
                </c:pt>
                <c:pt idx="2">
                  <c:v>III</c:v>
                </c:pt>
                <c:pt idx="3">
                  <c:v>IV</c:v>
                </c:pt>
                <c:pt idx="4">
                  <c:v>V</c:v>
                </c:pt>
                <c:pt idx="5">
                  <c:v>VI</c:v>
                </c:pt>
                <c:pt idx="6">
                  <c:v>VII</c:v>
                </c:pt>
                <c:pt idx="7">
                  <c:v>VIII</c:v>
                </c:pt>
                <c:pt idx="8">
                  <c:v>IX</c:v>
                </c:pt>
                <c:pt idx="9">
                  <c:v>X</c:v>
                </c:pt>
                <c:pt idx="10">
                  <c:v>XI</c:v>
                </c:pt>
                <c:pt idx="11">
                  <c:v>XII</c:v>
                </c:pt>
                <c:pt idx="12">
                  <c:v>2008`I</c:v>
                </c:pt>
                <c:pt idx="13">
                  <c:v>II</c:v>
                </c:pt>
                <c:pt idx="14">
                  <c:v>III</c:v>
                </c:pt>
                <c:pt idx="15">
                  <c:v>IV</c:v>
                </c:pt>
                <c:pt idx="16">
                  <c:v>V</c:v>
                </c:pt>
                <c:pt idx="17">
                  <c:v>VI</c:v>
                </c:pt>
                <c:pt idx="18">
                  <c:v>VII</c:v>
                </c:pt>
                <c:pt idx="19">
                  <c:v>VIII</c:v>
                </c:pt>
                <c:pt idx="20">
                  <c:v>IX</c:v>
                </c:pt>
                <c:pt idx="21">
                  <c:v>X</c:v>
                </c:pt>
                <c:pt idx="22">
                  <c:v>XI</c:v>
                </c:pt>
                <c:pt idx="23">
                  <c:v>XII</c:v>
                </c:pt>
                <c:pt idx="24">
                  <c:v>2009`I</c:v>
                </c:pt>
                <c:pt idx="25">
                  <c:v>II</c:v>
                </c:pt>
                <c:pt idx="26">
                  <c:v>III</c:v>
                </c:pt>
                <c:pt idx="27">
                  <c:v>IV</c:v>
                </c:pt>
                <c:pt idx="28">
                  <c:v>V</c:v>
                </c:pt>
                <c:pt idx="29">
                  <c:v>VI</c:v>
                </c:pt>
                <c:pt idx="30">
                  <c:v>VII</c:v>
                </c:pt>
                <c:pt idx="31">
                  <c:v>VIII</c:v>
                </c:pt>
                <c:pt idx="32">
                  <c:v>IX</c:v>
                </c:pt>
                <c:pt idx="33">
                  <c:v>X</c:v>
                </c:pt>
                <c:pt idx="34">
                  <c:v>XI</c:v>
                </c:pt>
                <c:pt idx="35">
                  <c:v>XII</c:v>
                </c:pt>
                <c:pt idx="36">
                  <c:v>2010`I</c:v>
                </c:pt>
                <c:pt idx="37">
                  <c:v>II</c:v>
                </c:pt>
                <c:pt idx="38">
                  <c:v>III</c:v>
                </c:pt>
                <c:pt idx="39">
                  <c:v>IV</c:v>
                </c:pt>
                <c:pt idx="40">
                  <c:v>V</c:v>
                </c:pt>
                <c:pt idx="41">
                  <c:v>VI</c:v>
                </c:pt>
                <c:pt idx="42">
                  <c:v>VII</c:v>
                </c:pt>
                <c:pt idx="43">
                  <c:v>VIII</c:v>
                </c:pt>
                <c:pt idx="44">
                  <c:v>IX</c:v>
                </c:pt>
                <c:pt idx="45">
                  <c:v>X</c:v>
                </c:pt>
                <c:pt idx="46">
                  <c:v>XI</c:v>
                </c:pt>
                <c:pt idx="47">
                  <c:v>XII</c:v>
                </c:pt>
                <c:pt idx="48">
                  <c:v>2011`I</c:v>
                </c:pt>
                <c:pt idx="49">
                  <c:v>II</c:v>
                </c:pt>
                <c:pt idx="50">
                  <c:v>III</c:v>
                </c:pt>
                <c:pt idx="51">
                  <c:v>IV</c:v>
                </c:pt>
                <c:pt idx="52">
                  <c:v>V</c:v>
                </c:pt>
                <c:pt idx="53">
                  <c:v>VI</c:v>
                </c:pt>
                <c:pt idx="54">
                  <c:v>VII</c:v>
                </c:pt>
                <c:pt idx="55">
                  <c:v>VIII</c:v>
                </c:pt>
                <c:pt idx="56">
                  <c:v>IX</c:v>
                </c:pt>
                <c:pt idx="57">
                  <c:v>X</c:v>
                </c:pt>
                <c:pt idx="58">
                  <c:v>XI</c:v>
                </c:pt>
                <c:pt idx="59">
                  <c:v>XII</c:v>
                </c:pt>
                <c:pt idx="60">
                  <c:v>2012`I</c:v>
                </c:pt>
                <c:pt idx="61">
                  <c:v>II</c:v>
                </c:pt>
                <c:pt idx="62">
                  <c:v>III</c:v>
                </c:pt>
                <c:pt idx="63">
                  <c:v>IV</c:v>
                </c:pt>
                <c:pt idx="64">
                  <c:v>V</c:v>
                </c:pt>
                <c:pt idx="65">
                  <c:v>VI</c:v>
                </c:pt>
                <c:pt idx="66">
                  <c:v>VII</c:v>
                </c:pt>
                <c:pt idx="67">
                  <c:v>VIII</c:v>
                </c:pt>
                <c:pt idx="68">
                  <c:v>IX</c:v>
                </c:pt>
                <c:pt idx="69">
                  <c:v>X</c:v>
                </c:pt>
                <c:pt idx="70">
                  <c:v>XI</c:v>
                </c:pt>
                <c:pt idx="71">
                  <c:v>XII</c:v>
                </c:pt>
                <c:pt idx="72">
                  <c:v>2013`I</c:v>
                </c:pt>
                <c:pt idx="73">
                  <c:v>II</c:v>
                </c:pt>
                <c:pt idx="74">
                  <c:v>III</c:v>
                </c:pt>
                <c:pt idx="75">
                  <c:v>IV</c:v>
                </c:pt>
                <c:pt idx="76">
                  <c:v>V</c:v>
                </c:pt>
                <c:pt idx="77">
                  <c:v>VI</c:v>
                </c:pt>
                <c:pt idx="78">
                  <c:v>VII</c:v>
                </c:pt>
                <c:pt idx="79">
                  <c:v>VIII</c:v>
                </c:pt>
                <c:pt idx="80">
                  <c:v>IX</c:v>
                </c:pt>
                <c:pt idx="81">
                  <c:v>X</c:v>
                </c:pt>
                <c:pt idx="82">
                  <c:v>XI</c:v>
                </c:pt>
                <c:pt idx="83">
                  <c:v>XII</c:v>
                </c:pt>
                <c:pt idx="84">
                  <c:v>2014`I</c:v>
                </c:pt>
                <c:pt idx="85">
                  <c:v>II</c:v>
                </c:pt>
                <c:pt idx="86">
                  <c:v>III</c:v>
                </c:pt>
                <c:pt idx="87">
                  <c:v>IV</c:v>
                </c:pt>
                <c:pt idx="88">
                  <c:v>V</c:v>
                </c:pt>
                <c:pt idx="89">
                  <c:v>VI</c:v>
                </c:pt>
                <c:pt idx="90">
                  <c:v>VII</c:v>
                </c:pt>
                <c:pt idx="91">
                  <c:v>VIII</c:v>
                </c:pt>
                <c:pt idx="92">
                  <c:v>IX</c:v>
                </c:pt>
                <c:pt idx="93">
                  <c:v>X</c:v>
                </c:pt>
                <c:pt idx="94">
                  <c:v>XI</c:v>
                </c:pt>
                <c:pt idx="95">
                  <c:v>XII</c:v>
                </c:pt>
                <c:pt idx="96">
                  <c:v>2015`I</c:v>
                </c:pt>
                <c:pt idx="97">
                  <c:v>II</c:v>
                </c:pt>
                <c:pt idx="98">
                  <c:v>III</c:v>
                </c:pt>
                <c:pt idx="99">
                  <c:v>IV</c:v>
                </c:pt>
                <c:pt idx="100">
                  <c:v>V</c:v>
                </c:pt>
                <c:pt idx="101">
                  <c:v>VI</c:v>
                </c:pt>
                <c:pt idx="102">
                  <c:v>VII</c:v>
                </c:pt>
                <c:pt idx="103">
                  <c:v>VIII</c:v>
                </c:pt>
                <c:pt idx="104">
                  <c:v>IX</c:v>
                </c:pt>
                <c:pt idx="105">
                  <c:v>X</c:v>
                </c:pt>
                <c:pt idx="106">
                  <c:v>XI</c:v>
                </c:pt>
                <c:pt idx="107">
                  <c:v>XII</c:v>
                </c:pt>
                <c:pt idx="108">
                  <c:v>2016`I</c:v>
                </c:pt>
                <c:pt idx="109">
                  <c:v>II</c:v>
                </c:pt>
                <c:pt idx="110">
                  <c:v>III</c:v>
                </c:pt>
                <c:pt idx="111">
                  <c:v>IV</c:v>
                </c:pt>
                <c:pt idx="112">
                  <c:v>V</c:v>
                </c:pt>
                <c:pt idx="113">
                  <c:v>VI</c:v>
                </c:pt>
                <c:pt idx="114">
                  <c:v>VII</c:v>
                </c:pt>
                <c:pt idx="115">
                  <c:v>VIII</c:v>
                </c:pt>
                <c:pt idx="116">
                  <c:v>IX</c:v>
                </c:pt>
                <c:pt idx="117">
                  <c:v>X</c:v>
                </c:pt>
                <c:pt idx="118">
                  <c:v>XI</c:v>
                </c:pt>
                <c:pt idx="119">
                  <c:v>XII</c:v>
                </c:pt>
                <c:pt idx="120">
                  <c:v>2017`I</c:v>
                </c:pt>
                <c:pt idx="121">
                  <c:v>II</c:v>
                </c:pt>
                <c:pt idx="122">
                  <c:v>III</c:v>
                </c:pt>
                <c:pt idx="123">
                  <c:v>IV</c:v>
                </c:pt>
                <c:pt idx="124">
                  <c:v>V</c:v>
                </c:pt>
                <c:pt idx="125">
                  <c:v>VI</c:v>
                </c:pt>
                <c:pt idx="126">
                  <c:v>VII</c:v>
                </c:pt>
                <c:pt idx="127">
                  <c:v>VIII</c:v>
                </c:pt>
                <c:pt idx="128">
                  <c:v>IX</c:v>
                </c:pt>
                <c:pt idx="129">
                  <c:v>X</c:v>
                </c:pt>
                <c:pt idx="130">
                  <c:v>XI</c:v>
                </c:pt>
                <c:pt idx="131">
                  <c:v>XII</c:v>
                </c:pt>
                <c:pt idx="132">
                  <c:v>2018`I</c:v>
                </c:pt>
                <c:pt idx="133">
                  <c:v>II</c:v>
                </c:pt>
                <c:pt idx="134">
                  <c:v>III</c:v>
                </c:pt>
                <c:pt idx="135">
                  <c:v>IV</c:v>
                </c:pt>
                <c:pt idx="136">
                  <c:v>V</c:v>
                </c:pt>
                <c:pt idx="137">
                  <c:v>VI</c:v>
                </c:pt>
                <c:pt idx="138">
                  <c:v>VII</c:v>
                </c:pt>
                <c:pt idx="139">
                  <c:v>VIII</c:v>
                </c:pt>
                <c:pt idx="140">
                  <c:v>IX</c:v>
                </c:pt>
                <c:pt idx="141">
                  <c:v>X</c:v>
                </c:pt>
                <c:pt idx="142">
                  <c:v>XI</c:v>
                </c:pt>
                <c:pt idx="143">
                  <c:v>XII</c:v>
                </c:pt>
                <c:pt idx="144">
                  <c:v>2019`I</c:v>
                </c:pt>
                <c:pt idx="145">
                  <c:v>II</c:v>
                </c:pt>
                <c:pt idx="146">
                  <c:v>III</c:v>
                </c:pt>
                <c:pt idx="147">
                  <c:v>IV</c:v>
                </c:pt>
                <c:pt idx="148">
                  <c:v>V</c:v>
                </c:pt>
                <c:pt idx="149">
                  <c:v>VI</c:v>
                </c:pt>
                <c:pt idx="150">
                  <c:v>VII</c:v>
                </c:pt>
                <c:pt idx="151">
                  <c:v>VIII</c:v>
                </c:pt>
                <c:pt idx="152">
                  <c:v>IX</c:v>
                </c:pt>
                <c:pt idx="153">
                  <c:v>X</c:v>
                </c:pt>
                <c:pt idx="154">
                  <c:v>XI</c:v>
                </c:pt>
                <c:pt idx="155">
                  <c:v>XII</c:v>
                </c:pt>
                <c:pt idx="156">
                  <c:v>2020`I</c:v>
                </c:pt>
                <c:pt idx="157">
                  <c:v>II</c:v>
                </c:pt>
                <c:pt idx="158">
                  <c:v>III</c:v>
                </c:pt>
                <c:pt idx="159">
                  <c:v>IV</c:v>
                </c:pt>
                <c:pt idx="160">
                  <c:v>V</c:v>
                </c:pt>
                <c:pt idx="161">
                  <c:v>VI</c:v>
                </c:pt>
                <c:pt idx="162">
                  <c:v>VII</c:v>
                </c:pt>
                <c:pt idx="163">
                  <c:v>VIII</c:v>
                </c:pt>
                <c:pt idx="164">
                  <c:v>IX</c:v>
                </c:pt>
                <c:pt idx="165">
                  <c:v>X</c:v>
                </c:pt>
                <c:pt idx="166">
                  <c:v>XI</c:v>
                </c:pt>
                <c:pt idx="167">
                  <c:v>XII</c:v>
                </c:pt>
                <c:pt idx="168">
                  <c:v>2021`I</c:v>
                </c:pt>
                <c:pt idx="169">
                  <c:v>II</c:v>
                </c:pt>
                <c:pt idx="170">
                  <c:v>III</c:v>
                </c:pt>
                <c:pt idx="171">
                  <c:v>IV</c:v>
                </c:pt>
                <c:pt idx="172">
                  <c:v>V</c:v>
                </c:pt>
                <c:pt idx="173">
                  <c:v>VI</c:v>
                </c:pt>
                <c:pt idx="174">
                  <c:v>VII</c:v>
                </c:pt>
                <c:pt idx="175">
                  <c:v>VIII</c:v>
                </c:pt>
              </c:strCache>
            </c:strRef>
          </c:cat>
          <c:val>
            <c:numRef>
              <c:f>Sheet2!$B$8:$FU$8</c:f>
              <c:numCache>
                <c:formatCode>General</c:formatCode>
                <c:ptCount val="176"/>
                <c:pt idx="1">
                  <c:v>6.8</c:v>
                </c:pt>
                <c:pt idx="2">
                  <c:v>6.6</c:v>
                </c:pt>
                <c:pt idx="3">
                  <c:v>6.4</c:v>
                </c:pt>
                <c:pt idx="4">
                  <c:v>6.1</c:v>
                </c:pt>
                <c:pt idx="5">
                  <c:v>6</c:v>
                </c:pt>
                <c:pt idx="6">
                  <c:v>5.7</c:v>
                </c:pt>
                <c:pt idx="7">
                  <c:v>5.5</c:v>
                </c:pt>
                <c:pt idx="8">
                  <c:v>5.2</c:v>
                </c:pt>
                <c:pt idx="9">
                  <c:v>4.9000000000000004</c:v>
                </c:pt>
                <c:pt idx="10">
                  <c:v>5</c:v>
                </c:pt>
                <c:pt idx="11">
                  <c:v>5</c:v>
                </c:pt>
                <c:pt idx="12">
                  <c:v>5.2</c:v>
                </c:pt>
                <c:pt idx="13">
                  <c:v>5.0999999999999996</c:v>
                </c:pt>
                <c:pt idx="14">
                  <c:v>4.9000000000000004</c:v>
                </c:pt>
                <c:pt idx="15">
                  <c:v>4.8</c:v>
                </c:pt>
                <c:pt idx="16">
                  <c:v>4.8</c:v>
                </c:pt>
                <c:pt idx="17">
                  <c:v>4.9000000000000004</c:v>
                </c:pt>
                <c:pt idx="18">
                  <c:v>5.0999999999999996</c:v>
                </c:pt>
                <c:pt idx="19">
                  <c:v>5.2</c:v>
                </c:pt>
                <c:pt idx="20">
                  <c:v>5.3</c:v>
                </c:pt>
                <c:pt idx="21">
                  <c:v>5.7</c:v>
                </c:pt>
                <c:pt idx="22">
                  <c:v>6.4</c:v>
                </c:pt>
                <c:pt idx="23">
                  <c:v>7.4</c:v>
                </c:pt>
                <c:pt idx="24">
                  <c:v>8.8000000000000007</c:v>
                </c:pt>
                <c:pt idx="25">
                  <c:v>10.199999999999999</c:v>
                </c:pt>
                <c:pt idx="26">
                  <c:v>11.5</c:v>
                </c:pt>
                <c:pt idx="27">
                  <c:v>11.9</c:v>
                </c:pt>
                <c:pt idx="28">
                  <c:v>12</c:v>
                </c:pt>
                <c:pt idx="29">
                  <c:v>12</c:v>
                </c:pt>
                <c:pt idx="30">
                  <c:v>12.2</c:v>
                </c:pt>
                <c:pt idx="31">
                  <c:v>12.7</c:v>
                </c:pt>
                <c:pt idx="32">
                  <c:v>14</c:v>
                </c:pt>
                <c:pt idx="33">
                  <c:v>15.3</c:v>
                </c:pt>
                <c:pt idx="34">
                  <c:v>16.8</c:v>
                </c:pt>
                <c:pt idx="35">
                  <c:v>17.899999999999999</c:v>
                </c:pt>
                <c:pt idx="36">
                  <c:v>18.600000000000001</c:v>
                </c:pt>
                <c:pt idx="37">
                  <c:v>19.2</c:v>
                </c:pt>
                <c:pt idx="38">
                  <c:v>19.5</c:v>
                </c:pt>
                <c:pt idx="39">
                  <c:v>18.7</c:v>
                </c:pt>
                <c:pt idx="40">
                  <c:v>17.899999999999999</c:v>
                </c:pt>
                <c:pt idx="41">
                  <c:v>17.399999999999999</c:v>
                </c:pt>
                <c:pt idx="42">
                  <c:v>17.100000000000001</c:v>
                </c:pt>
                <c:pt idx="43">
                  <c:v>16.7</c:v>
                </c:pt>
                <c:pt idx="44">
                  <c:v>16.3</c:v>
                </c:pt>
                <c:pt idx="45">
                  <c:v>16</c:v>
                </c:pt>
                <c:pt idx="46">
                  <c:v>16</c:v>
                </c:pt>
                <c:pt idx="47">
                  <c:v>16.2</c:v>
                </c:pt>
                <c:pt idx="48">
                  <c:v>16.399999999999999</c:v>
                </c:pt>
                <c:pt idx="49">
                  <c:v>16.399999999999999</c:v>
                </c:pt>
                <c:pt idx="50">
                  <c:v>16.399999999999999</c:v>
                </c:pt>
                <c:pt idx="51">
                  <c:v>15.7</c:v>
                </c:pt>
                <c:pt idx="52">
                  <c:v>14.8</c:v>
                </c:pt>
                <c:pt idx="53">
                  <c:v>14.2</c:v>
                </c:pt>
                <c:pt idx="54">
                  <c:v>13.7</c:v>
                </c:pt>
                <c:pt idx="55">
                  <c:v>13.3</c:v>
                </c:pt>
                <c:pt idx="56">
                  <c:v>13</c:v>
                </c:pt>
                <c:pt idx="57">
                  <c:v>12.9</c:v>
                </c:pt>
                <c:pt idx="58">
                  <c:v>12.9</c:v>
                </c:pt>
                <c:pt idx="59">
                  <c:v>13</c:v>
                </c:pt>
                <c:pt idx="60">
                  <c:v>13.4</c:v>
                </c:pt>
                <c:pt idx="61">
                  <c:v>13.5</c:v>
                </c:pt>
                <c:pt idx="62">
                  <c:v>13.4</c:v>
                </c:pt>
                <c:pt idx="63" formatCode="0.0">
                  <c:v>15.1</c:v>
                </c:pt>
                <c:pt idx="64" formatCode="0.0">
                  <c:v>14.4</c:v>
                </c:pt>
                <c:pt idx="65">
                  <c:v>13.9</c:v>
                </c:pt>
                <c:pt idx="66">
                  <c:v>13.7</c:v>
                </c:pt>
                <c:pt idx="67">
                  <c:v>13.4</c:v>
                </c:pt>
                <c:pt idx="68">
                  <c:v>13</c:v>
                </c:pt>
                <c:pt idx="69">
                  <c:v>12.8</c:v>
                </c:pt>
                <c:pt idx="70">
                  <c:v>12.8</c:v>
                </c:pt>
                <c:pt idx="71">
                  <c:v>12.8</c:v>
                </c:pt>
                <c:pt idx="72">
                  <c:v>13.3</c:v>
                </c:pt>
                <c:pt idx="73">
                  <c:v>13.3</c:v>
                </c:pt>
                <c:pt idx="74">
                  <c:v>13.1</c:v>
                </c:pt>
                <c:pt idx="75">
                  <c:v>12.5</c:v>
                </c:pt>
                <c:pt idx="76">
                  <c:v>11.7</c:v>
                </c:pt>
                <c:pt idx="77">
                  <c:v>11.2</c:v>
                </c:pt>
                <c:pt idx="78">
                  <c:v>11</c:v>
                </c:pt>
                <c:pt idx="79">
                  <c:v>10.8</c:v>
                </c:pt>
                <c:pt idx="80">
                  <c:v>10.7</c:v>
                </c:pt>
                <c:pt idx="81">
                  <c:v>10.7</c:v>
                </c:pt>
                <c:pt idx="82">
                  <c:v>11</c:v>
                </c:pt>
                <c:pt idx="83">
                  <c:v>11.2</c:v>
                </c:pt>
                <c:pt idx="84">
                  <c:v>11.5</c:v>
                </c:pt>
                <c:pt idx="85">
                  <c:v>11.6</c:v>
                </c:pt>
                <c:pt idx="86">
                  <c:v>11.4</c:v>
                </c:pt>
                <c:pt idx="87">
                  <c:v>11</c:v>
                </c:pt>
                <c:pt idx="88">
                  <c:v>10.4</c:v>
                </c:pt>
                <c:pt idx="89">
                  <c:v>10.1</c:v>
                </c:pt>
                <c:pt idx="90">
                  <c:v>9.8000000000000007</c:v>
                </c:pt>
                <c:pt idx="91">
                  <c:v>9.6</c:v>
                </c:pt>
                <c:pt idx="92">
                  <c:v>9.4</c:v>
                </c:pt>
                <c:pt idx="93">
                  <c:v>9.4</c:v>
                </c:pt>
                <c:pt idx="94">
                  <c:v>9.6</c:v>
                </c:pt>
                <c:pt idx="95">
                  <c:v>9.9</c:v>
                </c:pt>
                <c:pt idx="96">
                  <c:v>10.4</c:v>
                </c:pt>
                <c:pt idx="97">
                  <c:v>10.6</c:v>
                </c:pt>
                <c:pt idx="98">
                  <c:v>10.199999999999999</c:v>
                </c:pt>
                <c:pt idx="99">
                  <c:v>9.6999999999999993</c:v>
                </c:pt>
                <c:pt idx="100">
                  <c:v>9.4</c:v>
                </c:pt>
                <c:pt idx="101">
                  <c:v>9.4</c:v>
                </c:pt>
                <c:pt idx="102">
                  <c:v>9.4</c:v>
                </c:pt>
                <c:pt idx="103">
                  <c:v>9.1999999999999993</c:v>
                </c:pt>
                <c:pt idx="104">
                  <c:v>9</c:v>
                </c:pt>
                <c:pt idx="105">
                  <c:v>9</c:v>
                </c:pt>
                <c:pt idx="106">
                  <c:v>9.1999999999999993</c:v>
                </c:pt>
                <c:pt idx="107">
                  <c:v>9.5</c:v>
                </c:pt>
                <c:pt idx="108">
                  <c:v>10</c:v>
                </c:pt>
                <c:pt idx="109">
                  <c:v>10</c:v>
                </c:pt>
                <c:pt idx="110">
                  <c:v>10.1</c:v>
                </c:pt>
                <c:pt idx="111">
                  <c:v>9.5</c:v>
                </c:pt>
                <c:pt idx="112">
                  <c:v>9.1</c:v>
                </c:pt>
                <c:pt idx="113">
                  <c:v>8.9</c:v>
                </c:pt>
                <c:pt idx="114">
                  <c:v>8.6999999999999993</c:v>
                </c:pt>
                <c:pt idx="115">
                  <c:v>8.6</c:v>
                </c:pt>
                <c:pt idx="116">
                  <c:v>8.6</c:v>
                </c:pt>
                <c:pt idx="117">
                  <c:v>8.6</c:v>
                </c:pt>
                <c:pt idx="118" formatCode="0.0">
                  <c:v>8.8000000000000007</c:v>
                </c:pt>
                <c:pt idx="119">
                  <c:v>9.1999999999999993</c:v>
                </c:pt>
                <c:pt idx="120">
                  <c:v>9.4</c:v>
                </c:pt>
                <c:pt idx="121">
                  <c:v>9.1999999999999993</c:v>
                </c:pt>
                <c:pt idx="122">
                  <c:v>9.3000000000000007</c:v>
                </c:pt>
                <c:pt idx="123">
                  <c:v>8.4</c:v>
                </c:pt>
                <c:pt idx="124">
                  <c:v>8</c:v>
                </c:pt>
                <c:pt idx="125">
                  <c:v>7.8</c:v>
                </c:pt>
                <c:pt idx="126">
                  <c:v>7.6</c:v>
                </c:pt>
                <c:pt idx="127">
                  <c:v>7.4</c:v>
                </c:pt>
                <c:pt idx="128">
                  <c:v>7.1</c:v>
                </c:pt>
                <c:pt idx="129">
                  <c:v>7</c:v>
                </c:pt>
                <c:pt idx="130">
                  <c:v>7.2</c:v>
                </c:pt>
                <c:pt idx="131">
                  <c:v>7.5</c:v>
                </c:pt>
                <c:pt idx="132">
                  <c:v>7.8</c:v>
                </c:pt>
                <c:pt idx="133">
                  <c:v>7.8</c:v>
                </c:pt>
                <c:pt idx="134">
                  <c:v>7.5</c:v>
                </c:pt>
                <c:pt idx="135">
                  <c:v>7.1</c:v>
                </c:pt>
                <c:pt idx="136">
                  <c:v>6.6</c:v>
                </c:pt>
                <c:pt idx="137">
                  <c:v>6.5</c:v>
                </c:pt>
                <c:pt idx="138">
                  <c:v>6.4</c:v>
                </c:pt>
                <c:pt idx="139">
                  <c:v>6.3</c:v>
                </c:pt>
                <c:pt idx="140">
                  <c:v>6.1</c:v>
                </c:pt>
                <c:pt idx="141">
                  <c:v>6.1</c:v>
                </c:pt>
                <c:pt idx="142">
                  <c:v>6.2</c:v>
                </c:pt>
                <c:pt idx="143">
                  <c:v>6.4</c:v>
                </c:pt>
                <c:pt idx="144">
                  <c:v>6.7</c:v>
                </c:pt>
                <c:pt idx="145">
                  <c:v>6.8</c:v>
                </c:pt>
                <c:pt idx="146">
                  <c:v>6.6</c:v>
                </c:pt>
                <c:pt idx="147">
                  <c:v>6.2</c:v>
                </c:pt>
                <c:pt idx="148">
                  <c:v>5.8</c:v>
                </c:pt>
                <c:pt idx="149">
                  <c:v>5.8</c:v>
                </c:pt>
                <c:pt idx="150">
                  <c:v>5.7</c:v>
                </c:pt>
                <c:pt idx="151">
                  <c:v>5.6</c:v>
                </c:pt>
                <c:pt idx="152">
                  <c:v>5.4</c:v>
                </c:pt>
                <c:pt idx="153">
                  <c:v>5.4</c:v>
                </c:pt>
                <c:pt idx="154">
                  <c:v>5.6</c:v>
                </c:pt>
                <c:pt idx="155">
                  <c:v>5.9</c:v>
                </c:pt>
                <c:pt idx="156">
                  <c:v>6</c:v>
                </c:pt>
                <c:pt idx="157">
                  <c:v>6</c:v>
                </c:pt>
                <c:pt idx="158">
                  <c:v>6.7</c:v>
                </c:pt>
                <c:pt idx="159">
                  <c:v>7.7</c:v>
                </c:pt>
                <c:pt idx="160">
                  <c:v>8</c:v>
                </c:pt>
                <c:pt idx="161">
                  <c:v>8.1999999999999993</c:v>
                </c:pt>
                <c:pt idx="162">
                  <c:v>8.1999999999999993</c:v>
                </c:pt>
                <c:pt idx="163">
                  <c:v>7.8</c:v>
                </c:pt>
                <c:pt idx="164">
                  <c:v>7.4</c:v>
                </c:pt>
                <c:pt idx="165">
                  <c:v>7.1</c:v>
                </c:pt>
                <c:pt idx="166">
                  <c:v>7.2</c:v>
                </c:pt>
                <c:pt idx="167">
                  <c:v>7.6</c:v>
                </c:pt>
                <c:pt idx="168">
                  <c:v>8</c:v>
                </c:pt>
                <c:pt idx="169">
                  <c:v>8.3000000000000007</c:v>
                </c:pt>
                <c:pt idx="170">
                  <c:v>8.1</c:v>
                </c:pt>
                <c:pt idx="171">
                  <c:v>7.8</c:v>
                </c:pt>
                <c:pt idx="172">
                  <c:v>7.4</c:v>
                </c:pt>
                <c:pt idx="173">
                  <c:v>7.3</c:v>
                </c:pt>
                <c:pt idx="174">
                  <c:v>7</c:v>
                </c:pt>
                <c:pt idx="175">
                  <c:v>6.4</c:v>
                </c:pt>
              </c:numCache>
            </c:numRef>
          </c:val>
          <c:smooth val="1"/>
          <c:extLst>
            <c:ext xmlns:c16="http://schemas.microsoft.com/office/drawing/2014/chart" uri="{C3380CC4-5D6E-409C-BE32-E72D297353CC}">
              <c16:uniqueId val="{00000004-087C-41C6-8B4B-9611A86BB70B}"/>
            </c:ext>
          </c:extLst>
        </c:ser>
        <c:ser>
          <c:idx val="4"/>
          <c:order val="4"/>
          <c:tx>
            <c:strRef>
              <c:f>Sheet2!$A$9</c:f>
              <c:strCache>
                <c:ptCount val="1"/>
                <c:pt idx="0">
                  <c:v>Zemgale</c:v>
                </c:pt>
              </c:strCache>
            </c:strRef>
          </c:tx>
          <c:spPr>
            <a:ln w="28575" cap="rnd">
              <a:solidFill>
                <a:schemeClr val="accent5"/>
              </a:solidFill>
              <a:round/>
            </a:ln>
            <a:effectLst/>
          </c:spPr>
          <c:marker>
            <c:symbol val="none"/>
          </c:marker>
          <c:cat>
            <c:strRef>
              <c:f>Sheet2!$B$4:$FU$4</c:f>
              <c:strCache>
                <c:ptCount val="176"/>
                <c:pt idx="0">
                  <c:v>2007`I</c:v>
                </c:pt>
                <c:pt idx="1">
                  <c:v>II</c:v>
                </c:pt>
                <c:pt idx="2">
                  <c:v>III</c:v>
                </c:pt>
                <c:pt idx="3">
                  <c:v>IV</c:v>
                </c:pt>
                <c:pt idx="4">
                  <c:v>V</c:v>
                </c:pt>
                <c:pt idx="5">
                  <c:v>VI</c:v>
                </c:pt>
                <c:pt idx="6">
                  <c:v>VII</c:v>
                </c:pt>
                <c:pt idx="7">
                  <c:v>VIII</c:v>
                </c:pt>
                <c:pt idx="8">
                  <c:v>IX</c:v>
                </c:pt>
                <c:pt idx="9">
                  <c:v>X</c:v>
                </c:pt>
                <c:pt idx="10">
                  <c:v>XI</c:v>
                </c:pt>
                <c:pt idx="11">
                  <c:v>XII</c:v>
                </c:pt>
                <c:pt idx="12">
                  <c:v>2008`I</c:v>
                </c:pt>
                <c:pt idx="13">
                  <c:v>II</c:v>
                </c:pt>
                <c:pt idx="14">
                  <c:v>III</c:v>
                </c:pt>
                <c:pt idx="15">
                  <c:v>IV</c:v>
                </c:pt>
                <c:pt idx="16">
                  <c:v>V</c:v>
                </c:pt>
                <c:pt idx="17">
                  <c:v>VI</c:v>
                </c:pt>
                <c:pt idx="18">
                  <c:v>VII</c:v>
                </c:pt>
                <c:pt idx="19">
                  <c:v>VIII</c:v>
                </c:pt>
                <c:pt idx="20">
                  <c:v>IX</c:v>
                </c:pt>
                <c:pt idx="21">
                  <c:v>X</c:v>
                </c:pt>
                <c:pt idx="22">
                  <c:v>XI</c:v>
                </c:pt>
                <c:pt idx="23">
                  <c:v>XII</c:v>
                </c:pt>
                <c:pt idx="24">
                  <c:v>2009`I</c:v>
                </c:pt>
                <c:pt idx="25">
                  <c:v>II</c:v>
                </c:pt>
                <c:pt idx="26">
                  <c:v>III</c:v>
                </c:pt>
                <c:pt idx="27">
                  <c:v>IV</c:v>
                </c:pt>
                <c:pt idx="28">
                  <c:v>V</c:v>
                </c:pt>
                <c:pt idx="29">
                  <c:v>VI</c:v>
                </c:pt>
                <c:pt idx="30">
                  <c:v>VII</c:v>
                </c:pt>
                <c:pt idx="31">
                  <c:v>VIII</c:v>
                </c:pt>
                <c:pt idx="32">
                  <c:v>IX</c:v>
                </c:pt>
                <c:pt idx="33">
                  <c:v>X</c:v>
                </c:pt>
                <c:pt idx="34">
                  <c:v>XI</c:v>
                </c:pt>
                <c:pt idx="35">
                  <c:v>XII</c:v>
                </c:pt>
                <c:pt idx="36">
                  <c:v>2010`I</c:v>
                </c:pt>
                <c:pt idx="37">
                  <c:v>II</c:v>
                </c:pt>
                <c:pt idx="38">
                  <c:v>III</c:v>
                </c:pt>
                <c:pt idx="39">
                  <c:v>IV</c:v>
                </c:pt>
                <c:pt idx="40">
                  <c:v>V</c:v>
                </c:pt>
                <c:pt idx="41">
                  <c:v>VI</c:v>
                </c:pt>
                <c:pt idx="42">
                  <c:v>VII</c:v>
                </c:pt>
                <c:pt idx="43">
                  <c:v>VIII</c:v>
                </c:pt>
                <c:pt idx="44">
                  <c:v>IX</c:v>
                </c:pt>
                <c:pt idx="45">
                  <c:v>X</c:v>
                </c:pt>
                <c:pt idx="46">
                  <c:v>XI</c:v>
                </c:pt>
                <c:pt idx="47">
                  <c:v>XII</c:v>
                </c:pt>
                <c:pt idx="48">
                  <c:v>2011`I</c:v>
                </c:pt>
                <c:pt idx="49">
                  <c:v>II</c:v>
                </c:pt>
                <c:pt idx="50">
                  <c:v>III</c:v>
                </c:pt>
                <c:pt idx="51">
                  <c:v>IV</c:v>
                </c:pt>
                <c:pt idx="52">
                  <c:v>V</c:v>
                </c:pt>
                <c:pt idx="53">
                  <c:v>VI</c:v>
                </c:pt>
                <c:pt idx="54">
                  <c:v>VII</c:v>
                </c:pt>
                <c:pt idx="55">
                  <c:v>VIII</c:v>
                </c:pt>
                <c:pt idx="56">
                  <c:v>IX</c:v>
                </c:pt>
                <c:pt idx="57">
                  <c:v>X</c:v>
                </c:pt>
                <c:pt idx="58">
                  <c:v>XI</c:v>
                </c:pt>
                <c:pt idx="59">
                  <c:v>XII</c:v>
                </c:pt>
                <c:pt idx="60">
                  <c:v>2012`I</c:v>
                </c:pt>
                <c:pt idx="61">
                  <c:v>II</c:v>
                </c:pt>
                <c:pt idx="62">
                  <c:v>III</c:v>
                </c:pt>
                <c:pt idx="63">
                  <c:v>IV</c:v>
                </c:pt>
                <c:pt idx="64">
                  <c:v>V</c:v>
                </c:pt>
                <c:pt idx="65">
                  <c:v>VI</c:v>
                </c:pt>
                <c:pt idx="66">
                  <c:v>VII</c:v>
                </c:pt>
                <c:pt idx="67">
                  <c:v>VIII</c:v>
                </c:pt>
                <c:pt idx="68">
                  <c:v>IX</c:v>
                </c:pt>
                <c:pt idx="69">
                  <c:v>X</c:v>
                </c:pt>
                <c:pt idx="70">
                  <c:v>XI</c:v>
                </c:pt>
                <c:pt idx="71">
                  <c:v>XII</c:v>
                </c:pt>
                <c:pt idx="72">
                  <c:v>2013`I</c:v>
                </c:pt>
                <c:pt idx="73">
                  <c:v>II</c:v>
                </c:pt>
                <c:pt idx="74">
                  <c:v>III</c:v>
                </c:pt>
                <c:pt idx="75">
                  <c:v>IV</c:v>
                </c:pt>
                <c:pt idx="76">
                  <c:v>V</c:v>
                </c:pt>
                <c:pt idx="77">
                  <c:v>VI</c:v>
                </c:pt>
                <c:pt idx="78">
                  <c:v>VII</c:v>
                </c:pt>
                <c:pt idx="79">
                  <c:v>VIII</c:v>
                </c:pt>
                <c:pt idx="80">
                  <c:v>IX</c:v>
                </c:pt>
                <c:pt idx="81">
                  <c:v>X</c:v>
                </c:pt>
                <c:pt idx="82">
                  <c:v>XI</c:v>
                </c:pt>
                <c:pt idx="83">
                  <c:v>XII</c:v>
                </c:pt>
                <c:pt idx="84">
                  <c:v>2014`I</c:v>
                </c:pt>
                <c:pt idx="85">
                  <c:v>II</c:v>
                </c:pt>
                <c:pt idx="86">
                  <c:v>III</c:v>
                </c:pt>
                <c:pt idx="87">
                  <c:v>IV</c:v>
                </c:pt>
                <c:pt idx="88">
                  <c:v>V</c:v>
                </c:pt>
                <c:pt idx="89">
                  <c:v>VI</c:v>
                </c:pt>
                <c:pt idx="90">
                  <c:v>VII</c:v>
                </c:pt>
                <c:pt idx="91">
                  <c:v>VIII</c:v>
                </c:pt>
                <c:pt idx="92">
                  <c:v>IX</c:v>
                </c:pt>
                <c:pt idx="93">
                  <c:v>X</c:v>
                </c:pt>
                <c:pt idx="94">
                  <c:v>XI</c:v>
                </c:pt>
                <c:pt idx="95">
                  <c:v>XII</c:v>
                </c:pt>
                <c:pt idx="96">
                  <c:v>2015`I</c:v>
                </c:pt>
                <c:pt idx="97">
                  <c:v>II</c:v>
                </c:pt>
                <c:pt idx="98">
                  <c:v>III</c:v>
                </c:pt>
                <c:pt idx="99">
                  <c:v>IV</c:v>
                </c:pt>
                <c:pt idx="100">
                  <c:v>V</c:v>
                </c:pt>
                <c:pt idx="101">
                  <c:v>VI</c:v>
                </c:pt>
                <c:pt idx="102">
                  <c:v>VII</c:v>
                </c:pt>
                <c:pt idx="103">
                  <c:v>VIII</c:v>
                </c:pt>
                <c:pt idx="104">
                  <c:v>IX</c:v>
                </c:pt>
                <c:pt idx="105">
                  <c:v>X</c:v>
                </c:pt>
                <c:pt idx="106">
                  <c:v>XI</c:v>
                </c:pt>
                <c:pt idx="107">
                  <c:v>XII</c:v>
                </c:pt>
                <c:pt idx="108">
                  <c:v>2016`I</c:v>
                </c:pt>
                <c:pt idx="109">
                  <c:v>II</c:v>
                </c:pt>
                <c:pt idx="110">
                  <c:v>III</c:v>
                </c:pt>
                <c:pt idx="111">
                  <c:v>IV</c:v>
                </c:pt>
                <c:pt idx="112">
                  <c:v>V</c:v>
                </c:pt>
                <c:pt idx="113">
                  <c:v>VI</c:v>
                </c:pt>
                <c:pt idx="114">
                  <c:v>VII</c:v>
                </c:pt>
                <c:pt idx="115">
                  <c:v>VIII</c:v>
                </c:pt>
                <c:pt idx="116">
                  <c:v>IX</c:v>
                </c:pt>
                <c:pt idx="117">
                  <c:v>X</c:v>
                </c:pt>
                <c:pt idx="118">
                  <c:v>XI</c:v>
                </c:pt>
                <c:pt idx="119">
                  <c:v>XII</c:v>
                </c:pt>
                <c:pt idx="120">
                  <c:v>2017`I</c:v>
                </c:pt>
                <c:pt idx="121">
                  <c:v>II</c:v>
                </c:pt>
                <c:pt idx="122">
                  <c:v>III</c:v>
                </c:pt>
                <c:pt idx="123">
                  <c:v>IV</c:v>
                </c:pt>
                <c:pt idx="124">
                  <c:v>V</c:v>
                </c:pt>
                <c:pt idx="125">
                  <c:v>VI</c:v>
                </c:pt>
                <c:pt idx="126">
                  <c:v>VII</c:v>
                </c:pt>
                <c:pt idx="127">
                  <c:v>VIII</c:v>
                </c:pt>
                <c:pt idx="128">
                  <c:v>IX</c:v>
                </c:pt>
                <c:pt idx="129">
                  <c:v>X</c:v>
                </c:pt>
                <c:pt idx="130">
                  <c:v>XI</c:v>
                </c:pt>
                <c:pt idx="131">
                  <c:v>XII</c:v>
                </c:pt>
                <c:pt idx="132">
                  <c:v>2018`I</c:v>
                </c:pt>
                <c:pt idx="133">
                  <c:v>II</c:v>
                </c:pt>
                <c:pt idx="134">
                  <c:v>III</c:v>
                </c:pt>
                <c:pt idx="135">
                  <c:v>IV</c:v>
                </c:pt>
                <c:pt idx="136">
                  <c:v>V</c:v>
                </c:pt>
                <c:pt idx="137">
                  <c:v>VI</c:v>
                </c:pt>
                <c:pt idx="138">
                  <c:v>VII</c:v>
                </c:pt>
                <c:pt idx="139">
                  <c:v>VIII</c:v>
                </c:pt>
                <c:pt idx="140">
                  <c:v>IX</c:v>
                </c:pt>
                <c:pt idx="141">
                  <c:v>X</c:v>
                </c:pt>
                <c:pt idx="142">
                  <c:v>XI</c:v>
                </c:pt>
                <c:pt idx="143">
                  <c:v>XII</c:v>
                </c:pt>
                <c:pt idx="144">
                  <c:v>2019`I</c:v>
                </c:pt>
                <c:pt idx="145">
                  <c:v>II</c:v>
                </c:pt>
                <c:pt idx="146">
                  <c:v>III</c:v>
                </c:pt>
                <c:pt idx="147">
                  <c:v>IV</c:v>
                </c:pt>
                <c:pt idx="148">
                  <c:v>V</c:v>
                </c:pt>
                <c:pt idx="149">
                  <c:v>VI</c:v>
                </c:pt>
                <c:pt idx="150">
                  <c:v>VII</c:v>
                </c:pt>
                <c:pt idx="151">
                  <c:v>VIII</c:v>
                </c:pt>
                <c:pt idx="152">
                  <c:v>IX</c:v>
                </c:pt>
                <c:pt idx="153">
                  <c:v>X</c:v>
                </c:pt>
                <c:pt idx="154">
                  <c:v>XI</c:v>
                </c:pt>
                <c:pt idx="155">
                  <c:v>XII</c:v>
                </c:pt>
                <c:pt idx="156">
                  <c:v>2020`I</c:v>
                </c:pt>
                <c:pt idx="157">
                  <c:v>II</c:v>
                </c:pt>
                <c:pt idx="158">
                  <c:v>III</c:v>
                </c:pt>
                <c:pt idx="159">
                  <c:v>IV</c:v>
                </c:pt>
                <c:pt idx="160">
                  <c:v>V</c:v>
                </c:pt>
                <c:pt idx="161">
                  <c:v>VI</c:v>
                </c:pt>
                <c:pt idx="162">
                  <c:v>VII</c:v>
                </c:pt>
                <c:pt idx="163">
                  <c:v>VIII</c:v>
                </c:pt>
                <c:pt idx="164">
                  <c:v>IX</c:v>
                </c:pt>
                <c:pt idx="165">
                  <c:v>X</c:v>
                </c:pt>
                <c:pt idx="166">
                  <c:v>XI</c:v>
                </c:pt>
                <c:pt idx="167">
                  <c:v>XII</c:v>
                </c:pt>
                <c:pt idx="168">
                  <c:v>2021`I</c:v>
                </c:pt>
                <c:pt idx="169">
                  <c:v>II</c:v>
                </c:pt>
                <c:pt idx="170">
                  <c:v>III</c:v>
                </c:pt>
                <c:pt idx="171">
                  <c:v>IV</c:v>
                </c:pt>
                <c:pt idx="172">
                  <c:v>V</c:v>
                </c:pt>
                <c:pt idx="173">
                  <c:v>VI</c:v>
                </c:pt>
                <c:pt idx="174">
                  <c:v>VII</c:v>
                </c:pt>
                <c:pt idx="175">
                  <c:v>VIII</c:v>
                </c:pt>
              </c:strCache>
            </c:strRef>
          </c:cat>
          <c:val>
            <c:numRef>
              <c:f>Sheet2!$B$9:$FU$9</c:f>
              <c:numCache>
                <c:formatCode>General</c:formatCode>
                <c:ptCount val="176"/>
                <c:pt idx="1">
                  <c:v>7</c:v>
                </c:pt>
                <c:pt idx="2">
                  <c:v>6.8</c:v>
                </c:pt>
                <c:pt idx="3">
                  <c:v>6.5</c:v>
                </c:pt>
                <c:pt idx="4">
                  <c:v>6.1</c:v>
                </c:pt>
                <c:pt idx="5">
                  <c:v>5.9</c:v>
                </c:pt>
                <c:pt idx="6">
                  <c:v>5.7</c:v>
                </c:pt>
                <c:pt idx="7">
                  <c:v>5.4</c:v>
                </c:pt>
                <c:pt idx="8">
                  <c:v>5.0999999999999996</c:v>
                </c:pt>
                <c:pt idx="9">
                  <c:v>4.8</c:v>
                </c:pt>
                <c:pt idx="10">
                  <c:v>4.8</c:v>
                </c:pt>
                <c:pt idx="11">
                  <c:v>4.9000000000000004</c:v>
                </c:pt>
                <c:pt idx="12">
                  <c:v>5</c:v>
                </c:pt>
                <c:pt idx="13">
                  <c:v>5.0999999999999996</c:v>
                </c:pt>
                <c:pt idx="14">
                  <c:v>5</c:v>
                </c:pt>
                <c:pt idx="15">
                  <c:v>4.9000000000000004</c:v>
                </c:pt>
                <c:pt idx="16">
                  <c:v>4.9000000000000004</c:v>
                </c:pt>
                <c:pt idx="17">
                  <c:v>4.9000000000000004</c:v>
                </c:pt>
                <c:pt idx="18">
                  <c:v>4.9000000000000004</c:v>
                </c:pt>
                <c:pt idx="19">
                  <c:v>5.0999999999999996</c:v>
                </c:pt>
                <c:pt idx="20">
                  <c:v>5.3</c:v>
                </c:pt>
                <c:pt idx="21">
                  <c:v>5.7</c:v>
                </c:pt>
                <c:pt idx="22">
                  <c:v>6.5</c:v>
                </c:pt>
                <c:pt idx="23">
                  <c:v>7.6</c:v>
                </c:pt>
                <c:pt idx="24">
                  <c:v>9.1999999999999993</c:v>
                </c:pt>
                <c:pt idx="25">
                  <c:v>10.7</c:v>
                </c:pt>
                <c:pt idx="26">
                  <c:v>12.2</c:v>
                </c:pt>
                <c:pt idx="27">
                  <c:v>12.2</c:v>
                </c:pt>
                <c:pt idx="28">
                  <c:v>12.3</c:v>
                </c:pt>
                <c:pt idx="29">
                  <c:v>12.3</c:v>
                </c:pt>
                <c:pt idx="30">
                  <c:v>12.5</c:v>
                </c:pt>
                <c:pt idx="31">
                  <c:v>13.1</c:v>
                </c:pt>
                <c:pt idx="32">
                  <c:v>14.2</c:v>
                </c:pt>
                <c:pt idx="33">
                  <c:v>15.1</c:v>
                </c:pt>
                <c:pt idx="34">
                  <c:v>16.5</c:v>
                </c:pt>
                <c:pt idx="35">
                  <c:v>17.8</c:v>
                </c:pt>
                <c:pt idx="36">
                  <c:v>18.899999999999999</c:v>
                </c:pt>
                <c:pt idx="37">
                  <c:v>19.5</c:v>
                </c:pt>
                <c:pt idx="38">
                  <c:v>19.8</c:v>
                </c:pt>
                <c:pt idx="39">
                  <c:v>18.7</c:v>
                </c:pt>
                <c:pt idx="40">
                  <c:v>17.8</c:v>
                </c:pt>
                <c:pt idx="41">
                  <c:v>17</c:v>
                </c:pt>
                <c:pt idx="42">
                  <c:v>16.399999999999999</c:v>
                </c:pt>
                <c:pt idx="43">
                  <c:v>16.100000000000001</c:v>
                </c:pt>
                <c:pt idx="44">
                  <c:v>15.6</c:v>
                </c:pt>
                <c:pt idx="45">
                  <c:v>15.4</c:v>
                </c:pt>
                <c:pt idx="46">
                  <c:v>15.5</c:v>
                </c:pt>
                <c:pt idx="47">
                  <c:v>15.8</c:v>
                </c:pt>
                <c:pt idx="48">
                  <c:v>16.100000000000001</c:v>
                </c:pt>
                <c:pt idx="49">
                  <c:v>16.3</c:v>
                </c:pt>
                <c:pt idx="50">
                  <c:v>16.100000000000001</c:v>
                </c:pt>
                <c:pt idx="51">
                  <c:v>15.4</c:v>
                </c:pt>
                <c:pt idx="52">
                  <c:v>14.5</c:v>
                </c:pt>
                <c:pt idx="53">
                  <c:v>13.9</c:v>
                </c:pt>
                <c:pt idx="54">
                  <c:v>13.2</c:v>
                </c:pt>
                <c:pt idx="55">
                  <c:v>12.9</c:v>
                </c:pt>
                <c:pt idx="56">
                  <c:v>12.6</c:v>
                </c:pt>
                <c:pt idx="57">
                  <c:v>12.5</c:v>
                </c:pt>
                <c:pt idx="58">
                  <c:v>12.5</c:v>
                </c:pt>
                <c:pt idx="59">
                  <c:v>12.7</c:v>
                </c:pt>
                <c:pt idx="60">
                  <c:v>13.1</c:v>
                </c:pt>
                <c:pt idx="61">
                  <c:v>13.3</c:v>
                </c:pt>
                <c:pt idx="62">
                  <c:v>13.1</c:v>
                </c:pt>
                <c:pt idx="63" formatCode="0.0">
                  <c:v>14.4</c:v>
                </c:pt>
                <c:pt idx="64" formatCode="0.0">
                  <c:v>13.6</c:v>
                </c:pt>
                <c:pt idx="65">
                  <c:v>13</c:v>
                </c:pt>
                <c:pt idx="66">
                  <c:v>12.7</c:v>
                </c:pt>
                <c:pt idx="67">
                  <c:v>12.4</c:v>
                </c:pt>
                <c:pt idx="68">
                  <c:v>12.1</c:v>
                </c:pt>
                <c:pt idx="69">
                  <c:v>11.8</c:v>
                </c:pt>
                <c:pt idx="70">
                  <c:v>11.7</c:v>
                </c:pt>
                <c:pt idx="71">
                  <c:v>11.7</c:v>
                </c:pt>
                <c:pt idx="72">
                  <c:v>12.1</c:v>
                </c:pt>
                <c:pt idx="73">
                  <c:v>12</c:v>
                </c:pt>
                <c:pt idx="74">
                  <c:v>11.8</c:v>
                </c:pt>
                <c:pt idx="75">
                  <c:v>11.2</c:v>
                </c:pt>
                <c:pt idx="76">
                  <c:v>10.5</c:v>
                </c:pt>
                <c:pt idx="77">
                  <c:v>10.1</c:v>
                </c:pt>
                <c:pt idx="78">
                  <c:v>9.6999999999999993</c:v>
                </c:pt>
                <c:pt idx="79">
                  <c:v>9.4</c:v>
                </c:pt>
                <c:pt idx="80">
                  <c:v>9.1999999999999993</c:v>
                </c:pt>
                <c:pt idx="81">
                  <c:v>9.1999999999999993</c:v>
                </c:pt>
                <c:pt idx="82">
                  <c:v>9.4</c:v>
                </c:pt>
                <c:pt idx="83">
                  <c:v>9.8000000000000007</c:v>
                </c:pt>
                <c:pt idx="84">
                  <c:v>10.4</c:v>
                </c:pt>
                <c:pt idx="85">
                  <c:v>10.5</c:v>
                </c:pt>
                <c:pt idx="86">
                  <c:v>10.199999999999999</c:v>
                </c:pt>
                <c:pt idx="87">
                  <c:v>9.6</c:v>
                </c:pt>
                <c:pt idx="88">
                  <c:v>8.9</c:v>
                </c:pt>
                <c:pt idx="89">
                  <c:v>8.6</c:v>
                </c:pt>
                <c:pt idx="90">
                  <c:v>8.1999999999999993</c:v>
                </c:pt>
                <c:pt idx="91">
                  <c:v>7.9</c:v>
                </c:pt>
                <c:pt idx="92">
                  <c:v>7.8</c:v>
                </c:pt>
                <c:pt idx="93">
                  <c:v>7.7</c:v>
                </c:pt>
                <c:pt idx="94">
                  <c:v>8</c:v>
                </c:pt>
                <c:pt idx="95">
                  <c:v>8.3000000000000007</c:v>
                </c:pt>
                <c:pt idx="96">
                  <c:v>9</c:v>
                </c:pt>
                <c:pt idx="97">
                  <c:v>9.3000000000000007</c:v>
                </c:pt>
                <c:pt idx="98">
                  <c:v>9.6</c:v>
                </c:pt>
                <c:pt idx="99">
                  <c:v>9</c:v>
                </c:pt>
                <c:pt idx="100">
                  <c:v>8.5</c:v>
                </c:pt>
                <c:pt idx="101">
                  <c:v>8.3000000000000007</c:v>
                </c:pt>
                <c:pt idx="102">
                  <c:v>8.1</c:v>
                </c:pt>
                <c:pt idx="103">
                  <c:v>8</c:v>
                </c:pt>
                <c:pt idx="104">
                  <c:v>8</c:v>
                </c:pt>
                <c:pt idx="105">
                  <c:v>7.9</c:v>
                </c:pt>
                <c:pt idx="106">
                  <c:v>8.3000000000000007</c:v>
                </c:pt>
                <c:pt idx="107">
                  <c:v>8.6999999999999993</c:v>
                </c:pt>
                <c:pt idx="108">
                  <c:v>9.5</c:v>
                </c:pt>
                <c:pt idx="109">
                  <c:v>9.6999999999999993</c:v>
                </c:pt>
                <c:pt idx="110">
                  <c:v>9.4</c:v>
                </c:pt>
                <c:pt idx="111">
                  <c:v>8.8000000000000007</c:v>
                </c:pt>
                <c:pt idx="112">
                  <c:v>8.1999999999999993</c:v>
                </c:pt>
                <c:pt idx="113">
                  <c:v>8</c:v>
                </c:pt>
                <c:pt idx="114">
                  <c:v>7.7</c:v>
                </c:pt>
                <c:pt idx="115">
                  <c:v>7.4</c:v>
                </c:pt>
                <c:pt idx="116">
                  <c:v>7.3</c:v>
                </c:pt>
                <c:pt idx="117">
                  <c:v>7.4</c:v>
                </c:pt>
                <c:pt idx="118" formatCode="0.0">
                  <c:v>7.7</c:v>
                </c:pt>
                <c:pt idx="119">
                  <c:v>8.1999999999999993</c:v>
                </c:pt>
                <c:pt idx="120">
                  <c:v>8.5</c:v>
                </c:pt>
                <c:pt idx="121">
                  <c:v>8.5</c:v>
                </c:pt>
                <c:pt idx="122">
                  <c:v>8.1999999999999993</c:v>
                </c:pt>
                <c:pt idx="123">
                  <c:v>7.4</c:v>
                </c:pt>
                <c:pt idx="124">
                  <c:v>7</c:v>
                </c:pt>
                <c:pt idx="125">
                  <c:v>6.7</c:v>
                </c:pt>
                <c:pt idx="126">
                  <c:v>6.5</c:v>
                </c:pt>
                <c:pt idx="127">
                  <c:v>6.3</c:v>
                </c:pt>
                <c:pt idx="128">
                  <c:v>6</c:v>
                </c:pt>
                <c:pt idx="129">
                  <c:v>6</c:v>
                </c:pt>
                <c:pt idx="130">
                  <c:v>6.2</c:v>
                </c:pt>
                <c:pt idx="131">
                  <c:v>6.5</c:v>
                </c:pt>
                <c:pt idx="132">
                  <c:v>6.9</c:v>
                </c:pt>
                <c:pt idx="133">
                  <c:v>6.9</c:v>
                </c:pt>
                <c:pt idx="134">
                  <c:v>6.8</c:v>
                </c:pt>
                <c:pt idx="135">
                  <c:v>6.4</c:v>
                </c:pt>
                <c:pt idx="136">
                  <c:v>6</c:v>
                </c:pt>
                <c:pt idx="137">
                  <c:v>5.9</c:v>
                </c:pt>
                <c:pt idx="138">
                  <c:v>5.8</c:v>
                </c:pt>
                <c:pt idx="139">
                  <c:v>5.6</c:v>
                </c:pt>
                <c:pt idx="140">
                  <c:v>5.6</c:v>
                </c:pt>
                <c:pt idx="141">
                  <c:v>5.6</c:v>
                </c:pt>
                <c:pt idx="142">
                  <c:v>5.8</c:v>
                </c:pt>
                <c:pt idx="143">
                  <c:v>6.2</c:v>
                </c:pt>
                <c:pt idx="144">
                  <c:v>6.6</c:v>
                </c:pt>
                <c:pt idx="145">
                  <c:v>6.6</c:v>
                </c:pt>
                <c:pt idx="146">
                  <c:v>6.7</c:v>
                </c:pt>
                <c:pt idx="147">
                  <c:v>6.2</c:v>
                </c:pt>
                <c:pt idx="148">
                  <c:v>5.8</c:v>
                </c:pt>
                <c:pt idx="149">
                  <c:v>5.8</c:v>
                </c:pt>
                <c:pt idx="150">
                  <c:v>5.7</c:v>
                </c:pt>
                <c:pt idx="151">
                  <c:v>5.5</c:v>
                </c:pt>
                <c:pt idx="152">
                  <c:v>5.3</c:v>
                </c:pt>
                <c:pt idx="153">
                  <c:v>5.4</c:v>
                </c:pt>
                <c:pt idx="154">
                  <c:v>5.7</c:v>
                </c:pt>
                <c:pt idx="155">
                  <c:v>6.3</c:v>
                </c:pt>
                <c:pt idx="156">
                  <c:v>6.5</c:v>
                </c:pt>
                <c:pt idx="157">
                  <c:v>6.5</c:v>
                </c:pt>
                <c:pt idx="158">
                  <c:v>6.8</c:v>
                </c:pt>
                <c:pt idx="159">
                  <c:v>7.7</c:v>
                </c:pt>
                <c:pt idx="160">
                  <c:v>8</c:v>
                </c:pt>
                <c:pt idx="161">
                  <c:v>8.1999999999999993</c:v>
                </c:pt>
                <c:pt idx="162">
                  <c:v>8</c:v>
                </c:pt>
                <c:pt idx="163">
                  <c:v>7.6</c:v>
                </c:pt>
                <c:pt idx="164">
                  <c:v>7.1</c:v>
                </c:pt>
                <c:pt idx="165">
                  <c:v>6.7</c:v>
                </c:pt>
                <c:pt idx="166">
                  <c:v>6.9</c:v>
                </c:pt>
                <c:pt idx="167">
                  <c:v>7.3</c:v>
                </c:pt>
                <c:pt idx="168">
                  <c:v>7.8</c:v>
                </c:pt>
                <c:pt idx="169">
                  <c:v>8</c:v>
                </c:pt>
                <c:pt idx="170">
                  <c:v>8</c:v>
                </c:pt>
                <c:pt idx="171">
                  <c:v>7.5</c:v>
                </c:pt>
                <c:pt idx="172">
                  <c:v>7.1</c:v>
                </c:pt>
                <c:pt idx="173">
                  <c:v>6.9</c:v>
                </c:pt>
                <c:pt idx="174">
                  <c:v>6.5</c:v>
                </c:pt>
                <c:pt idx="175">
                  <c:v>5.9</c:v>
                </c:pt>
              </c:numCache>
            </c:numRef>
          </c:val>
          <c:smooth val="1"/>
          <c:extLst>
            <c:ext xmlns:c16="http://schemas.microsoft.com/office/drawing/2014/chart" uri="{C3380CC4-5D6E-409C-BE32-E72D297353CC}">
              <c16:uniqueId val="{00000005-087C-41C6-8B4B-9611A86BB70B}"/>
            </c:ext>
          </c:extLst>
        </c:ser>
        <c:dLbls>
          <c:showLegendKey val="0"/>
          <c:showVal val="0"/>
          <c:showCatName val="0"/>
          <c:showSerName val="0"/>
          <c:showPercent val="0"/>
          <c:showBubbleSize val="0"/>
        </c:dLbls>
        <c:marker val="1"/>
        <c:smooth val="0"/>
        <c:axId val="336009504"/>
        <c:axId val="336013816"/>
      </c:lineChart>
      <c:catAx>
        <c:axId val="336009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36013816"/>
        <c:crosses val="autoZero"/>
        <c:auto val="1"/>
        <c:lblAlgn val="ctr"/>
        <c:lblOffset val="100"/>
        <c:tickLblSkip val="12"/>
        <c:tickMarkSkip val="12"/>
        <c:noMultiLvlLbl val="0"/>
      </c:catAx>
      <c:valAx>
        <c:axId val="336013816"/>
        <c:scaling>
          <c:orientation val="minMax"/>
          <c:max val="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36009504"/>
        <c:crosses val="autoZero"/>
        <c:crossBetween val="between"/>
      </c:valAx>
      <c:spPr>
        <a:noFill/>
        <a:ln>
          <a:noFill/>
        </a:ln>
        <a:effectLst/>
      </c:spPr>
    </c:plotArea>
    <c:legend>
      <c:legendPos val="b"/>
      <c:layout>
        <c:manualLayout>
          <c:xMode val="edge"/>
          <c:yMode val="edge"/>
          <c:x val="7.6483705960112655E-2"/>
          <c:y val="0.87860517435320584"/>
          <c:w val="0.81584360434477865"/>
          <c:h val="0.106752187891407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812185120704"/>
          <c:y val="9.7991493911704988E-2"/>
          <c:w val="0.69897816012177827"/>
          <c:h val="0.81531332786504396"/>
        </c:manualLayout>
      </c:layout>
      <c:lineChart>
        <c:grouping val="standard"/>
        <c:varyColors val="0"/>
        <c:ser>
          <c:idx val="0"/>
          <c:order val="0"/>
          <c:tx>
            <c:strRef>
              <c:f>'vienreizējie darba ņēmēji'!$E$4</c:f>
              <c:strCache>
                <c:ptCount val="1"/>
                <c:pt idx="0">
                  <c:v>2007</c:v>
                </c:pt>
              </c:strCache>
            </c:strRef>
          </c:tx>
          <c:spPr>
            <a:ln>
              <a:prstDash val="sysDash"/>
            </a:ln>
          </c:spPr>
          <c:marker>
            <c:symbol val="none"/>
          </c:marker>
          <c:cat>
            <c:strRef>
              <c:f>'vienreizējie darba ņēmēji'!$F$3:$Q$3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'vienreizējie darba ņēmēji'!$F$4:$Q$4</c:f>
              <c:numCache>
                <c:formatCode>0</c:formatCode>
                <c:ptCount val="12"/>
                <c:pt idx="0">
                  <c:v>909945</c:v>
                </c:pt>
                <c:pt idx="1">
                  <c:v>913544</c:v>
                </c:pt>
                <c:pt idx="2">
                  <c:v>921960</c:v>
                </c:pt>
                <c:pt idx="3">
                  <c:v>927286</c:v>
                </c:pt>
                <c:pt idx="4">
                  <c:v>933115</c:v>
                </c:pt>
                <c:pt idx="5">
                  <c:v>950147</c:v>
                </c:pt>
                <c:pt idx="6">
                  <c:v>960794</c:v>
                </c:pt>
                <c:pt idx="7">
                  <c:v>955827</c:v>
                </c:pt>
                <c:pt idx="8">
                  <c:v>944256</c:v>
                </c:pt>
                <c:pt idx="9">
                  <c:v>947652</c:v>
                </c:pt>
                <c:pt idx="10">
                  <c:v>947181</c:v>
                </c:pt>
                <c:pt idx="11">
                  <c:v>939483</c:v>
                </c:pt>
              </c:numCache>
            </c:numRef>
          </c:val>
          <c:smooth val="1"/>
          <c:extLst>
            <c:ext xmlns:c16="http://schemas.microsoft.com/office/drawing/2014/chart" uri="{C3380CC4-5D6E-409C-BE32-E72D297353CC}">
              <c16:uniqueId val="{00000000-C458-4329-B67D-E2469FCD3FBD}"/>
            </c:ext>
          </c:extLst>
        </c:ser>
        <c:ser>
          <c:idx val="1"/>
          <c:order val="1"/>
          <c:tx>
            <c:strRef>
              <c:f>'vienreizējie darba ņēmēji'!$E$5</c:f>
              <c:strCache>
                <c:ptCount val="1"/>
                <c:pt idx="0">
                  <c:v>2008</c:v>
                </c:pt>
              </c:strCache>
            </c:strRef>
          </c:tx>
          <c:spPr>
            <a:ln>
              <a:prstDash val="sysDash"/>
            </a:ln>
          </c:spPr>
          <c:marker>
            <c:symbol val="none"/>
          </c:marker>
          <c:cat>
            <c:strRef>
              <c:f>'vienreizējie darba ņēmēji'!$F$3:$Q$3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'vienreizējie darba ņēmēji'!$F$5:$Q$5</c:f>
              <c:numCache>
                <c:formatCode>0</c:formatCode>
                <c:ptCount val="12"/>
                <c:pt idx="0">
                  <c:v>938553</c:v>
                </c:pt>
                <c:pt idx="1">
                  <c:v>940687</c:v>
                </c:pt>
                <c:pt idx="2">
                  <c:v>941685</c:v>
                </c:pt>
                <c:pt idx="3">
                  <c:v>944934</c:v>
                </c:pt>
                <c:pt idx="4">
                  <c:v>938459</c:v>
                </c:pt>
                <c:pt idx="5">
                  <c:v>946991</c:v>
                </c:pt>
                <c:pt idx="6">
                  <c:v>950010</c:v>
                </c:pt>
                <c:pt idx="7">
                  <c:v>947591</c:v>
                </c:pt>
                <c:pt idx="8">
                  <c:v>929977</c:v>
                </c:pt>
                <c:pt idx="9">
                  <c:v>926331</c:v>
                </c:pt>
                <c:pt idx="10">
                  <c:v>909914</c:v>
                </c:pt>
                <c:pt idx="11">
                  <c:v>896900</c:v>
                </c:pt>
              </c:numCache>
            </c:numRef>
          </c:val>
          <c:smooth val="1"/>
          <c:extLst>
            <c:ext xmlns:c16="http://schemas.microsoft.com/office/drawing/2014/chart" uri="{C3380CC4-5D6E-409C-BE32-E72D297353CC}">
              <c16:uniqueId val="{00000001-C458-4329-B67D-E2469FCD3FBD}"/>
            </c:ext>
          </c:extLst>
        </c:ser>
        <c:ser>
          <c:idx val="2"/>
          <c:order val="2"/>
          <c:tx>
            <c:strRef>
              <c:f>'vienreizējie darba ņēmēji'!$E$6</c:f>
              <c:strCache>
                <c:ptCount val="1"/>
                <c:pt idx="0">
                  <c:v>2009</c:v>
                </c:pt>
              </c:strCache>
            </c:strRef>
          </c:tx>
          <c:spPr>
            <a:ln>
              <a:prstDash val="sysDash"/>
            </a:ln>
          </c:spPr>
          <c:marker>
            <c:symbol val="none"/>
          </c:marker>
          <c:cat>
            <c:strRef>
              <c:f>'vienreizējie darba ņēmēji'!$F$3:$Q$3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'vienreizējie darba ņēmēji'!$F$6:$Q$6</c:f>
              <c:numCache>
                <c:formatCode>0</c:formatCode>
                <c:ptCount val="12"/>
                <c:pt idx="0">
                  <c:v>872567</c:v>
                </c:pt>
                <c:pt idx="1">
                  <c:v>851772</c:v>
                </c:pt>
                <c:pt idx="2">
                  <c:v>834139</c:v>
                </c:pt>
                <c:pt idx="3">
                  <c:v>833105</c:v>
                </c:pt>
                <c:pt idx="4">
                  <c:v>821980</c:v>
                </c:pt>
                <c:pt idx="5">
                  <c:v>814469</c:v>
                </c:pt>
                <c:pt idx="6">
                  <c:v>777030</c:v>
                </c:pt>
                <c:pt idx="7">
                  <c:v>765995</c:v>
                </c:pt>
                <c:pt idx="8">
                  <c:v>755239</c:v>
                </c:pt>
                <c:pt idx="9">
                  <c:v>744453</c:v>
                </c:pt>
                <c:pt idx="10">
                  <c:v>733801</c:v>
                </c:pt>
                <c:pt idx="11">
                  <c:v>732594</c:v>
                </c:pt>
              </c:numCache>
            </c:numRef>
          </c:val>
          <c:smooth val="0"/>
          <c:extLst>
            <c:ext xmlns:c16="http://schemas.microsoft.com/office/drawing/2014/chart" uri="{C3380CC4-5D6E-409C-BE32-E72D297353CC}">
              <c16:uniqueId val="{00000002-C458-4329-B67D-E2469FCD3FBD}"/>
            </c:ext>
          </c:extLst>
        </c:ser>
        <c:ser>
          <c:idx val="3"/>
          <c:order val="3"/>
          <c:tx>
            <c:strRef>
              <c:f>'vienreizējie darba ņēmēji'!$E$7</c:f>
              <c:strCache>
                <c:ptCount val="1"/>
                <c:pt idx="0">
                  <c:v>2010</c:v>
                </c:pt>
              </c:strCache>
            </c:strRef>
          </c:tx>
          <c:spPr>
            <a:ln>
              <a:prstDash val="sysDash"/>
            </a:ln>
          </c:spPr>
          <c:marker>
            <c:symbol val="none"/>
          </c:marker>
          <c:cat>
            <c:strRef>
              <c:f>'vienreizējie darba ņēmēji'!$F$3:$Q$3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'vienreizējie darba ņēmēji'!$F$7:$Q$7</c:f>
              <c:numCache>
                <c:formatCode>0</c:formatCode>
                <c:ptCount val="12"/>
                <c:pt idx="0">
                  <c:v>718364</c:v>
                </c:pt>
                <c:pt idx="1">
                  <c:v>716878</c:v>
                </c:pt>
                <c:pt idx="2">
                  <c:v>710564</c:v>
                </c:pt>
                <c:pt idx="3">
                  <c:v>728335</c:v>
                </c:pt>
                <c:pt idx="4">
                  <c:v>734565</c:v>
                </c:pt>
                <c:pt idx="5">
                  <c:v>739612</c:v>
                </c:pt>
                <c:pt idx="6">
                  <c:v>748664</c:v>
                </c:pt>
                <c:pt idx="7">
                  <c:v>743181</c:v>
                </c:pt>
                <c:pt idx="8">
                  <c:v>750809</c:v>
                </c:pt>
                <c:pt idx="9">
                  <c:v>752420</c:v>
                </c:pt>
                <c:pt idx="10">
                  <c:v>747919</c:v>
                </c:pt>
                <c:pt idx="11">
                  <c:v>742123</c:v>
                </c:pt>
              </c:numCache>
            </c:numRef>
          </c:val>
          <c:smooth val="1"/>
          <c:extLst>
            <c:ext xmlns:c16="http://schemas.microsoft.com/office/drawing/2014/chart" uri="{C3380CC4-5D6E-409C-BE32-E72D297353CC}">
              <c16:uniqueId val="{00000003-C458-4329-B67D-E2469FCD3FBD}"/>
            </c:ext>
          </c:extLst>
        </c:ser>
        <c:ser>
          <c:idx val="4"/>
          <c:order val="4"/>
          <c:tx>
            <c:strRef>
              <c:f>'vienreizējie darba ņēmēji'!$E$8</c:f>
              <c:strCache>
                <c:ptCount val="1"/>
                <c:pt idx="0">
                  <c:v>2011</c:v>
                </c:pt>
              </c:strCache>
            </c:strRef>
          </c:tx>
          <c:spPr>
            <a:ln>
              <a:prstDash val="sysDash"/>
            </a:ln>
          </c:spPr>
          <c:marker>
            <c:symbol val="none"/>
          </c:marker>
          <c:cat>
            <c:strRef>
              <c:f>'vienreizējie darba ņēmēji'!$F$3:$Q$3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'vienreizējie darba ņēmēji'!$F$8:$Q$8</c:f>
              <c:numCache>
                <c:formatCode>0</c:formatCode>
                <c:ptCount val="12"/>
                <c:pt idx="0">
                  <c:v>728541</c:v>
                </c:pt>
                <c:pt idx="1">
                  <c:v>727303</c:v>
                </c:pt>
                <c:pt idx="2">
                  <c:v>732546</c:v>
                </c:pt>
                <c:pt idx="3">
                  <c:v>741234</c:v>
                </c:pt>
                <c:pt idx="4">
                  <c:v>740468</c:v>
                </c:pt>
                <c:pt idx="5">
                  <c:v>750876</c:v>
                </c:pt>
                <c:pt idx="6">
                  <c:v>761310</c:v>
                </c:pt>
                <c:pt idx="7">
                  <c:v>762347</c:v>
                </c:pt>
                <c:pt idx="8">
                  <c:v>761274</c:v>
                </c:pt>
                <c:pt idx="9">
                  <c:v>752697</c:v>
                </c:pt>
                <c:pt idx="10">
                  <c:v>755559</c:v>
                </c:pt>
                <c:pt idx="11">
                  <c:v>758207</c:v>
                </c:pt>
              </c:numCache>
            </c:numRef>
          </c:val>
          <c:smooth val="1"/>
          <c:extLst>
            <c:ext xmlns:c16="http://schemas.microsoft.com/office/drawing/2014/chart" uri="{C3380CC4-5D6E-409C-BE32-E72D297353CC}">
              <c16:uniqueId val="{00000004-C458-4329-B67D-E2469FCD3FBD}"/>
            </c:ext>
          </c:extLst>
        </c:ser>
        <c:ser>
          <c:idx val="5"/>
          <c:order val="5"/>
          <c:tx>
            <c:strRef>
              <c:f>'vienreizējie darba ņēmēji'!$E$9</c:f>
              <c:strCache>
                <c:ptCount val="1"/>
                <c:pt idx="0">
                  <c:v>2012</c:v>
                </c:pt>
              </c:strCache>
            </c:strRef>
          </c:tx>
          <c:spPr>
            <a:ln>
              <a:prstDash val="sysDash"/>
            </a:ln>
          </c:spPr>
          <c:marker>
            <c:symbol val="none"/>
          </c:marker>
          <c:cat>
            <c:strRef>
              <c:f>'vienreizējie darba ņēmēji'!$F$3:$Q$3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'vienreizējie darba ņēmēji'!$F$9:$Q$9</c:f>
              <c:numCache>
                <c:formatCode>0</c:formatCode>
                <c:ptCount val="12"/>
                <c:pt idx="0">
                  <c:v>752117</c:v>
                </c:pt>
                <c:pt idx="1">
                  <c:v>753180</c:v>
                </c:pt>
                <c:pt idx="2">
                  <c:v>756307</c:v>
                </c:pt>
                <c:pt idx="3">
                  <c:v>760899</c:v>
                </c:pt>
                <c:pt idx="4">
                  <c:v>768871</c:v>
                </c:pt>
                <c:pt idx="5">
                  <c:v>778393</c:v>
                </c:pt>
                <c:pt idx="6">
                  <c:v>784417</c:v>
                </c:pt>
                <c:pt idx="7">
                  <c:v>785240</c:v>
                </c:pt>
                <c:pt idx="8">
                  <c:v>781634</c:v>
                </c:pt>
                <c:pt idx="9">
                  <c:v>782431</c:v>
                </c:pt>
                <c:pt idx="10">
                  <c:v>778614</c:v>
                </c:pt>
                <c:pt idx="11">
                  <c:v>774554</c:v>
                </c:pt>
              </c:numCache>
            </c:numRef>
          </c:val>
          <c:smooth val="1"/>
          <c:extLst>
            <c:ext xmlns:c16="http://schemas.microsoft.com/office/drawing/2014/chart" uri="{C3380CC4-5D6E-409C-BE32-E72D297353CC}">
              <c16:uniqueId val="{00000005-C458-4329-B67D-E2469FCD3FBD}"/>
            </c:ext>
          </c:extLst>
        </c:ser>
        <c:ser>
          <c:idx val="6"/>
          <c:order val="6"/>
          <c:tx>
            <c:strRef>
              <c:f>'vienreizējie darba ņēmēji'!$E$10</c:f>
              <c:strCache>
                <c:ptCount val="1"/>
                <c:pt idx="0">
                  <c:v>2013</c:v>
                </c:pt>
              </c:strCache>
            </c:strRef>
          </c:tx>
          <c:spPr>
            <a:ln>
              <a:prstDash val="sysDash"/>
            </a:ln>
          </c:spPr>
          <c:marker>
            <c:symbol val="none"/>
          </c:marker>
          <c:cat>
            <c:strRef>
              <c:f>'vienreizējie darba ņēmēji'!$F$3:$Q$3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'vienreizējie darba ņēmēji'!$F$10:$Q$10</c:f>
              <c:numCache>
                <c:formatCode>0</c:formatCode>
                <c:ptCount val="12"/>
                <c:pt idx="0">
                  <c:v>769638</c:v>
                </c:pt>
                <c:pt idx="1">
                  <c:v>767846</c:v>
                </c:pt>
                <c:pt idx="2">
                  <c:v>769803</c:v>
                </c:pt>
                <c:pt idx="3">
                  <c:v>777688</c:v>
                </c:pt>
                <c:pt idx="4">
                  <c:v>785356</c:v>
                </c:pt>
                <c:pt idx="5">
                  <c:v>793304</c:v>
                </c:pt>
                <c:pt idx="6">
                  <c:v>799442</c:v>
                </c:pt>
                <c:pt idx="7">
                  <c:v>798430</c:v>
                </c:pt>
                <c:pt idx="8">
                  <c:v>792702</c:v>
                </c:pt>
                <c:pt idx="9">
                  <c:v>791884</c:v>
                </c:pt>
                <c:pt idx="10">
                  <c:v>786606</c:v>
                </c:pt>
                <c:pt idx="11">
                  <c:v>781355</c:v>
                </c:pt>
              </c:numCache>
            </c:numRef>
          </c:val>
          <c:smooth val="0"/>
          <c:extLst>
            <c:ext xmlns:c16="http://schemas.microsoft.com/office/drawing/2014/chart" uri="{C3380CC4-5D6E-409C-BE32-E72D297353CC}">
              <c16:uniqueId val="{00000006-C458-4329-B67D-E2469FCD3FBD}"/>
            </c:ext>
          </c:extLst>
        </c:ser>
        <c:ser>
          <c:idx val="7"/>
          <c:order val="7"/>
          <c:tx>
            <c:strRef>
              <c:f>'vienreizējie darba ņēmēji'!$E$11</c:f>
              <c:strCache>
                <c:ptCount val="1"/>
                <c:pt idx="0">
                  <c:v>2014</c:v>
                </c:pt>
              </c:strCache>
            </c:strRef>
          </c:tx>
          <c:spPr>
            <a:ln>
              <a:prstDash val="sysDash"/>
            </a:ln>
          </c:spPr>
          <c:marker>
            <c:symbol val="none"/>
          </c:marker>
          <c:cat>
            <c:strRef>
              <c:f>'vienreizējie darba ņēmēji'!$F$3:$Q$3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'vienreizējie darba ņēmēji'!$F$11:$Q$11</c:f>
              <c:numCache>
                <c:formatCode>0</c:formatCode>
                <c:ptCount val="12"/>
                <c:pt idx="0">
                  <c:v>775747</c:v>
                </c:pt>
                <c:pt idx="1">
                  <c:v>774999</c:v>
                </c:pt>
                <c:pt idx="2">
                  <c:v>779199</c:v>
                </c:pt>
                <c:pt idx="3">
                  <c:v>783428</c:v>
                </c:pt>
                <c:pt idx="4">
                  <c:v>788783</c:v>
                </c:pt>
                <c:pt idx="5">
                  <c:v>797046</c:v>
                </c:pt>
                <c:pt idx="6">
                  <c:v>805194</c:v>
                </c:pt>
                <c:pt idx="7">
                  <c:v>802171</c:v>
                </c:pt>
                <c:pt idx="8">
                  <c:v>798468</c:v>
                </c:pt>
                <c:pt idx="9">
                  <c:v>797571</c:v>
                </c:pt>
                <c:pt idx="10">
                  <c:v>792301</c:v>
                </c:pt>
                <c:pt idx="11">
                  <c:v>789110</c:v>
                </c:pt>
              </c:numCache>
            </c:numRef>
          </c:val>
          <c:smooth val="0"/>
          <c:extLst>
            <c:ext xmlns:c16="http://schemas.microsoft.com/office/drawing/2014/chart" uri="{C3380CC4-5D6E-409C-BE32-E72D297353CC}">
              <c16:uniqueId val="{00000007-C458-4329-B67D-E2469FCD3FBD}"/>
            </c:ext>
          </c:extLst>
        </c:ser>
        <c:ser>
          <c:idx val="8"/>
          <c:order val="8"/>
          <c:tx>
            <c:strRef>
              <c:f>'vienreizējie darba ņēmēji'!$E$12</c:f>
              <c:strCache>
                <c:ptCount val="1"/>
                <c:pt idx="0">
                  <c:v>2015</c:v>
                </c:pt>
              </c:strCache>
            </c:strRef>
          </c:tx>
          <c:spPr>
            <a:ln>
              <a:prstDash val="sysDash"/>
            </a:ln>
          </c:spPr>
          <c:marker>
            <c:symbol val="none"/>
          </c:marker>
          <c:cat>
            <c:strRef>
              <c:f>'vienreizējie darba ņēmēji'!$F$3:$Q$3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'vienreizējie darba ņēmēji'!$F$12:$Q$12</c:f>
              <c:numCache>
                <c:formatCode>0</c:formatCode>
                <c:ptCount val="12"/>
                <c:pt idx="0">
                  <c:v>782414</c:v>
                </c:pt>
                <c:pt idx="1">
                  <c:v>780045</c:v>
                </c:pt>
                <c:pt idx="2">
                  <c:v>784170</c:v>
                </c:pt>
                <c:pt idx="3">
                  <c:v>786993</c:v>
                </c:pt>
                <c:pt idx="4">
                  <c:v>789919</c:v>
                </c:pt>
                <c:pt idx="5">
                  <c:v>798878</c:v>
                </c:pt>
                <c:pt idx="6">
                  <c:v>803205</c:v>
                </c:pt>
                <c:pt idx="7">
                  <c:v>801092</c:v>
                </c:pt>
                <c:pt idx="8">
                  <c:v>795369</c:v>
                </c:pt>
                <c:pt idx="9">
                  <c:v>793464</c:v>
                </c:pt>
                <c:pt idx="10">
                  <c:v>788961</c:v>
                </c:pt>
                <c:pt idx="11">
                  <c:v>785449</c:v>
                </c:pt>
              </c:numCache>
            </c:numRef>
          </c:val>
          <c:smooth val="0"/>
          <c:extLst>
            <c:ext xmlns:c16="http://schemas.microsoft.com/office/drawing/2014/chart" uri="{C3380CC4-5D6E-409C-BE32-E72D297353CC}">
              <c16:uniqueId val="{00000008-C458-4329-B67D-E2469FCD3FBD}"/>
            </c:ext>
          </c:extLst>
        </c:ser>
        <c:ser>
          <c:idx val="9"/>
          <c:order val="9"/>
          <c:tx>
            <c:strRef>
              <c:f>'vienreizējie darba ņēmēji'!$E$13</c:f>
              <c:strCache>
                <c:ptCount val="1"/>
                <c:pt idx="0">
                  <c:v>2016</c:v>
                </c:pt>
              </c:strCache>
            </c:strRef>
          </c:tx>
          <c:spPr>
            <a:ln>
              <a:prstDash val="sysDash"/>
            </a:ln>
          </c:spPr>
          <c:marker>
            <c:symbol val="none"/>
          </c:marker>
          <c:cat>
            <c:strRef>
              <c:f>'vienreizējie darba ņēmēji'!$F$3:$Q$3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'vienreizējie darba ņēmēji'!$F$13:$Q$13</c:f>
              <c:numCache>
                <c:formatCode>0</c:formatCode>
                <c:ptCount val="12"/>
                <c:pt idx="0">
                  <c:v>778287</c:v>
                </c:pt>
                <c:pt idx="1">
                  <c:v>778038</c:v>
                </c:pt>
                <c:pt idx="2">
                  <c:v>779873</c:v>
                </c:pt>
                <c:pt idx="3">
                  <c:v>784909</c:v>
                </c:pt>
                <c:pt idx="4">
                  <c:v>790802</c:v>
                </c:pt>
                <c:pt idx="5">
                  <c:v>798399</c:v>
                </c:pt>
                <c:pt idx="6">
                  <c:v>802184</c:v>
                </c:pt>
                <c:pt idx="7">
                  <c:v>801672</c:v>
                </c:pt>
                <c:pt idx="8">
                  <c:v>793889</c:v>
                </c:pt>
                <c:pt idx="9">
                  <c:v>792675</c:v>
                </c:pt>
                <c:pt idx="10">
                  <c:v>788889</c:v>
                </c:pt>
                <c:pt idx="11">
                  <c:v>783818</c:v>
                </c:pt>
              </c:numCache>
            </c:numRef>
          </c:val>
          <c:smooth val="1"/>
          <c:extLst>
            <c:ext xmlns:c16="http://schemas.microsoft.com/office/drawing/2014/chart" uri="{C3380CC4-5D6E-409C-BE32-E72D297353CC}">
              <c16:uniqueId val="{00000009-C458-4329-B67D-E2469FCD3FBD}"/>
            </c:ext>
          </c:extLst>
        </c:ser>
        <c:ser>
          <c:idx val="10"/>
          <c:order val="10"/>
          <c:tx>
            <c:strRef>
              <c:f>'vienreizējie darba ņēmēji'!$E$14</c:f>
              <c:strCache>
                <c:ptCount val="1"/>
                <c:pt idx="0">
                  <c:v>2017</c:v>
                </c:pt>
              </c:strCache>
            </c:strRef>
          </c:tx>
          <c:spPr>
            <a:ln>
              <a:prstDash val="sysDash"/>
            </a:ln>
          </c:spPr>
          <c:marker>
            <c:symbol val="none"/>
          </c:marker>
          <c:cat>
            <c:strRef>
              <c:f>'vienreizējie darba ņēmēji'!$F$3:$Q$3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'vienreizējie darba ņēmēji'!$F$14:$Q$14</c:f>
              <c:numCache>
                <c:formatCode>0</c:formatCode>
                <c:ptCount val="12"/>
                <c:pt idx="0">
                  <c:v>776684</c:v>
                </c:pt>
                <c:pt idx="1">
                  <c:v>777445</c:v>
                </c:pt>
                <c:pt idx="2">
                  <c:v>783122</c:v>
                </c:pt>
                <c:pt idx="3">
                  <c:v>787170</c:v>
                </c:pt>
                <c:pt idx="4">
                  <c:v>794136</c:v>
                </c:pt>
                <c:pt idx="5">
                  <c:v>805057</c:v>
                </c:pt>
                <c:pt idx="6">
                  <c:v>807486</c:v>
                </c:pt>
                <c:pt idx="7">
                  <c:v>808410</c:v>
                </c:pt>
                <c:pt idx="8">
                  <c:v>801412</c:v>
                </c:pt>
                <c:pt idx="9">
                  <c:v>801147</c:v>
                </c:pt>
                <c:pt idx="10">
                  <c:v>799021</c:v>
                </c:pt>
                <c:pt idx="11">
                  <c:v>795862</c:v>
                </c:pt>
              </c:numCache>
            </c:numRef>
          </c:val>
          <c:smooth val="0"/>
          <c:extLst>
            <c:ext xmlns:c16="http://schemas.microsoft.com/office/drawing/2014/chart" uri="{C3380CC4-5D6E-409C-BE32-E72D297353CC}">
              <c16:uniqueId val="{0000000A-C458-4329-B67D-E2469FCD3FBD}"/>
            </c:ext>
          </c:extLst>
        </c:ser>
        <c:ser>
          <c:idx val="11"/>
          <c:order val="11"/>
          <c:tx>
            <c:strRef>
              <c:f>'vienreizējie darba ņēmēji'!$E$15</c:f>
              <c:strCache>
                <c:ptCount val="1"/>
                <c:pt idx="0">
                  <c:v>2018</c:v>
                </c:pt>
              </c:strCache>
            </c:strRef>
          </c:tx>
          <c:spPr>
            <a:ln>
              <a:prstDash val="sysDash"/>
            </a:ln>
          </c:spPr>
          <c:marker>
            <c:symbol val="none"/>
          </c:marker>
          <c:cat>
            <c:strRef>
              <c:f>'vienreizējie darba ņēmēji'!$F$3:$Q$3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'vienreizējie darba ņēmēji'!$F$15:$Q$15</c:f>
              <c:numCache>
                <c:formatCode>0</c:formatCode>
                <c:ptCount val="12"/>
                <c:pt idx="0">
                  <c:v>795904</c:v>
                </c:pt>
                <c:pt idx="1">
                  <c:v>795412</c:v>
                </c:pt>
                <c:pt idx="2">
                  <c:v>798238</c:v>
                </c:pt>
                <c:pt idx="3">
                  <c:v>804381</c:v>
                </c:pt>
                <c:pt idx="4">
                  <c:v>809727</c:v>
                </c:pt>
                <c:pt idx="5">
                  <c:v>821975</c:v>
                </c:pt>
                <c:pt idx="6">
                  <c:v>823815</c:v>
                </c:pt>
                <c:pt idx="7">
                  <c:v>823399</c:v>
                </c:pt>
                <c:pt idx="8">
                  <c:v>815535</c:v>
                </c:pt>
                <c:pt idx="9">
                  <c:v>816089</c:v>
                </c:pt>
                <c:pt idx="10">
                  <c:v>813115</c:v>
                </c:pt>
                <c:pt idx="11">
                  <c:v>809850</c:v>
                </c:pt>
              </c:numCache>
            </c:numRef>
          </c:val>
          <c:smooth val="1"/>
          <c:extLst>
            <c:ext xmlns:c16="http://schemas.microsoft.com/office/drawing/2014/chart" uri="{C3380CC4-5D6E-409C-BE32-E72D297353CC}">
              <c16:uniqueId val="{0000000B-C458-4329-B67D-E2469FCD3FBD}"/>
            </c:ext>
          </c:extLst>
        </c:ser>
        <c:ser>
          <c:idx val="12"/>
          <c:order val="12"/>
          <c:tx>
            <c:strRef>
              <c:f>'vienreizējie darba ņēmēji'!$E$16</c:f>
              <c:strCache>
                <c:ptCount val="1"/>
                <c:pt idx="0">
                  <c:v>2019</c:v>
                </c:pt>
              </c:strCache>
            </c:strRef>
          </c:tx>
          <c:spPr>
            <a:ln>
              <a:prstDash val="sysDash"/>
            </a:ln>
          </c:spPr>
          <c:marker>
            <c:symbol val="none"/>
          </c:marker>
          <c:cat>
            <c:strRef>
              <c:f>'vienreizējie darba ņēmēji'!$F$3:$Q$3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'vienreizējie darba ņēmēji'!$F$16:$Q$16</c:f>
              <c:numCache>
                <c:formatCode>0</c:formatCode>
                <c:ptCount val="12"/>
                <c:pt idx="0">
                  <c:v>810225</c:v>
                </c:pt>
                <c:pt idx="1">
                  <c:v>810012</c:v>
                </c:pt>
                <c:pt idx="2">
                  <c:v>813400</c:v>
                </c:pt>
                <c:pt idx="3">
                  <c:v>819631</c:v>
                </c:pt>
                <c:pt idx="4">
                  <c:v>822925</c:v>
                </c:pt>
                <c:pt idx="5">
                  <c:v>832400</c:v>
                </c:pt>
                <c:pt idx="6">
                  <c:v>837116</c:v>
                </c:pt>
                <c:pt idx="7">
                  <c:v>833259</c:v>
                </c:pt>
                <c:pt idx="8">
                  <c:v>826215</c:v>
                </c:pt>
                <c:pt idx="9">
                  <c:v>824659</c:v>
                </c:pt>
                <c:pt idx="10">
                  <c:v>820982</c:v>
                </c:pt>
                <c:pt idx="11">
                  <c:v>817262</c:v>
                </c:pt>
              </c:numCache>
            </c:numRef>
          </c:val>
          <c:smooth val="1"/>
          <c:extLst>
            <c:ext xmlns:c16="http://schemas.microsoft.com/office/drawing/2014/chart" uri="{C3380CC4-5D6E-409C-BE32-E72D297353CC}">
              <c16:uniqueId val="{0000000C-C458-4329-B67D-E2469FCD3FBD}"/>
            </c:ext>
          </c:extLst>
        </c:ser>
        <c:ser>
          <c:idx val="13"/>
          <c:order val="13"/>
          <c:tx>
            <c:strRef>
              <c:f>'vienreizējie darba ņēmēji'!$E$17</c:f>
              <c:strCache>
                <c:ptCount val="1"/>
                <c:pt idx="0">
                  <c:v>2020</c:v>
                </c:pt>
              </c:strCache>
            </c:strRef>
          </c:tx>
          <c:spPr>
            <a:ln w="41275">
              <a:solidFill>
                <a:srgbClr val="C00000"/>
              </a:solidFill>
            </a:ln>
          </c:spPr>
          <c:marker>
            <c:symbol val="none"/>
          </c:marker>
          <c:cat>
            <c:strRef>
              <c:f>'vienreizējie darba ņēmēji'!$F$3:$Q$3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'vienreizējie darba ņēmēji'!$F$17:$Q$17</c:f>
              <c:numCache>
                <c:formatCode>0</c:formatCode>
                <c:ptCount val="12"/>
                <c:pt idx="0">
                  <c:v>813751</c:v>
                </c:pt>
                <c:pt idx="1">
                  <c:v>813879</c:v>
                </c:pt>
                <c:pt idx="2">
                  <c:v>813913</c:v>
                </c:pt>
                <c:pt idx="3">
                  <c:v>799512</c:v>
                </c:pt>
                <c:pt idx="4">
                  <c:v>792568</c:v>
                </c:pt>
                <c:pt idx="5">
                  <c:v>798958</c:v>
                </c:pt>
                <c:pt idx="6">
                  <c:v>808522</c:v>
                </c:pt>
                <c:pt idx="7">
                  <c:v>811673</c:v>
                </c:pt>
                <c:pt idx="8">
                  <c:v>808358</c:v>
                </c:pt>
                <c:pt idx="9">
                  <c:v>807781</c:v>
                </c:pt>
                <c:pt idx="10">
                  <c:v>804367</c:v>
                </c:pt>
                <c:pt idx="11">
                  <c:v>799541</c:v>
                </c:pt>
              </c:numCache>
            </c:numRef>
          </c:val>
          <c:smooth val="1"/>
          <c:extLst>
            <c:ext xmlns:c16="http://schemas.microsoft.com/office/drawing/2014/chart" uri="{C3380CC4-5D6E-409C-BE32-E72D297353CC}">
              <c16:uniqueId val="{0000000D-C458-4329-B67D-E2469FCD3FBD}"/>
            </c:ext>
          </c:extLst>
        </c:ser>
        <c:ser>
          <c:idx val="14"/>
          <c:order val="14"/>
          <c:tx>
            <c:strRef>
              <c:f>'vienreizējie darba ņēmēji'!$E$18</c:f>
              <c:strCache>
                <c:ptCount val="1"/>
                <c:pt idx="0">
                  <c:v>2021</c:v>
                </c:pt>
              </c:strCache>
            </c:strRef>
          </c:tx>
          <c:spPr>
            <a:ln w="41275">
              <a:solidFill>
                <a:srgbClr val="00B050"/>
              </a:solidFill>
            </a:ln>
          </c:spPr>
          <c:marker>
            <c:symbol val="none"/>
          </c:marker>
          <c:cat>
            <c:strRef>
              <c:f>'vienreizējie darba ņēmēji'!$F$3:$Q$3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'vienreizējie darba ņēmēji'!$F$18:$Q$18</c:f>
              <c:numCache>
                <c:formatCode>0</c:formatCode>
                <c:ptCount val="12"/>
                <c:pt idx="0">
                  <c:v>796273</c:v>
                </c:pt>
                <c:pt idx="1">
                  <c:v>797034</c:v>
                </c:pt>
                <c:pt idx="2">
                  <c:v>803312</c:v>
                </c:pt>
                <c:pt idx="3">
                  <c:v>808261</c:v>
                </c:pt>
                <c:pt idx="4">
                  <c:v>814278</c:v>
                </c:pt>
                <c:pt idx="5">
                  <c:v>826488</c:v>
                </c:pt>
                <c:pt idx="6">
                  <c:v>826659</c:v>
                </c:pt>
              </c:numCache>
            </c:numRef>
          </c:val>
          <c:smooth val="1"/>
          <c:extLst>
            <c:ext xmlns:c16="http://schemas.microsoft.com/office/drawing/2014/chart" uri="{C3380CC4-5D6E-409C-BE32-E72D297353CC}">
              <c16:uniqueId val="{0000000E-C458-4329-B67D-E2469FCD3FBD}"/>
            </c:ext>
          </c:extLst>
        </c:ser>
        <c:dLbls>
          <c:showLegendKey val="0"/>
          <c:showVal val="0"/>
          <c:showCatName val="0"/>
          <c:showSerName val="0"/>
          <c:showPercent val="0"/>
          <c:showBubbleSize val="0"/>
        </c:dLbls>
        <c:smooth val="0"/>
        <c:axId val="277192120"/>
        <c:axId val="277192512"/>
      </c:lineChart>
      <c:catAx>
        <c:axId val="277192120"/>
        <c:scaling>
          <c:orientation val="minMax"/>
        </c:scaling>
        <c:delete val="0"/>
        <c:axPos val="b"/>
        <c:numFmt formatCode="General" sourceLinked="0"/>
        <c:majorTickMark val="out"/>
        <c:minorTickMark val="none"/>
        <c:tickLblPos val="nextTo"/>
        <c:crossAx val="277192512"/>
        <c:crosses val="autoZero"/>
        <c:auto val="1"/>
        <c:lblAlgn val="ctr"/>
        <c:lblOffset val="100"/>
        <c:noMultiLvlLbl val="0"/>
      </c:catAx>
      <c:valAx>
        <c:axId val="277192512"/>
        <c:scaling>
          <c:orientation val="minMax"/>
          <c:min val="650000"/>
        </c:scaling>
        <c:delete val="0"/>
        <c:axPos val="l"/>
        <c:majorGridlines>
          <c:spPr>
            <a:ln>
              <a:solidFill>
                <a:schemeClr val="bg1">
                  <a:lumMod val="75000"/>
                </a:schemeClr>
              </a:solidFill>
            </a:ln>
          </c:spPr>
        </c:majorGridlines>
        <c:numFmt formatCode="#,##0" sourceLinked="0"/>
        <c:majorTickMark val="out"/>
        <c:minorTickMark val="none"/>
        <c:tickLblPos val="nextTo"/>
        <c:crossAx val="277192120"/>
        <c:crosses val="autoZero"/>
        <c:crossBetween val="between"/>
      </c:valAx>
      <c:spPr>
        <a:ln>
          <a:noFill/>
        </a:ln>
      </c:spPr>
    </c:plotArea>
    <c:legend>
      <c:legendPos val="r"/>
      <c:layout>
        <c:manualLayout>
          <c:xMode val="edge"/>
          <c:yMode val="edge"/>
          <c:x val="0.84366666666666668"/>
          <c:y val="3.5117745698454363E-2"/>
          <c:w val="0.13966666666666666"/>
          <c:h val="0.93289832885165114"/>
        </c:manualLayout>
      </c:layout>
      <c:overlay val="0"/>
    </c:legend>
    <c:plotVisOnly val="1"/>
    <c:dispBlanksAs val="gap"/>
    <c:showDLblsOverMax val="0"/>
  </c:chart>
  <c:spPr>
    <a:ln>
      <a:noFill/>
    </a:ln>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9477653286535763E-2"/>
          <c:y val="2.9754427143007051E-2"/>
          <c:w val="0.88905920475951528"/>
          <c:h val="0.66978369083174949"/>
        </c:manualLayout>
      </c:layout>
      <c:lineChart>
        <c:grouping val="standard"/>
        <c:varyColors val="0"/>
        <c:ser>
          <c:idx val="0"/>
          <c:order val="0"/>
          <c:tx>
            <c:strRef>
              <c:f>'graf2 (2)'!$A$13</c:f>
              <c:strCache>
                <c:ptCount val="1"/>
                <c:pt idx="0">
                  <c:v>ES27</c:v>
                </c:pt>
              </c:strCache>
            </c:strRef>
          </c:tx>
          <c:spPr>
            <a:ln w="28575" cap="rnd">
              <a:solidFill>
                <a:sysClr val="windowText" lastClr="000000"/>
              </a:solidFill>
              <a:prstDash val="sysDash"/>
              <a:round/>
            </a:ln>
            <a:effectLst/>
          </c:spPr>
          <c:marker>
            <c:symbol val="none"/>
          </c:marker>
          <c:cat>
            <c:strRef>
              <c:f>'graf2 (2)'!$B$12:$AU$12</c:f>
              <c:strCache>
                <c:ptCount val="46"/>
                <c:pt idx="0">
                  <c:v>2010Q1</c:v>
                </c:pt>
                <c:pt idx="1">
                  <c:v>2010Q2</c:v>
                </c:pt>
                <c:pt idx="2">
                  <c:v>2010Q3</c:v>
                </c:pt>
                <c:pt idx="3">
                  <c:v>2010Q4</c:v>
                </c:pt>
                <c:pt idx="4">
                  <c:v>2011Q1</c:v>
                </c:pt>
                <c:pt idx="5">
                  <c:v>2011Q2</c:v>
                </c:pt>
                <c:pt idx="6">
                  <c:v>2011Q3</c:v>
                </c:pt>
                <c:pt idx="7">
                  <c:v>2011Q4</c:v>
                </c:pt>
                <c:pt idx="8">
                  <c:v>2012Q1</c:v>
                </c:pt>
                <c:pt idx="9">
                  <c:v>2012Q2</c:v>
                </c:pt>
                <c:pt idx="10">
                  <c:v>2012Q3</c:v>
                </c:pt>
                <c:pt idx="11">
                  <c:v>2012Q4</c:v>
                </c:pt>
                <c:pt idx="12">
                  <c:v>2013Q1</c:v>
                </c:pt>
                <c:pt idx="13">
                  <c:v>2013Q2</c:v>
                </c:pt>
                <c:pt idx="14">
                  <c:v>2013Q3</c:v>
                </c:pt>
                <c:pt idx="15">
                  <c:v>2013Q4</c:v>
                </c:pt>
                <c:pt idx="16">
                  <c:v>2014Q1</c:v>
                </c:pt>
                <c:pt idx="17">
                  <c:v>2014Q2</c:v>
                </c:pt>
                <c:pt idx="18">
                  <c:v>2014Q3</c:v>
                </c:pt>
                <c:pt idx="19">
                  <c:v>2014Q4</c:v>
                </c:pt>
                <c:pt idx="20">
                  <c:v>2015Q1</c:v>
                </c:pt>
                <c:pt idx="21">
                  <c:v>2015Q2</c:v>
                </c:pt>
                <c:pt idx="22">
                  <c:v>2015Q3</c:v>
                </c:pt>
                <c:pt idx="23">
                  <c:v>2015Q4</c:v>
                </c:pt>
                <c:pt idx="24">
                  <c:v>2016Q1</c:v>
                </c:pt>
                <c:pt idx="25">
                  <c:v>2016Q2</c:v>
                </c:pt>
                <c:pt idx="26">
                  <c:v>2016Q3</c:v>
                </c:pt>
                <c:pt idx="27">
                  <c:v>2016Q4</c:v>
                </c:pt>
                <c:pt idx="28">
                  <c:v>2017Q1</c:v>
                </c:pt>
                <c:pt idx="29">
                  <c:v>2017Q2</c:v>
                </c:pt>
                <c:pt idx="30">
                  <c:v>2017Q3</c:v>
                </c:pt>
                <c:pt idx="31">
                  <c:v>2017Q4</c:v>
                </c:pt>
                <c:pt idx="32">
                  <c:v>2018Q1</c:v>
                </c:pt>
                <c:pt idx="33">
                  <c:v>2018Q2</c:v>
                </c:pt>
                <c:pt idx="34">
                  <c:v>2018Q3</c:v>
                </c:pt>
                <c:pt idx="35">
                  <c:v>2018Q4</c:v>
                </c:pt>
                <c:pt idx="36">
                  <c:v>2019Q1</c:v>
                </c:pt>
                <c:pt idx="37">
                  <c:v>2019Q2</c:v>
                </c:pt>
                <c:pt idx="38">
                  <c:v>2019Q3</c:v>
                </c:pt>
                <c:pt idx="39">
                  <c:v>2019Q4</c:v>
                </c:pt>
                <c:pt idx="40">
                  <c:v>2020Q1</c:v>
                </c:pt>
                <c:pt idx="41">
                  <c:v>2020Q2</c:v>
                </c:pt>
                <c:pt idx="42">
                  <c:v>2020Q3</c:v>
                </c:pt>
                <c:pt idx="43">
                  <c:v>2020Q4</c:v>
                </c:pt>
                <c:pt idx="44">
                  <c:v>2021Q1</c:v>
                </c:pt>
                <c:pt idx="45">
                  <c:v>2021Q2</c:v>
                </c:pt>
              </c:strCache>
            </c:strRef>
          </c:cat>
          <c:val>
            <c:numRef>
              <c:f>'graf2 (2)'!$B$13:$AU$13</c:f>
              <c:numCache>
                <c:formatCode>#\ ##0.0</c:formatCode>
                <c:ptCount val="46"/>
                <c:pt idx="0">
                  <c:v>10.4</c:v>
                </c:pt>
                <c:pt idx="1">
                  <c:v>9.8000000000000007</c:v>
                </c:pt>
                <c:pt idx="2">
                  <c:v>9.4</c:v>
                </c:pt>
                <c:pt idx="3">
                  <c:v>9.8000000000000007</c:v>
                </c:pt>
                <c:pt idx="4">
                  <c:v>10.199999999999999</c:v>
                </c:pt>
                <c:pt idx="5">
                  <c:v>9.6</c:v>
                </c:pt>
                <c:pt idx="6">
                  <c:v>9.5</c:v>
                </c:pt>
                <c:pt idx="7">
                  <c:v>10.199999999999999</c:v>
                </c:pt>
                <c:pt idx="8">
                  <c:v>11</c:v>
                </c:pt>
                <c:pt idx="9">
                  <c:v>10.6</c:v>
                </c:pt>
                <c:pt idx="10">
                  <c:v>10.6</c:v>
                </c:pt>
                <c:pt idx="11">
                  <c:v>11.2</c:v>
                </c:pt>
                <c:pt idx="12">
                  <c:v>12</c:v>
                </c:pt>
                <c:pt idx="13">
                  <c:v>11.3</c:v>
                </c:pt>
                <c:pt idx="14">
                  <c:v>10.9</c:v>
                </c:pt>
                <c:pt idx="15">
                  <c:v>11.2</c:v>
                </c:pt>
                <c:pt idx="16">
                  <c:v>11.6</c:v>
                </c:pt>
                <c:pt idx="17">
                  <c:v>10.7</c:v>
                </c:pt>
                <c:pt idx="18">
                  <c:v>10.3</c:v>
                </c:pt>
                <c:pt idx="19">
                  <c:v>10.6</c:v>
                </c:pt>
                <c:pt idx="20">
                  <c:v>10.8</c:v>
                </c:pt>
                <c:pt idx="21">
                  <c:v>10.1</c:v>
                </c:pt>
                <c:pt idx="22">
                  <c:v>9.5</c:v>
                </c:pt>
                <c:pt idx="23">
                  <c:v>9.6999999999999993</c:v>
                </c:pt>
                <c:pt idx="24">
                  <c:v>9.8000000000000007</c:v>
                </c:pt>
                <c:pt idx="25">
                  <c:v>9.1</c:v>
                </c:pt>
                <c:pt idx="26">
                  <c:v>8.6999999999999993</c:v>
                </c:pt>
                <c:pt idx="27">
                  <c:v>8.8000000000000007</c:v>
                </c:pt>
                <c:pt idx="28">
                  <c:v>8.9</c:v>
                </c:pt>
                <c:pt idx="29">
                  <c:v>8.1</c:v>
                </c:pt>
                <c:pt idx="30">
                  <c:v>7.8</c:v>
                </c:pt>
                <c:pt idx="31">
                  <c:v>7.8</c:v>
                </c:pt>
                <c:pt idx="32">
                  <c:v>7.9</c:v>
                </c:pt>
                <c:pt idx="33">
                  <c:v>7.2</c:v>
                </c:pt>
                <c:pt idx="34">
                  <c:v>6.9</c:v>
                </c:pt>
                <c:pt idx="35">
                  <c:v>7</c:v>
                </c:pt>
                <c:pt idx="36">
                  <c:v>7.2</c:v>
                </c:pt>
                <c:pt idx="37">
                  <c:v>6.6</c:v>
                </c:pt>
                <c:pt idx="38">
                  <c:v>6.4</c:v>
                </c:pt>
                <c:pt idx="39">
                  <c:v>6.5</c:v>
                </c:pt>
                <c:pt idx="40">
                  <c:v>6.8</c:v>
                </c:pt>
                <c:pt idx="41">
                  <c:v>6.7</c:v>
                </c:pt>
                <c:pt idx="42">
                  <c:v>7.6</c:v>
                </c:pt>
                <c:pt idx="43">
                  <c:v>7.2</c:v>
                </c:pt>
                <c:pt idx="44">
                  <c:v>7.8</c:v>
                </c:pt>
              </c:numCache>
            </c:numRef>
          </c:val>
          <c:smooth val="0"/>
          <c:extLst>
            <c:ext xmlns:c16="http://schemas.microsoft.com/office/drawing/2014/chart" uri="{C3380CC4-5D6E-409C-BE32-E72D297353CC}">
              <c16:uniqueId val="{00000000-44DC-49E7-9408-9FD42E389189}"/>
            </c:ext>
          </c:extLst>
        </c:ser>
        <c:ser>
          <c:idx val="1"/>
          <c:order val="1"/>
          <c:tx>
            <c:strRef>
              <c:f>'graf2 (2)'!$A$14</c:f>
              <c:strCache>
                <c:ptCount val="1"/>
                <c:pt idx="0">
                  <c:v>Igaunija</c:v>
                </c:pt>
              </c:strCache>
            </c:strRef>
          </c:tx>
          <c:spPr>
            <a:ln w="28575" cap="rnd">
              <a:solidFill>
                <a:srgbClr val="094E7D"/>
              </a:solidFill>
              <a:round/>
            </a:ln>
            <a:effectLst/>
          </c:spPr>
          <c:marker>
            <c:symbol val="none"/>
          </c:marker>
          <c:cat>
            <c:strRef>
              <c:f>'graf2 (2)'!$B$12:$AU$12</c:f>
              <c:strCache>
                <c:ptCount val="46"/>
                <c:pt idx="0">
                  <c:v>2010Q1</c:v>
                </c:pt>
                <c:pt idx="1">
                  <c:v>2010Q2</c:v>
                </c:pt>
                <c:pt idx="2">
                  <c:v>2010Q3</c:v>
                </c:pt>
                <c:pt idx="3">
                  <c:v>2010Q4</c:v>
                </c:pt>
                <c:pt idx="4">
                  <c:v>2011Q1</c:v>
                </c:pt>
                <c:pt idx="5">
                  <c:v>2011Q2</c:v>
                </c:pt>
                <c:pt idx="6">
                  <c:v>2011Q3</c:v>
                </c:pt>
                <c:pt idx="7">
                  <c:v>2011Q4</c:v>
                </c:pt>
                <c:pt idx="8">
                  <c:v>2012Q1</c:v>
                </c:pt>
                <c:pt idx="9">
                  <c:v>2012Q2</c:v>
                </c:pt>
                <c:pt idx="10">
                  <c:v>2012Q3</c:v>
                </c:pt>
                <c:pt idx="11">
                  <c:v>2012Q4</c:v>
                </c:pt>
                <c:pt idx="12">
                  <c:v>2013Q1</c:v>
                </c:pt>
                <c:pt idx="13">
                  <c:v>2013Q2</c:v>
                </c:pt>
                <c:pt idx="14">
                  <c:v>2013Q3</c:v>
                </c:pt>
                <c:pt idx="15">
                  <c:v>2013Q4</c:v>
                </c:pt>
                <c:pt idx="16">
                  <c:v>2014Q1</c:v>
                </c:pt>
                <c:pt idx="17">
                  <c:v>2014Q2</c:v>
                </c:pt>
                <c:pt idx="18">
                  <c:v>2014Q3</c:v>
                </c:pt>
                <c:pt idx="19">
                  <c:v>2014Q4</c:v>
                </c:pt>
                <c:pt idx="20">
                  <c:v>2015Q1</c:v>
                </c:pt>
                <c:pt idx="21">
                  <c:v>2015Q2</c:v>
                </c:pt>
                <c:pt idx="22">
                  <c:v>2015Q3</c:v>
                </c:pt>
                <c:pt idx="23">
                  <c:v>2015Q4</c:v>
                </c:pt>
                <c:pt idx="24">
                  <c:v>2016Q1</c:v>
                </c:pt>
                <c:pt idx="25">
                  <c:v>2016Q2</c:v>
                </c:pt>
                <c:pt idx="26">
                  <c:v>2016Q3</c:v>
                </c:pt>
                <c:pt idx="27">
                  <c:v>2016Q4</c:v>
                </c:pt>
                <c:pt idx="28">
                  <c:v>2017Q1</c:v>
                </c:pt>
                <c:pt idx="29">
                  <c:v>2017Q2</c:v>
                </c:pt>
                <c:pt idx="30">
                  <c:v>2017Q3</c:v>
                </c:pt>
                <c:pt idx="31">
                  <c:v>2017Q4</c:v>
                </c:pt>
                <c:pt idx="32">
                  <c:v>2018Q1</c:v>
                </c:pt>
                <c:pt idx="33">
                  <c:v>2018Q2</c:v>
                </c:pt>
                <c:pt idx="34">
                  <c:v>2018Q3</c:v>
                </c:pt>
                <c:pt idx="35">
                  <c:v>2018Q4</c:v>
                </c:pt>
                <c:pt idx="36">
                  <c:v>2019Q1</c:v>
                </c:pt>
                <c:pt idx="37">
                  <c:v>2019Q2</c:v>
                </c:pt>
                <c:pt idx="38">
                  <c:v>2019Q3</c:v>
                </c:pt>
                <c:pt idx="39">
                  <c:v>2019Q4</c:v>
                </c:pt>
                <c:pt idx="40">
                  <c:v>2020Q1</c:v>
                </c:pt>
                <c:pt idx="41">
                  <c:v>2020Q2</c:v>
                </c:pt>
                <c:pt idx="42">
                  <c:v>2020Q3</c:v>
                </c:pt>
                <c:pt idx="43">
                  <c:v>2020Q4</c:v>
                </c:pt>
                <c:pt idx="44">
                  <c:v>2021Q1</c:v>
                </c:pt>
                <c:pt idx="45">
                  <c:v>2021Q2</c:v>
                </c:pt>
              </c:strCache>
            </c:strRef>
          </c:cat>
          <c:val>
            <c:numRef>
              <c:f>'graf2 (2)'!$B$14:$AU$14</c:f>
              <c:numCache>
                <c:formatCode>#\ ##0.0</c:formatCode>
                <c:ptCount val="46"/>
                <c:pt idx="0">
                  <c:v>19.5</c:v>
                </c:pt>
                <c:pt idx="1">
                  <c:v>18.3</c:v>
                </c:pt>
                <c:pt idx="2">
                  <c:v>15.4</c:v>
                </c:pt>
                <c:pt idx="3">
                  <c:v>13.6</c:v>
                </c:pt>
                <c:pt idx="4">
                  <c:v>14.3</c:v>
                </c:pt>
                <c:pt idx="5">
                  <c:v>13</c:v>
                </c:pt>
                <c:pt idx="6">
                  <c:v>10.7</c:v>
                </c:pt>
                <c:pt idx="7">
                  <c:v>11.3</c:v>
                </c:pt>
                <c:pt idx="8">
                  <c:v>11.3</c:v>
                </c:pt>
                <c:pt idx="9">
                  <c:v>10.1</c:v>
                </c:pt>
                <c:pt idx="10">
                  <c:v>9.5</c:v>
                </c:pt>
                <c:pt idx="11">
                  <c:v>9.1</c:v>
                </c:pt>
                <c:pt idx="12">
                  <c:v>10</c:v>
                </c:pt>
                <c:pt idx="13">
                  <c:v>8</c:v>
                </c:pt>
                <c:pt idx="14">
                  <c:v>7.8</c:v>
                </c:pt>
                <c:pt idx="15">
                  <c:v>8.6999999999999993</c:v>
                </c:pt>
                <c:pt idx="16">
                  <c:v>8.5</c:v>
                </c:pt>
                <c:pt idx="17">
                  <c:v>7</c:v>
                </c:pt>
                <c:pt idx="18">
                  <c:v>7.5</c:v>
                </c:pt>
                <c:pt idx="19">
                  <c:v>6.3</c:v>
                </c:pt>
                <c:pt idx="20">
                  <c:v>6.6</c:v>
                </c:pt>
                <c:pt idx="21">
                  <c:v>6.5</c:v>
                </c:pt>
                <c:pt idx="22">
                  <c:v>5.2</c:v>
                </c:pt>
                <c:pt idx="23">
                  <c:v>6.4</c:v>
                </c:pt>
                <c:pt idx="24">
                  <c:v>6.5</c:v>
                </c:pt>
                <c:pt idx="25">
                  <c:v>6.5</c:v>
                </c:pt>
                <c:pt idx="26">
                  <c:v>7.5</c:v>
                </c:pt>
                <c:pt idx="27">
                  <c:v>6.6</c:v>
                </c:pt>
                <c:pt idx="28">
                  <c:v>5.6</c:v>
                </c:pt>
                <c:pt idx="29">
                  <c:v>7</c:v>
                </c:pt>
                <c:pt idx="30">
                  <c:v>5.2</c:v>
                </c:pt>
                <c:pt idx="31">
                  <c:v>5.3</c:v>
                </c:pt>
                <c:pt idx="32">
                  <c:v>6.8</c:v>
                </c:pt>
                <c:pt idx="33">
                  <c:v>5.0999999999999996</c:v>
                </c:pt>
                <c:pt idx="34">
                  <c:v>5.2</c:v>
                </c:pt>
                <c:pt idx="35">
                  <c:v>4.4000000000000004</c:v>
                </c:pt>
                <c:pt idx="36">
                  <c:v>4.7</c:v>
                </c:pt>
                <c:pt idx="37">
                  <c:v>5.0999999999999996</c:v>
                </c:pt>
                <c:pt idx="38">
                  <c:v>3.9</c:v>
                </c:pt>
                <c:pt idx="39">
                  <c:v>4.0999999999999996</c:v>
                </c:pt>
                <c:pt idx="40">
                  <c:v>5</c:v>
                </c:pt>
                <c:pt idx="41">
                  <c:v>7.1</c:v>
                </c:pt>
                <c:pt idx="42">
                  <c:v>7.7</c:v>
                </c:pt>
                <c:pt idx="43">
                  <c:v>7.4</c:v>
                </c:pt>
                <c:pt idx="44">
                  <c:v>7.1</c:v>
                </c:pt>
                <c:pt idx="45">
                  <c:v>6.9</c:v>
                </c:pt>
              </c:numCache>
            </c:numRef>
          </c:val>
          <c:smooth val="0"/>
          <c:extLst>
            <c:ext xmlns:c16="http://schemas.microsoft.com/office/drawing/2014/chart" uri="{C3380CC4-5D6E-409C-BE32-E72D297353CC}">
              <c16:uniqueId val="{00000001-44DC-49E7-9408-9FD42E389189}"/>
            </c:ext>
          </c:extLst>
        </c:ser>
        <c:ser>
          <c:idx val="2"/>
          <c:order val="2"/>
          <c:tx>
            <c:strRef>
              <c:f>'graf2 (2)'!$A$15</c:f>
              <c:strCache>
                <c:ptCount val="1"/>
                <c:pt idx="0">
                  <c:v>Latvija</c:v>
                </c:pt>
              </c:strCache>
            </c:strRef>
          </c:tx>
          <c:spPr>
            <a:ln w="28575" cap="rnd">
              <a:solidFill>
                <a:srgbClr val="FF1919"/>
              </a:solidFill>
              <a:round/>
            </a:ln>
            <a:effectLst/>
          </c:spPr>
          <c:marker>
            <c:symbol val="none"/>
          </c:marker>
          <c:cat>
            <c:strRef>
              <c:f>'graf2 (2)'!$B$12:$AU$12</c:f>
              <c:strCache>
                <c:ptCount val="46"/>
                <c:pt idx="0">
                  <c:v>2010Q1</c:v>
                </c:pt>
                <c:pt idx="1">
                  <c:v>2010Q2</c:v>
                </c:pt>
                <c:pt idx="2">
                  <c:v>2010Q3</c:v>
                </c:pt>
                <c:pt idx="3">
                  <c:v>2010Q4</c:v>
                </c:pt>
                <c:pt idx="4">
                  <c:v>2011Q1</c:v>
                </c:pt>
                <c:pt idx="5">
                  <c:v>2011Q2</c:v>
                </c:pt>
                <c:pt idx="6">
                  <c:v>2011Q3</c:v>
                </c:pt>
                <c:pt idx="7">
                  <c:v>2011Q4</c:v>
                </c:pt>
                <c:pt idx="8">
                  <c:v>2012Q1</c:v>
                </c:pt>
                <c:pt idx="9">
                  <c:v>2012Q2</c:v>
                </c:pt>
                <c:pt idx="10">
                  <c:v>2012Q3</c:v>
                </c:pt>
                <c:pt idx="11">
                  <c:v>2012Q4</c:v>
                </c:pt>
                <c:pt idx="12">
                  <c:v>2013Q1</c:v>
                </c:pt>
                <c:pt idx="13">
                  <c:v>2013Q2</c:v>
                </c:pt>
                <c:pt idx="14">
                  <c:v>2013Q3</c:v>
                </c:pt>
                <c:pt idx="15">
                  <c:v>2013Q4</c:v>
                </c:pt>
                <c:pt idx="16">
                  <c:v>2014Q1</c:v>
                </c:pt>
                <c:pt idx="17">
                  <c:v>2014Q2</c:v>
                </c:pt>
                <c:pt idx="18">
                  <c:v>2014Q3</c:v>
                </c:pt>
                <c:pt idx="19">
                  <c:v>2014Q4</c:v>
                </c:pt>
                <c:pt idx="20">
                  <c:v>2015Q1</c:v>
                </c:pt>
                <c:pt idx="21">
                  <c:v>2015Q2</c:v>
                </c:pt>
                <c:pt idx="22">
                  <c:v>2015Q3</c:v>
                </c:pt>
                <c:pt idx="23">
                  <c:v>2015Q4</c:v>
                </c:pt>
                <c:pt idx="24">
                  <c:v>2016Q1</c:v>
                </c:pt>
                <c:pt idx="25">
                  <c:v>2016Q2</c:v>
                </c:pt>
                <c:pt idx="26">
                  <c:v>2016Q3</c:v>
                </c:pt>
                <c:pt idx="27">
                  <c:v>2016Q4</c:v>
                </c:pt>
                <c:pt idx="28">
                  <c:v>2017Q1</c:v>
                </c:pt>
                <c:pt idx="29">
                  <c:v>2017Q2</c:v>
                </c:pt>
                <c:pt idx="30">
                  <c:v>2017Q3</c:v>
                </c:pt>
                <c:pt idx="31">
                  <c:v>2017Q4</c:v>
                </c:pt>
                <c:pt idx="32">
                  <c:v>2018Q1</c:v>
                </c:pt>
                <c:pt idx="33">
                  <c:v>2018Q2</c:v>
                </c:pt>
                <c:pt idx="34">
                  <c:v>2018Q3</c:v>
                </c:pt>
                <c:pt idx="35">
                  <c:v>2018Q4</c:v>
                </c:pt>
                <c:pt idx="36">
                  <c:v>2019Q1</c:v>
                </c:pt>
                <c:pt idx="37">
                  <c:v>2019Q2</c:v>
                </c:pt>
                <c:pt idx="38">
                  <c:v>2019Q3</c:v>
                </c:pt>
                <c:pt idx="39">
                  <c:v>2019Q4</c:v>
                </c:pt>
                <c:pt idx="40">
                  <c:v>2020Q1</c:v>
                </c:pt>
                <c:pt idx="41">
                  <c:v>2020Q2</c:v>
                </c:pt>
                <c:pt idx="42">
                  <c:v>2020Q3</c:v>
                </c:pt>
                <c:pt idx="43">
                  <c:v>2020Q4</c:v>
                </c:pt>
                <c:pt idx="44">
                  <c:v>2021Q1</c:v>
                </c:pt>
                <c:pt idx="45">
                  <c:v>2021Q2</c:v>
                </c:pt>
              </c:strCache>
            </c:strRef>
          </c:cat>
          <c:val>
            <c:numRef>
              <c:f>'graf2 (2)'!$B$15:$AU$15</c:f>
              <c:numCache>
                <c:formatCode>#\ ##0.0</c:formatCode>
                <c:ptCount val="46"/>
                <c:pt idx="0">
                  <c:v>21.3</c:v>
                </c:pt>
                <c:pt idx="1">
                  <c:v>20.399999999999999</c:v>
                </c:pt>
                <c:pt idx="2">
                  <c:v>18.5</c:v>
                </c:pt>
                <c:pt idx="3">
                  <c:v>17.8</c:v>
                </c:pt>
                <c:pt idx="4">
                  <c:v>17.600000000000001</c:v>
                </c:pt>
                <c:pt idx="5">
                  <c:v>17.100000000000001</c:v>
                </c:pt>
                <c:pt idx="6">
                  <c:v>15.1</c:v>
                </c:pt>
                <c:pt idx="7">
                  <c:v>15</c:v>
                </c:pt>
                <c:pt idx="8">
                  <c:v>16.3</c:v>
                </c:pt>
                <c:pt idx="9">
                  <c:v>16.3</c:v>
                </c:pt>
                <c:pt idx="10">
                  <c:v>13.7</c:v>
                </c:pt>
                <c:pt idx="11">
                  <c:v>13.9</c:v>
                </c:pt>
                <c:pt idx="12">
                  <c:v>13</c:v>
                </c:pt>
                <c:pt idx="13">
                  <c:v>11.4</c:v>
                </c:pt>
                <c:pt idx="14">
                  <c:v>11.8</c:v>
                </c:pt>
                <c:pt idx="15">
                  <c:v>11.3</c:v>
                </c:pt>
                <c:pt idx="16">
                  <c:v>11.9</c:v>
                </c:pt>
                <c:pt idx="17">
                  <c:v>10.7</c:v>
                </c:pt>
                <c:pt idx="18">
                  <c:v>10.6</c:v>
                </c:pt>
                <c:pt idx="19">
                  <c:v>10.199999999999999</c:v>
                </c:pt>
                <c:pt idx="20">
                  <c:v>10.199999999999999</c:v>
                </c:pt>
                <c:pt idx="21">
                  <c:v>9.8000000000000007</c:v>
                </c:pt>
                <c:pt idx="22">
                  <c:v>9.6999999999999993</c:v>
                </c:pt>
                <c:pt idx="23">
                  <c:v>9.8000000000000007</c:v>
                </c:pt>
                <c:pt idx="24">
                  <c:v>10.3</c:v>
                </c:pt>
                <c:pt idx="25">
                  <c:v>9.5</c:v>
                </c:pt>
                <c:pt idx="26">
                  <c:v>9.5</c:v>
                </c:pt>
                <c:pt idx="27">
                  <c:v>9.3000000000000007</c:v>
                </c:pt>
                <c:pt idx="28">
                  <c:v>9.4</c:v>
                </c:pt>
                <c:pt idx="29">
                  <c:v>8.9</c:v>
                </c:pt>
                <c:pt idx="30">
                  <c:v>8.5</c:v>
                </c:pt>
                <c:pt idx="31">
                  <c:v>8.1</c:v>
                </c:pt>
                <c:pt idx="32">
                  <c:v>8.1999999999999993</c:v>
                </c:pt>
                <c:pt idx="33">
                  <c:v>7.7</c:v>
                </c:pt>
                <c:pt idx="34">
                  <c:v>7</c:v>
                </c:pt>
                <c:pt idx="35">
                  <c:v>6.9</c:v>
                </c:pt>
                <c:pt idx="36">
                  <c:v>6.9</c:v>
                </c:pt>
                <c:pt idx="37">
                  <c:v>6.4</c:v>
                </c:pt>
                <c:pt idx="38">
                  <c:v>6</c:v>
                </c:pt>
                <c:pt idx="39">
                  <c:v>6</c:v>
                </c:pt>
                <c:pt idx="40">
                  <c:v>7.4</c:v>
                </c:pt>
                <c:pt idx="41">
                  <c:v>8.6</c:v>
                </c:pt>
                <c:pt idx="42">
                  <c:v>8.4</c:v>
                </c:pt>
                <c:pt idx="43">
                  <c:v>7.9</c:v>
                </c:pt>
                <c:pt idx="44">
                  <c:v>8.1</c:v>
                </c:pt>
                <c:pt idx="45">
                  <c:v>7.9</c:v>
                </c:pt>
              </c:numCache>
            </c:numRef>
          </c:val>
          <c:smooth val="0"/>
          <c:extLst>
            <c:ext xmlns:c16="http://schemas.microsoft.com/office/drawing/2014/chart" uri="{C3380CC4-5D6E-409C-BE32-E72D297353CC}">
              <c16:uniqueId val="{00000002-44DC-49E7-9408-9FD42E389189}"/>
            </c:ext>
          </c:extLst>
        </c:ser>
        <c:ser>
          <c:idx val="3"/>
          <c:order val="3"/>
          <c:tx>
            <c:strRef>
              <c:f>'graf2 (2)'!$A$16</c:f>
              <c:strCache>
                <c:ptCount val="1"/>
                <c:pt idx="0">
                  <c:v>Lietuva</c:v>
                </c:pt>
              </c:strCache>
            </c:strRef>
          </c:tx>
          <c:spPr>
            <a:ln w="28575" cap="rnd">
              <a:solidFill>
                <a:srgbClr val="4C9E54"/>
              </a:solidFill>
              <a:round/>
            </a:ln>
            <a:effectLst/>
          </c:spPr>
          <c:marker>
            <c:symbol val="none"/>
          </c:marker>
          <c:cat>
            <c:strRef>
              <c:f>'graf2 (2)'!$B$12:$AU$12</c:f>
              <c:strCache>
                <c:ptCount val="46"/>
                <c:pt idx="0">
                  <c:v>2010Q1</c:v>
                </c:pt>
                <c:pt idx="1">
                  <c:v>2010Q2</c:v>
                </c:pt>
                <c:pt idx="2">
                  <c:v>2010Q3</c:v>
                </c:pt>
                <c:pt idx="3">
                  <c:v>2010Q4</c:v>
                </c:pt>
                <c:pt idx="4">
                  <c:v>2011Q1</c:v>
                </c:pt>
                <c:pt idx="5">
                  <c:v>2011Q2</c:v>
                </c:pt>
                <c:pt idx="6">
                  <c:v>2011Q3</c:v>
                </c:pt>
                <c:pt idx="7">
                  <c:v>2011Q4</c:v>
                </c:pt>
                <c:pt idx="8">
                  <c:v>2012Q1</c:v>
                </c:pt>
                <c:pt idx="9">
                  <c:v>2012Q2</c:v>
                </c:pt>
                <c:pt idx="10">
                  <c:v>2012Q3</c:v>
                </c:pt>
                <c:pt idx="11">
                  <c:v>2012Q4</c:v>
                </c:pt>
                <c:pt idx="12">
                  <c:v>2013Q1</c:v>
                </c:pt>
                <c:pt idx="13">
                  <c:v>2013Q2</c:v>
                </c:pt>
                <c:pt idx="14">
                  <c:v>2013Q3</c:v>
                </c:pt>
                <c:pt idx="15">
                  <c:v>2013Q4</c:v>
                </c:pt>
                <c:pt idx="16">
                  <c:v>2014Q1</c:v>
                </c:pt>
                <c:pt idx="17">
                  <c:v>2014Q2</c:v>
                </c:pt>
                <c:pt idx="18">
                  <c:v>2014Q3</c:v>
                </c:pt>
                <c:pt idx="19">
                  <c:v>2014Q4</c:v>
                </c:pt>
                <c:pt idx="20">
                  <c:v>2015Q1</c:v>
                </c:pt>
                <c:pt idx="21">
                  <c:v>2015Q2</c:v>
                </c:pt>
                <c:pt idx="22">
                  <c:v>2015Q3</c:v>
                </c:pt>
                <c:pt idx="23">
                  <c:v>2015Q4</c:v>
                </c:pt>
                <c:pt idx="24">
                  <c:v>2016Q1</c:v>
                </c:pt>
                <c:pt idx="25">
                  <c:v>2016Q2</c:v>
                </c:pt>
                <c:pt idx="26">
                  <c:v>2016Q3</c:v>
                </c:pt>
                <c:pt idx="27">
                  <c:v>2016Q4</c:v>
                </c:pt>
                <c:pt idx="28">
                  <c:v>2017Q1</c:v>
                </c:pt>
                <c:pt idx="29">
                  <c:v>2017Q2</c:v>
                </c:pt>
                <c:pt idx="30">
                  <c:v>2017Q3</c:v>
                </c:pt>
                <c:pt idx="31">
                  <c:v>2017Q4</c:v>
                </c:pt>
                <c:pt idx="32">
                  <c:v>2018Q1</c:v>
                </c:pt>
                <c:pt idx="33">
                  <c:v>2018Q2</c:v>
                </c:pt>
                <c:pt idx="34">
                  <c:v>2018Q3</c:v>
                </c:pt>
                <c:pt idx="35">
                  <c:v>2018Q4</c:v>
                </c:pt>
                <c:pt idx="36">
                  <c:v>2019Q1</c:v>
                </c:pt>
                <c:pt idx="37">
                  <c:v>2019Q2</c:v>
                </c:pt>
                <c:pt idx="38">
                  <c:v>2019Q3</c:v>
                </c:pt>
                <c:pt idx="39">
                  <c:v>2019Q4</c:v>
                </c:pt>
                <c:pt idx="40">
                  <c:v>2020Q1</c:v>
                </c:pt>
                <c:pt idx="41">
                  <c:v>2020Q2</c:v>
                </c:pt>
                <c:pt idx="42">
                  <c:v>2020Q3</c:v>
                </c:pt>
                <c:pt idx="43">
                  <c:v>2020Q4</c:v>
                </c:pt>
                <c:pt idx="44">
                  <c:v>2021Q1</c:v>
                </c:pt>
                <c:pt idx="45">
                  <c:v>2021Q2</c:v>
                </c:pt>
              </c:strCache>
            </c:strRef>
          </c:cat>
          <c:val>
            <c:numRef>
              <c:f>'graf2 (2)'!$B$16:$AU$16</c:f>
              <c:numCache>
                <c:formatCode>#\ ##0.0</c:formatCode>
                <c:ptCount val="46"/>
                <c:pt idx="0">
                  <c:v>18.2</c:v>
                </c:pt>
                <c:pt idx="1">
                  <c:v>18.2</c:v>
                </c:pt>
                <c:pt idx="2">
                  <c:v>17.7</c:v>
                </c:pt>
                <c:pt idx="3">
                  <c:v>17.2</c:v>
                </c:pt>
                <c:pt idx="4">
                  <c:v>17.2</c:v>
                </c:pt>
                <c:pt idx="5">
                  <c:v>15.6</c:v>
                </c:pt>
                <c:pt idx="6">
                  <c:v>15</c:v>
                </c:pt>
                <c:pt idx="7">
                  <c:v>13.9</c:v>
                </c:pt>
                <c:pt idx="8">
                  <c:v>14.6</c:v>
                </c:pt>
                <c:pt idx="9">
                  <c:v>13.3</c:v>
                </c:pt>
                <c:pt idx="10">
                  <c:v>12.5</c:v>
                </c:pt>
                <c:pt idx="11">
                  <c:v>13.2</c:v>
                </c:pt>
                <c:pt idx="12">
                  <c:v>13.1</c:v>
                </c:pt>
                <c:pt idx="13">
                  <c:v>11.7</c:v>
                </c:pt>
                <c:pt idx="14">
                  <c:v>10.9</c:v>
                </c:pt>
                <c:pt idx="15">
                  <c:v>11.4</c:v>
                </c:pt>
                <c:pt idx="16">
                  <c:v>12.4</c:v>
                </c:pt>
                <c:pt idx="17">
                  <c:v>11.2</c:v>
                </c:pt>
                <c:pt idx="18">
                  <c:v>9.1</c:v>
                </c:pt>
                <c:pt idx="19">
                  <c:v>10.1</c:v>
                </c:pt>
                <c:pt idx="20">
                  <c:v>10</c:v>
                </c:pt>
                <c:pt idx="21">
                  <c:v>9.4</c:v>
                </c:pt>
                <c:pt idx="22">
                  <c:v>8.3000000000000007</c:v>
                </c:pt>
                <c:pt idx="23">
                  <c:v>8.8000000000000007</c:v>
                </c:pt>
                <c:pt idx="24">
                  <c:v>8.4</c:v>
                </c:pt>
                <c:pt idx="25">
                  <c:v>8</c:v>
                </c:pt>
                <c:pt idx="26">
                  <c:v>7.5</c:v>
                </c:pt>
                <c:pt idx="27">
                  <c:v>7.7</c:v>
                </c:pt>
                <c:pt idx="28">
                  <c:v>8.1</c:v>
                </c:pt>
                <c:pt idx="29">
                  <c:v>7</c:v>
                </c:pt>
                <c:pt idx="30">
                  <c:v>6.6</c:v>
                </c:pt>
                <c:pt idx="31">
                  <c:v>6.7</c:v>
                </c:pt>
                <c:pt idx="32">
                  <c:v>7.2</c:v>
                </c:pt>
                <c:pt idx="33">
                  <c:v>5.9</c:v>
                </c:pt>
                <c:pt idx="34">
                  <c:v>5.6</c:v>
                </c:pt>
                <c:pt idx="35">
                  <c:v>6</c:v>
                </c:pt>
                <c:pt idx="36">
                  <c:v>6.5</c:v>
                </c:pt>
                <c:pt idx="37">
                  <c:v>6.2</c:v>
                </c:pt>
                <c:pt idx="38">
                  <c:v>6.1</c:v>
                </c:pt>
                <c:pt idx="39">
                  <c:v>6.4</c:v>
                </c:pt>
                <c:pt idx="40">
                  <c:v>7.2</c:v>
                </c:pt>
                <c:pt idx="41">
                  <c:v>8.6</c:v>
                </c:pt>
                <c:pt idx="42">
                  <c:v>9.3000000000000007</c:v>
                </c:pt>
                <c:pt idx="43">
                  <c:v>9.1</c:v>
                </c:pt>
                <c:pt idx="44">
                  <c:v>7.5</c:v>
                </c:pt>
                <c:pt idx="45">
                  <c:v>7.4</c:v>
                </c:pt>
              </c:numCache>
            </c:numRef>
          </c:val>
          <c:smooth val="0"/>
          <c:extLst>
            <c:ext xmlns:c16="http://schemas.microsoft.com/office/drawing/2014/chart" uri="{C3380CC4-5D6E-409C-BE32-E72D297353CC}">
              <c16:uniqueId val="{00000003-44DC-49E7-9408-9FD42E389189}"/>
            </c:ext>
          </c:extLst>
        </c:ser>
        <c:dLbls>
          <c:showLegendKey val="0"/>
          <c:showVal val="0"/>
          <c:showCatName val="0"/>
          <c:showSerName val="0"/>
          <c:showPercent val="0"/>
          <c:showBubbleSize val="0"/>
        </c:dLbls>
        <c:smooth val="0"/>
        <c:axId val="557917464"/>
        <c:axId val="1"/>
      </c:lineChart>
      <c:catAx>
        <c:axId val="557917464"/>
        <c:scaling>
          <c:orientation val="minMax"/>
        </c:scaling>
        <c:delete val="0"/>
        <c:axPos val="b"/>
        <c:majorGridlines>
          <c:spPr>
            <a:ln>
              <a:solidFill>
                <a:sysClr val="window" lastClr="FFFFFF">
                  <a:lumMod val="85000"/>
                </a:sysClr>
              </a:solidFill>
            </a:ln>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
        <c:crosses val="autoZero"/>
        <c:auto val="1"/>
        <c:lblAlgn val="ctr"/>
        <c:lblOffset val="100"/>
        <c:tickLblSkip val="2"/>
        <c:tickMarkSkip val="4"/>
        <c:noMultiLvlLbl val="0"/>
      </c:catAx>
      <c:valAx>
        <c:axId val="1"/>
        <c:scaling>
          <c:orientation val="minMax"/>
          <c:max val="22"/>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57917464"/>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6315937637132898"/>
          <c:y val="4.4570502431118313E-2"/>
          <c:w val="0.44640949849723044"/>
          <c:h val="0.77845620796590054"/>
        </c:manualLayout>
      </c:layout>
      <c:barChart>
        <c:barDir val="bar"/>
        <c:grouping val="clustered"/>
        <c:varyColors val="0"/>
        <c:ser>
          <c:idx val="0"/>
          <c:order val="0"/>
          <c:tx>
            <c:strRef>
              <c:f>'IKP nozares &amp; izlietojums (2)'!$BA$36</c:f>
              <c:strCache>
                <c:ptCount val="1"/>
                <c:pt idx="0">
                  <c:v>2021 1.pusg.</c:v>
                </c:pt>
              </c:strCache>
            </c:strRef>
          </c:tx>
          <c:spPr>
            <a:pattFill prst="dkUpDiag">
              <a:fgClr>
                <a:srgbClr val="00B050"/>
              </a:fgClr>
              <a:bgClr>
                <a:schemeClr val="bg1"/>
              </a:bgClr>
            </a:pattFill>
            <a:ln>
              <a:solidFill>
                <a:srgbClr val="00B050"/>
              </a:solidFill>
            </a:ln>
            <a:effectLst/>
          </c:spPr>
          <c:invertIfNegative val="0"/>
          <c:dPt>
            <c:idx val="2"/>
            <c:invertIfNegative val="0"/>
            <c:bubble3D val="0"/>
            <c:spPr>
              <a:pattFill prst="dkUpDiag">
                <a:fgClr>
                  <a:srgbClr val="00B050"/>
                </a:fgClr>
                <a:bgClr>
                  <a:schemeClr val="bg1"/>
                </a:bgClr>
              </a:pattFill>
              <a:ln>
                <a:solidFill>
                  <a:srgbClr val="00B050"/>
                </a:solidFill>
              </a:ln>
              <a:effectLst/>
            </c:spPr>
            <c:extLst>
              <c:ext xmlns:c16="http://schemas.microsoft.com/office/drawing/2014/chart" uri="{C3380CC4-5D6E-409C-BE32-E72D297353CC}">
                <c16:uniqueId val="{00000001-A8C1-4C6F-92D8-FD6B29F28552}"/>
              </c:ext>
            </c:extLst>
          </c:dPt>
          <c:dPt>
            <c:idx val="4"/>
            <c:invertIfNegative val="0"/>
            <c:bubble3D val="0"/>
            <c:extLst>
              <c:ext xmlns:c16="http://schemas.microsoft.com/office/drawing/2014/chart" uri="{C3380CC4-5D6E-409C-BE32-E72D297353CC}">
                <c16:uniqueId val="{00000002-A8C1-4C6F-92D8-FD6B29F28552}"/>
              </c:ext>
            </c:extLst>
          </c:dPt>
          <c:dPt>
            <c:idx val="6"/>
            <c:invertIfNegative val="0"/>
            <c:bubble3D val="0"/>
            <c:spPr>
              <a:pattFill prst="dkUpDiag">
                <a:fgClr>
                  <a:srgbClr val="00B050"/>
                </a:fgClr>
                <a:bgClr>
                  <a:schemeClr val="bg1"/>
                </a:bgClr>
              </a:pattFill>
              <a:ln>
                <a:solidFill>
                  <a:srgbClr val="00B050"/>
                </a:solidFill>
              </a:ln>
              <a:effectLst/>
            </c:spPr>
            <c:extLst>
              <c:ext xmlns:c16="http://schemas.microsoft.com/office/drawing/2014/chart" uri="{C3380CC4-5D6E-409C-BE32-E72D297353CC}">
                <c16:uniqueId val="{00000004-A8C1-4C6F-92D8-FD6B29F28552}"/>
              </c:ext>
            </c:extLst>
          </c:dPt>
          <c:dPt>
            <c:idx val="7"/>
            <c:invertIfNegative val="0"/>
            <c:bubble3D val="0"/>
            <c:extLst>
              <c:ext xmlns:c16="http://schemas.microsoft.com/office/drawing/2014/chart" uri="{C3380CC4-5D6E-409C-BE32-E72D297353CC}">
                <c16:uniqueId val="{00000005-A8C1-4C6F-92D8-FD6B29F28552}"/>
              </c:ext>
            </c:extLst>
          </c:dPt>
          <c:dLbls>
            <c:dLbl>
              <c:idx val="2"/>
              <c:layout>
                <c:manualLayout>
                  <c:x val="-5.7424509633456702E-2"/>
                  <c:y val="-3.6466774716369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C1-4C6F-92D8-FD6B29F28552}"/>
                </c:ext>
              </c:extLst>
            </c:dLbl>
            <c:dLbl>
              <c:idx val="5"/>
              <c:layout>
                <c:manualLayout>
                  <c:x val="-1.4029370392464447E-2"/>
                  <c:y val="-4.197730416664917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8C1-4C6F-92D8-FD6B29F28552}"/>
                </c:ext>
              </c:extLst>
            </c:dLbl>
            <c:dLbl>
              <c:idx val="6"/>
              <c:layout>
                <c:manualLayout>
                  <c:x val="-1.372724250179102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C1-4C6F-92D8-FD6B29F28552}"/>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'IKP nozares &amp; izlietojums (2)'!$A$25:$A$34</c:f>
              <c:strCache>
                <c:ptCount val="10"/>
                <c:pt idx="0">
                  <c:v>Citi pakalpojumi</c:v>
                </c:pt>
                <c:pt idx="1">
                  <c:v>IT un komunikācijas pak</c:v>
                </c:pt>
                <c:pt idx="2">
                  <c:v>Finanšu pak.</c:v>
                </c:pt>
                <c:pt idx="3">
                  <c:v>Operācijas ar NĪ</c:v>
                </c:pt>
                <c:pt idx="4">
                  <c:v>Tirdzniecība, izmitināšana</c:v>
                </c:pt>
                <c:pt idx="5">
                  <c:v>Transports un uzglabāšana</c:v>
                </c:pt>
                <c:pt idx="6">
                  <c:v>Būvniecība</c:v>
                </c:pt>
                <c:pt idx="7">
                  <c:v>Rūpniecība</c:v>
                </c:pt>
                <c:pt idx="8">
                  <c:v>Lauksaimniecība</c:v>
                </c:pt>
                <c:pt idx="9">
                  <c:v>Kopējā pievienotā vērtība</c:v>
                </c:pt>
              </c:strCache>
            </c:strRef>
          </c:cat>
          <c:val>
            <c:numRef>
              <c:f>'IKP nozares &amp; izlietojums (2)'!$AT$25:$AT$34</c:f>
              <c:numCache>
                <c:formatCode>0.0</c:formatCode>
                <c:ptCount val="10"/>
                <c:pt idx="0">
                  <c:v>4.5191245738296582</c:v>
                </c:pt>
                <c:pt idx="1">
                  <c:v>6.1000533553893455</c:v>
                </c:pt>
                <c:pt idx="2">
                  <c:v>14.767371049266176</c:v>
                </c:pt>
                <c:pt idx="3">
                  <c:v>-2.1693175898844008</c:v>
                </c:pt>
                <c:pt idx="4">
                  <c:v>6.4518508536950847</c:v>
                </c:pt>
                <c:pt idx="5">
                  <c:v>3.5552188663087403</c:v>
                </c:pt>
                <c:pt idx="6">
                  <c:v>-4.5786496630261571</c:v>
                </c:pt>
                <c:pt idx="7">
                  <c:v>8.0247157307569381</c:v>
                </c:pt>
                <c:pt idx="8">
                  <c:v>-2.1478031256020547</c:v>
                </c:pt>
                <c:pt idx="9">
                  <c:v>3.8824845402321895</c:v>
                </c:pt>
              </c:numCache>
            </c:numRef>
          </c:val>
          <c:extLst>
            <c:ext xmlns:c16="http://schemas.microsoft.com/office/drawing/2014/chart" uri="{C3380CC4-5D6E-409C-BE32-E72D297353CC}">
              <c16:uniqueId val="{00000007-A8C1-4C6F-92D8-FD6B29F28552}"/>
            </c:ext>
          </c:extLst>
        </c:ser>
        <c:ser>
          <c:idx val="1"/>
          <c:order val="1"/>
          <c:tx>
            <c:strRef>
              <c:f>'IKP nozares &amp; izlietojums (2)'!$AZ$36</c:f>
              <c:strCache>
                <c:ptCount val="1"/>
                <c:pt idx="0">
                  <c:v>2020</c:v>
                </c:pt>
              </c:strCache>
            </c:strRef>
          </c:tx>
          <c:spPr>
            <a:solidFill>
              <a:schemeClr val="bg1">
                <a:lumMod val="65000"/>
              </a:schemeClr>
            </a:solidFill>
            <a:ln>
              <a:noFill/>
            </a:ln>
            <a:effectLst/>
          </c:spPr>
          <c:invertIfNegative val="0"/>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9-A8C1-4C6F-92D8-FD6B29F28552}"/>
              </c:ext>
            </c:extLst>
          </c:dPt>
          <c:dLbls>
            <c:dLbl>
              <c:idx val="2"/>
              <c:layout>
                <c:manualLayout>
                  <c:x val="-1.883846755741468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8C1-4C6F-92D8-FD6B29F28552}"/>
                </c:ext>
              </c:extLst>
            </c:dLbl>
            <c:dLbl>
              <c:idx val="5"/>
              <c:layout>
                <c:manualLayout>
                  <c:x val="-4.2054364655522165E-3"/>
                  <c:y val="-4.0517043351752831E-3"/>
                </c:manualLayout>
              </c:layout>
              <c:showLegendKey val="0"/>
              <c:showVal val="1"/>
              <c:showCatName val="0"/>
              <c:showSerName val="0"/>
              <c:showPercent val="0"/>
              <c:showBubbleSize val="0"/>
              <c:extLst>
                <c:ext xmlns:c15="http://schemas.microsoft.com/office/drawing/2012/chart" uri="{CE6537A1-D6FC-4f65-9D91-7224C49458BB}">
                  <c15:layout>
                    <c:manualLayout>
                      <c:w val="0.10408008147246578"/>
                      <c:h val="3.78648272693628E-2"/>
                    </c:manualLayout>
                  </c15:layout>
                </c:ext>
                <c:ext xmlns:c16="http://schemas.microsoft.com/office/drawing/2014/chart" uri="{C3380CC4-5D6E-409C-BE32-E72D297353CC}">
                  <c16:uniqueId val="{0000000A-A8C1-4C6F-92D8-FD6B29F28552}"/>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'IKP nozares &amp; izlietojums (2)'!$AO$25:$AO$34</c:f>
              <c:numCache>
                <c:formatCode>0.0</c:formatCode>
                <c:ptCount val="10"/>
                <c:pt idx="0">
                  <c:v>-2.245155575307245</c:v>
                </c:pt>
                <c:pt idx="1">
                  <c:v>-6.2300846237612451</c:v>
                </c:pt>
                <c:pt idx="2">
                  <c:v>-5.7181256467617843</c:v>
                </c:pt>
                <c:pt idx="3">
                  <c:v>-0.38097104720551389</c:v>
                </c:pt>
                <c:pt idx="4">
                  <c:v>-6.6129488514936057</c:v>
                </c:pt>
                <c:pt idx="5">
                  <c:v>-14.876634425935876</c:v>
                </c:pt>
                <c:pt idx="6">
                  <c:v>2.6464310391395962</c:v>
                </c:pt>
                <c:pt idx="7">
                  <c:v>-1.0221040608687337</c:v>
                </c:pt>
                <c:pt idx="8">
                  <c:v>1.7899090522549121</c:v>
                </c:pt>
                <c:pt idx="9">
                  <c:v>-3.462292905362363</c:v>
                </c:pt>
              </c:numCache>
            </c:numRef>
          </c:val>
          <c:extLst>
            <c:ext xmlns:c16="http://schemas.microsoft.com/office/drawing/2014/chart" uri="{C3380CC4-5D6E-409C-BE32-E72D297353CC}">
              <c16:uniqueId val="{0000000B-A8C1-4C6F-92D8-FD6B29F28552}"/>
            </c:ext>
          </c:extLst>
        </c:ser>
        <c:dLbls>
          <c:showLegendKey val="0"/>
          <c:showVal val="0"/>
          <c:showCatName val="0"/>
          <c:showSerName val="0"/>
          <c:showPercent val="0"/>
          <c:showBubbleSize val="0"/>
        </c:dLbls>
        <c:gapWidth val="50"/>
        <c:overlap val="-10"/>
        <c:axId val="212684440"/>
        <c:axId val="212684832"/>
      </c:barChart>
      <c:catAx>
        <c:axId val="212684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12684832"/>
        <c:crosses val="autoZero"/>
        <c:auto val="1"/>
        <c:lblAlgn val="ctr"/>
        <c:lblOffset val="100"/>
        <c:noMultiLvlLbl val="0"/>
      </c:catAx>
      <c:valAx>
        <c:axId val="212684832"/>
        <c:scaling>
          <c:orientation val="minMax"/>
          <c:max val="15"/>
          <c:min val="-2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12684440"/>
        <c:crosses val="autoZero"/>
        <c:crossBetween val="between"/>
        <c:majorUnit val="5"/>
      </c:valAx>
      <c:spPr>
        <a:noFill/>
        <a:ln>
          <a:noFill/>
        </a:ln>
        <a:effectLst/>
      </c:spPr>
    </c:plotArea>
    <c:legend>
      <c:legendPos val="b"/>
      <c:layout>
        <c:manualLayout>
          <c:xMode val="edge"/>
          <c:yMode val="edge"/>
          <c:x val="0.43200437462716246"/>
          <c:y val="0.89744570712351968"/>
          <c:w val="0.39676892541776215"/>
          <c:h val="7.560233964461085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bg1"/>
      </a:solid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04728391012285"/>
          <c:y val="4.4044044044044044E-2"/>
          <c:w val="0.80598410028989576"/>
          <c:h val="0.55144815348785625"/>
        </c:manualLayout>
      </c:layout>
      <c:barChart>
        <c:barDir val="col"/>
        <c:grouping val="stacked"/>
        <c:varyColors val="0"/>
        <c:ser>
          <c:idx val="1"/>
          <c:order val="0"/>
          <c:tx>
            <c:strRef>
              <c:f>'2020'!$D$1</c:f>
              <c:strCache>
                <c:ptCount val="1"/>
                <c:pt idx="0">
                  <c:v>Vidējā alga 2021.gada 2.ceturksnī, euro</c:v>
                </c:pt>
              </c:strCache>
            </c:strRef>
          </c:tx>
          <c:spPr>
            <a:solidFill>
              <a:srgbClr val="ED7D31"/>
            </a:solidFill>
            <a:ln>
              <a:solidFill>
                <a:srgbClr val="ED7D31"/>
              </a:solidFill>
            </a:ln>
            <a:effectLst/>
          </c:spPr>
          <c:invertIfNegative val="0"/>
          <c:cat>
            <c:strRef>
              <c:f>'2020'!$C$4:$C$23</c:f>
              <c:strCache>
                <c:ptCount val="20"/>
                <c:pt idx="0">
                  <c:v>Finanšu pakalpojumi</c:v>
                </c:pt>
                <c:pt idx="1">
                  <c:v>Informācijas, komunik. pak.</c:v>
                </c:pt>
                <c:pt idx="2">
                  <c:v>Enerģētika</c:v>
                </c:pt>
                <c:pt idx="3">
                  <c:v>Veselība, sociālā aprūpe</c:v>
                </c:pt>
                <c:pt idx="4">
                  <c:v>Valsts pārvalde</c:v>
                </c:pt>
                <c:pt idx="5">
                  <c:v>Prof. pakalpojumi</c:v>
                </c:pt>
                <c:pt idx="6">
                  <c:v>Ieguves rūpniecība</c:v>
                </c:pt>
                <c:pt idx="7">
                  <c:v>Pavisam</c:v>
                </c:pt>
                <c:pt idx="8">
                  <c:v>Ūdens apgāde</c:v>
                </c:pt>
                <c:pt idx="9">
                  <c:v>Apstrādes rūpniecība</c:v>
                </c:pt>
                <c:pt idx="10">
                  <c:v>Būvniecība</c:v>
                </c:pt>
                <c:pt idx="11">
                  <c:v>Transports</c:v>
                </c:pt>
                <c:pt idx="12">
                  <c:v>Lauksaimniecība</c:v>
                </c:pt>
                <c:pt idx="13">
                  <c:v>Tirdzniecība</c:v>
                </c:pt>
                <c:pt idx="14">
                  <c:v>Admin. pakalpojumi</c:v>
                </c:pt>
                <c:pt idx="15">
                  <c:v>Izglītība</c:v>
                </c:pt>
                <c:pt idx="16">
                  <c:v>Nekustamā īpašuma operācijas</c:v>
                </c:pt>
                <c:pt idx="17">
                  <c:v>Māksla, izklaide</c:v>
                </c:pt>
                <c:pt idx="18">
                  <c:v>Citi pakalpojumi</c:v>
                </c:pt>
                <c:pt idx="19">
                  <c:v>Izmitināšana,ēdināšana</c:v>
                </c:pt>
              </c:strCache>
            </c:strRef>
          </c:cat>
          <c:val>
            <c:numRef>
              <c:f>'2020'!$D$4:$D$23</c:f>
              <c:numCache>
                <c:formatCode>0</c:formatCode>
                <c:ptCount val="20"/>
                <c:pt idx="0">
                  <c:v>2558</c:v>
                </c:pt>
                <c:pt idx="1">
                  <c:v>1955</c:v>
                </c:pt>
                <c:pt idx="2">
                  <c:v>1644</c:v>
                </c:pt>
                <c:pt idx="3">
                  <c:v>1564</c:v>
                </c:pt>
                <c:pt idx="4">
                  <c:v>1444</c:v>
                </c:pt>
                <c:pt idx="5">
                  <c:v>1400</c:v>
                </c:pt>
                <c:pt idx="6">
                  <c:v>1319</c:v>
                </c:pt>
                <c:pt idx="7">
                  <c:v>1237</c:v>
                </c:pt>
                <c:pt idx="8">
                  <c:v>1196</c:v>
                </c:pt>
                <c:pt idx="9">
                  <c:v>1176</c:v>
                </c:pt>
                <c:pt idx="10">
                  <c:v>1172</c:v>
                </c:pt>
                <c:pt idx="11">
                  <c:v>1117</c:v>
                </c:pt>
                <c:pt idx="12">
                  <c:v>1114</c:v>
                </c:pt>
                <c:pt idx="13">
                  <c:v>1089</c:v>
                </c:pt>
                <c:pt idx="14">
                  <c:v>1059</c:v>
                </c:pt>
                <c:pt idx="15">
                  <c:v>1007</c:v>
                </c:pt>
                <c:pt idx="16">
                  <c:v>992</c:v>
                </c:pt>
                <c:pt idx="17">
                  <c:v>982</c:v>
                </c:pt>
                <c:pt idx="18">
                  <c:v>956</c:v>
                </c:pt>
                <c:pt idx="19">
                  <c:v>738</c:v>
                </c:pt>
              </c:numCache>
            </c:numRef>
          </c:val>
          <c:extLst>
            <c:ext xmlns:c16="http://schemas.microsoft.com/office/drawing/2014/chart" uri="{C3380CC4-5D6E-409C-BE32-E72D297353CC}">
              <c16:uniqueId val="{00000000-DC1B-47A7-9308-0302F0F4EFC3}"/>
            </c:ext>
          </c:extLst>
        </c:ser>
        <c:dLbls>
          <c:showLegendKey val="0"/>
          <c:showVal val="0"/>
          <c:showCatName val="0"/>
          <c:showSerName val="0"/>
          <c:showPercent val="0"/>
          <c:showBubbleSize val="0"/>
        </c:dLbls>
        <c:gapWidth val="82"/>
        <c:overlap val="100"/>
        <c:axId val="395291424"/>
        <c:axId val="395291816"/>
      </c:barChart>
      <c:lineChart>
        <c:grouping val="stacked"/>
        <c:varyColors val="0"/>
        <c:ser>
          <c:idx val="2"/>
          <c:order val="1"/>
          <c:tx>
            <c:strRef>
              <c:f>'2020'!$E$1</c:f>
              <c:strCache>
                <c:ptCount val="1"/>
                <c:pt idx="0">
                  <c:v>Vidējās algas izmaiņas, gads pret gadu, %, labā ass</c:v>
                </c:pt>
              </c:strCache>
            </c:strRef>
          </c:tx>
          <c:spPr>
            <a:ln w="28575" cap="rnd">
              <a:noFill/>
              <a:round/>
            </a:ln>
            <a:effectLst/>
          </c:spPr>
          <c:marker>
            <c:symbol val="diamond"/>
            <c:size val="8"/>
            <c:spPr>
              <a:solidFill>
                <a:schemeClr val="tx1">
                  <a:lumMod val="85000"/>
                  <a:lumOff val="15000"/>
                </a:schemeClr>
              </a:solidFill>
              <a:ln w="9525">
                <a:solidFill>
                  <a:schemeClr val="tx1">
                    <a:lumMod val="85000"/>
                    <a:lumOff val="15000"/>
                  </a:schemeClr>
                </a:solidFill>
              </a:ln>
              <a:effectLst/>
            </c:spPr>
          </c:marker>
          <c:cat>
            <c:strRef>
              <c:f>'2020'!$C$4:$C$23</c:f>
              <c:strCache>
                <c:ptCount val="20"/>
                <c:pt idx="0">
                  <c:v>Finanšu pakalpojumi</c:v>
                </c:pt>
                <c:pt idx="1">
                  <c:v>Informācijas, komunik. pak.</c:v>
                </c:pt>
                <c:pt idx="2">
                  <c:v>Enerģētika</c:v>
                </c:pt>
                <c:pt idx="3">
                  <c:v>Veselība, sociālā aprūpe</c:v>
                </c:pt>
                <c:pt idx="4">
                  <c:v>Valsts pārvalde</c:v>
                </c:pt>
                <c:pt idx="5">
                  <c:v>Prof. pakalpojumi</c:v>
                </c:pt>
                <c:pt idx="6">
                  <c:v>Ieguves rūpniecība</c:v>
                </c:pt>
                <c:pt idx="7">
                  <c:v>Pavisam</c:v>
                </c:pt>
                <c:pt idx="8">
                  <c:v>Ūdens apgāde</c:v>
                </c:pt>
                <c:pt idx="9">
                  <c:v>Apstrādes rūpniecība</c:v>
                </c:pt>
                <c:pt idx="10">
                  <c:v>Būvniecība</c:v>
                </c:pt>
                <c:pt idx="11">
                  <c:v>Transports</c:v>
                </c:pt>
                <c:pt idx="12">
                  <c:v>Lauksaimniecība</c:v>
                </c:pt>
                <c:pt idx="13">
                  <c:v>Tirdzniecība</c:v>
                </c:pt>
                <c:pt idx="14">
                  <c:v>Admin. pakalpojumi</c:v>
                </c:pt>
                <c:pt idx="15">
                  <c:v>Izglītība</c:v>
                </c:pt>
                <c:pt idx="16">
                  <c:v>Nekustamā īpašuma operācijas</c:v>
                </c:pt>
                <c:pt idx="17">
                  <c:v>Māksla, izklaide</c:v>
                </c:pt>
                <c:pt idx="18">
                  <c:v>Citi pakalpojumi</c:v>
                </c:pt>
                <c:pt idx="19">
                  <c:v>Izmitināšana,ēdināšana</c:v>
                </c:pt>
              </c:strCache>
            </c:strRef>
          </c:cat>
          <c:val>
            <c:numRef>
              <c:f>'2020'!$E$4:$E$23</c:f>
              <c:numCache>
                <c:formatCode>0.0</c:formatCode>
                <c:ptCount val="20"/>
                <c:pt idx="0">
                  <c:v>4.4000000000000004</c:v>
                </c:pt>
                <c:pt idx="1">
                  <c:v>7.3</c:v>
                </c:pt>
                <c:pt idx="2">
                  <c:v>9.6999999999999993</c:v>
                </c:pt>
                <c:pt idx="3">
                  <c:v>35.1</c:v>
                </c:pt>
                <c:pt idx="4">
                  <c:v>6.5</c:v>
                </c:pt>
                <c:pt idx="5">
                  <c:v>3.1</c:v>
                </c:pt>
                <c:pt idx="6">
                  <c:v>6.8</c:v>
                </c:pt>
                <c:pt idx="7">
                  <c:v>10.199999999999999</c:v>
                </c:pt>
                <c:pt idx="8">
                  <c:v>5.8</c:v>
                </c:pt>
                <c:pt idx="9">
                  <c:v>8.5</c:v>
                </c:pt>
                <c:pt idx="10">
                  <c:v>7.9</c:v>
                </c:pt>
                <c:pt idx="11">
                  <c:v>7.5</c:v>
                </c:pt>
                <c:pt idx="12">
                  <c:v>5.5</c:v>
                </c:pt>
                <c:pt idx="13">
                  <c:v>11.7</c:v>
                </c:pt>
                <c:pt idx="14">
                  <c:v>4.8</c:v>
                </c:pt>
                <c:pt idx="15">
                  <c:v>12.4</c:v>
                </c:pt>
                <c:pt idx="16">
                  <c:v>5.5</c:v>
                </c:pt>
                <c:pt idx="17">
                  <c:v>9.6</c:v>
                </c:pt>
                <c:pt idx="18">
                  <c:v>2.9</c:v>
                </c:pt>
                <c:pt idx="19">
                  <c:v>7.3</c:v>
                </c:pt>
              </c:numCache>
            </c:numRef>
          </c:val>
          <c:smooth val="0"/>
          <c:extLst>
            <c:ext xmlns:c16="http://schemas.microsoft.com/office/drawing/2014/chart" uri="{C3380CC4-5D6E-409C-BE32-E72D297353CC}">
              <c16:uniqueId val="{00000001-DC1B-47A7-9308-0302F0F4EFC3}"/>
            </c:ext>
          </c:extLst>
        </c:ser>
        <c:dLbls>
          <c:showLegendKey val="0"/>
          <c:showVal val="0"/>
          <c:showCatName val="0"/>
          <c:showSerName val="0"/>
          <c:showPercent val="0"/>
          <c:showBubbleSize val="0"/>
        </c:dLbls>
        <c:marker val="1"/>
        <c:smooth val="0"/>
        <c:axId val="407967296"/>
        <c:axId val="407966904"/>
      </c:lineChart>
      <c:catAx>
        <c:axId val="39529142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95291816"/>
        <c:crosses val="autoZero"/>
        <c:auto val="1"/>
        <c:lblAlgn val="ctr"/>
        <c:lblOffset val="100"/>
        <c:noMultiLvlLbl val="0"/>
      </c:catAx>
      <c:valAx>
        <c:axId val="395291816"/>
        <c:scaling>
          <c:orientation val="minMax"/>
          <c:max val="26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95291424"/>
        <c:crosses val="autoZero"/>
        <c:crossBetween val="between"/>
        <c:majorUnit val="800"/>
        <c:minorUnit val="400"/>
      </c:valAx>
      <c:valAx>
        <c:axId val="407966904"/>
        <c:scaling>
          <c:orientation val="minMax"/>
          <c:max val="36"/>
          <c:min val="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07967296"/>
        <c:crosses val="max"/>
        <c:crossBetween val="between"/>
        <c:majorUnit val="5"/>
      </c:valAx>
      <c:catAx>
        <c:axId val="407967296"/>
        <c:scaling>
          <c:orientation val="minMax"/>
        </c:scaling>
        <c:delete val="1"/>
        <c:axPos val="b"/>
        <c:numFmt formatCode="General" sourceLinked="1"/>
        <c:majorTickMark val="out"/>
        <c:minorTickMark val="none"/>
        <c:tickLblPos val="nextTo"/>
        <c:crossAx val="407966904"/>
        <c:crosses val="autoZero"/>
        <c:auto val="1"/>
        <c:lblAlgn val="ctr"/>
        <c:lblOffset val="100"/>
        <c:noMultiLvlLbl val="0"/>
      </c:cat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Entry>
      <c:legendEntry>
        <c:idx val="1"/>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Entry>
      <c:layout>
        <c:manualLayout>
          <c:xMode val="edge"/>
          <c:yMode val="edge"/>
          <c:x val="1.3250074417317147E-2"/>
          <c:y val="0.89942162635076017"/>
          <c:w val="0.98400549076561672"/>
          <c:h val="9.72238814975714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640507436570428"/>
          <c:y val="5.0925925925925923E-2"/>
          <c:w val="0.8613727034120735"/>
          <c:h val="0.74686570428696408"/>
        </c:manualLayout>
      </c:layout>
      <c:barChart>
        <c:barDir val="col"/>
        <c:grouping val="stacked"/>
        <c:varyColors val="0"/>
        <c:ser>
          <c:idx val="0"/>
          <c:order val="0"/>
          <c:tx>
            <c:strRef>
              <c:f>Sheet1!$G$6</c:f>
              <c:strCache>
                <c:ptCount val="1"/>
                <c:pt idx="0">
                  <c:v>Sociālais atbalsts</c:v>
                </c:pt>
              </c:strCache>
            </c:strRef>
          </c:tx>
          <c:spPr>
            <a:solidFill>
              <a:schemeClr val="accent1"/>
            </a:solidFill>
            <a:ln>
              <a:noFill/>
            </a:ln>
            <a:effectLst/>
          </c:spPr>
          <c:invertIfNegative val="0"/>
          <c:cat>
            <c:strRef>
              <c:f>Sheet1!$H$5:$O$5</c:f>
              <c:strCache>
                <c:ptCount val="8"/>
                <c:pt idx="0">
                  <c:v>2014.</c:v>
                </c:pt>
                <c:pt idx="1">
                  <c:v>2015.</c:v>
                </c:pt>
                <c:pt idx="2">
                  <c:v>2016.</c:v>
                </c:pt>
                <c:pt idx="3">
                  <c:v>2017.</c:v>
                </c:pt>
                <c:pt idx="4">
                  <c:v>2018.</c:v>
                </c:pt>
                <c:pt idx="5">
                  <c:v>2019.</c:v>
                </c:pt>
                <c:pt idx="6">
                  <c:v>2020.</c:v>
                </c:pt>
                <c:pt idx="7">
                  <c:v>2021.</c:v>
                </c:pt>
              </c:strCache>
            </c:strRef>
          </c:cat>
          <c:val>
            <c:numRef>
              <c:f>Sheet1!$H$6:$O$6</c:f>
              <c:numCache>
                <c:formatCode>#\ ##0.0</c:formatCode>
                <c:ptCount val="8"/>
                <c:pt idx="0">
                  <c:v>1182.2559640600002</c:v>
                </c:pt>
                <c:pt idx="1">
                  <c:v>1277.6811147999999</c:v>
                </c:pt>
                <c:pt idx="2">
                  <c:v>1355.3041962</c:v>
                </c:pt>
                <c:pt idx="3">
                  <c:v>1424.43649301</c:v>
                </c:pt>
                <c:pt idx="4">
                  <c:v>1495.0470542099997</c:v>
                </c:pt>
                <c:pt idx="5">
                  <c:v>1569.16271824</c:v>
                </c:pt>
                <c:pt idx="6">
                  <c:v>1806.8640301900004</c:v>
                </c:pt>
                <c:pt idx="7">
                  <c:v>2773.5150531399995</c:v>
                </c:pt>
              </c:numCache>
            </c:numRef>
          </c:val>
          <c:extLst>
            <c:ext xmlns:c16="http://schemas.microsoft.com/office/drawing/2014/chart" uri="{C3380CC4-5D6E-409C-BE32-E72D297353CC}">
              <c16:uniqueId val="{00000000-1A34-452A-8B15-1580265E0489}"/>
            </c:ext>
          </c:extLst>
        </c:ser>
        <c:ser>
          <c:idx val="1"/>
          <c:order val="1"/>
          <c:tx>
            <c:strRef>
              <c:f>Sheet1!$G$9</c:f>
              <c:strCache>
                <c:ptCount val="1"/>
                <c:pt idx="0">
                  <c:v>Algu fonds</c:v>
                </c:pt>
              </c:strCache>
            </c:strRef>
          </c:tx>
          <c:spPr>
            <a:solidFill>
              <a:schemeClr val="accent2"/>
            </a:solidFill>
            <a:ln>
              <a:noFill/>
            </a:ln>
            <a:effectLst/>
          </c:spPr>
          <c:invertIfNegative val="0"/>
          <c:val>
            <c:numRef>
              <c:f>Sheet1!$H$9:$O$9</c:f>
              <c:numCache>
                <c:formatCode>0.0</c:formatCode>
                <c:ptCount val="8"/>
                <c:pt idx="0">
                  <c:v>4065.1080000000002</c:v>
                </c:pt>
                <c:pt idx="1">
                  <c:v>4377.1909999999998</c:v>
                </c:pt>
                <c:pt idx="2">
                  <c:v>4668.8500000000004</c:v>
                </c:pt>
                <c:pt idx="3">
                  <c:v>5045.8040000000001</c:v>
                </c:pt>
                <c:pt idx="4">
                  <c:v>5529.8389999999999</c:v>
                </c:pt>
                <c:pt idx="5">
                  <c:v>6023.7160000000003</c:v>
                </c:pt>
                <c:pt idx="6">
                  <c:v>6122.9690000000001</c:v>
                </c:pt>
                <c:pt idx="7">
                  <c:v>6557.433</c:v>
                </c:pt>
              </c:numCache>
            </c:numRef>
          </c:val>
          <c:extLst>
            <c:ext xmlns:c16="http://schemas.microsoft.com/office/drawing/2014/chart" uri="{C3380CC4-5D6E-409C-BE32-E72D297353CC}">
              <c16:uniqueId val="{00000001-1A34-452A-8B15-1580265E0489}"/>
            </c:ext>
          </c:extLst>
        </c:ser>
        <c:dLbls>
          <c:showLegendKey val="0"/>
          <c:showVal val="0"/>
          <c:showCatName val="0"/>
          <c:showSerName val="0"/>
          <c:showPercent val="0"/>
          <c:showBubbleSize val="0"/>
        </c:dLbls>
        <c:gapWidth val="137"/>
        <c:overlap val="100"/>
        <c:axId val="970416304"/>
        <c:axId val="970431720"/>
      </c:barChart>
      <c:catAx>
        <c:axId val="970416304"/>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70431720"/>
        <c:crosses val="autoZero"/>
        <c:auto val="1"/>
        <c:lblAlgn val="ctr"/>
        <c:lblOffset val="100"/>
        <c:noMultiLvlLbl val="0"/>
      </c:catAx>
      <c:valAx>
        <c:axId val="970431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70416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4761876884349"/>
          <c:y val="5.4295253363650438E-2"/>
          <c:w val="0.81468840558498956"/>
          <c:h val="0.84982156548293386"/>
        </c:manualLayout>
      </c:layout>
      <c:lineChart>
        <c:grouping val="standard"/>
        <c:varyColors val="0"/>
        <c:ser>
          <c:idx val="1"/>
          <c:order val="0"/>
          <c:tx>
            <c:strRef>
              <c:f>'noguldījumi graf'!$C$4</c:f>
              <c:strCache>
                <c:ptCount val="1"/>
                <c:pt idx="0">
                  <c:v>milj. euro</c:v>
                </c:pt>
              </c:strCache>
            </c:strRef>
          </c:tx>
          <c:spPr>
            <a:ln w="28575" cap="rnd">
              <a:solidFill>
                <a:srgbClr val="1F497D">
                  <a:lumMod val="50000"/>
                </a:srgbClr>
              </a:solidFill>
              <a:round/>
            </a:ln>
            <a:effectLst/>
          </c:spPr>
          <c:marker>
            <c:symbol val="none"/>
          </c:marker>
          <c:cat>
            <c:strRef>
              <c:f>'noguldījumi graf'!$Q$2:$CE$2</c:f>
              <c:strCache>
                <c:ptCount val="67"/>
                <c:pt idx="0">
                  <c:v>2016</c:v>
                </c:pt>
                <c:pt idx="1">
                  <c:v>II</c:v>
                </c:pt>
                <c:pt idx="2">
                  <c:v>III</c:v>
                </c:pt>
                <c:pt idx="3">
                  <c:v>IV</c:v>
                </c:pt>
                <c:pt idx="4">
                  <c:v>V</c:v>
                </c:pt>
                <c:pt idx="5">
                  <c:v>VI</c:v>
                </c:pt>
                <c:pt idx="6">
                  <c:v>VII</c:v>
                </c:pt>
                <c:pt idx="7">
                  <c:v>VIII</c:v>
                </c:pt>
                <c:pt idx="8">
                  <c:v>IX</c:v>
                </c:pt>
                <c:pt idx="9">
                  <c:v>X</c:v>
                </c:pt>
                <c:pt idx="10">
                  <c:v>XI</c:v>
                </c:pt>
                <c:pt idx="11">
                  <c:v>XII</c:v>
                </c:pt>
                <c:pt idx="12">
                  <c:v>2017</c:v>
                </c:pt>
                <c:pt idx="13">
                  <c:v>II</c:v>
                </c:pt>
                <c:pt idx="14">
                  <c:v>III</c:v>
                </c:pt>
                <c:pt idx="15">
                  <c:v>IV</c:v>
                </c:pt>
                <c:pt idx="16">
                  <c:v>V</c:v>
                </c:pt>
                <c:pt idx="17">
                  <c:v>VI</c:v>
                </c:pt>
                <c:pt idx="18">
                  <c:v>VII</c:v>
                </c:pt>
                <c:pt idx="19">
                  <c:v>VIII</c:v>
                </c:pt>
                <c:pt idx="20">
                  <c:v>IX</c:v>
                </c:pt>
                <c:pt idx="21">
                  <c:v>X</c:v>
                </c:pt>
                <c:pt idx="22">
                  <c:v>XI</c:v>
                </c:pt>
                <c:pt idx="23">
                  <c:v>XII</c:v>
                </c:pt>
                <c:pt idx="24">
                  <c:v>2018</c:v>
                </c:pt>
                <c:pt idx="25">
                  <c:v>II</c:v>
                </c:pt>
                <c:pt idx="26">
                  <c:v>III</c:v>
                </c:pt>
                <c:pt idx="27">
                  <c:v>IV</c:v>
                </c:pt>
                <c:pt idx="28">
                  <c:v>V</c:v>
                </c:pt>
                <c:pt idx="29">
                  <c:v>VI</c:v>
                </c:pt>
                <c:pt idx="30">
                  <c:v>VII</c:v>
                </c:pt>
                <c:pt idx="31">
                  <c:v>VIII</c:v>
                </c:pt>
                <c:pt idx="32">
                  <c:v>IX</c:v>
                </c:pt>
                <c:pt idx="33">
                  <c:v>X</c:v>
                </c:pt>
                <c:pt idx="34">
                  <c:v>XI</c:v>
                </c:pt>
                <c:pt idx="35">
                  <c:v>XII</c:v>
                </c:pt>
                <c:pt idx="36">
                  <c:v>2019</c:v>
                </c:pt>
                <c:pt idx="37">
                  <c:v>II</c:v>
                </c:pt>
                <c:pt idx="38">
                  <c:v>III</c:v>
                </c:pt>
                <c:pt idx="39">
                  <c:v>IV</c:v>
                </c:pt>
                <c:pt idx="40">
                  <c:v>V</c:v>
                </c:pt>
                <c:pt idx="41">
                  <c:v>VI</c:v>
                </c:pt>
                <c:pt idx="42">
                  <c:v>VII</c:v>
                </c:pt>
                <c:pt idx="43">
                  <c:v>VIII</c:v>
                </c:pt>
                <c:pt idx="44">
                  <c:v>IX</c:v>
                </c:pt>
                <c:pt idx="45">
                  <c:v>X</c:v>
                </c:pt>
                <c:pt idx="46">
                  <c:v>XI</c:v>
                </c:pt>
                <c:pt idx="47">
                  <c:v>XII</c:v>
                </c:pt>
                <c:pt idx="48">
                  <c:v>2020</c:v>
                </c:pt>
                <c:pt idx="49">
                  <c:v>II</c:v>
                </c:pt>
                <c:pt idx="50">
                  <c:v>III</c:v>
                </c:pt>
                <c:pt idx="51">
                  <c:v>IV</c:v>
                </c:pt>
                <c:pt idx="52">
                  <c:v>V</c:v>
                </c:pt>
                <c:pt idx="53">
                  <c:v>VI</c:v>
                </c:pt>
                <c:pt idx="54">
                  <c:v>VII</c:v>
                </c:pt>
                <c:pt idx="55">
                  <c:v>VIII</c:v>
                </c:pt>
                <c:pt idx="56">
                  <c:v>IX</c:v>
                </c:pt>
                <c:pt idx="57">
                  <c:v>X</c:v>
                </c:pt>
                <c:pt idx="58">
                  <c:v>XI</c:v>
                </c:pt>
                <c:pt idx="59">
                  <c:v>XII</c:v>
                </c:pt>
                <c:pt idx="60">
                  <c:v>2021</c:v>
                </c:pt>
                <c:pt idx="61">
                  <c:v>II</c:v>
                </c:pt>
                <c:pt idx="62">
                  <c:v>III</c:v>
                </c:pt>
                <c:pt idx="63">
                  <c:v>IV</c:v>
                </c:pt>
                <c:pt idx="64">
                  <c:v>V</c:v>
                </c:pt>
                <c:pt idx="65">
                  <c:v>VI</c:v>
                </c:pt>
                <c:pt idx="66">
                  <c:v>VII</c:v>
                </c:pt>
              </c:strCache>
            </c:strRef>
          </c:cat>
          <c:val>
            <c:numRef>
              <c:f>'noguldījumi graf'!$Q$4:$CE$4</c:f>
              <c:numCache>
                <c:formatCode>0.00</c:formatCode>
                <c:ptCount val="67"/>
                <c:pt idx="0">
                  <c:v>5371.6</c:v>
                </c:pt>
                <c:pt idx="1">
                  <c:v>5414.6</c:v>
                </c:pt>
                <c:pt idx="2">
                  <c:v>5399.9</c:v>
                </c:pt>
                <c:pt idx="3">
                  <c:v>5467.5</c:v>
                </c:pt>
                <c:pt idx="4">
                  <c:v>5490.4</c:v>
                </c:pt>
                <c:pt idx="5">
                  <c:v>5587</c:v>
                </c:pt>
                <c:pt idx="6">
                  <c:v>5597.9</c:v>
                </c:pt>
                <c:pt idx="7">
                  <c:v>5580</c:v>
                </c:pt>
                <c:pt idx="8">
                  <c:v>5580.2</c:v>
                </c:pt>
                <c:pt idx="9">
                  <c:v>5622.5</c:v>
                </c:pt>
                <c:pt idx="10">
                  <c:v>5706.8</c:v>
                </c:pt>
                <c:pt idx="11">
                  <c:v>5877.9</c:v>
                </c:pt>
                <c:pt idx="12">
                  <c:v>5839.8</c:v>
                </c:pt>
                <c:pt idx="13">
                  <c:v>5876.7</c:v>
                </c:pt>
                <c:pt idx="14">
                  <c:v>5885.6</c:v>
                </c:pt>
                <c:pt idx="15">
                  <c:v>5947.7</c:v>
                </c:pt>
                <c:pt idx="16">
                  <c:v>5921.5</c:v>
                </c:pt>
                <c:pt idx="17">
                  <c:v>6007.5</c:v>
                </c:pt>
                <c:pt idx="18">
                  <c:v>5985</c:v>
                </c:pt>
                <c:pt idx="19">
                  <c:v>5961.6</c:v>
                </c:pt>
                <c:pt idx="20">
                  <c:v>6053.1</c:v>
                </c:pt>
                <c:pt idx="21">
                  <c:v>6098.9</c:v>
                </c:pt>
                <c:pt idx="22">
                  <c:v>6160.8</c:v>
                </c:pt>
                <c:pt idx="23">
                  <c:v>6357.2</c:v>
                </c:pt>
                <c:pt idx="24">
                  <c:v>6306.6</c:v>
                </c:pt>
                <c:pt idx="25">
                  <c:v>6311.9</c:v>
                </c:pt>
                <c:pt idx="26">
                  <c:v>6339.8</c:v>
                </c:pt>
                <c:pt idx="27">
                  <c:v>6402</c:v>
                </c:pt>
                <c:pt idx="28">
                  <c:v>6399.7</c:v>
                </c:pt>
                <c:pt idx="29">
                  <c:v>6522.8</c:v>
                </c:pt>
                <c:pt idx="30">
                  <c:v>6533.6</c:v>
                </c:pt>
                <c:pt idx="31">
                  <c:v>6544.3</c:v>
                </c:pt>
                <c:pt idx="32">
                  <c:v>6581.7</c:v>
                </c:pt>
                <c:pt idx="33">
                  <c:v>6659.6</c:v>
                </c:pt>
                <c:pt idx="34">
                  <c:v>6731.9</c:v>
                </c:pt>
                <c:pt idx="35">
                  <c:v>6925.7</c:v>
                </c:pt>
                <c:pt idx="36">
                  <c:v>6900.8</c:v>
                </c:pt>
                <c:pt idx="37">
                  <c:v>6950.8</c:v>
                </c:pt>
                <c:pt idx="38">
                  <c:v>6959.3</c:v>
                </c:pt>
                <c:pt idx="39">
                  <c:v>6975.9</c:v>
                </c:pt>
                <c:pt idx="40">
                  <c:v>7022.2</c:v>
                </c:pt>
                <c:pt idx="41">
                  <c:v>7089.1</c:v>
                </c:pt>
                <c:pt idx="42">
                  <c:v>7093.3</c:v>
                </c:pt>
                <c:pt idx="43">
                  <c:v>7232.5</c:v>
                </c:pt>
                <c:pt idx="44">
                  <c:v>7090.9</c:v>
                </c:pt>
                <c:pt idx="45">
                  <c:v>7158.3</c:v>
                </c:pt>
                <c:pt idx="46">
                  <c:v>7233.5</c:v>
                </c:pt>
                <c:pt idx="47">
                  <c:v>7442.3</c:v>
                </c:pt>
                <c:pt idx="48">
                  <c:v>7415</c:v>
                </c:pt>
                <c:pt idx="49">
                  <c:v>7463.9</c:v>
                </c:pt>
                <c:pt idx="50">
                  <c:v>7534.1</c:v>
                </c:pt>
                <c:pt idx="51">
                  <c:v>7718.1</c:v>
                </c:pt>
                <c:pt idx="52">
                  <c:v>7739.4</c:v>
                </c:pt>
                <c:pt idx="53">
                  <c:v>7799.4</c:v>
                </c:pt>
                <c:pt idx="54">
                  <c:v>7805.3</c:v>
                </c:pt>
                <c:pt idx="55">
                  <c:v>7842.4</c:v>
                </c:pt>
                <c:pt idx="56">
                  <c:v>7921.3</c:v>
                </c:pt>
                <c:pt idx="57">
                  <c:v>8028.7</c:v>
                </c:pt>
                <c:pt idx="58">
                  <c:v>8117.3</c:v>
                </c:pt>
                <c:pt idx="59">
                  <c:v>8395.2999999999993</c:v>
                </c:pt>
                <c:pt idx="60">
                  <c:v>8452.2999999999993</c:v>
                </c:pt>
                <c:pt idx="61">
                  <c:v>8573.5</c:v>
                </c:pt>
                <c:pt idx="62">
                  <c:v>8845.2999999999993</c:v>
                </c:pt>
                <c:pt idx="63">
                  <c:v>8998.7999999999993</c:v>
                </c:pt>
                <c:pt idx="64">
                  <c:v>9019.7999999999993</c:v>
                </c:pt>
                <c:pt idx="65">
                  <c:v>9161.5</c:v>
                </c:pt>
                <c:pt idx="66">
                  <c:v>9184.9</c:v>
                </c:pt>
              </c:numCache>
            </c:numRef>
          </c:val>
          <c:smooth val="0"/>
          <c:extLst>
            <c:ext xmlns:c16="http://schemas.microsoft.com/office/drawing/2014/chart" uri="{C3380CC4-5D6E-409C-BE32-E72D297353CC}">
              <c16:uniqueId val="{00000000-5E16-4D0E-94E1-67B14C7B0816}"/>
            </c:ext>
          </c:extLst>
        </c:ser>
        <c:dLbls>
          <c:showLegendKey val="0"/>
          <c:showVal val="0"/>
          <c:showCatName val="0"/>
          <c:showSerName val="0"/>
          <c:showPercent val="0"/>
          <c:showBubbleSize val="0"/>
        </c:dLbls>
        <c:marker val="1"/>
        <c:smooth val="0"/>
        <c:axId val="546921120"/>
        <c:axId val="546915872"/>
      </c:lineChart>
      <c:lineChart>
        <c:grouping val="standard"/>
        <c:varyColors val="0"/>
        <c:ser>
          <c:idx val="3"/>
          <c:order val="1"/>
          <c:tx>
            <c:strRef>
              <c:f>'noguldījumi graf'!$C$6</c:f>
              <c:strCache>
                <c:ptCount val="1"/>
                <c:pt idx="0">
                  <c:v>izmaiņas pret iepriekšējā gada attiecīgo mēnesi, % (labā ass)</c:v>
                </c:pt>
              </c:strCache>
            </c:strRef>
          </c:tx>
          <c:spPr>
            <a:ln w="28575" cap="rnd">
              <a:solidFill>
                <a:srgbClr val="C00000"/>
              </a:solidFill>
              <a:prstDash val="sysDash"/>
              <a:round/>
            </a:ln>
            <a:effectLst/>
          </c:spPr>
          <c:marker>
            <c:symbol val="none"/>
          </c:marker>
          <c:cat>
            <c:strRef>
              <c:f>'noguldījumi graf'!$Q$2:$CE$2</c:f>
              <c:strCache>
                <c:ptCount val="67"/>
                <c:pt idx="0">
                  <c:v>2016</c:v>
                </c:pt>
                <c:pt idx="1">
                  <c:v>II</c:v>
                </c:pt>
                <c:pt idx="2">
                  <c:v>III</c:v>
                </c:pt>
                <c:pt idx="3">
                  <c:v>IV</c:v>
                </c:pt>
                <c:pt idx="4">
                  <c:v>V</c:v>
                </c:pt>
                <c:pt idx="5">
                  <c:v>VI</c:v>
                </c:pt>
                <c:pt idx="6">
                  <c:v>VII</c:v>
                </c:pt>
                <c:pt idx="7">
                  <c:v>VIII</c:v>
                </c:pt>
                <c:pt idx="8">
                  <c:v>IX</c:v>
                </c:pt>
                <c:pt idx="9">
                  <c:v>X</c:v>
                </c:pt>
                <c:pt idx="10">
                  <c:v>XI</c:v>
                </c:pt>
                <c:pt idx="11">
                  <c:v>XII</c:v>
                </c:pt>
                <c:pt idx="12">
                  <c:v>2017</c:v>
                </c:pt>
                <c:pt idx="13">
                  <c:v>II</c:v>
                </c:pt>
                <c:pt idx="14">
                  <c:v>III</c:v>
                </c:pt>
                <c:pt idx="15">
                  <c:v>IV</c:v>
                </c:pt>
                <c:pt idx="16">
                  <c:v>V</c:v>
                </c:pt>
                <c:pt idx="17">
                  <c:v>VI</c:v>
                </c:pt>
                <c:pt idx="18">
                  <c:v>VII</c:v>
                </c:pt>
                <c:pt idx="19">
                  <c:v>VIII</c:v>
                </c:pt>
                <c:pt idx="20">
                  <c:v>IX</c:v>
                </c:pt>
                <c:pt idx="21">
                  <c:v>X</c:v>
                </c:pt>
                <c:pt idx="22">
                  <c:v>XI</c:v>
                </c:pt>
                <c:pt idx="23">
                  <c:v>XII</c:v>
                </c:pt>
                <c:pt idx="24">
                  <c:v>2018</c:v>
                </c:pt>
                <c:pt idx="25">
                  <c:v>II</c:v>
                </c:pt>
                <c:pt idx="26">
                  <c:v>III</c:v>
                </c:pt>
                <c:pt idx="27">
                  <c:v>IV</c:v>
                </c:pt>
                <c:pt idx="28">
                  <c:v>V</c:v>
                </c:pt>
                <c:pt idx="29">
                  <c:v>VI</c:v>
                </c:pt>
                <c:pt idx="30">
                  <c:v>VII</c:v>
                </c:pt>
                <c:pt idx="31">
                  <c:v>VIII</c:v>
                </c:pt>
                <c:pt idx="32">
                  <c:v>IX</c:v>
                </c:pt>
                <c:pt idx="33">
                  <c:v>X</c:v>
                </c:pt>
                <c:pt idx="34">
                  <c:v>XI</c:v>
                </c:pt>
                <c:pt idx="35">
                  <c:v>XII</c:v>
                </c:pt>
                <c:pt idx="36">
                  <c:v>2019</c:v>
                </c:pt>
                <c:pt idx="37">
                  <c:v>II</c:v>
                </c:pt>
                <c:pt idx="38">
                  <c:v>III</c:v>
                </c:pt>
                <c:pt idx="39">
                  <c:v>IV</c:v>
                </c:pt>
                <c:pt idx="40">
                  <c:v>V</c:v>
                </c:pt>
                <c:pt idx="41">
                  <c:v>VI</c:v>
                </c:pt>
                <c:pt idx="42">
                  <c:v>VII</c:v>
                </c:pt>
                <c:pt idx="43">
                  <c:v>VIII</c:v>
                </c:pt>
                <c:pt idx="44">
                  <c:v>IX</c:v>
                </c:pt>
                <c:pt idx="45">
                  <c:v>X</c:v>
                </c:pt>
                <c:pt idx="46">
                  <c:v>XI</c:v>
                </c:pt>
                <c:pt idx="47">
                  <c:v>XII</c:v>
                </c:pt>
                <c:pt idx="48">
                  <c:v>2020</c:v>
                </c:pt>
                <c:pt idx="49">
                  <c:v>II</c:v>
                </c:pt>
                <c:pt idx="50">
                  <c:v>III</c:v>
                </c:pt>
                <c:pt idx="51">
                  <c:v>IV</c:v>
                </c:pt>
                <c:pt idx="52">
                  <c:v>V</c:v>
                </c:pt>
                <c:pt idx="53">
                  <c:v>VI</c:v>
                </c:pt>
                <c:pt idx="54">
                  <c:v>VII</c:v>
                </c:pt>
                <c:pt idx="55">
                  <c:v>VIII</c:v>
                </c:pt>
                <c:pt idx="56">
                  <c:v>IX</c:v>
                </c:pt>
                <c:pt idx="57">
                  <c:v>X</c:v>
                </c:pt>
                <c:pt idx="58">
                  <c:v>XI</c:v>
                </c:pt>
                <c:pt idx="59">
                  <c:v>XII</c:v>
                </c:pt>
                <c:pt idx="60">
                  <c:v>2021</c:v>
                </c:pt>
                <c:pt idx="61">
                  <c:v>II</c:v>
                </c:pt>
                <c:pt idx="62">
                  <c:v>III</c:v>
                </c:pt>
                <c:pt idx="63">
                  <c:v>IV</c:v>
                </c:pt>
                <c:pt idx="64">
                  <c:v>V</c:v>
                </c:pt>
                <c:pt idx="65">
                  <c:v>VI</c:v>
                </c:pt>
                <c:pt idx="66">
                  <c:v>VII</c:v>
                </c:pt>
              </c:strCache>
            </c:strRef>
          </c:cat>
          <c:val>
            <c:numRef>
              <c:f>'noguldījumi graf'!$Q$6:$CE$6</c:f>
              <c:numCache>
                <c:formatCode>0.0</c:formatCode>
                <c:ptCount val="67"/>
                <c:pt idx="0">
                  <c:v>6.059588919383188</c:v>
                </c:pt>
                <c:pt idx="1">
                  <c:v>6.4671529976208006</c:v>
                </c:pt>
                <c:pt idx="2">
                  <c:v>5.8803921568627402</c:v>
                </c:pt>
                <c:pt idx="3">
                  <c:v>5.8116581514166228</c:v>
                </c:pt>
                <c:pt idx="4">
                  <c:v>6.5848734275508463</c:v>
                </c:pt>
                <c:pt idx="5">
                  <c:v>7.5436468980385314</c:v>
                </c:pt>
                <c:pt idx="6">
                  <c:v>7.0651238404896048</c:v>
                </c:pt>
                <c:pt idx="7">
                  <c:v>7.3097559568453363</c:v>
                </c:pt>
                <c:pt idx="8">
                  <c:v>7.0932330249875264</c:v>
                </c:pt>
                <c:pt idx="9">
                  <c:v>7.3774874909285444</c:v>
                </c:pt>
                <c:pt idx="10">
                  <c:v>7.5314201729758139</c:v>
                </c:pt>
                <c:pt idx="11">
                  <c:v>8.9448223453746607</c:v>
                </c:pt>
                <c:pt idx="12">
                  <c:v>8.7162111847494117</c:v>
                </c:pt>
                <c:pt idx="13">
                  <c:v>8.5343330993979123</c:v>
                </c:pt>
                <c:pt idx="14">
                  <c:v>8.9946110113150439</c:v>
                </c:pt>
                <c:pt idx="15">
                  <c:v>8.7828074988568687</c:v>
                </c:pt>
                <c:pt idx="16">
                  <c:v>7.8518869299140306</c:v>
                </c:pt>
                <c:pt idx="17">
                  <c:v>7.5264005727581917</c:v>
                </c:pt>
                <c:pt idx="18">
                  <c:v>6.9150931599349974</c:v>
                </c:pt>
                <c:pt idx="19">
                  <c:v>6.8387096774193594</c:v>
                </c:pt>
                <c:pt idx="20">
                  <c:v>8.4746066449231279</c:v>
                </c:pt>
                <c:pt idx="21">
                  <c:v>8.4730991551800656</c:v>
                </c:pt>
                <c:pt idx="22">
                  <c:v>7.9554216022990119</c:v>
                </c:pt>
                <c:pt idx="23">
                  <c:v>8.1542727844978771</c:v>
                </c:pt>
                <c:pt idx="24">
                  <c:v>7.9934244323435593</c:v>
                </c:pt>
                <c:pt idx="25">
                  <c:v>7.4055167015501837</c:v>
                </c:pt>
                <c:pt idx="26">
                  <c:v>7.7171401386434582</c:v>
                </c:pt>
                <c:pt idx="27">
                  <c:v>7.6382467172184221</c:v>
                </c:pt>
                <c:pt idx="28">
                  <c:v>8.0756565059528782</c:v>
                </c:pt>
                <c:pt idx="29">
                  <c:v>8.5776113191843564</c:v>
                </c:pt>
                <c:pt idx="30">
                  <c:v>9.1662489557226507</c:v>
                </c:pt>
                <c:pt idx="31">
                  <c:v>9.7742216854535684</c:v>
                </c:pt>
                <c:pt idx="32">
                  <c:v>8.7327154681072301</c:v>
                </c:pt>
                <c:pt idx="33">
                  <c:v>9.1934611159389448</c:v>
                </c:pt>
                <c:pt idx="34">
                  <c:v>9.2699000129853175</c:v>
                </c:pt>
                <c:pt idx="35">
                  <c:v>8.9426162461461018</c:v>
                </c:pt>
                <c:pt idx="36">
                  <c:v>9.4218754955126371</c:v>
                </c:pt>
                <c:pt idx="37">
                  <c:v>10.122150224179734</c:v>
                </c:pt>
                <c:pt idx="38">
                  <c:v>9.7716016278116058</c:v>
                </c:pt>
                <c:pt idx="39">
                  <c:v>8.9643861293345708</c:v>
                </c:pt>
                <c:pt idx="40">
                  <c:v>9.7270184539900271</c:v>
                </c:pt>
                <c:pt idx="41">
                  <c:v>8.6818544183479389</c:v>
                </c:pt>
                <c:pt idx="42">
                  <c:v>8.5664870821598953</c:v>
                </c:pt>
                <c:pt idx="43">
                  <c:v>10.516021576027995</c:v>
                </c:pt>
                <c:pt idx="44">
                  <c:v>7.7366030053025838</c:v>
                </c:pt>
                <c:pt idx="45">
                  <c:v>7.4884377440086496</c:v>
                </c:pt>
                <c:pt idx="46">
                  <c:v>7.4510910738424485</c:v>
                </c:pt>
                <c:pt idx="47">
                  <c:v>7.4591738019261555</c:v>
                </c:pt>
                <c:pt idx="48">
                  <c:v>7.4513099930442905</c:v>
                </c:pt>
                <c:pt idx="49">
                  <c:v>7.3818840996719786</c:v>
                </c:pt>
                <c:pt idx="50">
                  <c:v>8.2594513816044639</c:v>
                </c:pt>
                <c:pt idx="51">
                  <c:v>10.639487377972756</c:v>
                </c:pt>
                <c:pt idx="52">
                  <c:v>10.213323459884379</c:v>
                </c:pt>
                <c:pt idx="53">
                  <c:v>10.019607566545801</c:v>
                </c:pt>
                <c:pt idx="54">
                  <c:v>10.037641154328725</c:v>
                </c:pt>
                <c:pt idx="55">
                  <c:v>8.4327687521603849</c:v>
                </c:pt>
                <c:pt idx="56">
                  <c:v>11.710784244595203</c:v>
                </c:pt>
                <c:pt idx="57">
                  <c:v>12.159311568389143</c:v>
                </c:pt>
                <c:pt idx="58">
                  <c:v>12.218151655491809</c:v>
                </c:pt>
                <c:pt idx="59">
                  <c:v>12.805181193985732</c:v>
                </c:pt>
                <c:pt idx="60">
                  <c:v>13.989211058664864</c:v>
                </c:pt>
                <c:pt idx="61">
                  <c:v>14.866222752180505</c:v>
                </c:pt>
                <c:pt idx="62">
                  <c:v>17.403538577932309</c:v>
                </c:pt>
                <c:pt idx="63">
                  <c:v>16.593462121506562</c:v>
                </c:pt>
                <c:pt idx="64">
                  <c:v>16.543918133188612</c:v>
                </c:pt>
                <c:pt idx="65">
                  <c:v>17.464163910044377</c:v>
                </c:pt>
                <c:pt idx="66">
                  <c:v>17.675169436152345</c:v>
                </c:pt>
              </c:numCache>
            </c:numRef>
          </c:val>
          <c:smooth val="1"/>
          <c:extLst>
            <c:ext xmlns:c16="http://schemas.microsoft.com/office/drawing/2014/chart" uri="{C3380CC4-5D6E-409C-BE32-E72D297353CC}">
              <c16:uniqueId val="{00000001-5E16-4D0E-94E1-67B14C7B0816}"/>
            </c:ext>
          </c:extLst>
        </c:ser>
        <c:dLbls>
          <c:showLegendKey val="0"/>
          <c:showVal val="0"/>
          <c:showCatName val="0"/>
          <c:showSerName val="0"/>
          <c:showPercent val="0"/>
          <c:showBubbleSize val="0"/>
        </c:dLbls>
        <c:marker val="1"/>
        <c:smooth val="0"/>
        <c:axId val="550711248"/>
        <c:axId val="550706328"/>
      </c:lineChart>
      <c:catAx>
        <c:axId val="5469211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a:t>milj. </a:t>
                </a:r>
                <a:r>
                  <a:rPr lang="lv-LV" i="1"/>
                  <a:t>euro</a:t>
                </a:r>
              </a:p>
            </c:rich>
          </c:tx>
          <c:layout>
            <c:manualLayout>
              <c:xMode val="edge"/>
              <c:yMode val="edge"/>
              <c:x val="0.12373063598475281"/>
              <c:y val="1.9675843140941418E-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46915872"/>
        <c:crosses val="autoZero"/>
        <c:auto val="1"/>
        <c:lblAlgn val="ctr"/>
        <c:lblOffset val="100"/>
        <c:tickLblSkip val="12"/>
        <c:tickMarkSkip val="12"/>
        <c:noMultiLvlLbl val="0"/>
      </c:catAx>
      <c:valAx>
        <c:axId val="546915872"/>
        <c:scaling>
          <c:orientation val="minMax"/>
          <c:max val="12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46921120"/>
        <c:crosses val="autoZero"/>
        <c:crossBetween val="between"/>
        <c:majorUnit val="2000"/>
      </c:valAx>
      <c:valAx>
        <c:axId val="550706328"/>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50711248"/>
        <c:crosses val="max"/>
        <c:crossBetween val="between"/>
      </c:valAx>
      <c:catAx>
        <c:axId val="550711248"/>
        <c:scaling>
          <c:orientation val="minMax"/>
        </c:scaling>
        <c:delete val="1"/>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a:t>%</a:t>
                </a:r>
              </a:p>
            </c:rich>
          </c:tx>
          <c:layout>
            <c:manualLayout>
              <c:xMode val="edge"/>
              <c:yMode val="edge"/>
              <c:x val="0.89233277391512822"/>
              <c:y val="6.5104485956557758E-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out"/>
        <c:minorTickMark val="none"/>
        <c:tickLblPos val="nextTo"/>
        <c:crossAx val="550706328"/>
        <c:crosses val="autoZero"/>
        <c:auto val="1"/>
        <c:lblAlgn val="ctr"/>
        <c:lblOffset val="100"/>
        <c:noMultiLvlLbl val="0"/>
      </c:catAx>
      <c:spPr>
        <a:noFill/>
        <a:ln>
          <a:noFill/>
        </a:ln>
        <a:effectLst/>
      </c:spPr>
    </c:plotArea>
    <c:legend>
      <c:legendPos val="b"/>
      <c:layout>
        <c:manualLayout>
          <c:xMode val="edge"/>
          <c:yMode val="edge"/>
          <c:x val="0.17685983527333138"/>
          <c:y val="0.73097882619331289"/>
          <c:w val="0.71935746155969227"/>
          <c:h val="0.12887990858398357"/>
        </c:manualLayout>
      </c:layout>
      <c:overlay val="0"/>
      <c:spPr>
        <a:solidFill>
          <a:sysClr val="window" lastClr="FFFFFF"/>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Data!$N$6</c:f>
              <c:strCache>
                <c:ptCount val="1"/>
                <c:pt idx="0">
                  <c:v>ES vidēji</c:v>
                </c:pt>
              </c:strCache>
            </c:strRef>
          </c:tx>
          <c:spPr>
            <a:pattFill prst="dkUpDiag">
              <a:fgClr>
                <a:sysClr val="windowText" lastClr="000000"/>
              </a:fgClr>
              <a:bgClr>
                <a:sysClr val="window" lastClr="FFFFFF"/>
              </a:bgClr>
            </a:pattFill>
            <a:ln>
              <a:solidFill>
                <a:sysClr val="windowText" lastClr="000000"/>
              </a:solidFill>
            </a:ln>
            <a:effectLst/>
          </c:spPr>
          <c:invertIfNegative val="0"/>
          <c:cat>
            <c:strRef>
              <c:f>Data!$M$7:$M$10</c:f>
              <c:strCache>
                <c:ptCount val="4"/>
                <c:pt idx="0">
                  <c:v>Pavisam</c:v>
                </c:pt>
                <c:pt idx="1">
                  <c:v>Strādājošie</c:v>
                </c:pt>
                <c:pt idx="2">
                  <c:v>Pensionāri</c:v>
                </c:pt>
                <c:pt idx="3">
                  <c:v>Bezdarbnieki</c:v>
                </c:pt>
              </c:strCache>
            </c:strRef>
          </c:cat>
          <c:val>
            <c:numRef>
              <c:f>Data!$N$7:$N$10</c:f>
              <c:numCache>
                <c:formatCode>#\ ##0.0</c:formatCode>
                <c:ptCount val="4"/>
                <c:pt idx="0">
                  <c:v>21.4</c:v>
                </c:pt>
                <c:pt idx="1">
                  <c:v>11.2</c:v>
                </c:pt>
                <c:pt idx="2" formatCode="General">
                  <c:v>19.2</c:v>
                </c:pt>
                <c:pt idx="3" formatCode="General">
                  <c:v>65.400000000000006</c:v>
                </c:pt>
              </c:numCache>
            </c:numRef>
          </c:val>
          <c:extLst>
            <c:ext xmlns:c16="http://schemas.microsoft.com/office/drawing/2014/chart" uri="{C3380CC4-5D6E-409C-BE32-E72D297353CC}">
              <c16:uniqueId val="{00000000-52E6-447E-803A-D59D5B021A05}"/>
            </c:ext>
          </c:extLst>
        </c:ser>
        <c:ser>
          <c:idx val="1"/>
          <c:order val="1"/>
          <c:tx>
            <c:strRef>
              <c:f>Data!$O$6</c:f>
              <c:strCache>
                <c:ptCount val="1"/>
                <c:pt idx="0">
                  <c:v>Latvija</c:v>
                </c:pt>
              </c:strCache>
            </c:strRef>
          </c:tx>
          <c:spPr>
            <a:pattFill prst="dkUpDiag">
              <a:fgClr>
                <a:srgbClr val="C00000"/>
              </a:fgClr>
              <a:bgClr>
                <a:sysClr val="window" lastClr="FFFFFF"/>
              </a:bgClr>
            </a:pattFill>
            <a:ln>
              <a:solidFill>
                <a:srgbClr val="C00000"/>
              </a:solidFill>
            </a:ln>
            <a:effectLst/>
          </c:spPr>
          <c:invertIfNegative val="0"/>
          <c:cat>
            <c:strRef>
              <c:f>Data!$M$7:$M$10</c:f>
              <c:strCache>
                <c:ptCount val="4"/>
                <c:pt idx="0">
                  <c:v>Pavisam</c:v>
                </c:pt>
                <c:pt idx="1">
                  <c:v>Strādājošie</c:v>
                </c:pt>
                <c:pt idx="2">
                  <c:v>Pensionāri</c:v>
                </c:pt>
                <c:pt idx="3">
                  <c:v>Bezdarbnieki</c:v>
                </c:pt>
              </c:strCache>
            </c:strRef>
          </c:cat>
          <c:val>
            <c:numRef>
              <c:f>Data!$O$7:$O$10</c:f>
              <c:numCache>
                <c:formatCode>General</c:formatCode>
                <c:ptCount val="4"/>
                <c:pt idx="0">
                  <c:v>27.3</c:v>
                </c:pt>
                <c:pt idx="1">
                  <c:v>11.5</c:v>
                </c:pt>
                <c:pt idx="2">
                  <c:v>55.6</c:v>
                </c:pt>
                <c:pt idx="3">
                  <c:v>66.400000000000006</c:v>
                </c:pt>
              </c:numCache>
            </c:numRef>
          </c:val>
          <c:extLst>
            <c:ext xmlns:c16="http://schemas.microsoft.com/office/drawing/2014/chart" uri="{C3380CC4-5D6E-409C-BE32-E72D297353CC}">
              <c16:uniqueId val="{00000001-52E6-447E-803A-D59D5B021A05}"/>
            </c:ext>
          </c:extLst>
        </c:ser>
        <c:dLbls>
          <c:showLegendKey val="0"/>
          <c:showVal val="0"/>
          <c:showCatName val="0"/>
          <c:showSerName val="0"/>
          <c:showPercent val="0"/>
          <c:showBubbleSize val="0"/>
        </c:dLbls>
        <c:gapWidth val="219"/>
        <c:overlap val="-27"/>
        <c:axId val="700402575"/>
        <c:axId val="700391343"/>
      </c:barChart>
      <c:catAx>
        <c:axId val="700402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00391343"/>
        <c:crosses val="autoZero"/>
        <c:auto val="1"/>
        <c:lblAlgn val="ctr"/>
        <c:lblOffset val="100"/>
        <c:noMultiLvlLbl val="0"/>
      </c:catAx>
      <c:valAx>
        <c:axId val="7003913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00402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346896560877158E-2"/>
          <c:y val="4.6491969568892642E-2"/>
          <c:w val="0.92920571600834989"/>
          <c:h val="0.66835068660544483"/>
        </c:manualLayout>
      </c:layout>
      <c:barChart>
        <c:barDir val="col"/>
        <c:grouping val="clustered"/>
        <c:varyColors val="0"/>
        <c:ser>
          <c:idx val="0"/>
          <c:order val="0"/>
          <c:spPr>
            <a:solidFill>
              <a:srgbClr val="5B9BD5"/>
            </a:solidFill>
            <a:ln>
              <a:solidFill>
                <a:srgbClr val="5B9BD5"/>
              </a:solidFill>
            </a:ln>
            <a:effectLst/>
          </c:spPr>
          <c:invertIfNegative val="0"/>
          <c:dPt>
            <c:idx val="1"/>
            <c:invertIfNegative val="0"/>
            <c:bubble3D val="0"/>
            <c:extLst>
              <c:ext xmlns:c16="http://schemas.microsoft.com/office/drawing/2014/chart" uri="{C3380CC4-5D6E-409C-BE32-E72D297353CC}">
                <c16:uniqueId val="{00000000-DC6B-455B-A527-959EFE3F17EE}"/>
              </c:ext>
            </c:extLst>
          </c:dPt>
          <c:dPt>
            <c:idx val="2"/>
            <c:invertIfNegative val="0"/>
            <c:bubble3D val="0"/>
            <c:extLst>
              <c:ext xmlns:c16="http://schemas.microsoft.com/office/drawing/2014/chart" uri="{C3380CC4-5D6E-409C-BE32-E72D297353CC}">
                <c16:uniqueId val="{00000001-DC6B-455B-A527-959EFE3F17EE}"/>
              </c:ext>
            </c:extLst>
          </c:dPt>
          <c:dPt>
            <c:idx val="3"/>
            <c:invertIfNegative val="0"/>
            <c:bubble3D val="0"/>
            <c:extLst>
              <c:ext xmlns:c16="http://schemas.microsoft.com/office/drawing/2014/chart" uri="{C3380CC4-5D6E-409C-BE32-E72D297353CC}">
                <c16:uniqueId val="{00000002-DC6B-455B-A527-959EFE3F17EE}"/>
              </c:ext>
            </c:extLst>
          </c:dPt>
          <c:dPt>
            <c:idx val="4"/>
            <c:invertIfNegative val="0"/>
            <c:bubble3D val="0"/>
            <c:extLst>
              <c:ext xmlns:c16="http://schemas.microsoft.com/office/drawing/2014/chart" uri="{C3380CC4-5D6E-409C-BE32-E72D297353CC}">
                <c16:uniqueId val="{00000003-DC6B-455B-A527-959EFE3F17EE}"/>
              </c:ext>
            </c:extLst>
          </c:dPt>
          <c:dPt>
            <c:idx val="7"/>
            <c:invertIfNegative val="0"/>
            <c:bubble3D val="0"/>
            <c:extLst>
              <c:ext xmlns:c16="http://schemas.microsoft.com/office/drawing/2014/chart" uri="{C3380CC4-5D6E-409C-BE32-E72D297353CC}">
                <c16:uniqueId val="{00000004-DC6B-455B-A527-959EFE3F17EE}"/>
              </c:ext>
            </c:extLst>
          </c:dPt>
          <c:dPt>
            <c:idx val="9"/>
            <c:invertIfNegative val="0"/>
            <c:bubble3D val="0"/>
            <c:extLst>
              <c:ext xmlns:c16="http://schemas.microsoft.com/office/drawing/2014/chart" uri="{C3380CC4-5D6E-409C-BE32-E72D297353CC}">
                <c16:uniqueId val="{00000005-DC6B-455B-A527-959EFE3F17EE}"/>
              </c:ext>
            </c:extLst>
          </c:dPt>
          <c:dPt>
            <c:idx val="10"/>
            <c:invertIfNegative val="0"/>
            <c:bubble3D val="0"/>
            <c:extLst>
              <c:ext xmlns:c16="http://schemas.microsoft.com/office/drawing/2014/chart" uri="{C3380CC4-5D6E-409C-BE32-E72D297353CC}">
                <c16:uniqueId val="{00000006-DC6B-455B-A527-959EFE3F17EE}"/>
              </c:ext>
            </c:extLst>
          </c:dPt>
          <c:dPt>
            <c:idx val="11"/>
            <c:invertIfNegative val="0"/>
            <c:bubble3D val="0"/>
            <c:extLst>
              <c:ext xmlns:c16="http://schemas.microsoft.com/office/drawing/2014/chart" uri="{C3380CC4-5D6E-409C-BE32-E72D297353CC}">
                <c16:uniqueId val="{00000007-DC6B-455B-A527-959EFE3F17EE}"/>
              </c:ext>
            </c:extLst>
          </c:dPt>
          <c:dPt>
            <c:idx val="12"/>
            <c:invertIfNegative val="0"/>
            <c:bubble3D val="0"/>
            <c:extLst>
              <c:ext xmlns:c16="http://schemas.microsoft.com/office/drawing/2014/chart" uri="{C3380CC4-5D6E-409C-BE32-E72D297353CC}">
                <c16:uniqueId val="{00000008-DC6B-455B-A527-959EFE3F17EE}"/>
              </c:ext>
            </c:extLst>
          </c:dPt>
          <c:dPt>
            <c:idx val="14"/>
            <c:invertIfNegative val="0"/>
            <c:bubble3D val="0"/>
            <c:extLst>
              <c:ext xmlns:c16="http://schemas.microsoft.com/office/drawing/2014/chart" uri="{C3380CC4-5D6E-409C-BE32-E72D297353CC}">
                <c16:uniqueId val="{00000009-DC6B-455B-A527-959EFE3F17EE}"/>
              </c:ext>
            </c:extLst>
          </c:dPt>
          <c:dPt>
            <c:idx val="15"/>
            <c:invertIfNegative val="0"/>
            <c:bubble3D val="0"/>
            <c:extLst>
              <c:ext xmlns:c16="http://schemas.microsoft.com/office/drawing/2014/chart" uri="{C3380CC4-5D6E-409C-BE32-E72D297353CC}">
                <c16:uniqueId val="{0000000A-DC6B-455B-A527-959EFE3F17EE}"/>
              </c:ext>
            </c:extLst>
          </c:dPt>
          <c:dPt>
            <c:idx val="23"/>
            <c:invertIfNegative val="0"/>
            <c:bubble3D val="0"/>
            <c:extLst>
              <c:ext xmlns:c16="http://schemas.microsoft.com/office/drawing/2014/chart" uri="{C3380CC4-5D6E-409C-BE32-E72D297353CC}">
                <c16:uniqueId val="{0000000B-DC6B-455B-A527-959EFE3F17EE}"/>
              </c:ext>
            </c:extLst>
          </c:dPt>
          <c:dPt>
            <c:idx val="24"/>
            <c:invertIfNegative val="0"/>
            <c:bubble3D val="0"/>
            <c:spPr>
              <a:pattFill prst="dkUpDiag">
                <a:fgClr>
                  <a:srgbClr val="C00000"/>
                </a:fgClr>
                <a:bgClr>
                  <a:sysClr val="window" lastClr="FFFFFF"/>
                </a:bgClr>
              </a:pattFill>
              <a:ln>
                <a:solidFill>
                  <a:srgbClr val="C00000"/>
                </a:solidFill>
              </a:ln>
              <a:effectLst/>
            </c:spPr>
            <c:extLst>
              <c:ext xmlns:c16="http://schemas.microsoft.com/office/drawing/2014/chart" uri="{C3380CC4-5D6E-409C-BE32-E72D297353CC}">
                <c16:uniqueId val="{0000000D-DC6B-455B-A527-959EFE3F17EE}"/>
              </c:ext>
            </c:extLst>
          </c:dPt>
          <c:dPt>
            <c:idx val="25"/>
            <c:invertIfNegative val="0"/>
            <c:bubble3D val="0"/>
            <c:extLst>
              <c:ext xmlns:c16="http://schemas.microsoft.com/office/drawing/2014/chart" uri="{C3380CC4-5D6E-409C-BE32-E72D297353CC}">
                <c16:uniqueId val="{0000000E-DC6B-455B-A527-959EFE3F17EE}"/>
              </c:ext>
            </c:extLst>
          </c:dPt>
          <c:cat>
            <c:strRef>
              <c:f>Sheet1!$F$6:$F$32</c:f>
              <c:strCache>
                <c:ptCount val="27"/>
                <c:pt idx="0">
                  <c:v>Luksemburga</c:v>
                </c:pt>
                <c:pt idx="1">
                  <c:v>Vācija</c:v>
                </c:pt>
                <c:pt idx="2">
                  <c:v>Austrija</c:v>
                </c:pt>
                <c:pt idx="3">
                  <c:v>Beļģija</c:v>
                </c:pt>
                <c:pt idx="4">
                  <c:v>Nīderlande</c:v>
                </c:pt>
                <c:pt idx="5">
                  <c:v>Francija</c:v>
                </c:pt>
                <c:pt idx="6">
                  <c:v>Somija</c:v>
                </c:pt>
                <c:pt idx="7">
                  <c:v>Dānija</c:v>
                </c:pt>
                <c:pt idx="8">
                  <c:v>Lielbritānija</c:v>
                </c:pt>
                <c:pt idx="9">
                  <c:v>Zviedrija</c:v>
                </c:pt>
                <c:pt idx="10">
                  <c:v>Itālija</c:v>
                </c:pt>
                <c:pt idx="11">
                  <c:v>Īrija</c:v>
                </c:pt>
                <c:pt idx="12">
                  <c:v>Kipra</c:v>
                </c:pt>
                <c:pt idx="13">
                  <c:v>Spānija</c:v>
                </c:pt>
                <c:pt idx="14">
                  <c:v>Čehija</c:v>
                </c:pt>
                <c:pt idx="15">
                  <c:v>Lietuva</c:v>
                </c:pt>
                <c:pt idx="16">
                  <c:v>Portugāle</c:v>
                </c:pt>
                <c:pt idx="17">
                  <c:v>Slovēnija</c:v>
                </c:pt>
                <c:pt idx="18">
                  <c:v>Igaunija</c:v>
                </c:pt>
                <c:pt idx="19">
                  <c:v>Polija</c:v>
                </c:pt>
                <c:pt idx="20">
                  <c:v>Rumānija</c:v>
                </c:pt>
                <c:pt idx="21">
                  <c:v>Slovākija</c:v>
                </c:pt>
                <c:pt idx="22">
                  <c:v>Grieķija</c:v>
                </c:pt>
                <c:pt idx="23">
                  <c:v>Ungārija</c:v>
                </c:pt>
                <c:pt idx="24">
                  <c:v>Latvija</c:v>
                </c:pt>
                <c:pt idx="25">
                  <c:v>Horvātija</c:v>
                </c:pt>
                <c:pt idx="26">
                  <c:v>Bulgārija</c:v>
                </c:pt>
              </c:strCache>
            </c:strRef>
          </c:cat>
          <c:val>
            <c:numRef>
              <c:f>Sheet1!$G$6:$G$32</c:f>
              <c:numCache>
                <c:formatCode>General</c:formatCode>
                <c:ptCount val="27"/>
                <c:pt idx="0">
                  <c:v>145.79014127629796</c:v>
                </c:pt>
                <c:pt idx="1">
                  <c:v>127.72575109114793</c:v>
                </c:pt>
                <c:pt idx="2">
                  <c:v>119.399127081656</c:v>
                </c:pt>
                <c:pt idx="3">
                  <c:v>114.7590999618628</c:v>
                </c:pt>
                <c:pt idx="4">
                  <c:v>113.74210771642865</c:v>
                </c:pt>
                <c:pt idx="5">
                  <c:v>110.84367981694139</c:v>
                </c:pt>
                <c:pt idx="6">
                  <c:v>109.0058172593273</c:v>
                </c:pt>
                <c:pt idx="7">
                  <c:v>109.13174287046061</c:v>
                </c:pt>
                <c:pt idx="8">
                  <c:v>106.59349972456459</c:v>
                </c:pt>
                <c:pt idx="9">
                  <c:v>105.95364210347896</c:v>
                </c:pt>
                <c:pt idx="10">
                  <c:v>97.474469257171918</c:v>
                </c:pt>
                <c:pt idx="11">
                  <c:v>95.516759184711219</c:v>
                </c:pt>
                <c:pt idx="12">
                  <c:v>87.991016568498665</c:v>
                </c:pt>
                <c:pt idx="13">
                  <c:v>86.215517606678247</c:v>
                </c:pt>
                <c:pt idx="14">
                  <c:v>85.198525361244108</c:v>
                </c:pt>
                <c:pt idx="15">
                  <c:v>83.893385312936985</c:v>
                </c:pt>
                <c:pt idx="16">
                  <c:v>83.173015805754474</c:v>
                </c:pt>
                <c:pt idx="17">
                  <c:v>82.834018390609771</c:v>
                </c:pt>
                <c:pt idx="18">
                  <c:v>75.367600322047551</c:v>
                </c:pt>
                <c:pt idx="19">
                  <c:v>73.333615831179287</c:v>
                </c:pt>
                <c:pt idx="20">
                  <c:v>70.375863384041693</c:v>
                </c:pt>
                <c:pt idx="21">
                  <c:v>67.981694139582189</c:v>
                </c:pt>
                <c:pt idx="22">
                  <c:v>67.392686130768254</c:v>
                </c:pt>
                <c:pt idx="23">
                  <c:v>67.35878638925378</c:v>
                </c:pt>
                <c:pt idx="24">
                  <c:v>65.761261070384336</c:v>
                </c:pt>
                <c:pt idx="25">
                  <c:v>63.430653841264458</c:v>
                </c:pt>
                <c:pt idx="26">
                  <c:v>49.052774018944518</c:v>
                </c:pt>
              </c:numCache>
            </c:numRef>
          </c:val>
          <c:extLst>
            <c:ext xmlns:c16="http://schemas.microsoft.com/office/drawing/2014/chart" uri="{C3380CC4-5D6E-409C-BE32-E72D297353CC}">
              <c16:uniqueId val="{0000000F-DC6B-455B-A527-959EFE3F17EE}"/>
            </c:ext>
          </c:extLst>
        </c:ser>
        <c:dLbls>
          <c:showLegendKey val="0"/>
          <c:showVal val="0"/>
          <c:showCatName val="0"/>
          <c:showSerName val="0"/>
          <c:showPercent val="0"/>
          <c:showBubbleSize val="0"/>
        </c:dLbls>
        <c:gapWidth val="50"/>
        <c:overlap val="-27"/>
        <c:axId val="567518600"/>
        <c:axId val="1"/>
      </c:barChart>
      <c:lineChart>
        <c:grouping val="standard"/>
        <c:varyColors val="0"/>
        <c:ser>
          <c:idx val="1"/>
          <c:order val="1"/>
          <c:spPr>
            <a:ln w="28575" cap="rnd">
              <a:solidFill>
                <a:sysClr val="windowText" lastClr="000000"/>
              </a:solidFill>
              <a:prstDash val="sysDash"/>
              <a:round/>
            </a:ln>
            <a:effectLst/>
          </c:spPr>
          <c:marker>
            <c:symbol val="none"/>
          </c:marker>
          <c:cat>
            <c:strRef>
              <c:f>Sheet1!$F$6:$F$32</c:f>
              <c:strCache>
                <c:ptCount val="27"/>
                <c:pt idx="0">
                  <c:v>Luksemburga</c:v>
                </c:pt>
                <c:pt idx="1">
                  <c:v>Vācija</c:v>
                </c:pt>
                <c:pt idx="2">
                  <c:v>Austrija</c:v>
                </c:pt>
                <c:pt idx="3">
                  <c:v>Beļģija</c:v>
                </c:pt>
                <c:pt idx="4">
                  <c:v>Nīderlande</c:v>
                </c:pt>
                <c:pt idx="5">
                  <c:v>Francija</c:v>
                </c:pt>
                <c:pt idx="6">
                  <c:v>Somija</c:v>
                </c:pt>
                <c:pt idx="7">
                  <c:v>Dānija</c:v>
                </c:pt>
                <c:pt idx="8">
                  <c:v>Lielbritānija</c:v>
                </c:pt>
                <c:pt idx="9">
                  <c:v>Zviedrija</c:v>
                </c:pt>
                <c:pt idx="10">
                  <c:v>Itālija</c:v>
                </c:pt>
                <c:pt idx="11">
                  <c:v>Īrija</c:v>
                </c:pt>
                <c:pt idx="12">
                  <c:v>Kipra</c:v>
                </c:pt>
                <c:pt idx="13">
                  <c:v>Spānija</c:v>
                </c:pt>
                <c:pt idx="14">
                  <c:v>Čehija</c:v>
                </c:pt>
                <c:pt idx="15">
                  <c:v>Lietuva</c:v>
                </c:pt>
                <c:pt idx="16">
                  <c:v>Portugāle</c:v>
                </c:pt>
                <c:pt idx="17">
                  <c:v>Slovēnija</c:v>
                </c:pt>
                <c:pt idx="18">
                  <c:v>Igaunija</c:v>
                </c:pt>
                <c:pt idx="19">
                  <c:v>Polija</c:v>
                </c:pt>
                <c:pt idx="20">
                  <c:v>Rumānija</c:v>
                </c:pt>
                <c:pt idx="21">
                  <c:v>Slovākija</c:v>
                </c:pt>
                <c:pt idx="22">
                  <c:v>Grieķija</c:v>
                </c:pt>
                <c:pt idx="23">
                  <c:v>Ungārija</c:v>
                </c:pt>
                <c:pt idx="24">
                  <c:v>Latvija</c:v>
                </c:pt>
                <c:pt idx="25">
                  <c:v>Horvātija</c:v>
                </c:pt>
                <c:pt idx="26">
                  <c:v>Bulgārija</c:v>
                </c:pt>
              </c:strCache>
            </c:strRef>
          </c:cat>
          <c:val>
            <c:numRef>
              <c:f>Sheet1!$H$6:$H$32</c:f>
              <c:numCache>
                <c:formatCode>General</c:formatCode>
                <c:ptCount val="27"/>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numCache>
            </c:numRef>
          </c:val>
          <c:smooth val="0"/>
          <c:extLst>
            <c:ext xmlns:c16="http://schemas.microsoft.com/office/drawing/2014/chart" uri="{C3380CC4-5D6E-409C-BE32-E72D297353CC}">
              <c16:uniqueId val="{00000010-DC6B-455B-A527-959EFE3F17EE}"/>
            </c:ext>
          </c:extLst>
        </c:ser>
        <c:dLbls>
          <c:showLegendKey val="0"/>
          <c:showVal val="0"/>
          <c:showCatName val="0"/>
          <c:showSerName val="0"/>
          <c:showPercent val="0"/>
          <c:showBubbleSize val="0"/>
        </c:dLbls>
        <c:marker val="1"/>
        <c:smooth val="0"/>
        <c:axId val="567518600"/>
        <c:axId val="1"/>
      </c:lineChart>
      <c:catAx>
        <c:axId val="5675186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7518600"/>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2">
    <c:autoUpdate val="0"/>
  </c:externalData>
  <c:userShapes r:id="rId3"/>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65000"/>
              </a:schemeClr>
            </a:solidFill>
            <a:ln>
              <a:noFill/>
            </a:ln>
            <a:effectLst/>
          </c:spPr>
          <c:invertIfNegative val="0"/>
          <c:dPt>
            <c:idx val="4"/>
            <c:invertIfNegative val="0"/>
            <c:bubble3D val="0"/>
            <c:spPr>
              <a:solidFill>
                <a:srgbClr val="FF0000"/>
              </a:solidFill>
              <a:ln>
                <a:noFill/>
              </a:ln>
              <a:effectLst/>
            </c:spPr>
            <c:extLst>
              <c:ext xmlns:c16="http://schemas.microsoft.com/office/drawing/2014/chart" uri="{C3380CC4-5D6E-409C-BE32-E72D297353CC}">
                <c16:uniqueId val="{00000001-AECC-41CB-BB42-EC6E369ED65F}"/>
              </c:ext>
            </c:extLst>
          </c:dPt>
          <c:dPt>
            <c:idx val="8"/>
            <c:invertIfNegative val="0"/>
            <c:bubble3D val="0"/>
            <c:spPr>
              <a:solidFill>
                <a:srgbClr val="00B050"/>
              </a:solidFill>
              <a:ln>
                <a:noFill/>
              </a:ln>
              <a:effectLst/>
            </c:spPr>
            <c:extLst>
              <c:ext xmlns:c16="http://schemas.microsoft.com/office/drawing/2014/chart" uri="{C3380CC4-5D6E-409C-BE32-E72D297353CC}">
                <c16:uniqueId val="{00000003-AECC-41CB-BB42-EC6E369ED65F}"/>
              </c:ext>
            </c:extLst>
          </c:dPt>
          <c:dPt>
            <c:idx val="15"/>
            <c:invertIfNegative val="0"/>
            <c:bubble3D val="0"/>
            <c:spPr>
              <a:solidFill>
                <a:schemeClr val="accent4"/>
              </a:solidFill>
              <a:ln>
                <a:noFill/>
              </a:ln>
              <a:effectLst/>
            </c:spPr>
            <c:extLst>
              <c:ext xmlns:c16="http://schemas.microsoft.com/office/drawing/2014/chart" uri="{C3380CC4-5D6E-409C-BE32-E72D297353CC}">
                <c16:uniqueId val="{00000005-AECC-41CB-BB42-EC6E369ED65F}"/>
              </c:ext>
            </c:extLst>
          </c:dPt>
          <c:dLbls>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ECC-41CB-BB42-EC6E369ED65F}"/>
                </c:ext>
              </c:extLst>
            </c:dLbl>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CC-41CB-BB42-EC6E369ED65F}"/>
                </c:ext>
              </c:extLst>
            </c:dLbl>
            <c:dLbl>
              <c:idx val="1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ECC-41CB-BB42-EC6E369ED65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Data!$H$47:$H$74</c:f>
              <c:strCache>
                <c:ptCount val="28"/>
                <c:pt idx="0">
                  <c:v>Īrija</c:v>
                </c:pt>
                <c:pt idx="1">
                  <c:v>Luksemburga</c:v>
                </c:pt>
                <c:pt idx="2">
                  <c:v>Lietuva</c:v>
                </c:pt>
                <c:pt idx="3">
                  <c:v>Polija</c:v>
                </c:pt>
                <c:pt idx="4">
                  <c:v>Latvija</c:v>
                </c:pt>
                <c:pt idx="5">
                  <c:v>Zvierdija</c:v>
                </c:pt>
                <c:pt idx="6">
                  <c:v>Beļģija</c:v>
                </c:pt>
                <c:pt idx="7">
                  <c:v>Nīderlande</c:v>
                </c:pt>
                <c:pt idx="8">
                  <c:v>Igaunija</c:v>
                </c:pt>
                <c:pt idx="9">
                  <c:v>Malta</c:v>
                </c:pt>
                <c:pt idx="10">
                  <c:v>Somija</c:v>
                </c:pt>
                <c:pt idx="11">
                  <c:v>Ungārija</c:v>
                </c:pt>
                <c:pt idx="12">
                  <c:v>Čehija</c:v>
                </c:pt>
                <c:pt idx="13">
                  <c:v>Dānija</c:v>
                </c:pt>
                <c:pt idx="14">
                  <c:v>Slovākija</c:v>
                </c:pt>
                <c:pt idx="15">
                  <c:v>ES vidēji</c:v>
                </c:pt>
                <c:pt idx="16">
                  <c:v>Slovēnija</c:v>
                </c:pt>
                <c:pt idx="17">
                  <c:v>Vācija</c:v>
                </c:pt>
                <c:pt idx="18">
                  <c:v>Rumānija</c:v>
                </c:pt>
                <c:pt idx="19">
                  <c:v>Austrija</c:v>
                </c:pt>
                <c:pt idx="20">
                  <c:v>Bulgārija</c:v>
                </c:pt>
                <c:pt idx="21">
                  <c:v>Kipra</c:v>
                </c:pt>
                <c:pt idx="22">
                  <c:v>Itālija</c:v>
                </c:pt>
                <c:pt idx="23">
                  <c:v>Frncija</c:v>
                </c:pt>
                <c:pt idx="24">
                  <c:v>Portugāle</c:v>
                </c:pt>
                <c:pt idx="25">
                  <c:v>Spānija</c:v>
                </c:pt>
                <c:pt idx="26">
                  <c:v>Grieķija</c:v>
                </c:pt>
                <c:pt idx="27">
                  <c:v>Horvātija</c:v>
                </c:pt>
              </c:strCache>
            </c:strRef>
          </c:cat>
          <c:val>
            <c:numRef>
              <c:f>Data!$I$47:$I$74</c:f>
              <c:numCache>
                <c:formatCode>0.0</c:formatCode>
                <c:ptCount val="28"/>
                <c:pt idx="0">
                  <c:v>9.4975985935013529</c:v>
                </c:pt>
                <c:pt idx="1">
                  <c:v>2.471453566956618</c:v>
                </c:pt>
                <c:pt idx="2">
                  <c:v>-9.2264850446943086E-3</c:v>
                </c:pt>
                <c:pt idx="3">
                  <c:v>-0.19411837276266616</c:v>
                </c:pt>
                <c:pt idx="4">
                  <c:v>-2.7261988049225345</c:v>
                </c:pt>
                <c:pt idx="5">
                  <c:v>-4.6225559131321141</c:v>
                </c:pt>
                <c:pt idx="6">
                  <c:v>-4.6229828662694272</c:v>
                </c:pt>
                <c:pt idx="7">
                  <c:v>-4.830447029573671</c:v>
                </c:pt>
                <c:pt idx="8">
                  <c:v>-4.9776505242342406</c:v>
                </c:pt>
                <c:pt idx="9">
                  <c:v>-6.3038028375813706</c:v>
                </c:pt>
                <c:pt idx="10">
                  <c:v>-6.7309683396000217</c:v>
                </c:pt>
                <c:pt idx="11">
                  <c:v>-6.7973357659204812</c:v>
                </c:pt>
                <c:pt idx="12">
                  <c:v>-6.9235271064306225</c:v>
                </c:pt>
                <c:pt idx="13">
                  <c:v>-7.0067189765754394</c:v>
                </c:pt>
                <c:pt idx="14">
                  <c:v>-7.5142999885434714</c:v>
                </c:pt>
                <c:pt idx="15">
                  <c:v>-8.4294494484864302</c:v>
                </c:pt>
                <c:pt idx="16">
                  <c:v>-8.6627124176339763</c:v>
                </c:pt>
                <c:pt idx="17">
                  <c:v>-9.3190633315795726</c:v>
                </c:pt>
                <c:pt idx="18">
                  <c:v>-9.7118072118606609</c:v>
                </c:pt>
                <c:pt idx="19">
                  <c:v>-10.004861571075201</c:v>
                </c:pt>
                <c:pt idx="20">
                  <c:v>-11.31814119749777</c:v>
                </c:pt>
                <c:pt idx="21">
                  <c:v>-12.390400604686322</c:v>
                </c:pt>
                <c:pt idx="22">
                  <c:v>-13.759997111707451</c:v>
                </c:pt>
                <c:pt idx="23">
                  <c:v>-15.817143841949921</c:v>
                </c:pt>
                <c:pt idx="24">
                  <c:v>-18.649915644883414</c:v>
                </c:pt>
                <c:pt idx="25">
                  <c:v>-20.195837852333703</c:v>
                </c:pt>
                <c:pt idx="26">
                  <c:v>-21.673614481911887</c:v>
                </c:pt>
                <c:pt idx="27">
                  <c:v>-24.952740926082452</c:v>
                </c:pt>
              </c:numCache>
            </c:numRef>
          </c:val>
          <c:extLst>
            <c:ext xmlns:c16="http://schemas.microsoft.com/office/drawing/2014/chart" uri="{C3380CC4-5D6E-409C-BE32-E72D297353CC}">
              <c16:uniqueId val="{00000006-AECC-41CB-BB42-EC6E369ED65F}"/>
            </c:ext>
          </c:extLst>
        </c:ser>
        <c:dLbls>
          <c:showLegendKey val="0"/>
          <c:showVal val="0"/>
          <c:showCatName val="0"/>
          <c:showSerName val="0"/>
          <c:showPercent val="0"/>
          <c:showBubbleSize val="0"/>
        </c:dLbls>
        <c:gapWidth val="50"/>
        <c:overlap val="-27"/>
        <c:axId val="931875392"/>
        <c:axId val="931869984"/>
      </c:barChart>
      <c:catAx>
        <c:axId val="931875392"/>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31869984"/>
        <c:crosses val="autoZero"/>
        <c:auto val="1"/>
        <c:lblAlgn val="ctr"/>
        <c:lblOffset val="100"/>
        <c:noMultiLvlLbl val="0"/>
      </c:catAx>
      <c:valAx>
        <c:axId val="931869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31875392"/>
        <c:crosses val="autoZero"/>
        <c:crossBetween val="between"/>
        <c:majorUnit val="3"/>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70391826951229"/>
          <c:y val="5.0925925925925923E-2"/>
          <c:w val="0.8765149770259878"/>
          <c:h val="0.75165099154272386"/>
        </c:manualLayout>
      </c:layout>
      <c:lineChart>
        <c:grouping val="standard"/>
        <c:varyColors val="0"/>
        <c:ser>
          <c:idx val="0"/>
          <c:order val="0"/>
          <c:spPr>
            <a:ln w="38100" cap="rnd">
              <a:solidFill>
                <a:schemeClr val="accent1"/>
              </a:solidFill>
              <a:round/>
            </a:ln>
            <a:effectLst/>
          </c:spPr>
          <c:marker>
            <c:symbol val="none"/>
          </c:marker>
          <c:cat>
            <c:multiLvlStrRef>
              <c:f>'[ATD020m_20210915-165106.xlsx]ATD020m'!$AB$10:$AT$11</c:f>
              <c:multiLvlStrCache>
                <c:ptCount val="19"/>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lvl>
                <c:lvl>
                  <c:pt idx="0">
                    <c:v>2020</c:v>
                  </c:pt>
                  <c:pt idx="12">
                    <c:v>2021</c:v>
                  </c:pt>
                </c:lvl>
              </c:multiLvlStrCache>
            </c:multiLvlStrRef>
          </c:cat>
          <c:val>
            <c:numRef>
              <c:f>'[ATD020m_20210915-165106.xlsx]ATD020m'!$AB$13:$AT$13</c:f>
              <c:numCache>
                <c:formatCode>0</c:formatCode>
                <c:ptCount val="19"/>
                <c:pt idx="0">
                  <c:v>5.6026276491629634</c:v>
                </c:pt>
                <c:pt idx="1">
                  <c:v>8.177943185410804</c:v>
                </c:pt>
                <c:pt idx="2">
                  <c:v>0.39577641283820714</c:v>
                </c:pt>
                <c:pt idx="3">
                  <c:v>-12.791584148035785</c:v>
                </c:pt>
                <c:pt idx="4">
                  <c:v>-15.816855031803295</c:v>
                </c:pt>
                <c:pt idx="5">
                  <c:v>-0.54764469565261742</c:v>
                </c:pt>
                <c:pt idx="6">
                  <c:v>0.50999723453855239</c:v>
                </c:pt>
                <c:pt idx="7">
                  <c:v>-2.0762146236819619</c:v>
                </c:pt>
                <c:pt idx="8">
                  <c:v>15.246307844118906</c:v>
                </c:pt>
                <c:pt idx="9">
                  <c:v>8.6113726031538089</c:v>
                </c:pt>
                <c:pt idx="10">
                  <c:v>9.1506254129152378</c:v>
                </c:pt>
                <c:pt idx="11">
                  <c:v>14.453668160040085</c:v>
                </c:pt>
                <c:pt idx="12">
                  <c:v>-1.8797628036291405</c:v>
                </c:pt>
                <c:pt idx="13">
                  <c:v>7.0211398967726328</c:v>
                </c:pt>
                <c:pt idx="14">
                  <c:v>20.88886985292827</c:v>
                </c:pt>
                <c:pt idx="15">
                  <c:v>34.043037468993518</c:v>
                </c:pt>
                <c:pt idx="16">
                  <c:v>36.224286539140664</c:v>
                </c:pt>
                <c:pt idx="17">
                  <c:v>31.664425044502622</c:v>
                </c:pt>
                <c:pt idx="18">
                  <c:v>25.516846973611361</c:v>
                </c:pt>
              </c:numCache>
            </c:numRef>
          </c:val>
          <c:smooth val="0"/>
          <c:extLst>
            <c:ext xmlns:c16="http://schemas.microsoft.com/office/drawing/2014/chart" uri="{C3380CC4-5D6E-409C-BE32-E72D297353CC}">
              <c16:uniqueId val="{00000000-B781-4971-9179-433A6C2DCDAF}"/>
            </c:ext>
          </c:extLst>
        </c:ser>
        <c:dLbls>
          <c:showLegendKey val="0"/>
          <c:showVal val="0"/>
          <c:showCatName val="0"/>
          <c:showSerName val="0"/>
          <c:showPercent val="0"/>
          <c:showBubbleSize val="0"/>
        </c:dLbls>
        <c:smooth val="0"/>
        <c:axId val="931874976"/>
        <c:axId val="931865408"/>
      </c:lineChart>
      <c:catAx>
        <c:axId val="931874976"/>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31865408"/>
        <c:crosses val="autoZero"/>
        <c:auto val="1"/>
        <c:lblAlgn val="ctr"/>
        <c:lblOffset val="100"/>
        <c:tickLblSkip val="1"/>
        <c:noMultiLvlLbl val="0"/>
      </c:catAx>
      <c:valAx>
        <c:axId val="931865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31874976"/>
        <c:crosses val="autoZero"/>
        <c:crossBetween val="between"/>
        <c:majorUnit val="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32443158460614"/>
          <c:y val="5.0925925925925923E-2"/>
          <c:w val="0.85537267178952026"/>
          <c:h val="0.75165099154272386"/>
        </c:manualLayout>
      </c:layout>
      <c:barChart>
        <c:barDir val="col"/>
        <c:grouping val="clustered"/>
        <c:varyColors val="0"/>
        <c:ser>
          <c:idx val="0"/>
          <c:order val="0"/>
          <c:spPr>
            <a:solidFill>
              <a:schemeClr val="accent1"/>
            </a:solidFill>
            <a:ln>
              <a:noFill/>
            </a:ln>
            <a:effectLst/>
          </c:spPr>
          <c:invertIfNegative val="0"/>
          <c:cat>
            <c:multiLvlStrRef>
              <c:f>'[ATD020m_20210915-165106.xlsx]ATD020m'!$AB$10:$AT$11</c:f>
              <c:multiLvlStrCache>
                <c:ptCount val="19"/>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lvl>
                <c:lvl>
                  <c:pt idx="0">
                    <c:v>2020</c:v>
                  </c:pt>
                  <c:pt idx="12">
                    <c:v>2021</c:v>
                  </c:pt>
                </c:lvl>
              </c:multiLvlStrCache>
            </c:multiLvlStrRef>
          </c:cat>
          <c:val>
            <c:numRef>
              <c:f>'[ATD020m_20210915-165106.xlsx]ATD020m'!$AB$12:$AT$12</c:f>
              <c:numCache>
                <c:formatCode>0</c:formatCode>
                <c:ptCount val="19"/>
                <c:pt idx="0">
                  <c:v>1084.7542020000001</c:v>
                </c:pt>
                <c:pt idx="1">
                  <c:v>1070.583468</c:v>
                </c:pt>
                <c:pt idx="2">
                  <c:v>1111.090062</c:v>
                </c:pt>
                <c:pt idx="3">
                  <c:v>939.350639</c:v>
                </c:pt>
                <c:pt idx="4">
                  <c:v>916.63735499999996</c:v>
                </c:pt>
                <c:pt idx="5">
                  <c:v>986.75416199999995</c:v>
                </c:pt>
                <c:pt idx="6">
                  <c:v>1058.6316220000001</c:v>
                </c:pt>
                <c:pt idx="7">
                  <c:v>1093.270094</c:v>
                </c:pt>
                <c:pt idx="8">
                  <c:v>1300.896559</c:v>
                </c:pt>
                <c:pt idx="9">
                  <c:v>1322.6392579999999</c:v>
                </c:pt>
                <c:pt idx="10">
                  <c:v>1251.691585</c:v>
                </c:pt>
                <c:pt idx="11">
                  <c:v>1168.3612450000001</c:v>
                </c:pt>
                <c:pt idx="12">
                  <c:v>1064.363396</c:v>
                </c:pt>
                <c:pt idx="13">
                  <c:v>1145.7506310000001</c:v>
                </c:pt>
                <c:pt idx="14">
                  <c:v>1343.184219</c:v>
                </c:pt>
                <c:pt idx="15">
                  <c:v>1259.134129</c:v>
                </c:pt>
                <c:pt idx="16">
                  <c:v>1248.682697</c:v>
                </c:pt>
                <c:pt idx="17">
                  <c:v>1299.2041939999999</c:v>
                </c:pt>
                <c:pt idx="18">
                  <c:v>1328.761033</c:v>
                </c:pt>
              </c:numCache>
            </c:numRef>
          </c:val>
          <c:extLst>
            <c:ext xmlns:c16="http://schemas.microsoft.com/office/drawing/2014/chart" uri="{C3380CC4-5D6E-409C-BE32-E72D297353CC}">
              <c16:uniqueId val="{00000000-2B00-4FDA-8DE6-799A2F75D91E}"/>
            </c:ext>
          </c:extLst>
        </c:ser>
        <c:dLbls>
          <c:showLegendKey val="0"/>
          <c:showVal val="0"/>
          <c:showCatName val="0"/>
          <c:showSerName val="0"/>
          <c:showPercent val="0"/>
          <c:showBubbleSize val="0"/>
        </c:dLbls>
        <c:gapWidth val="50"/>
        <c:overlap val="-27"/>
        <c:axId val="925392352"/>
        <c:axId val="925385280"/>
      </c:barChart>
      <c:catAx>
        <c:axId val="92539235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25385280"/>
        <c:crosses val="autoZero"/>
        <c:auto val="1"/>
        <c:lblAlgn val="ctr"/>
        <c:lblOffset val="100"/>
        <c:tickLblSkip val="1"/>
        <c:noMultiLvlLbl val="0"/>
      </c:catAx>
      <c:valAx>
        <c:axId val="925385280"/>
        <c:scaling>
          <c:orientation val="minMax"/>
          <c:max val="1400"/>
          <c:min val="6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253923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271831637022273E-2"/>
          <c:y val="4.2886576943087208E-2"/>
          <c:w val="0.90203231033889009"/>
          <c:h val="0.53273611088681305"/>
        </c:manualLayout>
      </c:layout>
      <c:barChart>
        <c:barDir val="col"/>
        <c:grouping val="stacked"/>
        <c:varyColors val="0"/>
        <c:ser>
          <c:idx val="0"/>
          <c:order val="0"/>
          <c:tx>
            <c:strRef>
              <c:f>Pakalp_eksports_Q!$AK$35</c:f>
              <c:strCache>
                <c:ptCount val="1"/>
                <c:pt idx="0">
                  <c:v>Transporta pakalpojumi</c:v>
                </c:pt>
              </c:strCache>
            </c:strRef>
          </c:tx>
          <c:spPr>
            <a:solidFill>
              <a:schemeClr val="accent1"/>
            </a:solidFill>
            <a:ln>
              <a:noFill/>
            </a:ln>
            <a:effectLst/>
          </c:spPr>
          <c:invertIfNegative val="0"/>
          <c:cat>
            <c:multiLvlStrRef>
              <c:f>Pakalp_eksports_Q!$BQ$5:$BV$6</c:f>
              <c:multiLvlStrCache>
                <c:ptCount val="6"/>
                <c:lvl>
                  <c:pt idx="0">
                    <c:v>I</c:v>
                  </c:pt>
                  <c:pt idx="1">
                    <c:v>II</c:v>
                  </c:pt>
                  <c:pt idx="2">
                    <c:v>III</c:v>
                  </c:pt>
                  <c:pt idx="3">
                    <c:v>IV</c:v>
                  </c:pt>
                  <c:pt idx="4">
                    <c:v>I</c:v>
                  </c:pt>
                  <c:pt idx="5">
                    <c:v>II</c:v>
                  </c:pt>
                </c:lvl>
                <c:lvl>
                  <c:pt idx="0">
                    <c:v>2020</c:v>
                  </c:pt>
                  <c:pt idx="4">
                    <c:v>2021</c:v>
                  </c:pt>
                </c:lvl>
              </c:multiLvlStrCache>
            </c:multiLvlStrRef>
          </c:cat>
          <c:val>
            <c:numRef>
              <c:f>Pakalp_eksports_Q!$BQ$35:$BV$35</c:f>
              <c:numCache>
                <c:formatCode>0.0</c:formatCode>
                <c:ptCount val="6"/>
                <c:pt idx="0">
                  <c:v>-6.9433359936153227</c:v>
                </c:pt>
                <c:pt idx="1">
                  <c:v>-18.589743589743591</c:v>
                </c:pt>
                <c:pt idx="2">
                  <c:v>-16.406779661016948</c:v>
                </c:pt>
                <c:pt idx="3">
                  <c:v>-9.6193771626297568</c:v>
                </c:pt>
                <c:pt idx="4">
                  <c:v>-4.675324675324676</c:v>
                </c:pt>
                <c:pt idx="5">
                  <c:v>6.415478615071283</c:v>
                </c:pt>
              </c:numCache>
            </c:numRef>
          </c:val>
          <c:extLst>
            <c:ext xmlns:c16="http://schemas.microsoft.com/office/drawing/2014/chart" uri="{C3380CC4-5D6E-409C-BE32-E72D297353CC}">
              <c16:uniqueId val="{00000000-2013-4894-8114-0AF690E308CF}"/>
            </c:ext>
          </c:extLst>
        </c:ser>
        <c:ser>
          <c:idx val="1"/>
          <c:order val="1"/>
          <c:tx>
            <c:strRef>
              <c:f>Pakalp_eksports_Q!$AK$36</c:f>
              <c:strCache>
                <c:ptCount val="1"/>
                <c:pt idx="0">
                  <c:v>Braucieni</c:v>
                </c:pt>
              </c:strCache>
            </c:strRef>
          </c:tx>
          <c:spPr>
            <a:solidFill>
              <a:schemeClr val="accent2"/>
            </a:solidFill>
            <a:ln>
              <a:noFill/>
            </a:ln>
            <a:effectLst/>
          </c:spPr>
          <c:invertIfNegative val="0"/>
          <c:cat>
            <c:multiLvlStrRef>
              <c:f>Pakalp_eksports_Q!$BQ$5:$BV$6</c:f>
              <c:multiLvlStrCache>
                <c:ptCount val="6"/>
                <c:lvl>
                  <c:pt idx="0">
                    <c:v>I</c:v>
                  </c:pt>
                  <c:pt idx="1">
                    <c:v>II</c:v>
                  </c:pt>
                  <c:pt idx="2">
                    <c:v>III</c:v>
                  </c:pt>
                  <c:pt idx="3">
                    <c:v>IV</c:v>
                  </c:pt>
                  <c:pt idx="4">
                    <c:v>I</c:v>
                  </c:pt>
                  <c:pt idx="5">
                    <c:v>II</c:v>
                  </c:pt>
                </c:lvl>
                <c:lvl>
                  <c:pt idx="0">
                    <c:v>2020</c:v>
                  </c:pt>
                  <c:pt idx="4">
                    <c:v>2021</c:v>
                  </c:pt>
                </c:lvl>
              </c:multiLvlStrCache>
            </c:multiLvlStrRef>
          </c:cat>
          <c:val>
            <c:numRef>
              <c:f>Pakalp_eksports_Q!$BQ$36:$BV$36</c:f>
              <c:numCache>
                <c:formatCode>0.0</c:formatCode>
                <c:ptCount val="6"/>
                <c:pt idx="0">
                  <c:v>-2.3942537909018355</c:v>
                </c:pt>
                <c:pt idx="1">
                  <c:v>-11.823361823361823</c:v>
                </c:pt>
                <c:pt idx="2">
                  <c:v>-11.050847457627119</c:v>
                </c:pt>
                <c:pt idx="3">
                  <c:v>-11.76470588235294</c:v>
                </c:pt>
                <c:pt idx="4">
                  <c:v>-10.735930735930735</c:v>
                </c:pt>
                <c:pt idx="5">
                  <c:v>-1.1201629327902241</c:v>
                </c:pt>
              </c:numCache>
            </c:numRef>
          </c:val>
          <c:extLst>
            <c:ext xmlns:c16="http://schemas.microsoft.com/office/drawing/2014/chart" uri="{C3380CC4-5D6E-409C-BE32-E72D297353CC}">
              <c16:uniqueId val="{00000001-2013-4894-8114-0AF690E308CF}"/>
            </c:ext>
          </c:extLst>
        </c:ser>
        <c:ser>
          <c:idx val="2"/>
          <c:order val="2"/>
          <c:tx>
            <c:strRef>
              <c:f>Pakalp_eksports_Q!$AK$37</c:f>
              <c:strCache>
                <c:ptCount val="1"/>
                <c:pt idx="0">
                  <c:v>Telesakaru un IT</c:v>
                </c:pt>
              </c:strCache>
            </c:strRef>
          </c:tx>
          <c:spPr>
            <a:solidFill>
              <a:schemeClr val="accent3"/>
            </a:solidFill>
            <a:ln>
              <a:noFill/>
            </a:ln>
            <a:effectLst/>
          </c:spPr>
          <c:invertIfNegative val="0"/>
          <c:cat>
            <c:multiLvlStrRef>
              <c:f>Pakalp_eksports_Q!$BQ$5:$BV$6</c:f>
              <c:multiLvlStrCache>
                <c:ptCount val="6"/>
                <c:lvl>
                  <c:pt idx="0">
                    <c:v>I</c:v>
                  </c:pt>
                  <c:pt idx="1">
                    <c:v>II</c:v>
                  </c:pt>
                  <c:pt idx="2">
                    <c:v>III</c:v>
                  </c:pt>
                  <c:pt idx="3">
                    <c:v>IV</c:v>
                  </c:pt>
                  <c:pt idx="4">
                    <c:v>I</c:v>
                  </c:pt>
                  <c:pt idx="5">
                    <c:v>II</c:v>
                  </c:pt>
                </c:lvl>
                <c:lvl>
                  <c:pt idx="0">
                    <c:v>2020</c:v>
                  </c:pt>
                  <c:pt idx="4">
                    <c:v>2021</c:v>
                  </c:pt>
                </c:lvl>
              </c:multiLvlStrCache>
            </c:multiLvlStrRef>
          </c:cat>
          <c:val>
            <c:numRef>
              <c:f>Pakalp_eksports_Q!$BQ$37:$BV$37</c:f>
              <c:numCache>
                <c:formatCode>0.0</c:formatCode>
                <c:ptCount val="6"/>
                <c:pt idx="0">
                  <c:v>0</c:v>
                </c:pt>
                <c:pt idx="1">
                  <c:v>-0.28490028490028491</c:v>
                </c:pt>
                <c:pt idx="2">
                  <c:v>-0.5423728813559322</c:v>
                </c:pt>
                <c:pt idx="3">
                  <c:v>1.0380622837370241</c:v>
                </c:pt>
                <c:pt idx="4">
                  <c:v>0.43290043290043284</c:v>
                </c:pt>
                <c:pt idx="5">
                  <c:v>3.0549898167006106</c:v>
                </c:pt>
              </c:numCache>
            </c:numRef>
          </c:val>
          <c:extLst>
            <c:ext xmlns:c16="http://schemas.microsoft.com/office/drawing/2014/chart" uri="{C3380CC4-5D6E-409C-BE32-E72D297353CC}">
              <c16:uniqueId val="{00000002-2013-4894-8114-0AF690E308CF}"/>
            </c:ext>
          </c:extLst>
        </c:ser>
        <c:ser>
          <c:idx val="3"/>
          <c:order val="3"/>
          <c:tx>
            <c:strRef>
              <c:f>Pakalp_eksports_Q!$AK$38</c:f>
              <c:strCache>
                <c:ptCount val="1"/>
                <c:pt idx="0">
                  <c:v>Finanšu pakalpojumi</c:v>
                </c:pt>
              </c:strCache>
            </c:strRef>
          </c:tx>
          <c:spPr>
            <a:solidFill>
              <a:schemeClr val="accent4"/>
            </a:solidFill>
            <a:ln>
              <a:noFill/>
            </a:ln>
            <a:effectLst/>
          </c:spPr>
          <c:invertIfNegative val="0"/>
          <c:cat>
            <c:multiLvlStrRef>
              <c:f>Pakalp_eksports_Q!$BQ$5:$BV$6</c:f>
              <c:multiLvlStrCache>
                <c:ptCount val="6"/>
                <c:lvl>
                  <c:pt idx="0">
                    <c:v>I</c:v>
                  </c:pt>
                  <c:pt idx="1">
                    <c:v>II</c:v>
                  </c:pt>
                  <c:pt idx="2">
                    <c:v>III</c:v>
                  </c:pt>
                  <c:pt idx="3">
                    <c:v>IV</c:v>
                  </c:pt>
                  <c:pt idx="4">
                    <c:v>I</c:v>
                  </c:pt>
                  <c:pt idx="5">
                    <c:v>II</c:v>
                  </c:pt>
                </c:lvl>
                <c:lvl>
                  <c:pt idx="0">
                    <c:v>2020</c:v>
                  </c:pt>
                  <c:pt idx="4">
                    <c:v>2021</c:v>
                  </c:pt>
                </c:lvl>
              </c:multiLvlStrCache>
            </c:multiLvlStrRef>
          </c:cat>
          <c:val>
            <c:numRef>
              <c:f>Pakalp_eksports_Q!$BQ$38:$BV$38</c:f>
              <c:numCache>
                <c:formatCode>0.0</c:formatCode>
                <c:ptCount val="6"/>
                <c:pt idx="0">
                  <c:v>-1.1971268954509178</c:v>
                </c:pt>
                <c:pt idx="1">
                  <c:v>-1.1396011396011396</c:v>
                </c:pt>
                <c:pt idx="2">
                  <c:v>-1.0847457627118642</c:v>
                </c:pt>
                <c:pt idx="3">
                  <c:v>-0.76124567474048443</c:v>
                </c:pt>
                <c:pt idx="4">
                  <c:v>0.34632034632034631</c:v>
                </c:pt>
                <c:pt idx="5">
                  <c:v>-0.40733197556008149</c:v>
                </c:pt>
              </c:numCache>
            </c:numRef>
          </c:val>
          <c:extLst>
            <c:ext xmlns:c16="http://schemas.microsoft.com/office/drawing/2014/chart" uri="{C3380CC4-5D6E-409C-BE32-E72D297353CC}">
              <c16:uniqueId val="{00000003-2013-4894-8114-0AF690E308CF}"/>
            </c:ext>
          </c:extLst>
        </c:ser>
        <c:ser>
          <c:idx val="4"/>
          <c:order val="4"/>
          <c:tx>
            <c:strRef>
              <c:f>Pakalp_eksports_Q!$AK$39</c:f>
              <c:strCache>
                <c:ptCount val="1"/>
                <c:pt idx="0">
                  <c:v>Būvniecība</c:v>
                </c:pt>
              </c:strCache>
            </c:strRef>
          </c:tx>
          <c:spPr>
            <a:solidFill>
              <a:schemeClr val="accent5"/>
            </a:solidFill>
            <a:ln>
              <a:noFill/>
            </a:ln>
            <a:effectLst/>
          </c:spPr>
          <c:invertIfNegative val="0"/>
          <c:cat>
            <c:multiLvlStrRef>
              <c:f>Pakalp_eksports_Q!$BQ$5:$BV$6</c:f>
              <c:multiLvlStrCache>
                <c:ptCount val="6"/>
                <c:lvl>
                  <c:pt idx="0">
                    <c:v>I</c:v>
                  </c:pt>
                  <c:pt idx="1">
                    <c:v>II</c:v>
                  </c:pt>
                  <c:pt idx="2">
                    <c:v>III</c:v>
                  </c:pt>
                  <c:pt idx="3">
                    <c:v>IV</c:v>
                  </c:pt>
                  <c:pt idx="4">
                    <c:v>I</c:v>
                  </c:pt>
                  <c:pt idx="5">
                    <c:v>II</c:v>
                  </c:pt>
                </c:lvl>
                <c:lvl>
                  <c:pt idx="0">
                    <c:v>2020</c:v>
                  </c:pt>
                  <c:pt idx="4">
                    <c:v>2021</c:v>
                  </c:pt>
                </c:lvl>
              </c:multiLvlStrCache>
            </c:multiLvlStrRef>
          </c:cat>
          <c:val>
            <c:numRef>
              <c:f>Pakalp_eksports_Q!$BQ$39:$BV$39</c:f>
              <c:numCache>
                <c:formatCode>0.0</c:formatCode>
                <c:ptCount val="6"/>
                <c:pt idx="0">
                  <c:v>1.5163607342378291</c:v>
                </c:pt>
                <c:pt idx="1">
                  <c:v>1.4245014245014245</c:v>
                </c:pt>
                <c:pt idx="2">
                  <c:v>0.40677966101694912</c:v>
                </c:pt>
                <c:pt idx="3">
                  <c:v>0.48442906574394456</c:v>
                </c:pt>
                <c:pt idx="4">
                  <c:v>0.51948051948051943</c:v>
                </c:pt>
                <c:pt idx="5">
                  <c:v>-1.4256619144602851</c:v>
                </c:pt>
              </c:numCache>
            </c:numRef>
          </c:val>
          <c:extLst>
            <c:ext xmlns:c16="http://schemas.microsoft.com/office/drawing/2014/chart" uri="{C3380CC4-5D6E-409C-BE32-E72D297353CC}">
              <c16:uniqueId val="{00000004-2013-4894-8114-0AF690E308CF}"/>
            </c:ext>
          </c:extLst>
        </c:ser>
        <c:ser>
          <c:idx val="5"/>
          <c:order val="5"/>
          <c:tx>
            <c:strRef>
              <c:f>Pakalp_eksports_Q!$AK$40</c:f>
              <c:strCache>
                <c:ptCount val="1"/>
                <c:pt idx="0">
                  <c:v>Citi pakalpojumi</c:v>
                </c:pt>
              </c:strCache>
            </c:strRef>
          </c:tx>
          <c:spPr>
            <a:solidFill>
              <a:schemeClr val="accent6"/>
            </a:solidFill>
            <a:ln>
              <a:noFill/>
            </a:ln>
            <a:effectLst/>
          </c:spPr>
          <c:invertIfNegative val="0"/>
          <c:cat>
            <c:multiLvlStrRef>
              <c:f>Pakalp_eksports_Q!$BQ$5:$BV$6</c:f>
              <c:multiLvlStrCache>
                <c:ptCount val="6"/>
                <c:lvl>
                  <c:pt idx="0">
                    <c:v>I</c:v>
                  </c:pt>
                  <c:pt idx="1">
                    <c:v>II</c:v>
                  </c:pt>
                  <c:pt idx="2">
                    <c:v>III</c:v>
                  </c:pt>
                  <c:pt idx="3">
                    <c:v>IV</c:v>
                  </c:pt>
                  <c:pt idx="4">
                    <c:v>I</c:v>
                  </c:pt>
                  <c:pt idx="5">
                    <c:v>II</c:v>
                  </c:pt>
                </c:lvl>
                <c:lvl>
                  <c:pt idx="0">
                    <c:v>2020</c:v>
                  </c:pt>
                  <c:pt idx="4">
                    <c:v>2021</c:v>
                  </c:pt>
                </c:lvl>
              </c:multiLvlStrCache>
            </c:multiLvlStrRef>
          </c:cat>
          <c:val>
            <c:numRef>
              <c:f>Pakalp_eksports_Q!$BQ$40:$BV$40</c:f>
              <c:numCache>
                <c:formatCode>0.0</c:formatCode>
                <c:ptCount val="6"/>
                <c:pt idx="0">
                  <c:v>1.1971268954509178</c:v>
                </c:pt>
                <c:pt idx="1">
                  <c:v>0.35612535612535617</c:v>
                </c:pt>
                <c:pt idx="2">
                  <c:v>2.1694915254237288</c:v>
                </c:pt>
                <c:pt idx="3">
                  <c:v>0.48442906574394462</c:v>
                </c:pt>
                <c:pt idx="4">
                  <c:v>3.2900432900432901</c:v>
                </c:pt>
                <c:pt idx="5">
                  <c:v>8.146639511201629</c:v>
                </c:pt>
              </c:numCache>
            </c:numRef>
          </c:val>
          <c:extLst>
            <c:ext xmlns:c16="http://schemas.microsoft.com/office/drawing/2014/chart" uri="{C3380CC4-5D6E-409C-BE32-E72D297353CC}">
              <c16:uniqueId val="{00000005-2013-4894-8114-0AF690E308CF}"/>
            </c:ext>
          </c:extLst>
        </c:ser>
        <c:dLbls>
          <c:showLegendKey val="0"/>
          <c:showVal val="0"/>
          <c:showCatName val="0"/>
          <c:showSerName val="0"/>
          <c:showPercent val="0"/>
          <c:showBubbleSize val="0"/>
        </c:dLbls>
        <c:gapWidth val="50"/>
        <c:overlap val="100"/>
        <c:axId val="348099048"/>
        <c:axId val="348099440"/>
      </c:barChart>
      <c:lineChart>
        <c:grouping val="standard"/>
        <c:varyColors val="0"/>
        <c:ser>
          <c:idx val="6"/>
          <c:order val="6"/>
          <c:tx>
            <c:strRef>
              <c:f>Pakalp_eksports_Q!$AK$41</c:f>
              <c:strCache>
                <c:ptCount val="1"/>
                <c:pt idx="0">
                  <c:v>Kopējais pieaugums</c:v>
                </c:pt>
              </c:strCache>
            </c:strRef>
          </c:tx>
          <c:spPr>
            <a:ln w="28575" cap="rnd">
              <a:solidFill>
                <a:schemeClr val="accent1">
                  <a:lumMod val="60000"/>
                </a:schemeClr>
              </a:solidFill>
              <a:round/>
            </a:ln>
            <a:effectLst/>
          </c:spPr>
          <c:marker>
            <c:symbol val="none"/>
          </c:marker>
          <c:cat>
            <c:multiLvlStrRef>
              <c:f>Pakalp_eksports_Q!$BQ$5:$BV$6</c:f>
              <c:multiLvlStrCache>
                <c:ptCount val="6"/>
                <c:lvl>
                  <c:pt idx="0">
                    <c:v>I</c:v>
                  </c:pt>
                  <c:pt idx="1">
                    <c:v>II</c:v>
                  </c:pt>
                  <c:pt idx="2">
                    <c:v>III</c:v>
                  </c:pt>
                  <c:pt idx="3">
                    <c:v>IV</c:v>
                  </c:pt>
                  <c:pt idx="4">
                    <c:v>I</c:v>
                  </c:pt>
                  <c:pt idx="5">
                    <c:v>II</c:v>
                  </c:pt>
                </c:lvl>
                <c:lvl>
                  <c:pt idx="0">
                    <c:v>2020</c:v>
                  </c:pt>
                  <c:pt idx="4">
                    <c:v>2021</c:v>
                  </c:pt>
                </c:lvl>
              </c:multiLvlStrCache>
            </c:multiLvlStrRef>
          </c:cat>
          <c:val>
            <c:numRef>
              <c:f>Pakalp_eksports_Q!$BQ$41:$BV$41</c:f>
              <c:numCache>
                <c:formatCode>0.0</c:formatCode>
                <c:ptCount val="6"/>
                <c:pt idx="0">
                  <c:v>-7.8212290502793298</c:v>
                </c:pt>
                <c:pt idx="1">
                  <c:v>-30.056980056980056</c:v>
                </c:pt>
                <c:pt idx="2">
                  <c:v>-26.508474576271187</c:v>
                </c:pt>
                <c:pt idx="3">
                  <c:v>-20.138408304498263</c:v>
                </c:pt>
                <c:pt idx="4">
                  <c:v>-10.822510822510823</c:v>
                </c:pt>
                <c:pt idx="5">
                  <c:v>14.663951120162931</c:v>
                </c:pt>
              </c:numCache>
            </c:numRef>
          </c:val>
          <c:smooth val="0"/>
          <c:extLst>
            <c:ext xmlns:c16="http://schemas.microsoft.com/office/drawing/2014/chart" uri="{C3380CC4-5D6E-409C-BE32-E72D297353CC}">
              <c16:uniqueId val="{00000006-2013-4894-8114-0AF690E308CF}"/>
            </c:ext>
          </c:extLst>
        </c:ser>
        <c:dLbls>
          <c:showLegendKey val="0"/>
          <c:showVal val="0"/>
          <c:showCatName val="0"/>
          <c:showSerName val="0"/>
          <c:showPercent val="0"/>
          <c:showBubbleSize val="0"/>
        </c:dLbls>
        <c:marker val="1"/>
        <c:smooth val="0"/>
        <c:axId val="348099048"/>
        <c:axId val="348099440"/>
      </c:lineChart>
      <c:catAx>
        <c:axId val="348099048"/>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8099440"/>
        <c:crosses val="autoZero"/>
        <c:auto val="1"/>
        <c:lblAlgn val="ctr"/>
        <c:lblOffset val="100"/>
        <c:noMultiLvlLbl val="0"/>
      </c:catAx>
      <c:valAx>
        <c:axId val="348099440"/>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48099048"/>
        <c:crosses val="autoZero"/>
        <c:crossBetween val="between"/>
        <c:majorUnit val="5"/>
      </c:valAx>
      <c:spPr>
        <a:noFill/>
        <a:ln w="25400">
          <a:noFill/>
        </a:ln>
      </c:spPr>
    </c:plotArea>
    <c:legend>
      <c:legendPos val="b"/>
      <c:layout>
        <c:manualLayout>
          <c:xMode val="edge"/>
          <c:yMode val="edge"/>
          <c:x val="9.2853959292824237E-3"/>
          <c:y val="0.72155676189465479"/>
          <c:w val="0.97149736747701754"/>
          <c:h val="0.25419597601574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54193547119314"/>
          <c:y val="3.4450360162856249E-2"/>
          <c:w val="0.83081064829461826"/>
          <c:h val="0.53708331506906204"/>
        </c:manualLayout>
      </c:layout>
      <c:barChart>
        <c:barDir val="col"/>
        <c:grouping val="stacked"/>
        <c:varyColors val="0"/>
        <c:ser>
          <c:idx val="0"/>
          <c:order val="0"/>
          <c:tx>
            <c:strRef>
              <c:f>Pakalp_eksports_Q!$AF$7</c:f>
              <c:strCache>
                <c:ptCount val="1"/>
                <c:pt idx="0">
                  <c:v>Transporta pakalpojumi</c:v>
                </c:pt>
              </c:strCache>
            </c:strRef>
          </c:tx>
          <c:spPr>
            <a:solidFill>
              <a:schemeClr val="accent1"/>
            </a:solidFill>
            <a:ln>
              <a:noFill/>
            </a:ln>
            <a:effectLst/>
          </c:spPr>
          <c:invertIfNegative val="0"/>
          <c:cat>
            <c:multiLvlStrRef>
              <c:f>Pakalp_eksports_Q!$BQ$5:$BV$6</c:f>
              <c:multiLvlStrCache>
                <c:ptCount val="6"/>
                <c:lvl>
                  <c:pt idx="0">
                    <c:v>I</c:v>
                  </c:pt>
                  <c:pt idx="1">
                    <c:v>II</c:v>
                  </c:pt>
                  <c:pt idx="2">
                    <c:v>III</c:v>
                  </c:pt>
                  <c:pt idx="3">
                    <c:v>IV</c:v>
                  </c:pt>
                  <c:pt idx="4">
                    <c:v>I</c:v>
                  </c:pt>
                  <c:pt idx="5">
                    <c:v>II</c:v>
                  </c:pt>
                </c:lvl>
                <c:lvl>
                  <c:pt idx="0">
                    <c:v>2020</c:v>
                  </c:pt>
                  <c:pt idx="4">
                    <c:v>2021</c:v>
                  </c:pt>
                </c:lvl>
              </c:multiLvlStrCache>
            </c:multiLvlStrRef>
          </c:cat>
          <c:val>
            <c:numRef>
              <c:f>Pakalp_eksports_Q!$BQ$7:$BV$7</c:f>
              <c:numCache>
                <c:formatCode>General</c:formatCode>
                <c:ptCount val="6"/>
                <c:pt idx="0">
                  <c:v>402</c:v>
                </c:pt>
                <c:pt idx="1">
                  <c:v>296</c:v>
                </c:pt>
                <c:pt idx="2">
                  <c:v>332</c:v>
                </c:pt>
                <c:pt idx="3">
                  <c:v>372</c:v>
                </c:pt>
                <c:pt idx="4">
                  <c:v>348</c:v>
                </c:pt>
                <c:pt idx="5">
                  <c:v>359</c:v>
                </c:pt>
              </c:numCache>
            </c:numRef>
          </c:val>
          <c:extLst>
            <c:ext xmlns:c16="http://schemas.microsoft.com/office/drawing/2014/chart" uri="{C3380CC4-5D6E-409C-BE32-E72D297353CC}">
              <c16:uniqueId val="{00000000-2B34-47D9-AB38-0BD82D55F999}"/>
            </c:ext>
          </c:extLst>
        </c:ser>
        <c:ser>
          <c:idx val="1"/>
          <c:order val="1"/>
          <c:tx>
            <c:strRef>
              <c:f>Pakalp_eksports_Q!$AF$8</c:f>
              <c:strCache>
                <c:ptCount val="1"/>
                <c:pt idx="0">
                  <c:v>Braucieni</c:v>
                </c:pt>
              </c:strCache>
            </c:strRef>
          </c:tx>
          <c:spPr>
            <a:solidFill>
              <a:schemeClr val="accent2"/>
            </a:solidFill>
            <a:ln>
              <a:noFill/>
            </a:ln>
            <a:effectLst/>
          </c:spPr>
          <c:invertIfNegative val="0"/>
          <c:cat>
            <c:multiLvlStrRef>
              <c:f>Pakalp_eksports_Q!$BQ$5:$BV$6</c:f>
              <c:multiLvlStrCache>
                <c:ptCount val="6"/>
                <c:lvl>
                  <c:pt idx="0">
                    <c:v>I</c:v>
                  </c:pt>
                  <c:pt idx="1">
                    <c:v>II</c:v>
                  </c:pt>
                  <c:pt idx="2">
                    <c:v>III</c:v>
                  </c:pt>
                  <c:pt idx="3">
                    <c:v>IV</c:v>
                  </c:pt>
                  <c:pt idx="4">
                    <c:v>I</c:v>
                  </c:pt>
                  <c:pt idx="5">
                    <c:v>II</c:v>
                  </c:pt>
                </c:lvl>
                <c:lvl>
                  <c:pt idx="0">
                    <c:v>2020</c:v>
                  </c:pt>
                  <c:pt idx="4">
                    <c:v>2021</c:v>
                  </c:pt>
                </c:lvl>
              </c:multiLvlStrCache>
            </c:multiLvlStrRef>
          </c:cat>
          <c:val>
            <c:numRef>
              <c:f>Pakalp_eksports_Q!$BQ$8:$BV$8</c:f>
              <c:numCache>
                <c:formatCode>General</c:formatCode>
                <c:ptCount val="6"/>
                <c:pt idx="0">
                  <c:v>159</c:v>
                </c:pt>
                <c:pt idx="1">
                  <c:v>59</c:v>
                </c:pt>
                <c:pt idx="2">
                  <c:v>111</c:v>
                </c:pt>
                <c:pt idx="3">
                  <c:v>50</c:v>
                </c:pt>
                <c:pt idx="4">
                  <c:v>35</c:v>
                </c:pt>
                <c:pt idx="5">
                  <c:v>48</c:v>
                </c:pt>
              </c:numCache>
            </c:numRef>
          </c:val>
          <c:extLst>
            <c:ext xmlns:c16="http://schemas.microsoft.com/office/drawing/2014/chart" uri="{C3380CC4-5D6E-409C-BE32-E72D297353CC}">
              <c16:uniqueId val="{00000001-2B34-47D9-AB38-0BD82D55F999}"/>
            </c:ext>
          </c:extLst>
        </c:ser>
        <c:ser>
          <c:idx val="2"/>
          <c:order val="2"/>
          <c:tx>
            <c:strRef>
              <c:f>Pakalp_eksports_Q!$AF$9</c:f>
              <c:strCache>
                <c:ptCount val="1"/>
                <c:pt idx="0">
                  <c:v>Telesakaru un IT</c:v>
                </c:pt>
              </c:strCache>
            </c:strRef>
          </c:tx>
          <c:spPr>
            <a:solidFill>
              <a:schemeClr val="accent3"/>
            </a:solidFill>
            <a:ln>
              <a:noFill/>
            </a:ln>
            <a:effectLst/>
          </c:spPr>
          <c:invertIfNegative val="0"/>
          <c:cat>
            <c:multiLvlStrRef>
              <c:f>Pakalp_eksports_Q!$BQ$5:$BV$6</c:f>
              <c:multiLvlStrCache>
                <c:ptCount val="6"/>
                <c:lvl>
                  <c:pt idx="0">
                    <c:v>I</c:v>
                  </c:pt>
                  <c:pt idx="1">
                    <c:v>II</c:v>
                  </c:pt>
                  <c:pt idx="2">
                    <c:v>III</c:v>
                  </c:pt>
                  <c:pt idx="3">
                    <c:v>IV</c:v>
                  </c:pt>
                  <c:pt idx="4">
                    <c:v>I</c:v>
                  </c:pt>
                  <c:pt idx="5">
                    <c:v>II</c:v>
                  </c:pt>
                </c:lvl>
                <c:lvl>
                  <c:pt idx="0">
                    <c:v>2020</c:v>
                  </c:pt>
                  <c:pt idx="4">
                    <c:v>2021</c:v>
                  </c:pt>
                </c:lvl>
              </c:multiLvlStrCache>
            </c:multiLvlStrRef>
          </c:cat>
          <c:val>
            <c:numRef>
              <c:f>Pakalp_eksports_Q!$BQ$9:$BV$9</c:f>
              <c:numCache>
                <c:formatCode>General</c:formatCode>
                <c:ptCount val="6"/>
                <c:pt idx="0">
                  <c:v>206</c:v>
                </c:pt>
                <c:pt idx="1">
                  <c:v>206</c:v>
                </c:pt>
                <c:pt idx="2">
                  <c:v>202</c:v>
                </c:pt>
                <c:pt idx="3">
                  <c:v>235</c:v>
                </c:pt>
                <c:pt idx="4">
                  <c:v>211</c:v>
                </c:pt>
                <c:pt idx="5">
                  <c:v>236</c:v>
                </c:pt>
              </c:numCache>
            </c:numRef>
          </c:val>
          <c:extLst>
            <c:ext xmlns:c16="http://schemas.microsoft.com/office/drawing/2014/chart" uri="{C3380CC4-5D6E-409C-BE32-E72D297353CC}">
              <c16:uniqueId val="{00000002-2B34-47D9-AB38-0BD82D55F999}"/>
            </c:ext>
          </c:extLst>
        </c:ser>
        <c:ser>
          <c:idx val="3"/>
          <c:order val="3"/>
          <c:tx>
            <c:strRef>
              <c:f>Pakalp_eksports_Q!$AF$10</c:f>
              <c:strCache>
                <c:ptCount val="1"/>
                <c:pt idx="0">
                  <c:v>Finanšu pakalpojumi</c:v>
                </c:pt>
              </c:strCache>
            </c:strRef>
          </c:tx>
          <c:spPr>
            <a:solidFill>
              <a:schemeClr val="accent4"/>
            </a:solidFill>
            <a:ln>
              <a:noFill/>
            </a:ln>
            <a:effectLst/>
          </c:spPr>
          <c:invertIfNegative val="0"/>
          <c:cat>
            <c:multiLvlStrRef>
              <c:f>Pakalp_eksports_Q!$BQ$5:$BV$6</c:f>
              <c:multiLvlStrCache>
                <c:ptCount val="6"/>
                <c:lvl>
                  <c:pt idx="0">
                    <c:v>I</c:v>
                  </c:pt>
                  <c:pt idx="1">
                    <c:v>II</c:v>
                  </c:pt>
                  <c:pt idx="2">
                    <c:v>III</c:v>
                  </c:pt>
                  <c:pt idx="3">
                    <c:v>IV</c:v>
                  </c:pt>
                  <c:pt idx="4">
                    <c:v>I</c:v>
                  </c:pt>
                  <c:pt idx="5">
                    <c:v>II</c:v>
                  </c:pt>
                </c:lvl>
                <c:lvl>
                  <c:pt idx="0">
                    <c:v>2020</c:v>
                  </c:pt>
                  <c:pt idx="4">
                    <c:v>2021</c:v>
                  </c:pt>
                </c:lvl>
              </c:multiLvlStrCache>
            </c:multiLvlStrRef>
          </c:cat>
          <c:val>
            <c:numRef>
              <c:f>Pakalp_eksports_Q!$BQ$10:$BV$10</c:f>
              <c:numCache>
                <c:formatCode>General</c:formatCode>
                <c:ptCount val="6"/>
                <c:pt idx="0">
                  <c:v>38</c:v>
                </c:pt>
                <c:pt idx="1">
                  <c:v>37</c:v>
                </c:pt>
                <c:pt idx="2">
                  <c:v>38</c:v>
                </c:pt>
                <c:pt idx="3">
                  <c:v>33</c:v>
                </c:pt>
                <c:pt idx="4">
                  <c:v>42</c:v>
                </c:pt>
                <c:pt idx="5">
                  <c:v>33</c:v>
                </c:pt>
              </c:numCache>
            </c:numRef>
          </c:val>
          <c:extLst>
            <c:ext xmlns:c16="http://schemas.microsoft.com/office/drawing/2014/chart" uri="{C3380CC4-5D6E-409C-BE32-E72D297353CC}">
              <c16:uniqueId val="{00000003-2B34-47D9-AB38-0BD82D55F999}"/>
            </c:ext>
          </c:extLst>
        </c:ser>
        <c:ser>
          <c:idx val="4"/>
          <c:order val="4"/>
          <c:tx>
            <c:strRef>
              <c:f>Pakalp_eksports_Q!$AF$11</c:f>
              <c:strCache>
                <c:ptCount val="1"/>
                <c:pt idx="0">
                  <c:v>Būvniecība</c:v>
                </c:pt>
              </c:strCache>
            </c:strRef>
          </c:tx>
          <c:spPr>
            <a:solidFill>
              <a:schemeClr val="accent5"/>
            </a:solidFill>
            <a:ln>
              <a:noFill/>
            </a:ln>
            <a:effectLst/>
          </c:spPr>
          <c:invertIfNegative val="0"/>
          <c:cat>
            <c:multiLvlStrRef>
              <c:f>Pakalp_eksports_Q!$BQ$5:$BV$6</c:f>
              <c:multiLvlStrCache>
                <c:ptCount val="6"/>
                <c:lvl>
                  <c:pt idx="0">
                    <c:v>I</c:v>
                  </c:pt>
                  <c:pt idx="1">
                    <c:v>II</c:v>
                  </c:pt>
                  <c:pt idx="2">
                    <c:v>III</c:v>
                  </c:pt>
                  <c:pt idx="3">
                    <c:v>IV</c:v>
                  </c:pt>
                  <c:pt idx="4">
                    <c:v>I</c:v>
                  </c:pt>
                  <c:pt idx="5">
                    <c:v>II</c:v>
                  </c:pt>
                </c:lvl>
                <c:lvl>
                  <c:pt idx="0">
                    <c:v>2020</c:v>
                  </c:pt>
                  <c:pt idx="4">
                    <c:v>2021</c:v>
                  </c:pt>
                </c:lvl>
              </c:multiLvlStrCache>
            </c:multiLvlStrRef>
          </c:cat>
          <c:val>
            <c:numRef>
              <c:f>Pakalp_eksports_Q!$BQ$11:$BV$11</c:f>
              <c:numCache>
                <c:formatCode>General</c:formatCode>
                <c:ptCount val="6"/>
                <c:pt idx="0">
                  <c:v>76</c:v>
                </c:pt>
                <c:pt idx="1">
                  <c:v>90</c:v>
                </c:pt>
                <c:pt idx="2">
                  <c:v>86</c:v>
                </c:pt>
                <c:pt idx="3">
                  <c:v>105</c:v>
                </c:pt>
                <c:pt idx="4">
                  <c:v>82</c:v>
                </c:pt>
                <c:pt idx="5">
                  <c:v>76</c:v>
                </c:pt>
              </c:numCache>
            </c:numRef>
          </c:val>
          <c:extLst>
            <c:ext xmlns:c16="http://schemas.microsoft.com/office/drawing/2014/chart" uri="{C3380CC4-5D6E-409C-BE32-E72D297353CC}">
              <c16:uniqueId val="{00000004-2B34-47D9-AB38-0BD82D55F999}"/>
            </c:ext>
          </c:extLst>
        </c:ser>
        <c:ser>
          <c:idx val="5"/>
          <c:order val="5"/>
          <c:tx>
            <c:strRef>
              <c:f>Pakalp_eksports_Q!$AF$12</c:f>
              <c:strCache>
                <c:ptCount val="1"/>
                <c:pt idx="0">
                  <c:v>Citi pakalpojumi</c:v>
                </c:pt>
              </c:strCache>
            </c:strRef>
          </c:tx>
          <c:spPr>
            <a:solidFill>
              <a:schemeClr val="accent6"/>
            </a:solidFill>
            <a:ln>
              <a:noFill/>
            </a:ln>
            <a:effectLst/>
          </c:spPr>
          <c:invertIfNegative val="0"/>
          <c:cat>
            <c:multiLvlStrRef>
              <c:f>Pakalp_eksports_Q!$BQ$5:$BV$6</c:f>
              <c:multiLvlStrCache>
                <c:ptCount val="6"/>
                <c:lvl>
                  <c:pt idx="0">
                    <c:v>I</c:v>
                  </c:pt>
                  <c:pt idx="1">
                    <c:v>II</c:v>
                  </c:pt>
                  <c:pt idx="2">
                    <c:v>III</c:v>
                  </c:pt>
                  <c:pt idx="3">
                    <c:v>IV</c:v>
                  </c:pt>
                  <c:pt idx="4">
                    <c:v>I</c:v>
                  </c:pt>
                  <c:pt idx="5">
                    <c:v>II</c:v>
                  </c:pt>
                </c:lvl>
                <c:lvl>
                  <c:pt idx="0">
                    <c:v>2020</c:v>
                  </c:pt>
                  <c:pt idx="4">
                    <c:v>2021</c:v>
                  </c:pt>
                </c:lvl>
              </c:multiLvlStrCache>
            </c:multiLvlStrRef>
          </c:cat>
          <c:val>
            <c:numRef>
              <c:f>Pakalp_eksports_Q!$BQ$12:$BV$12</c:f>
              <c:numCache>
                <c:formatCode>General</c:formatCode>
                <c:ptCount val="6"/>
                <c:pt idx="0">
                  <c:v>274</c:v>
                </c:pt>
                <c:pt idx="1">
                  <c:v>294</c:v>
                </c:pt>
                <c:pt idx="2">
                  <c:v>315</c:v>
                </c:pt>
                <c:pt idx="3">
                  <c:v>359</c:v>
                </c:pt>
                <c:pt idx="4">
                  <c:v>312</c:v>
                </c:pt>
                <c:pt idx="5">
                  <c:v>374</c:v>
                </c:pt>
              </c:numCache>
            </c:numRef>
          </c:val>
          <c:extLst>
            <c:ext xmlns:c16="http://schemas.microsoft.com/office/drawing/2014/chart" uri="{C3380CC4-5D6E-409C-BE32-E72D297353CC}">
              <c16:uniqueId val="{00000005-2B34-47D9-AB38-0BD82D55F999}"/>
            </c:ext>
          </c:extLst>
        </c:ser>
        <c:dLbls>
          <c:showLegendKey val="0"/>
          <c:showVal val="0"/>
          <c:showCatName val="0"/>
          <c:showSerName val="0"/>
          <c:showPercent val="0"/>
          <c:showBubbleSize val="0"/>
        </c:dLbls>
        <c:gapWidth val="50"/>
        <c:overlap val="100"/>
        <c:axId val="493465056"/>
        <c:axId val="493457184"/>
      </c:barChart>
      <c:catAx>
        <c:axId val="49346505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93457184"/>
        <c:crosses val="autoZero"/>
        <c:auto val="1"/>
        <c:lblAlgn val="ctr"/>
        <c:lblOffset val="100"/>
        <c:noMultiLvlLbl val="0"/>
      </c:catAx>
      <c:valAx>
        <c:axId val="493457184"/>
        <c:scaling>
          <c:orientation val="minMax"/>
          <c:max val="12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93465056"/>
        <c:crosses val="autoZero"/>
        <c:crossBetween val="between"/>
      </c:valAx>
      <c:spPr>
        <a:noFill/>
        <a:ln>
          <a:noFill/>
        </a:ln>
        <a:effectLst/>
      </c:spPr>
    </c:plotArea>
    <c:legend>
      <c:legendPos val="b"/>
      <c:layout>
        <c:manualLayout>
          <c:xMode val="edge"/>
          <c:yMode val="edge"/>
          <c:x val="5.420190868059567E-2"/>
          <c:y val="0.69015321224313708"/>
          <c:w val="0.90266731466205807"/>
          <c:h val="0.2483173415218790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65000"/>
                <a:lumOff val="35000"/>
              </a:schemeClr>
            </a:solidFill>
            <a:ln>
              <a:noFill/>
            </a:ln>
            <a:effectLst/>
          </c:spPr>
          <c:invertIfNegative val="0"/>
          <c:dPt>
            <c:idx val="1"/>
            <c:invertIfNegative val="0"/>
            <c:bubble3D val="0"/>
            <c:spPr>
              <a:solidFill>
                <a:schemeClr val="accent1">
                  <a:lumMod val="75000"/>
                </a:schemeClr>
              </a:solidFill>
              <a:ln w="25400">
                <a:noFill/>
              </a:ln>
            </c:spPr>
            <c:extLst>
              <c:ext xmlns:c16="http://schemas.microsoft.com/office/drawing/2014/chart" uri="{C3380CC4-5D6E-409C-BE32-E72D297353CC}">
                <c16:uniqueId val="{00000001-CCA3-4671-B685-C20A53387E51}"/>
              </c:ext>
            </c:extLst>
          </c:dPt>
          <c:dPt>
            <c:idx val="2"/>
            <c:invertIfNegative val="0"/>
            <c:bubble3D val="0"/>
            <c:spPr>
              <a:solidFill>
                <a:srgbClr val="00B050"/>
              </a:solidFill>
              <a:ln>
                <a:noFill/>
              </a:ln>
              <a:effectLst/>
            </c:spPr>
            <c:extLst>
              <c:ext xmlns:c16="http://schemas.microsoft.com/office/drawing/2014/chart" uri="{C3380CC4-5D6E-409C-BE32-E72D297353CC}">
                <c16:uniqueId val="{00000003-CCA3-4671-B685-C20A53387E51}"/>
              </c:ext>
            </c:extLst>
          </c:dPt>
          <c:dPt>
            <c:idx val="4"/>
            <c:invertIfNegative val="0"/>
            <c:bubble3D val="0"/>
            <c:spPr>
              <a:solidFill>
                <a:srgbClr val="C00000"/>
              </a:solidFill>
              <a:ln>
                <a:noFill/>
              </a:ln>
              <a:effectLst/>
            </c:spPr>
            <c:extLst>
              <c:ext xmlns:c16="http://schemas.microsoft.com/office/drawing/2014/chart" uri="{C3380CC4-5D6E-409C-BE32-E72D297353CC}">
                <c16:uniqueId val="{00000005-CCA3-4671-B685-C20A53387E51}"/>
              </c:ext>
            </c:extLst>
          </c:dPt>
          <c:dPt>
            <c:idx val="5"/>
            <c:invertIfNegative val="0"/>
            <c:bubble3D val="0"/>
            <c:spPr>
              <a:solidFill>
                <a:schemeClr val="tx1">
                  <a:lumMod val="65000"/>
                  <a:lumOff val="35000"/>
                </a:schemeClr>
              </a:solidFill>
              <a:ln w="25400">
                <a:noFill/>
              </a:ln>
            </c:spPr>
            <c:extLst>
              <c:ext xmlns:c16="http://schemas.microsoft.com/office/drawing/2014/chart" uri="{C3380CC4-5D6E-409C-BE32-E72D297353CC}">
                <c16:uniqueId val="{00000007-CCA3-4671-B685-C20A53387E51}"/>
              </c:ext>
            </c:extLst>
          </c:dPt>
          <c:dPt>
            <c:idx val="10"/>
            <c:invertIfNegative val="0"/>
            <c:bubble3D val="0"/>
            <c:extLst>
              <c:ext xmlns:c16="http://schemas.microsoft.com/office/drawing/2014/chart" uri="{C3380CC4-5D6E-409C-BE32-E72D297353CC}">
                <c16:uniqueId val="{00000008-CCA3-4671-B685-C20A53387E51}"/>
              </c:ext>
            </c:extLst>
          </c:dPt>
          <c:dPt>
            <c:idx val="11"/>
            <c:invertIfNegative val="0"/>
            <c:bubble3D val="0"/>
            <c:spPr>
              <a:solidFill>
                <a:schemeClr val="tx1">
                  <a:lumMod val="65000"/>
                  <a:lumOff val="35000"/>
                </a:schemeClr>
              </a:solidFill>
              <a:ln w="25400">
                <a:noFill/>
              </a:ln>
            </c:spPr>
            <c:extLst>
              <c:ext xmlns:c16="http://schemas.microsoft.com/office/drawing/2014/chart" uri="{C3380CC4-5D6E-409C-BE32-E72D297353CC}">
                <c16:uniqueId val="{0000000A-CCA3-4671-B685-C20A53387E51}"/>
              </c:ext>
            </c:extLst>
          </c:dPt>
          <c:dPt>
            <c:idx val="16"/>
            <c:invertIfNegative val="0"/>
            <c:bubble3D val="0"/>
            <c:spPr>
              <a:solidFill>
                <a:srgbClr val="002060"/>
              </a:solidFill>
              <a:ln>
                <a:noFill/>
              </a:ln>
              <a:effectLst/>
            </c:spPr>
            <c:extLst>
              <c:ext xmlns:c16="http://schemas.microsoft.com/office/drawing/2014/chart" uri="{C3380CC4-5D6E-409C-BE32-E72D297353CC}">
                <c16:uniqueId val="{0000000C-CCA3-4671-B685-C20A53387E51}"/>
              </c:ext>
            </c:extLst>
          </c:dPt>
          <c:dPt>
            <c:idx val="20"/>
            <c:invertIfNegative val="0"/>
            <c:bubble3D val="0"/>
            <c:extLst>
              <c:ext xmlns:c16="http://schemas.microsoft.com/office/drawing/2014/chart" uri="{C3380CC4-5D6E-409C-BE32-E72D297353CC}">
                <c16:uniqueId val="{0000000D-CCA3-4671-B685-C20A53387E51}"/>
              </c:ext>
            </c:extLst>
          </c:dPt>
          <c:dPt>
            <c:idx val="21"/>
            <c:invertIfNegative val="0"/>
            <c:bubble3D val="0"/>
            <c:spPr>
              <a:solidFill>
                <a:schemeClr val="tx1">
                  <a:lumMod val="65000"/>
                  <a:lumOff val="35000"/>
                </a:schemeClr>
              </a:solidFill>
              <a:ln w="25400">
                <a:noFill/>
              </a:ln>
            </c:spPr>
            <c:extLst>
              <c:ext xmlns:c16="http://schemas.microsoft.com/office/drawing/2014/chart" uri="{C3380CC4-5D6E-409C-BE32-E72D297353CC}">
                <c16:uniqueId val="{0000000F-CCA3-4671-B685-C20A53387E51}"/>
              </c:ext>
            </c:extLst>
          </c:dPt>
          <c:dPt>
            <c:idx val="23"/>
            <c:invertIfNegative val="0"/>
            <c:bubble3D val="0"/>
            <c:extLst>
              <c:ext xmlns:c16="http://schemas.microsoft.com/office/drawing/2014/chart" uri="{C3380CC4-5D6E-409C-BE32-E72D297353CC}">
                <c16:uniqueId val="{00000010-CCA3-4671-B685-C20A53387E51}"/>
              </c:ext>
            </c:extLst>
          </c:dPt>
          <c:dPt>
            <c:idx val="24"/>
            <c:invertIfNegative val="0"/>
            <c:bubble3D val="0"/>
            <c:spPr>
              <a:solidFill>
                <a:schemeClr val="tx1">
                  <a:lumMod val="65000"/>
                  <a:lumOff val="35000"/>
                </a:schemeClr>
              </a:solidFill>
              <a:ln w="25400">
                <a:noFill/>
              </a:ln>
            </c:spPr>
            <c:extLst>
              <c:ext xmlns:c16="http://schemas.microsoft.com/office/drawing/2014/chart" uri="{C3380CC4-5D6E-409C-BE32-E72D297353CC}">
                <c16:uniqueId val="{00000012-CCA3-4671-B685-C20A53387E51}"/>
              </c:ext>
            </c:extLst>
          </c:dPt>
          <c:dLbls>
            <c:spPr>
              <a:noFill/>
              <a:ln w="25400">
                <a:noFill/>
              </a:ln>
            </c:spPr>
            <c:txPr>
              <a:bodyPr rot="0" vert="horz"/>
              <a:lstStyle/>
              <a:p>
                <a:pPr>
                  <a:defRPr sz="800" b="0"/>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Data!$A$12:$A$38</c:f>
              <c:strCache>
                <c:ptCount val="27"/>
                <c:pt idx="0">
                  <c:v>Īrija</c:v>
                </c:pt>
                <c:pt idx="1">
                  <c:v>Igaunija</c:v>
                </c:pt>
                <c:pt idx="2">
                  <c:v>Lietuva</c:v>
                </c:pt>
                <c:pt idx="3">
                  <c:v>Rumānija</c:v>
                </c:pt>
                <c:pt idx="4">
                  <c:v>Latvija</c:v>
                </c:pt>
                <c:pt idx="5">
                  <c:v>Dānija</c:v>
                </c:pt>
                <c:pt idx="6">
                  <c:v>Grieķija</c:v>
                </c:pt>
                <c:pt idx="7">
                  <c:v>Polija</c:v>
                </c:pt>
                <c:pt idx="8">
                  <c:v>Ungārija</c:v>
                </c:pt>
                <c:pt idx="9">
                  <c:v>Somija</c:v>
                </c:pt>
                <c:pt idx="10">
                  <c:v>Zviedrija</c:v>
                </c:pt>
                <c:pt idx="11">
                  <c:v>Slovēnija</c:v>
                </c:pt>
                <c:pt idx="12">
                  <c:v>Bulgārija</c:v>
                </c:pt>
                <c:pt idx="13">
                  <c:v>Nīderlande</c:v>
                </c:pt>
                <c:pt idx="14">
                  <c:v>Horvātija</c:v>
                </c:pt>
                <c:pt idx="15">
                  <c:v>Slovākija</c:v>
                </c:pt>
                <c:pt idx="16">
                  <c:v>ES27</c:v>
                </c:pt>
                <c:pt idx="17">
                  <c:v>Beļģija</c:v>
                </c:pt>
                <c:pt idx="18">
                  <c:v>Austrija</c:v>
                </c:pt>
                <c:pt idx="19">
                  <c:v>Kipra</c:v>
                </c:pt>
                <c:pt idx="20">
                  <c:v>Francija</c:v>
                </c:pt>
                <c:pt idx="21">
                  <c:v>Vācija</c:v>
                </c:pt>
                <c:pt idx="22">
                  <c:v>Itālija</c:v>
                </c:pt>
                <c:pt idx="23">
                  <c:v>Portugāle</c:v>
                </c:pt>
                <c:pt idx="24">
                  <c:v>Čehija</c:v>
                </c:pt>
                <c:pt idx="25">
                  <c:v>Malta</c:v>
                </c:pt>
                <c:pt idx="26">
                  <c:v>Spānija</c:v>
                </c:pt>
              </c:strCache>
            </c:strRef>
          </c:cat>
          <c:val>
            <c:numRef>
              <c:f>Data!$K$12:$K$38</c:f>
              <c:numCache>
                <c:formatCode>0.0</c:formatCode>
                <c:ptCount val="27"/>
                <c:pt idx="0">
                  <c:v>20.69016623973765</c:v>
                </c:pt>
                <c:pt idx="1">
                  <c:v>6.6929326946656005</c:v>
                </c:pt>
                <c:pt idx="2">
                  <c:v>2.1091856630040695</c:v>
                </c:pt>
                <c:pt idx="3">
                  <c:v>1.8860331925582869</c:v>
                </c:pt>
                <c:pt idx="4">
                  <c:v>0.88358640636299413</c:v>
                </c:pt>
                <c:pt idx="5">
                  <c:v>0.83954842091225146</c:v>
                </c:pt>
                <c:pt idx="6">
                  <c:v>0.66567140655646995</c:v>
                </c:pt>
                <c:pt idx="7">
                  <c:v>0.64854495986814698</c:v>
                </c:pt>
                <c:pt idx="8">
                  <c:v>0.50404218555557634</c:v>
                </c:pt>
                <c:pt idx="9">
                  <c:v>0.32564781276120414</c:v>
                </c:pt>
                <c:pt idx="10">
                  <c:v>-0.15443563203083954</c:v>
                </c:pt>
                <c:pt idx="11">
                  <c:v>-0.22044783891685427</c:v>
                </c:pt>
                <c:pt idx="12">
                  <c:v>-0.71997398413334679</c:v>
                </c:pt>
                <c:pt idx="13">
                  <c:v>-0.87237998674348205</c:v>
                </c:pt>
                <c:pt idx="14">
                  <c:v>-1.9754463409078369</c:v>
                </c:pt>
                <c:pt idx="15">
                  <c:v>-2.0676364706984458</c:v>
                </c:pt>
                <c:pt idx="16">
                  <c:v>-2.1870143265829967</c:v>
                </c:pt>
                <c:pt idx="17">
                  <c:v>-2.215749691760621</c:v>
                </c:pt>
                <c:pt idx="18">
                  <c:v>-2.4781556833828944</c:v>
                </c:pt>
                <c:pt idx="19">
                  <c:v>-2.5673285560600334</c:v>
                </c:pt>
                <c:pt idx="20">
                  <c:v>-3.2009481274787532</c:v>
                </c:pt>
                <c:pt idx="21">
                  <c:v>-3.2625503337208102</c:v>
                </c:pt>
                <c:pt idx="22">
                  <c:v>-3.7990026415967435</c:v>
                </c:pt>
                <c:pt idx="23">
                  <c:v>-4.5863289754953342</c:v>
                </c:pt>
                <c:pt idx="24">
                  <c:v>-4.7801127752155281</c:v>
                </c:pt>
                <c:pt idx="25">
                  <c:v>-6.6638523700398054</c:v>
                </c:pt>
                <c:pt idx="26">
                  <c:v>-6.8085673361979957</c:v>
                </c:pt>
              </c:numCache>
            </c:numRef>
          </c:val>
          <c:extLst>
            <c:ext xmlns:c16="http://schemas.microsoft.com/office/drawing/2014/chart" uri="{C3380CC4-5D6E-409C-BE32-E72D297353CC}">
              <c16:uniqueId val="{00000013-CCA3-4671-B685-C20A53387E51}"/>
            </c:ext>
          </c:extLst>
        </c:ser>
        <c:dLbls>
          <c:showLegendKey val="0"/>
          <c:showVal val="0"/>
          <c:showCatName val="0"/>
          <c:showSerName val="0"/>
          <c:showPercent val="0"/>
          <c:showBubbleSize val="0"/>
        </c:dLbls>
        <c:gapWidth val="50"/>
        <c:overlap val="-27"/>
        <c:axId val="985087200"/>
        <c:axId val="1"/>
      </c:barChart>
      <c:catAx>
        <c:axId val="9850872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vert="horz"/>
          <a:lstStyle/>
          <a:p>
            <a:pPr>
              <a:defRPr sz="900"/>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ln w="6350">
            <a:noFill/>
          </a:ln>
        </c:spPr>
        <c:txPr>
          <a:bodyPr rot="-60000000" vert="horz"/>
          <a:lstStyle/>
          <a:p>
            <a:pPr>
              <a:defRPr sz="900">
                <a:solidFill>
                  <a:sysClr val="windowText" lastClr="000000"/>
                </a:solidFill>
              </a:defRPr>
            </a:pPr>
            <a:endParaRPr lang="lv-LV"/>
          </a:p>
        </c:txPr>
        <c:crossAx val="985087200"/>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900" b="1"/>
              <a:t>milj. </a:t>
            </a:r>
            <a:r>
              <a:rPr lang="lv-LV" sz="900" b="1" i="1" u="none"/>
              <a:t>euro</a:t>
            </a:r>
          </a:p>
        </c:rich>
      </c:tx>
      <c:layout>
        <c:manualLayout>
          <c:xMode val="edge"/>
          <c:yMode val="edge"/>
          <c:x val="7.6586044274348103E-4"/>
          <c:y val="0"/>
        </c:manualLayout>
      </c:layout>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6.3469098235230559E-2"/>
          <c:y val="8.9168133395090332E-2"/>
          <c:w val="0.87379657224121887"/>
          <c:h val="0.68863078724120785"/>
        </c:manualLayout>
      </c:layout>
      <c:barChart>
        <c:barDir val="col"/>
        <c:grouping val="stacked"/>
        <c:varyColors val="0"/>
        <c:ser>
          <c:idx val="0"/>
          <c:order val="0"/>
          <c:tx>
            <c:strRef>
              <c:f>'Tekošais konts_Q'!$U$7</c:f>
              <c:strCache>
                <c:ptCount val="1"/>
                <c:pt idx="0">
                  <c:v>Preces</c:v>
                </c:pt>
              </c:strCache>
            </c:strRef>
          </c:tx>
          <c:spPr>
            <a:solidFill>
              <a:schemeClr val="accent1"/>
            </a:solidFill>
            <a:ln>
              <a:noFill/>
            </a:ln>
            <a:effectLst/>
          </c:spPr>
          <c:invertIfNegative val="0"/>
          <c:cat>
            <c:multiLvlStrRef>
              <c:f>'Tekošais konts_Q'!$AE$5:$AZ$6</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2016</c:v>
                  </c:pt>
                  <c:pt idx="4">
                    <c:v>2017</c:v>
                  </c:pt>
                  <c:pt idx="8">
                    <c:v>2018</c:v>
                  </c:pt>
                  <c:pt idx="12">
                    <c:v>2019</c:v>
                  </c:pt>
                  <c:pt idx="16">
                    <c:v>2020</c:v>
                  </c:pt>
                  <c:pt idx="20">
                    <c:v>2021</c:v>
                  </c:pt>
                </c:lvl>
              </c:multiLvlStrCache>
            </c:multiLvlStrRef>
          </c:cat>
          <c:val>
            <c:numRef>
              <c:f>'Tekošais konts_Q'!$AE$7:$AZ$7</c:f>
              <c:numCache>
                <c:formatCode>0</c:formatCode>
                <c:ptCount val="22"/>
                <c:pt idx="0">
                  <c:v>-496</c:v>
                </c:pt>
                <c:pt idx="1">
                  <c:v>-538</c:v>
                </c:pt>
                <c:pt idx="2">
                  <c:v>-484</c:v>
                </c:pt>
                <c:pt idx="3">
                  <c:v>-545</c:v>
                </c:pt>
                <c:pt idx="4">
                  <c:v>-560</c:v>
                </c:pt>
                <c:pt idx="5">
                  <c:v>-652</c:v>
                </c:pt>
                <c:pt idx="6">
                  <c:v>-804</c:v>
                </c:pt>
                <c:pt idx="7">
                  <c:v>-434</c:v>
                </c:pt>
                <c:pt idx="8">
                  <c:v>-547</c:v>
                </c:pt>
                <c:pt idx="9">
                  <c:v>-409</c:v>
                </c:pt>
                <c:pt idx="10" formatCode="General">
                  <c:v>-975</c:v>
                </c:pt>
                <c:pt idx="11" formatCode="General">
                  <c:v>-589</c:v>
                </c:pt>
                <c:pt idx="12" formatCode="General">
                  <c:v>-506</c:v>
                </c:pt>
                <c:pt idx="13" formatCode="General">
                  <c:v>-730</c:v>
                </c:pt>
                <c:pt idx="14" formatCode="General">
                  <c:v>-769</c:v>
                </c:pt>
                <c:pt idx="15" formatCode="General">
                  <c:v>-637</c:v>
                </c:pt>
                <c:pt idx="16" formatCode="General">
                  <c:v>-479</c:v>
                </c:pt>
                <c:pt idx="17" formatCode="General">
                  <c:v>-300</c:v>
                </c:pt>
                <c:pt idx="18" formatCode="General">
                  <c:v>-480</c:v>
                </c:pt>
                <c:pt idx="19" formatCode="General">
                  <c:v>-230</c:v>
                </c:pt>
                <c:pt idx="20" formatCode="General">
                  <c:v>-367</c:v>
                </c:pt>
                <c:pt idx="21" formatCode="General">
                  <c:v>-767</c:v>
                </c:pt>
              </c:numCache>
            </c:numRef>
          </c:val>
          <c:extLst>
            <c:ext xmlns:c16="http://schemas.microsoft.com/office/drawing/2014/chart" uri="{C3380CC4-5D6E-409C-BE32-E72D297353CC}">
              <c16:uniqueId val="{00000000-F913-4261-BDE2-0F3FEAC5AE00}"/>
            </c:ext>
          </c:extLst>
        </c:ser>
        <c:ser>
          <c:idx val="1"/>
          <c:order val="1"/>
          <c:tx>
            <c:strRef>
              <c:f>'Tekošais konts_Q'!$U$8</c:f>
              <c:strCache>
                <c:ptCount val="1"/>
                <c:pt idx="0">
                  <c:v>Pakalpojumi</c:v>
                </c:pt>
              </c:strCache>
            </c:strRef>
          </c:tx>
          <c:spPr>
            <a:solidFill>
              <a:schemeClr val="accent2"/>
            </a:solidFill>
            <a:ln>
              <a:noFill/>
            </a:ln>
            <a:effectLst/>
          </c:spPr>
          <c:invertIfNegative val="0"/>
          <c:cat>
            <c:multiLvlStrRef>
              <c:f>'Tekošais konts_Q'!$AE$5:$AZ$6</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2016</c:v>
                  </c:pt>
                  <c:pt idx="4">
                    <c:v>2017</c:v>
                  </c:pt>
                  <c:pt idx="8">
                    <c:v>2018</c:v>
                  </c:pt>
                  <c:pt idx="12">
                    <c:v>2019</c:v>
                  </c:pt>
                  <c:pt idx="16">
                    <c:v>2020</c:v>
                  </c:pt>
                  <c:pt idx="20">
                    <c:v>2021</c:v>
                  </c:pt>
                </c:lvl>
              </c:multiLvlStrCache>
            </c:multiLvlStrRef>
          </c:cat>
          <c:val>
            <c:numRef>
              <c:f>'Tekošais konts_Q'!$AE$8:$AZ$8</c:f>
              <c:numCache>
                <c:formatCode>0</c:formatCode>
                <c:ptCount val="22"/>
                <c:pt idx="0">
                  <c:v>542</c:v>
                </c:pt>
                <c:pt idx="1">
                  <c:v>533</c:v>
                </c:pt>
                <c:pt idx="2">
                  <c:v>537</c:v>
                </c:pt>
                <c:pt idx="3">
                  <c:v>534</c:v>
                </c:pt>
                <c:pt idx="4">
                  <c:v>577</c:v>
                </c:pt>
                <c:pt idx="5">
                  <c:v>540</c:v>
                </c:pt>
                <c:pt idx="6">
                  <c:v>586</c:v>
                </c:pt>
                <c:pt idx="7">
                  <c:v>573</c:v>
                </c:pt>
                <c:pt idx="8">
                  <c:v>517</c:v>
                </c:pt>
                <c:pt idx="9">
                  <c:v>616</c:v>
                </c:pt>
                <c:pt idx="10" formatCode="General">
                  <c:v>613</c:v>
                </c:pt>
                <c:pt idx="11" formatCode="General">
                  <c:v>570</c:v>
                </c:pt>
                <c:pt idx="12" formatCode="General">
                  <c:v>537</c:v>
                </c:pt>
                <c:pt idx="13" formatCode="General">
                  <c:v>626</c:v>
                </c:pt>
                <c:pt idx="14" formatCode="General">
                  <c:v>634</c:v>
                </c:pt>
                <c:pt idx="15" formatCode="General">
                  <c:v>629</c:v>
                </c:pt>
                <c:pt idx="16" formatCode="General">
                  <c:v>480</c:v>
                </c:pt>
                <c:pt idx="17" formatCode="General">
                  <c:v>453</c:v>
                </c:pt>
                <c:pt idx="18" formatCode="General">
                  <c:v>443</c:v>
                </c:pt>
                <c:pt idx="19" formatCode="General">
                  <c:v>459</c:v>
                </c:pt>
                <c:pt idx="20" formatCode="General">
                  <c:v>416</c:v>
                </c:pt>
                <c:pt idx="21" formatCode="General">
                  <c:v>401</c:v>
                </c:pt>
              </c:numCache>
            </c:numRef>
          </c:val>
          <c:extLst>
            <c:ext xmlns:c16="http://schemas.microsoft.com/office/drawing/2014/chart" uri="{C3380CC4-5D6E-409C-BE32-E72D297353CC}">
              <c16:uniqueId val="{00000001-F913-4261-BDE2-0F3FEAC5AE00}"/>
            </c:ext>
          </c:extLst>
        </c:ser>
        <c:ser>
          <c:idx val="2"/>
          <c:order val="2"/>
          <c:tx>
            <c:strRef>
              <c:f>'Tekošais konts_Q'!$U$9</c:f>
              <c:strCache>
                <c:ptCount val="1"/>
                <c:pt idx="0">
                  <c:v>Sākotnējie ienākumi</c:v>
                </c:pt>
              </c:strCache>
            </c:strRef>
          </c:tx>
          <c:spPr>
            <a:solidFill>
              <a:schemeClr val="accent3"/>
            </a:solidFill>
            <a:ln>
              <a:noFill/>
            </a:ln>
            <a:effectLst/>
          </c:spPr>
          <c:invertIfNegative val="0"/>
          <c:cat>
            <c:multiLvlStrRef>
              <c:f>'Tekošais konts_Q'!$AE$5:$AZ$6</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2016</c:v>
                  </c:pt>
                  <c:pt idx="4">
                    <c:v>2017</c:v>
                  </c:pt>
                  <c:pt idx="8">
                    <c:v>2018</c:v>
                  </c:pt>
                  <c:pt idx="12">
                    <c:v>2019</c:v>
                  </c:pt>
                  <c:pt idx="16">
                    <c:v>2020</c:v>
                  </c:pt>
                  <c:pt idx="20">
                    <c:v>2021</c:v>
                  </c:pt>
                </c:lvl>
              </c:multiLvlStrCache>
            </c:multiLvlStrRef>
          </c:cat>
          <c:val>
            <c:numRef>
              <c:f>'Tekošais konts_Q'!$AE$9:$AZ$9</c:f>
              <c:numCache>
                <c:formatCode>0</c:formatCode>
                <c:ptCount val="22"/>
                <c:pt idx="0">
                  <c:v>32</c:v>
                </c:pt>
                <c:pt idx="1">
                  <c:v>-143</c:v>
                </c:pt>
                <c:pt idx="2">
                  <c:v>-38</c:v>
                </c:pt>
                <c:pt idx="3">
                  <c:v>109</c:v>
                </c:pt>
                <c:pt idx="4">
                  <c:v>-39</c:v>
                </c:pt>
                <c:pt idx="5">
                  <c:v>-114</c:v>
                </c:pt>
                <c:pt idx="6">
                  <c:v>-121</c:v>
                </c:pt>
                <c:pt idx="7">
                  <c:v>206</c:v>
                </c:pt>
                <c:pt idx="8">
                  <c:v>-67</c:v>
                </c:pt>
                <c:pt idx="9">
                  <c:v>-256</c:v>
                </c:pt>
                <c:pt idx="10" formatCode="General">
                  <c:v>-220</c:v>
                </c:pt>
                <c:pt idx="11" formatCode="General">
                  <c:v>69</c:v>
                </c:pt>
                <c:pt idx="12" formatCode="General">
                  <c:v>-118</c:v>
                </c:pt>
                <c:pt idx="13" formatCode="General">
                  <c:v>-172</c:v>
                </c:pt>
                <c:pt idx="14" formatCode="General">
                  <c:v>-222</c:v>
                </c:pt>
                <c:pt idx="15" formatCode="General">
                  <c:v>54</c:v>
                </c:pt>
                <c:pt idx="16" formatCode="General">
                  <c:v>-38</c:v>
                </c:pt>
                <c:pt idx="17" formatCode="General">
                  <c:v>-45</c:v>
                </c:pt>
                <c:pt idx="18" formatCode="General">
                  <c:v>-209</c:v>
                </c:pt>
                <c:pt idx="19" formatCode="General">
                  <c:v>284</c:v>
                </c:pt>
                <c:pt idx="20" formatCode="General">
                  <c:v>-215</c:v>
                </c:pt>
                <c:pt idx="21" formatCode="General">
                  <c:v>-251</c:v>
                </c:pt>
              </c:numCache>
            </c:numRef>
          </c:val>
          <c:extLst>
            <c:ext xmlns:c16="http://schemas.microsoft.com/office/drawing/2014/chart" uri="{C3380CC4-5D6E-409C-BE32-E72D297353CC}">
              <c16:uniqueId val="{00000002-F913-4261-BDE2-0F3FEAC5AE00}"/>
            </c:ext>
          </c:extLst>
        </c:ser>
        <c:ser>
          <c:idx val="3"/>
          <c:order val="3"/>
          <c:tx>
            <c:strRef>
              <c:f>'Tekošais konts_Q'!$U$10</c:f>
              <c:strCache>
                <c:ptCount val="1"/>
                <c:pt idx="0">
                  <c:v>Otrreizējie ienākumi</c:v>
                </c:pt>
              </c:strCache>
            </c:strRef>
          </c:tx>
          <c:spPr>
            <a:solidFill>
              <a:schemeClr val="accent4"/>
            </a:solidFill>
            <a:ln>
              <a:noFill/>
            </a:ln>
            <a:effectLst/>
          </c:spPr>
          <c:invertIfNegative val="0"/>
          <c:cat>
            <c:multiLvlStrRef>
              <c:f>'Tekošais konts_Q'!$AE$5:$AZ$6</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2016</c:v>
                  </c:pt>
                  <c:pt idx="4">
                    <c:v>2017</c:v>
                  </c:pt>
                  <c:pt idx="8">
                    <c:v>2018</c:v>
                  </c:pt>
                  <c:pt idx="12">
                    <c:v>2019</c:v>
                  </c:pt>
                  <c:pt idx="16">
                    <c:v>2020</c:v>
                  </c:pt>
                  <c:pt idx="20">
                    <c:v>2021</c:v>
                  </c:pt>
                </c:lvl>
              </c:multiLvlStrCache>
            </c:multiLvlStrRef>
          </c:cat>
          <c:val>
            <c:numRef>
              <c:f>'Tekošais konts_Q'!$AE$10:$AZ$10</c:f>
              <c:numCache>
                <c:formatCode>0</c:formatCode>
                <c:ptCount val="22"/>
                <c:pt idx="0">
                  <c:v>64</c:v>
                </c:pt>
                <c:pt idx="1">
                  <c:v>108</c:v>
                </c:pt>
                <c:pt idx="2">
                  <c:v>89</c:v>
                </c:pt>
                <c:pt idx="3">
                  <c:v>97</c:v>
                </c:pt>
                <c:pt idx="4">
                  <c:v>93</c:v>
                </c:pt>
                <c:pt idx="5">
                  <c:v>130</c:v>
                </c:pt>
                <c:pt idx="6">
                  <c:v>150</c:v>
                </c:pt>
                <c:pt idx="7">
                  <c:v>207</c:v>
                </c:pt>
                <c:pt idx="8">
                  <c:v>107</c:v>
                </c:pt>
                <c:pt idx="9">
                  <c:v>173</c:v>
                </c:pt>
                <c:pt idx="10" formatCode="General">
                  <c:v>160</c:v>
                </c:pt>
                <c:pt idx="11" formatCode="General">
                  <c:v>177</c:v>
                </c:pt>
                <c:pt idx="12" formatCode="General">
                  <c:v>89</c:v>
                </c:pt>
                <c:pt idx="13" formatCode="General">
                  <c:v>133</c:v>
                </c:pt>
                <c:pt idx="14" formatCode="General">
                  <c:v>111</c:v>
                </c:pt>
                <c:pt idx="15" formatCode="General">
                  <c:v>137</c:v>
                </c:pt>
                <c:pt idx="16" formatCode="General">
                  <c:v>99</c:v>
                </c:pt>
                <c:pt idx="17" formatCode="General">
                  <c:v>136</c:v>
                </c:pt>
                <c:pt idx="18" formatCode="General">
                  <c:v>166</c:v>
                </c:pt>
                <c:pt idx="19" formatCode="General">
                  <c:v>106</c:v>
                </c:pt>
                <c:pt idx="20" formatCode="General">
                  <c:v>36</c:v>
                </c:pt>
                <c:pt idx="21" formatCode="General">
                  <c:v>96</c:v>
                </c:pt>
              </c:numCache>
            </c:numRef>
          </c:val>
          <c:extLst>
            <c:ext xmlns:c16="http://schemas.microsoft.com/office/drawing/2014/chart" uri="{C3380CC4-5D6E-409C-BE32-E72D297353CC}">
              <c16:uniqueId val="{00000003-F913-4261-BDE2-0F3FEAC5AE00}"/>
            </c:ext>
          </c:extLst>
        </c:ser>
        <c:dLbls>
          <c:showLegendKey val="0"/>
          <c:showVal val="0"/>
          <c:showCatName val="0"/>
          <c:showSerName val="0"/>
          <c:showPercent val="0"/>
          <c:showBubbleSize val="0"/>
        </c:dLbls>
        <c:gapWidth val="50"/>
        <c:overlap val="100"/>
        <c:axId val="1831334048"/>
        <c:axId val="1831339872"/>
      </c:barChart>
      <c:lineChart>
        <c:grouping val="standard"/>
        <c:varyColors val="0"/>
        <c:ser>
          <c:idx val="4"/>
          <c:order val="4"/>
          <c:tx>
            <c:strRef>
              <c:f>'Tekošais konts_Q'!$U$11</c:f>
              <c:strCache>
                <c:ptCount val="1"/>
                <c:pt idx="0">
                  <c:v>Tekošais konts (% no IKP, l.a.)</c:v>
                </c:pt>
              </c:strCache>
            </c:strRef>
          </c:tx>
          <c:spPr>
            <a:ln w="28575" cap="rnd">
              <a:solidFill>
                <a:schemeClr val="tx1"/>
              </a:solidFill>
              <a:round/>
            </a:ln>
            <a:effectLst/>
          </c:spPr>
          <c:marker>
            <c:symbol val="none"/>
          </c:marker>
          <c:cat>
            <c:multiLvlStrRef>
              <c:f>'Tekošais konts_Q'!$AE$5:$AZ$6</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2016</c:v>
                  </c:pt>
                  <c:pt idx="4">
                    <c:v>2017</c:v>
                  </c:pt>
                  <c:pt idx="8">
                    <c:v>2018</c:v>
                  </c:pt>
                  <c:pt idx="12">
                    <c:v>2019</c:v>
                  </c:pt>
                  <c:pt idx="16">
                    <c:v>2020</c:v>
                  </c:pt>
                  <c:pt idx="20">
                    <c:v>2021</c:v>
                  </c:pt>
                </c:lvl>
              </c:multiLvlStrCache>
            </c:multiLvlStrRef>
          </c:cat>
          <c:val>
            <c:numRef>
              <c:f>'Tekošais konts_Q'!$AE$11:$AZ$11</c:f>
              <c:numCache>
                <c:formatCode>0.0%</c:formatCode>
                <c:ptCount val="22"/>
                <c:pt idx="0">
                  <c:v>2.5000000000000001E-2</c:v>
                </c:pt>
                <c:pt idx="1">
                  <c:v>-6.0000000000000001E-3</c:v>
                </c:pt>
                <c:pt idx="2">
                  <c:v>1.6E-2</c:v>
                </c:pt>
                <c:pt idx="3">
                  <c:v>2.9000000000000001E-2</c:v>
                </c:pt>
                <c:pt idx="4">
                  <c:v>1.2E-2</c:v>
                </c:pt>
                <c:pt idx="5">
                  <c:v>-1.4E-2</c:v>
                </c:pt>
                <c:pt idx="6">
                  <c:v>-2.7E-2</c:v>
                </c:pt>
                <c:pt idx="7">
                  <c:v>7.6999999999999999E-2</c:v>
                </c:pt>
                <c:pt idx="8">
                  <c:v>2E-3</c:v>
                </c:pt>
                <c:pt idx="9">
                  <c:v>1.7000000000000001E-2</c:v>
                </c:pt>
                <c:pt idx="10">
                  <c:v>-5.5E-2</c:v>
                </c:pt>
                <c:pt idx="11">
                  <c:v>2.9000000000000001E-2</c:v>
                </c:pt>
                <c:pt idx="12">
                  <c:v>0</c:v>
                </c:pt>
                <c:pt idx="13">
                  <c:v>-1.9E-2</c:v>
                </c:pt>
                <c:pt idx="14">
                  <c:v>-3.1E-2</c:v>
                </c:pt>
                <c:pt idx="15">
                  <c:v>2.3E-2</c:v>
                </c:pt>
                <c:pt idx="16">
                  <c:v>8.9999999999999993E-3</c:v>
                </c:pt>
                <c:pt idx="17">
                  <c:v>3.5000000000000003E-2</c:v>
                </c:pt>
                <c:pt idx="18" formatCode="0.00%">
                  <c:v>-0.01</c:v>
                </c:pt>
                <c:pt idx="19" formatCode="0.00%">
                  <c:v>7.8E-2</c:v>
                </c:pt>
                <c:pt idx="20" formatCode="0.00%">
                  <c:v>-1.9E-2</c:v>
                </c:pt>
                <c:pt idx="21" formatCode="0.00%">
                  <c:v>-6.5000000000000002E-2</c:v>
                </c:pt>
              </c:numCache>
            </c:numRef>
          </c:val>
          <c:smooth val="1"/>
          <c:extLst>
            <c:ext xmlns:c16="http://schemas.microsoft.com/office/drawing/2014/chart" uri="{C3380CC4-5D6E-409C-BE32-E72D297353CC}">
              <c16:uniqueId val="{00000004-F913-4261-BDE2-0F3FEAC5AE00}"/>
            </c:ext>
          </c:extLst>
        </c:ser>
        <c:dLbls>
          <c:showLegendKey val="0"/>
          <c:showVal val="0"/>
          <c:showCatName val="0"/>
          <c:showSerName val="0"/>
          <c:showPercent val="0"/>
          <c:showBubbleSize val="0"/>
        </c:dLbls>
        <c:marker val="1"/>
        <c:smooth val="0"/>
        <c:axId val="1831373984"/>
        <c:axId val="1831363584"/>
      </c:lineChart>
      <c:catAx>
        <c:axId val="1831334048"/>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31339872"/>
        <c:crosses val="autoZero"/>
        <c:auto val="1"/>
        <c:lblAlgn val="ctr"/>
        <c:lblOffset val="100"/>
        <c:noMultiLvlLbl val="0"/>
      </c:catAx>
      <c:valAx>
        <c:axId val="1831339872"/>
        <c:scaling>
          <c:orientation val="minMax"/>
          <c:max val="1500"/>
          <c:min val="-15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31334048"/>
        <c:crosses val="autoZero"/>
        <c:crossBetween val="between"/>
        <c:majorUnit val="300"/>
      </c:valAx>
      <c:valAx>
        <c:axId val="1831363584"/>
        <c:scaling>
          <c:orientation val="minMax"/>
          <c:max val="8.0000000000000016E-2"/>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31373984"/>
        <c:crosses val="max"/>
        <c:crossBetween val="between"/>
      </c:valAx>
      <c:catAx>
        <c:axId val="1831373984"/>
        <c:scaling>
          <c:orientation val="minMax"/>
        </c:scaling>
        <c:delete val="1"/>
        <c:axPos val="b"/>
        <c:numFmt formatCode="General" sourceLinked="1"/>
        <c:majorTickMark val="out"/>
        <c:minorTickMark val="none"/>
        <c:tickLblPos val="nextTo"/>
        <c:crossAx val="1831363584"/>
        <c:crosses val="autoZero"/>
        <c:auto val="1"/>
        <c:lblAlgn val="ctr"/>
        <c:lblOffset val="100"/>
        <c:noMultiLvlLbl val="0"/>
      </c:catAx>
      <c:spPr>
        <a:noFill/>
        <a:ln>
          <a:noFill/>
        </a:ln>
        <a:effectLst/>
      </c:spPr>
    </c:plotArea>
    <c:legend>
      <c:legendPos val="b"/>
      <c:layout>
        <c:manualLayout>
          <c:xMode val="edge"/>
          <c:yMode val="edge"/>
          <c:x val="6.8433457367395967E-4"/>
          <c:y val="0.89774149921687485"/>
          <c:w val="0.99931566542632599"/>
          <c:h val="0.1022585007831251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30885147977192"/>
          <c:y val="3.0112236517930466E-2"/>
          <c:w val="0.76790637575500365"/>
          <c:h val="0.59714944925327995"/>
        </c:manualLayout>
      </c:layout>
      <c:barChart>
        <c:barDir val="col"/>
        <c:grouping val="stacked"/>
        <c:varyColors val="0"/>
        <c:ser>
          <c:idx val="0"/>
          <c:order val="0"/>
          <c:tx>
            <c:strRef>
              <c:f>Invest_Eurostat!$D$31</c:f>
              <c:strCache>
                <c:ptCount val="1"/>
                <c:pt idx="0">
                  <c:v>Ēkas, būves, celtnes</c:v>
                </c:pt>
              </c:strCache>
            </c:strRef>
          </c:tx>
          <c:spPr>
            <a:solidFill>
              <a:srgbClr val="5B9BD5"/>
            </a:solidFill>
            <a:ln w="25400">
              <a:noFill/>
            </a:ln>
          </c:spPr>
          <c:invertIfNegative val="0"/>
          <c:cat>
            <c:multiLvlStrRef>
              <c:f>Invest_Eurostat!$K$9:$T$10</c:f>
              <c:multiLvlStrCache>
                <c:ptCount val="10"/>
                <c:lvl>
                  <c:pt idx="0">
                    <c:v>I</c:v>
                  </c:pt>
                  <c:pt idx="1">
                    <c:v>II</c:v>
                  </c:pt>
                  <c:pt idx="2">
                    <c:v>III</c:v>
                  </c:pt>
                  <c:pt idx="3">
                    <c:v>IV</c:v>
                  </c:pt>
                  <c:pt idx="4">
                    <c:v>I</c:v>
                  </c:pt>
                  <c:pt idx="5">
                    <c:v>II</c:v>
                  </c:pt>
                  <c:pt idx="6">
                    <c:v>III</c:v>
                  </c:pt>
                  <c:pt idx="7">
                    <c:v>IV</c:v>
                  </c:pt>
                  <c:pt idx="8">
                    <c:v>I</c:v>
                  </c:pt>
                  <c:pt idx="9">
                    <c:v>II</c:v>
                  </c:pt>
                </c:lvl>
                <c:lvl>
                  <c:pt idx="0">
                    <c:v>2019</c:v>
                  </c:pt>
                  <c:pt idx="4">
                    <c:v>2020</c:v>
                  </c:pt>
                  <c:pt idx="8">
                    <c:v>2021</c:v>
                  </c:pt>
                </c:lvl>
              </c:multiLvlStrCache>
            </c:multiLvlStrRef>
          </c:cat>
          <c:val>
            <c:numRef>
              <c:f>Invest_Eurostat!$K$31:$T$31</c:f>
              <c:numCache>
                <c:formatCode>0</c:formatCode>
                <c:ptCount val="10"/>
                <c:pt idx="0">
                  <c:v>29</c:v>
                </c:pt>
                <c:pt idx="1">
                  <c:v>-10.5</c:v>
                </c:pt>
                <c:pt idx="2">
                  <c:v>34.300000000000068</c:v>
                </c:pt>
                <c:pt idx="3">
                  <c:v>-29.800000000000068</c:v>
                </c:pt>
                <c:pt idx="4">
                  <c:v>54.900000000000091</c:v>
                </c:pt>
                <c:pt idx="5">
                  <c:v>-13.5</c:v>
                </c:pt>
                <c:pt idx="6">
                  <c:v>-8.8000000000000682</c:v>
                </c:pt>
                <c:pt idx="7">
                  <c:v>15.600000000000023</c:v>
                </c:pt>
                <c:pt idx="8">
                  <c:v>-84.900000000000091</c:v>
                </c:pt>
                <c:pt idx="9">
                  <c:v>8</c:v>
                </c:pt>
              </c:numCache>
            </c:numRef>
          </c:val>
          <c:extLst>
            <c:ext xmlns:c16="http://schemas.microsoft.com/office/drawing/2014/chart" uri="{C3380CC4-5D6E-409C-BE32-E72D297353CC}">
              <c16:uniqueId val="{00000000-1A4A-42FB-96BD-9F905A4DC4A1}"/>
            </c:ext>
          </c:extLst>
        </c:ser>
        <c:ser>
          <c:idx val="1"/>
          <c:order val="1"/>
          <c:tx>
            <c:strRef>
              <c:f>Invest_Eurostat!$D$32</c:f>
              <c:strCache>
                <c:ptCount val="1"/>
                <c:pt idx="0">
                  <c:v>Tehnoģiskās iekārtas un mašīnas</c:v>
                </c:pt>
              </c:strCache>
            </c:strRef>
          </c:tx>
          <c:spPr>
            <a:solidFill>
              <a:srgbClr val="ED7D31"/>
            </a:solidFill>
            <a:ln w="25400">
              <a:noFill/>
            </a:ln>
          </c:spPr>
          <c:invertIfNegative val="0"/>
          <c:cat>
            <c:multiLvlStrRef>
              <c:f>Invest_Eurostat!$K$9:$T$10</c:f>
              <c:multiLvlStrCache>
                <c:ptCount val="10"/>
                <c:lvl>
                  <c:pt idx="0">
                    <c:v>I</c:v>
                  </c:pt>
                  <c:pt idx="1">
                    <c:v>II</c:v>
                  </c:pt>
                  <c:pt idx="2">
                    <c:v>III</c:v>
                  </c:pt>
                  <c:pt idx="3">
                    <c:v>IV</c:v>
                  </c:pt>
                  <c:pt idx="4">
                    <c:v>I</c:v>
                  </c:pt>
                  <c:pt idx="5">
                    <c:v>II</c:v>
                  </c:pt>
                  <c:pt idx="6">
                    <c:v>III</c:v>
                  </c:pt>
                  <c:pt idx="7">
                    <c:v>IV</c:v>
                  </c:pt>
                  <c:pt idx="8">
                    <c:v>I</c:v>
                  </c:pt>
                  <c:pt idx="9">
                    <c:v>II</c:v>
                  </c:pt>
                </c:lvl>
                <c:lvl>
                  <c:pt idx="0">
                    <c:v>2019</c:v>
                  </c:pt>
                  <c:pt idx="4">
                    <c:v>2020</c:v>
                  </c:pt>
                  <c:pt idx="8">
                    <c:v>2021</c:v>
                  </c:pt>
                </c:lvl>
              </c:multiLvlStrCache>
            </c:multiLvlStrRef>
          </c:cat>
          <c:val>
            <c:numRef>
              <c:f>Invest_Eurostat!$K$32:$T$32</c:f>
              <c:numCache>
                <c:formatCode>0</c:formatCode>
                <c:ptCount val="10"/>
                <c:pt idx="0">
                  <c:v>52</c:v>
                </c:pt>
                <c:pt idx="1">
                  <c:v>57.300000000000068</c:v>
                </c:pt>
                <c:pt idx="2">
                  <c:v>4.8000000000000682</c:v>
                </c:pt>
                <c:pt idx="3">
                  <c:v>-59.900000000000091</c:v>
                </c:pt>
                <c:pt idx="4">
                  <c:v>-7.5999999999999659</c:v>
                </c:pt>
                <c:pt idx="5">
                  <c:v>-63.700000000000045</c:v>
                </c:pt>
                <c:pt idx="6">
                  <c:v>-17.5</c:v>
                </c:pt>
                <c:pt idx="7">
                  <c:v>33.200000000000045</c:v>
                </c:pt>
                <c:pt idx="8">
                  <c:v>36.599999999999966</c:v>
                </c:pt>
                <c:pt idx="9">
                  <c:v>126.10000000000002</c:v>
                </c:pt>
              </c:numCache>
            </c:numRef>
          </c:val>
          <c:extLst>
            <c:ext xmlns:c16="http://schemas.microsoft.com/office/drawing/2014/chart" uri="{C3380CC4-5D6E-409C-BE32-E72D297353CC}">
              <c16:uniqueId val="{00000001-1A4A-42FB-96BD-9F905A4DC4A1}"/>
            </c:ext>
          </c:extLst>
        </c:ser>
        <c:ser>
          <c:idx val="2"/>
          <c:order val="2"/>
          <c:tx>
            <c:strRef>
              <c:f>Invest_Eurostat!$D$33</c:f>
              <c:strCache>
                <c:ptCount val="1"/>
                <c:pt idx="0">
                  <c:v>Intelektuāla īpašuma produkti</c:v>
                </c:pt>
              </c:strCache>
            </c:strRef>
          </c:tx>
          <c:spPr>
            <a:solidFill>
              <a:srgbClr val="A5A5A5"/>
            </a:solidFill>
            <a:ln w="25400">
              <a:noFill/>
            </a:ln>
          </c:spPr>
          <c:invertIfNegative val="0"/>
          <c:cat>
            <c:multiLvlStrRef>
              <c:f>Invest_Eurostat!$K$9:$T$10</c:f>
              <c:multiLvlStrCache>
                <c:ptCount val="10"/>
                <c:lvl>
                  <c:pt idx="0">
                    <c:v>I</c:v>
                  </c:pt>
                  <c:pt idx="1">
                    <c:v>II</c:v>
                  </c:pt>
                  <c:pt idx="2">
                    <c:v>III</c:v>
                  </c:pt>
                  <c:pt idx="3">
                    <c:v>IV</c:v>
                  </c:pt>
                  <c:pt idx="4">
                    <c:v>I</c:v>
                  </c:pt>
                  <c:pt idx="5">
                    <c:v>II</c:v>
                  </c:pt>
                  <c:pt idx="6">
                    <c:v>III</c:v>
                  </c:pt>
                  <c:pt idx="7">
                    <c:v>IV</c:v>
                  </c:pt>
                  <c:pt idx="8">
                    <c:v>I</c:v>
                  </c:pt>
                  <c:pt idx="9">
                    <c:v>II</c:v>
                  </c:pt>
                </c:lvl>
                <c:lvl>
                  <c:pt idx="0">
                    <c:v>2019</c:v>
                  </c:pt>
                  <c:pt idx="4">
                    <c:v>2020</c:v>
                  </c:pt>
                  <c:pt idx="8">
                    <c:v>2021</c:v>
                  </c:pt>
                </c:lvl>
              </c:multiLvlStrCache>
            </c:multiLvlStrRef>
          </c:cat>
          <c:val>
            <c:numRef>
              <c:f>Invest_Eurostat!$K$33:$T$33</c:f>
              <c:numCache>
                <c:formatCode>0</c:formatCode>
                <c:ptCount val="10"/>
                <c:pt idx="0">
                  <c:v>6.4000000000000057</c:v>
                </c:pt>
                <c:pt idx="1">
                  <c:v>14.400000000000006</c:v>
                </c:pt>
                <c:pt idx="2">
                  <c:v>24.799999999999983</c:v>
                </c:pt>
                <c:pt idx="3">
                  <c:v>4.2999999999999972</c:v>
                </c:pt>
                <c:pt idx="4">
                  <c:v>1</c:v>
                </c:pt>
                <c:pt idx="5">
                  <c:v>2</c:v>
                </c:pt>
                <c:pt idx="6">
                  <c:v>8.2000000000000171</c:v>
                </c:pt>
                <c:pt idx="7">
                  <c:v>1.2999999999999972</c:v>
                </c:pt>
                <c:pt idx="8">
                  <c:v>4.2999999999999972</c:v>
                </c:pt>
                <c:pt idx="9">
                  <c:v>35.799999999999983</c:v>
                </c:pt>
              </c:numCache>
            </c:numRef>
          </c:val>
          <c:extLst>
            <c:ext xmlns:c16="http://schemas.microsoft.com/office/drawing/2014/chart" uri="{C3380CC4-5D6E-409C-BE32-E72D297353CC}">
              <c16:uniqueId val="{00000002-1A4A-42FB-96BD-9F905A4DC4A1}"/>
            </c:ext>
          </c:extLst>
        </c:ser>
        <c:ser>
          <c:idx val="3"/>
          <c:order val="3"/>
          <c:tx>
            <c:strRef>
              <c:f>Invest_Eurostat!$D$34</c:f>
              <c:strCache>
                <c:ptCount val="1"/>
                <c:pt idx="0">
                  <c:v>Pārējie pamatlīdzekļi </c:v>
                </c:pt>
              </c:strCache>
            </c:strRef>
          </c:tx>
          <c:spPr>
            <a:solidFill>
              <a:srgbClr val="FFC000"/>
            </a:solidFill>
            <a:ln w="25400">
              <a:noFill/>
            </a:ln>
          </c:spPr>
          <c:invertIfNegative val="0"/>
          <c:cat>
            <c:multiLvlStrRef>
              <c:f>Invest_Eurostat!$K$9:$T$10</c:f>
              <c:multiLvlStrCache>
                <c:ptCount val="10"/>
                <c:lvl>
                  <c:pt idx="0">
                    <c:v>I</c:v>
                  </c:pt>
                  <c:pt idx="1">
                    <c:v>II</c:v>
                  </c:pt>
                  <c:pt idx="2">
                    <c:v>III</c:v>
                  </c:pt>
                  <c:pt idx="3">
                    <c:v>IV</c:v>
                  </c:pt>
                  <c:pt idx="4">
                    <c:v>I</c:v>
                  </c:pt>
                  <c:pt idx="5">
                    <c:v>II</c:v>
                  </c:pt>
                  <c:pt idx="6">
                    <c:v>III</c:v>
                  </c:pt>
                  <c:pt idx="7">
                    <c:v>IV</c:v>
                  </c:pt>
                  <c:pt idx="8">
                    <c:v>I</c:v>
                  </c:pt>
                  <c:pt idx="9">
                    <c:v>II</c:v>
                  </c:pt>
                </c:lvl>
                <c:lvl>
                  <c:pt idx="0">
                    <c:v>2019</c:v>
                  </c:pt>
                  <c:pt idx="4">
                    <c:v>2020</c:v>
                  </c:pt>
                  <c:pt idx="8">
                    <c:v>2021</c:v>
                  </c:pt>
                </c:lvl>
              </c:multiLvlStrCache>
            </c:multiLvlStrRef>
          </c:cat>
          <c:val>
            <c:numRef>
              <c:f>Invest_Eurostat!$K$34:$T$34</c:f>
              <c:numCache>
                <c:formatCode>0</c:formatCode>
                <c:ptCount val="10"/>
                <c:pt idx="0">
                  <c:v>-0.19999999999999929</c:v>
                </c:pt>
                <c:pt idx="1">
                  <c:v>-0.20000000000000018</c:v>
                </c:pt>
                <c:pt idx="2">
                  <c:v>-0.29999999999999982</c:v>
                </c:pt>
                <c:pt idx="3">
                  <c:v>-0.29999999999999982</c:v>
                </c:pt>
                <c:pt idx="4">
                  <c:v>-0.20000000000000018</c:v>
                </c:pt>
                <c:pt idx="5">
                  <c:v>-0.29999999999999982</c:v>
                </c:pt>
                <c:pt idx="6">
                  <c:v>-0.30000000000000071</c:v>
                </c:pt>
                <c:pt idx="7">
                  <c:v>-0.29999999999999982</c:v>
                </c:pt>
                <c:pt idx="8">
                  <c:v>-0.20000000000000018</c:v>
                </c:pt>
                <c:pt idx="9">
                  <c:v>-0.20000000000000018</c:v>
                </c:pt>
              </c:numCache>
            </c:numRef>
          </c:val>
          <c:extLst>
            <c:ext xmlns:c16="http://schemas.microsoft.com/office/drawing/2014/chart" uri="{C3380CC4-5D6E-409C-BE32-E72D297353CC}">
              <c16:uniqueId val="{00000003-1A4A-42FB-96BD-9F905A4DC4A1}"/>
            </c:ext>
          </c:extLst>
        </c:ser>
        <c:dLbls>
          <c:showLegendKey val="0"/>
          <c:showVal val="0"/>
          <c:showCatName val="0"/>
          <c:showSerName val="0"/>
          <c:showPercent val="0"/>
          <c:showBubbleSize val="0"/>
        </c:dLbls>
        <c:gapWidth val="50"/>
        <c:overlap val="100"/>
        <c:axId val="661113408"/>
        <c:axId val="1"/>
      </c:barChart>
      <c:lineChart>
        <c:grouping val="standard"/>
        <c:varyColors val="0"/>
        <c:ser>
          <c:idx val="4"/>
          <c:order val="4"/>
          <c:tx>
            <c:strRef>
              <c:f>Invest_Eurostat!$D$35</c:f>
              <c:strCache>
                <c:ptCount val="1"/>
                <c:pt idx="0">
                  <c:v>Investīciju izmaiņas, % (labā ass)</c:v>
                </c:pt>
              </c:strCache>
            </c:strRef>
          </c:tx>
          <c:spPr>
            <a:ln w="28575" cap="rnd">
              <a:solidFill>
                <a:schemeClr val="tx1"/>
              </a:solidFill>
              <a:round/>
            </a:ln>
            <a:effectLst/>
          </c:spPr>
          <c:marker>
            <c:symbol val="none"/>
          </c:marker>
          <c:cat>
            <c:multiLvlStrRef>
              <c:f>Invest_Eurostat!$K$9:$T$10</c:f>
              <c:multiLvlStrCache>
                <c:ptCount val="10"/>
                <c:lvl>
                  <c:pt idx="0">
                    <c:v>I</c:v>
                  </c:pt>
                  <c:pt idx="1">
                    <c:v>II</c:v>
                  </c:pt>
                  <c:pt idx="2">
                    <c:v>III</c:v>
                  </c:pt>
                  <c:pt idx="3">
                    <c:v>IV</c:v>
                  </c:pt>
                  <c:pt idx="4">
                    <c:v>I</c:v>
                  </c:pt>
                  <c:pt idx="5">
                    <c:v>II</c:v>
                  </c:pt>
                  <c:pt idx="6">
                    <c:v>III</c:v>
                  </c:pt>
                  <c:pt idx="7">
                    <c:v>IV</c:v>
                  </c:pt>
                  <c:pt idx="8">
                    <c:v>I</c:v>
                  </c:pt>
                  <c:pt idx="9">
                    <c:v>II</c:v>
                  </c:pt>
                </c:lvl>
                <c:lvl>
                  <c:pt idx="0">
                    <c:v>2019</c:v>
                  </c:pt>
                  <c:pt idx="4">
                    <c:v>2020</c:v>
                  </c:pt>
                  <c:pt idx="8">
                    <c:v>2021</c:v>
                  </c:pt>
                </c:lvl>
              </c:multiLvlStrCache>
            </c:multiLvlStrRef>
          </c:cat>
          <c:val>
            <c:numRef>
              <c:f>Invest_Eurostat!$K$35:$T$35</c:f>
              <c:numCache>
                <c:formatCode>0</c:formatCode>
                <c:ptCount val="10"/>
                <c:pt idx="0">
                  <c:v>8.0089194462510509</c:v>
                </c:pt>
                <c:pt idx="1">
                  <c:v>4.0965207631874359</c:v>
                </c:pt>
                <c:pt idx="2">
                  <c:v>3.9189425260583453</c:v>
                </c:pt>
                <c:pt idx="3">
                  <c:v>-4.3713854009274149</c:v>
                </c:pt>
                <c:pt idx="4">
                  <c:v>4.5677419354838635</c:v>
                </c:pt>
                <c:pt idx="5">
                  <c:v>-4.7776280323450191</c:v>
                </c:pt>
                <c:pt idx="6">
                  <c:v>-0.93018043258993111</c:v>
                </c:pt>
                <c:pt idx="7">
                  <c:v>2.6370273509861533</c:v>
                </c:pt>
                <c:pt idx="8">
                  <c:v>-4.4998354721947864</c:v>
                </c:pt>
                <c:pt idx="9">
                  <c:v>11.223551057957692</c:v>
                </c:pt>
              </c:numCache>
            </c:numRef>
          </c:val>
          <c:smooth val="0"/>
          <c:extLst>
            <c:ext xmlns:c16="http://schemas.microsoft.com/office/drawing/2014/chart" uri="{C3380CC4-5D6E-409C-BE32-E72D297353CC}">
              <c16:uniqueId val="{00000004-1A4A-42FB-96BD-9F905A4DC4A1}"/>
            </c:ext>
          </c:extLst>
        </c:ser>
        <c:dLbls>
          <c:showLegendKey val="0"/>
          <c:showVal val="0"/>
          <c:showCatName val="0"/>
          <c:showSerName val="0"/>
          <c:showPercent val="0"/>
          <c:showBubbleSize val="0"/>
        </c:dLbls>
        <c:marker val="1"/>
        <c:smooth val="0"/>
        <c:axId val="3"/>
        <c:axId val="4"/>
      </c:lineChart>
      <c:catAx>
        <c:axId val="661113408"/>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
        <c:crosses val="autoZero"/>
        <c:auto val="1"/>
        <c:lblAlgn val="ctr"/>
        <c:lblOffset val="100"/>
        <c:noMultiLvlLbl val="0"/>
      </c:catAx>
      <c:valAx>
        <c:axId val="1"/>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61113408"/>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in val="-10"/>
        </c:scaling>
        <c:delete val="0"/>
        <c:axPos val="r"/>
        <c:numFmt formatCode="0" sourceLinked="1"/>
        <c:majorTickMark val="out"/>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
        <c:crosses val="max"/>
        <c:crossBetween val="between"/>
      </c:valAx>
      <c:spPr>
        <a:noFill/>
        <a:ln w="25400">
          <a:noFill/>
        </a:ln>
      </c:spPr>
    </c:plotArea>
    <c:legend>
      <c:legendPos val="b"/>
      <c:layout>
        <c:manualLayout>
          <c:xMode val="edge"/>
          <c:yMode val="edge"/>
          <c:x val="0.11657140917730112"/>
          <c:y val="0.78646631615351092"/>
          <c:w val="0.7668568422481673"/>
          <c:h val="0.21179214469610777"/>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737199516727076"/>
          <c:y val="3.660974586960844E-2"/>
          <c:w val="0.8515665169484683"/>
          <c:h val="0.59268132540084306"/>
        </c:manualLayout>
      </c:layout>
      <c:barChart>
        <c:barDir val="col"/>
        <c:grouping val="stacked"/>
        <c:varyColors val="0"/>
        <c:ser>
          <c:idx val="0"/>
          <c:order val="0"/>
          <c:tx>
            <c:strRef>
              <c:f>Invest_Eurostat!$D$31</c:f>
              <c:strCache>
                <c:ptCount val="1"/>
                <c:pt idx="0">
                  <c:v>Ēkas, būves, celtnes</c:v>
                </c:pt>
              </c:strCache>
            </c:strRef>
          </c:tx>
          <c:spPr>
            <a:solidFill>
              <a:srgbClr val="5B9BD5"/>
            </a:solidFill>
            <a:ln w="25400">
              <a:noFill/>
            </a:ln>
          </c:spPr>
          <c:invertIfNegative val="0"/>
          <c:cat>
            <c:multiLvlStrRef>
              <c:f>Invest_Eurostat!$K$9:$T$10</c:f>
              <c:multiLvlStrCache>
                <c:ptCount val="10"/>
                <c:lvl>
                  <c:pt idx="0">
                    <c:v>I</c:v>
                  </c:pt>
                  <c:pt idx="1">
                    <c:v>II</c:v>
                  </c:pt>
                  <c:pt idx="2">
                    <c:v>III</c:v>
                  </c:pt>
                  <c:pt idx="3">
                    <c:v>IV</c:v>
                  </c:pt>
                  <c:pt idx="4">
                    <c:v>I</c:v>
                  </c:pt>
                  <c:pt idx="5">
                    <c:v>II</c:v>
                  </c:pt>
                  <c:pt idx="6">
                    <c:v>III</c:v>
                  </c:pt>
                  <c:pt idx="7">
                    <c:v>IV</c:v>
                  </c:pt>
                  <c:pt idx="8">
                    <c:v>I</c:v>
                  </c:pt>
                  <c:pt idx="9">
                    <c:v>II</c:v>
                  </c:pt>
                </c:lvl>
                <c:lvl>
                  <c:pt idx="0">
                    <c:v>2019</c:v>
                  </c:pt>
                  <c:pt idx="4">
                    <c:v>2020</c:v>
                  </c:pt>
                  <c:pt idx="8">
                    <c:v>2021</c:v>
                  </c:pt>
                </c:lvl>
              </c:multiLvlStrCache>
            </c:multiLvlStrRef>
          </c:cat>
          <c:val>
            <c:numRef>
              <c:f>Invest_Eurostat!$K$25:$T$25</c:f>
              <c:numCache>
                <c:formatCode>0</c:formatCode>
                <c:ptCount val="10"/>
                <c:pt idx="0">
                  <c:v>605.29999999999995</c:v>
                </c:pt>
                <c:pt idx="1">
                  <c:v>718.5</c:v>
                </c:pt>
                <c:pt idx="2">
                  <c:v>907.6</c:v>
                </c:pt>
                <c:pt idx="3">
                  <c:v>982.3</c:v>
                </c:pt>
                <c:pt idx="4">
                  <c:v>660.2</c:v>
                </c:pt>
                <c:pt idx="5">
                  <c:v>705</c:v>
                </c:pt>
                <c:pt idx="6">
                  <c:v>898.8</c:v>
                </c:pt>
                <c:pt idx="7">
                  <c:v>997.9</c:v>
                </c:pt>
                <c:pt idx="8">
                  <c:v>575.29999999999995</c:v>
                </c:pt>
                <c:pt idx="9">
                  <c:v>713</c:v>
                </c:pt>
              </c:numCache>
            </c:numRef>
          </c:val>
          <c:extLst>
            <c:ext xmlns:c16="http://schemas.microsoft.com/office/drawing/2014/chart" uri="{C3380CC4-5D6E-409C-BE32-E72D297353CC}">
              <c16:uniqueId val="{00000000-2629-4BA9-B8B2-E36A51BF6B05}"/>
            </c:ext>
          </c:extLst>
        </c:ser>
        <c:ser>
          <c:idx val="1"/>
          <c:order val="1"/>
          <c:tx>
            <c:strRef>
              <c:f>Invest_Eurostat!$D$32</c:f>
              <c:strCache>
                <c:ptCount val="1"/>
                <c:pt idx="0">
                  <c:v>Tehnoģiskās iekārtas un mašīnas</c:v>
                </c:pt>
              </c:strCache>
            </c:strRef>
          </c:tx>
          <c:spPr>
            <a:solidFill>
              <a:srgbClr val="ED7D31"/>
            </a:solidFill>
            <a:ln w="25400">
              <a:noFill/>
            </a:ln>
          </c:spPr>
          <c:invertIfNegative val="0"/>
          <c:cat>
            <c:multiLvlStrRef>
              <c:f>Invest_Eurostat!$K$9:$T$10</c:f>
              <c:multiLvlStrCache>
                <c:ptCount val="10"/>
                <c:lvl>
                  <c:pt idx="0">
                    <c:v>I</c:v>
                  </c:pt>
                  <c:pt idx="1">
                    <c:v>II</c:v>
                  </c:pt>
                  <c:pt idx="2">
                    <c:v>III</c:v>
                  </c:pt>
                  <c:pt idx="3">
                    <c:v>IV</c:v>
                  </c:pt>
                  <c:pt idx="4">
                    <c:v>I</c:v>
                  </c:pt>
                  <c:pt idx="5">
                    <c:v>II</c:v>
                  </c:pt>
                  <c:pt idx="6">
                    <c:v>III</c:v>
                  </c:pt>
                  <c:pt idx="7">
                    <c:v>IV</c:v>
                  </c:pt>
                  <c:pt idx="8">
                    <c:v>I</c:v>
                  </c:pt>
                  <c:pt idx="9">
                    <c:v>II</c:v>
                  </c:pt>
                </c:lvl>
                <c:lvl>
                  <c:pt idx="0">
                    <c:v>2019</c:v>
                  </c:pt>
                  <c:pt idx="4">
                    <c:v>2020</c:v>
                  </c:pt>
                  <c:pt idx="8">
                    <c:v>2021</c:v>
                  </c:pt>
                </c:lvl>
              </c:multiLvlStrCache>
            </c:multiLvlStrRef>
          </c:cat>
          <c:val>
            <c:numRef>
              <c:f>Invest_Eurostat!$K$26:$T$26</c:f>
              <c:numCache>
                <c:formatCode>0</c:formatCode>
                <c:ptCount val="10"/>
                <c:pt idx="0">
                  <c:v>471.4</c:v>
                </c:pt>
                <c:pt idx="1">
                  <c:v>592.6</c:v>
                </c:pt>
                <c:pt idx="2">
                  <c:v>693.7</c:v>
                </c:pt>
                <c:pt idx="3">
                  <c:v>777.8</c:v>
                </c:pt>
                <c:pt idx="4">
                  <c:v>463.8</c:v>
                </c:pt>
                <c:pt idx="5">
                  <c:v>528.9</c:v>
                </c:pt>
                <c:pt idx="6">
                  <c:v>676.2</c:v>
                </c:pt>
                <c:pt idx="7">
                  <c:v>811</c:v>
                </c:pt>
                <c:pt idx="8">
                  <c:v>500.4</c:v>
                </c:pt>
                <c:pt idx="9">
                  <c:v>655</c:v>
                </c:pt>
              </c:numCache>
            </c:numRef>
          </c:val>
          <c:extLst>
            <c:ext xmlns:c16="http://schemas.microsoft.com/office/drawing/2014/chart" uri="{C3380CC4-5D6E-409C-BE32-E72D297353CC}">
              <c16:uniqueId val="{00000001-2629-4BA9-B8B2-E36A51BF6B05}"/>
            </c:ext>
          </c:extLst>
        </c:ser>
        <c:ser>
          <c:idx val="2"/>
          <c:order val="2"/>
          <c:tx>
            <c:strRef>
              <c:f>Invest_Eurostat!$D$33</c:f>
              <c:strCache>
                <c:ptCount val="1"/>
                <c:pt idx="0">
                  <c:v>Intelektuāla īpašuma produkti</c:v>
                </c:pt>
              </c:strCache>
            </c:strRef>
          </c:tx>
          <c:spPr>
            <a:solidFill>
              <a:srgbClr val="A5A5A5"/>
            </a:solidFill>
            <a:ln w="25400">
              <a:noFill/>
            </a:ln>
          </c:spPr>
          <c:invertIfNegative val="0"/>
          <c:cat>
            <c:multiLvlStrRef>
              <c:f>Invest_Eurostat!$K$9:$T$10</c:f>
              <c:multiLvlStrCache>
                <c:ptCount val="10"/>
                <c:lvl>
                  <c:pt idx="0">
                    <c:v>I</c:v>
                  </c:pt>
                  <c:pt idx="1">
                    <c:v>II</c:v>
                  </c:pt>
                  <c:pt idx="2">
                    <c:v>III</c:v>
                  </c:pt>
                  <c:pt idx="3">
                    <c:v>IV</c:v>
                  </c:pt>
                  <c:pt idx="4">
                    <c:v>I</c:v>
                  </c:pt>
                  <c:pt idx="5">
                    <c:v>II</c:v>
                  </c:pt>
                  <c:pt idx="6">
                    <c:v>III</c:v>
                  </c:pt>
                  <c:pt idx="7">
                    <c:v>IV</c:v>
                  </c:pt>
                  <c:pt idx="8">
                    <c:v>I</c:v>
                  </c:pt>
                  <c:pt idx="9">
                    <c:v>II</c:v>
                  </c:pt>
                </c:lvl>
                <c:lvl>
                  <c:pt idx="0">
                    <c:v>2019</c:v>
                  </c:pt>
                  <c:pt idx="4">
                    <c:v>2020</c:v>
                  </c:pt>
                  <c:pt idx="8">
                    <c:v>2021</c:v>
                  </c:pt>
                </c:lvl>
              </c:multiLvlStrCache>
            </c:multiLvlStrRef>
          </c:cat>
          <c:val>
            <c:numRef>
              <c:f>Invest_Eurostat!$K$27:$T$27</c:f>
              <c:numCache>
                <c:formatCode>0</c:formatCode>
                <c:ptCount val="10"/>
                <c:pt idx="0">
                  <c:v>78.400000000000006</c:v>
                </c:pt>
                <c:pt idx="1">
                  <c:v>160.9</c:v>
                </c:pt>
                <c:pt idx="2">
                  <c:v>166.7</c:v>
                </c:pt>
                <c:pt idx="3">
                  <c:v>71.8</c:v>
                </c:pt>
                <c:pt idx="4">
                  <c:v>79.400000000000006</c:v>
                </c:pt>
                <c:pt idx="5">
                  <c:v>162.9</c:v>
                </c:pt>
                <c:pt idx="6">
                  <c:v>174.9</c:v>
                </c:pt>
                <c:pt idx="7">
                  <c:v>73.099999999999994</c:v>
                </c:pt>
                <c:pt idx="8">
                  <c:v>83.7</c:v>
                </c:pt>
                <c:pt idx="9">
                  <c:v>198.7</c:v>
                </c:pt>
              </c:numCache>
            </c:numRef>
          </c:val>
          <c:extLst>
            <c:ext xmlns:c16="http://schemas.microsoft.com/office/drawing/2014/chart" uri="{C3380CC4-5D6E-409C-BE32-E72D297353CC}">
              <c16:uniqueId val="{00000002-2629-4BA9-B8B2-E36A51BF6B05}"/>
            </c:ext>
          </c:extLst>
        </c:ser>
        <c:ser>
          <c:idx val="3"/>
          <c:order val="3"/>
          <c:tx>
            <c:strRef>
              <c:f>Invest_Eurostat!$D$34</c:f>
              <c:strCache>
                <c:ptCount val="1"/>
                <c:pt idx="0">
                  <c:v>Pārējie pamatlīdzekļi </c:v>
                </c:pt>
              </c:strCache>
            </c:strRef>
          </c:tx>
          <c:spPr>
            <a:solidFill>
              <a:srgbClr val="FFC000"/>
            </a:solidFill>
            <a:ln w="25400">
              <a:noFill/>
            </a:ln>
          </c:spPr>
          <c:invertIfNegative val="0"/>
          <c:cat>
            <c:multiLvlStrRef>
              <c:f>Invest_Eurostat!$K$9:$T$10</c:f>
              <c:multiLvlStrCache>
                <c:ptCount val="10"/>
                <c:lvl>
                  <c:pt idx="0">
                    <c:v>I</c:v>
                  </c:pt>
                  <c:pt idx="1">
                    <c:v>II</c:v>
                  </c:pt>
                  <c:pt idx="2">
                    <c:v>III</c:v>
                  </c:pt>
                  <c:pt idx="3">
                    <c:v>IV</c:v>
                  </c:pt>
                  <c:pt idx="4">
                    <c:v>I</c:v>
                  </c:pt>
                  <c:pt idx="5">
                    <c:v>II</c:v>
                  </c:pt>
                  <c:pt idx="6">
                    <c:v>III</c:v>
                  </c:pt>
                  <c:pt idx="7">
                    <c:v>IV</c:v>
                  </c:pt>
                  <c:pt idx="8">
                    <c:v>I</c:v>
                  </c:pt>
                  <c:pt idx="9">
                    <c:v>II</c:v>
                  </c:pt>
                </c:lvl>
                <c:lvl>
                  <c:pt idx="0">
                    <c:v>2019</c:v>
                  </c:pt>
                  <c:pt idx="4">
                    <c:v>2020</c:v>
                  </c:pt>
                  <c:pt idx="8">
                    <c:v>2021</c:v>
                  </c:pt>
                </c:lvl>
              </c:multiLvlStrCache>
            </c:multiLvlStrRef>
          </c:cat>
          <c:val>
            <c:numRef>
              <c:f>Invest_Eurostat!$K$28:$T$28</c:f>
              <c:numCache>
                <c:formatCode>0</c:formatCode>
                <c:ptCount val="10"/>
                <c:pt idx="0">
                  <c:v>4.9000000000000004</c:v>
                </c:pt>
                <c:pt idx="1">
                  <c:v>5.0999999999999996</c:v>
                </c:pt>
                <c:pt idx="2">
                  <c:v>6.9</c:v>
                </c:pt>
                <c:pt idx="3">
                  <c:v>6</c:v>
                </c:pt>
                <c:pt idx="4">
                  <c:v>4.7</c:v>
                </c:pt>
                <c:pt idx="5">
                  <c:v>4.8</c:v>
                </c:pt>
                <c:pt idx="6">
                  <c:v>6.6</c:v>
                </c:pt>
                <c:pt idx="7">
                  <c:v>5.7</c:v>
                </c:pt>
                <c:pt idx="8">
                  <c:v>4.5</c:v>
                </c:pt>
                <c:pt idx="9">
                  <c:v>4.5999999999999996</c:v>
                </c:pt>
              </c:numCache>
            </c:numRef>
          </c:val>
          <c:extLst>
            <c:ext xmlns:c16="http://schemas.microsoft.com/office/drawing/2014/chart" uri="{C3380CC4-5D6E-409C-BE32-E72D297353CC}">
              <c16:uniqueId val="{00000003-2629-4BA9-B8B2-E36A51BF6B05}"/>
            </c:ext>
          </c:extLst>
        </c:ser>
        <c:dLbls>
          <c:showLegendKey val="0"/>
          <c:showVal val="0"/>
          <c:showCatName val="0"/>
          <c:showSerName val="0"/>
          <c:showPercent val="0"/>
          <c:showBubbleSize val="0"/>
        </c:dLbls>
        <c:gapWidth val="50"/>
        <c:overlap val="100"/>
        <c:axId val="661115376"/>
        <c:axId val="1"/>
      </c:barChart>
      <c:catAx>
        <c:axId val="66111537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
        <c:crosses val="autoZero"/>
        <c:auto val="1"/>
        <c:lblAlgn val="ctr"/>
        <c:lblOffset val="100"/>
        <c:noMultiLvlLbl val="0"/>
      </c:catAx>
      <c:valAx>
        <c:axId val="1"/>
        <c:scaling>
          <c:orientation val="minMax"/>
          <c:max val="2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61115376"/>
        <c:crosses val="autoZero"/>
        <c:crossBetween val="between"/>
        <c:majorUnit val="400"/>
      </c:valAx>
      <c:spPr>
        <a:noFill/>
        <a:ln w="25400">
          <a:noFill/>
        </a:ln>
      </c:spPr>
    </c:plotArea>
    <c:legend>
      <c:legendPos val="b"/>
      <c:layout>
        <c:manualLayout>
          <c:xMode val="edge"/>
          <c:yMode val="edge"/>
          <c:x val="3.7203319768515174E-2"/>
          <c:y val="0.78068301615067048"/>
          <c:w val="0.90612286524087349"/>
          <c:h val="0.17416627822858868"/>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Sheet1!$E$10</c:f>
              <c:strCache>
                <c:ptCount val="1"/>
                <c:pt idx="0">
                  <c:v>2015</c:v>
                </c:pt>
              </c:strCache>
            </c:strRef>
          </c:tx>
          <c:spPr>
            <a:solidFill>
              <a:schemeClr val="accent1"/>
            </a:solidFill>
            <a:ln>
              <a:noFill/>
            </a:ln>
            <a:effectLst/>
          </c:spPr>
          <c:invertIfNegative val="0"/>
          <c:cat>
            <c:strRef>
              <c:f>Sheet1!$D$11:$D$24</c:f>
              <c:strCache>
                <c:ptCount val="14"/>
                <c:pt idx="0">
                  <c:v>Tekošā konta bilance </c:v>
                </c:pt>
                <c:pt idx="1">
                  <c:v>Neto starptautiskā inv. poz.</c:v>
                </c:pt>
                <c:pt idx="2">
                  <c:v>Reālais efektīvais  maiņas kurss</c:v>
                </c:pt>
                <c:pt idx="3">
                  <c:v>Eksporta tirgus daļa % no pasaules eksporta</c:v>
                </c:pt>
                <c:pt idx="4">
                  <c:v>Nominālās darbaspēka vienības izmaksu indekss</c:v>
                </c:pt>
                <c:pt idx="5">
                  <c:v>Mājokļu cenu indekss</c:v>
                </c:pt>
                <c:pt idx="6">
                  <c:v>Privātā sektora kredītplūsma</c:v>
                </c:pt>
                <c:pt idx="7">
                  <c:v>Privātā sektora konsolidētais parāds</c:v>
                </c:pt>
                <c:pt idx="8">
                  <c:v>Vispārējais valdības parāds</c:v>
                </c:pt>
                <c:pt idx="9">
                  <c:v>Bezdarba līmenis</c:v>
                </c:pt>
                <c:pt idx="10">
                  <c:v>Finanšu sektora saistības kopā</c:v>
                </c:pt>
                <c:pt idx="11">
                  <c:v>Ekonomiski aktīvo iedzīvotāju īpatsvars </c:v>
                </c:pt>
                <c:pt idx="12">
                  <c:v>Ilgtermiņa bezdarba līmenis </c:v>
                </c:pt>
                <c:pt idx="13">
                  <c:v>Jauniešu bezdarba līmenis</c:v>
                </c:pt>
              </c:strCache>
            </c:strRef>
          </c:cat>
          <c:val>
            <c:numRef>
              <c:f>Sheet1!$E$11:$E$24</c:f>
              <c:numCache>
                <c:formatCode>General</c:formatCode>
                <c:ptCount val="14"/>
                <c:pt idx="0">
                  <c:v>5</c:v>
                </c:pt>
                <c:pt idx="1">
                  <c:v>15</c:v>
                </c:pt>
                <c:pt idx="2">
                  <c:v>5</c:v>
                </c:pt>
                <c:pt idx="3">
                  <c:v>11</c:v>
                </c:pt>
                <c:pt idx="4">
                  <c:v>4</c:v>
                </c:pt>
                <c:pt idx="5">
                  <c:v>6</c:v>
                </c:pt>
                <c:pt idx="6">
                  <c:v>1</c:v>
                </c:pt>
                <c:pt idx="7">
                  <c:v>13</c:v>
                </c:pt>
                <c:pt idx="8">
                  <c:v>17</c:v>
                </c:pt>
                <c:pt idx="9">
                  <c:v>12</c:v>
                </c:pt>
                <c:pt idx="10">
                  <c:v>0</c:v>
                </c:pt>
                <c:pt idx="11">
                  <c:v>0</c:v>
                </c:pt>
                <c:pt idx="12">
                  <c:v>8</c:v>
                </c:pt>
                <c:pt idx="13">
                  <c:v>4</c:v>
                </c:pt>
              </c:numCache>
            </c:numRef>
          </c:val>
          <c:extLst>
            <c:ext xmlns:c16="http://schemas.microsoft.com/office/drawing/2014/chart" uri="{C3380CC4-5D6E-409C-BE32-E72D297353CC}">
              <c16:uniqueId val="{00000000-CA69-4A77-8BB2-3D1B4CFF2C24}"/>
            </c:ext>
          </c:extLst>
        </c:ser>
        <c:ser>
          <c:idx val="1"/>
          <c:order val="1"/>
          <c:tx>
            <c:strRef>
              <c:f>Sheet1!$F$10</c:f>
              <c:strCache>
                <c:ptCount val="1"/>
                <c:pt idx="0">
                  <c:v>2016</c:v>
                </c:pt>
              </c:strCache>
            </c:strRef>
          </c:tx>
          <c:spPr>
            <a:solidFill>
              <a:schemeClr val="accent2"/>
            </a:solidFill>
            <a:ln>
              <a:noFill/>
            </a:ln>
            <a:effectLst/>
          </c:spPr>
          <c:invertIfNegative val="0"/>
          <c:cat>
            <c:strRef>
              <c:f>Sheet1!$D$11:$D$24</c:f>
              <c:strCache>
                <c:ptCount val="14"/>
                <c:pt idx="0">
                  <c:v>Tekošā konta bilance </c:v>
                </c:pt>
                <c:pt idx="1">
                  <c:v>Neto starptautiskā inv. poz.</c:v>
                </c:pt>
                <c:pt idx="2">
                  <c:v>Reālais efektīvais  maiņas kurss</c:v>
                </c:pt>
                <c:pt idx="3">
                  <c:v>Eksporta tirgus daļa % no pasaules eksporta</c:v>
                </c:pt>
                <c:pt idx="4">
                  <c:v>Nominālās darbaspēka vienības izmaksu indekss</c:v>
                </c:pt>
                <c:pt idx="5">
                  <c:v>Mājokļu cenu indekss</c:v>
                </c:pt>
                <c:pt idx="6">
                  <c:v>Privātā sektora kredītplūsma</c:v>
                </c:pt>
                <c:pt idx="7">
                  <c:v>Privātā sektora konsolidētais parāds</c:v>
                </c:pt>
                <c:pt idx="8">
                  <c:v>Vispārējais valdības parāds</c:v>
                </c:pt>
                <c:pt idx="9">
                  <c:v>Bezdarba līmenis</c:v>
                </c:pt>
                <c:pt idx="10">
                  <c:v>Finanšu sektora saistības kopā</c:v>
                </c:pt>
                <c:pt idx="11">
                  <c:v>Ekonomiski aktīvo iedzīvotāju īpatsvars </c:v>
                </c:pt>
                <c:pt idx="12">
                  <c:v>Ilgtermiņa bezdarba līmenis </c:v>
                </c:pt>
                <c:pt idx="13">
                  <c:v>Jauniešu bezdarba līmenis</c:v>
                </c:pt>
              </c:strCache>
            </c:strRef>
          </c:cat>
          <c:val>
            <c:numRef>
              <c:f>Sheet1!$F$11:$F$24</c:f>
              <c:numCache>
                <c:formatCode>General</c:formatCode>
                <c:ptCount val="14"/>
                <c:pt idx="0">
                  <c:v>5</c:v>
                </c:pt>
                <c:pt idx="1">
                  <c:v>15</c:v>
                </c:pt>
                <c:pt idx="2">
                  <c:v>3</c:v>
                </c:pt>
                <c:pt idx="3">
                  <c:v>3</c:v>
                </c:pt>
                <c:pt idx="4">
                  <c:v>3</c:v>
                </c:pt>
                <c:pt idx="5">
                  <c:v>10</c:v>
                </c:pt>
                <c:pt idx="6">
                  <c:v>0</c:v>
                </c:pt>
                <c:pt idx="7">
                  <c:v>12</c:v>
                </c:pt>
                <c:pt idx="8">
                  <c:v>16</c:v>
                </c:pt>
                <c:pt idx="9">
                  <c:v>9</c:v>
                </c:pt>
                <c:pt idx="10">
                  <c:v>1</c:v>
                </c:pt>
                <c:pt idx="11">
                  <c:v>1</c:v>
                </c:pt>
                <c:pt idx="12">
                  <c:v>2</c:v>
                </c:pt>
                <c:pt idx="13">
                  <c:v>1</c:v>
                </c:pt>
              </c:numCache>
            </c:numRef>
          </c:val>
          <c:extLst>
            <c:ext xmlns:c16="http://schemas.microsoft.com/office/drawing/2014/chart" uri="{C3380CC4-5D6E-409C-BE32-E72D297353CC}">
              <c16:uniqueId val="{00000001-CA69-4A77-8BB2-3D1B4CFF2C24}"/>
            </c:ext>
          </c:extLst>
        </c:ser>
        <c:ser>
          <c:idx val="2"/>
          <c:order val="2"/>
          <c:tx>
            <c:strRef>
              <c:f>Sheet1!$G$10</c:f>
              <c:strCache>
                <c:ptCount val="1"/>
                <c:pt idx="0">
                  <c:v>2017</c:v>
                </c:pt>
              </c:strCache>
            </c:strRef>
          </c:tx>
          <c:spPr>
            <a:solidFill>
              <a:schemeClr val="accent3"/>
            </a:solidFill>
            <a:ln>
              <a:noFill/>
            </a:ln>
            <a:effectLst/>
          </c:spPr>
          <c:invertIfNegative val="0"/>
          <c:cat>
            <c:strRef>
              <c:f>Sheet1!$D$11:$D$24</c:f>
              <c:strCache>
                <c:ptCount val="14"/>
                <c:pt idx="0">
                  <c:v>Tekošā konta bilance </c:v>
                </c:pt>
                <c:pt idx="1">
                  <c:v>Neto starptautiskā inv. poz.</c:v>
                </c:pt>
                <c:pt idx="2">
                  <c:v>Reālais efektīvais  maiņas kurss</c:v>
                </c:pt>
                <c:pt idx="3">
                  <c:v>Eksporta tirgus daļa % no pasaules eksporta</c:v>
                </c:pt>
                <c:pt idx="4">
                  <c:v>Nominālās darbaspēka vienības izmaksu indekss</c:v>
                </c:pt>
                <c:pt idx="5">
                  <c:v>Mājokļu cenu indekss</c:v>
                </c:pt>
                <c:pt idx="6">
                  <c:v>Privātā sektora kredītplūsma</c:v>
                </c:pt>
                <c:pt idx="7">
                  <c:v>Privātā sektora konsolidētais parāds</c:v>
                </c:pt>
                <c:pt idx="8">
                  <c:v>Vispārējais valdības parāds</c:v>
                </c:pt>
                <c:pt idx="9">
                  <c:v>Bezdarba līmenis</c:v>
                </c:pt>
                <c:pt idx="10">
                  <c:v>Finanšu sektora saistības kopā</c:v>
                </c:pt>
                <c:pt idx="11">
                  <c:v>Ekonomiski aktīvo iedzīvotāju īpatsvars </c:v>
                </c:pt>
                <c:pt idx="12">
                  <c:v>Ilgtermiņa bezdarba līmenis </c:v>
                </c:pt>
                <c:pt idx="13">
                  <c:v>Jauniešu bezdarba līmenis</c:v>
                </c:pt>
              </c:strCache>
            </c:strRef>
          </c:cat>
          <c:val>
            <c:numRef>
              <c:f>Sheet1!$G$11:$G$24</c:f>
              <c:numCache>
                <c:formatCode>General</c:formatCode>
                <c:ptCount val="14"/>
                <c:pt idx="0">
                  <c:v>6</c:v>
                </c:pt>
                <c:pt idx="1">
                  <c:v>13</c:v>
                </c:pt>
                <c:pt idx="2">
                  <c:v>2</c:v>
                </c:pt>
                <c:pt idx="3">
                  <c:v>1</c:v>
                </c:pt>
                <c:pt idx="4">
                  <c:v>4</c:v>
                </c:pt>
                <c:pt idx="5">
                  <c:v>6</c:v>
                </c:pt>
                <c:pt idx="6">
                  <c:v>0</c:v>
                </c:pt>
                <c:pt idx="7">
                  <c:v>12</c:v>
                </c:pt>
                <c:pt idx="8">
                  <c:v>15</c:v>
                </c:pt>
                <c:pt idx="9">
                  <c:v>7</c:v>
                </c:pt>
                <c:pt idx="10">
                  <c:v>2</c:v>
                </c:pt>
                <c:pt idx="11">
                  <c:v>3</c:v>
                </c:pt>
                <c:pt idx="12">
                  <c:v>1</c:v>
                </c:pt>
                <c:pt idx="13">
                  <c:v>0</c:v>
                </c:pt>
              </c:numCache>
            </c:numRef>
          </c:val>
          <c:extLst>
            <c:ext xmlns:c16="http://schemas.microsoft.com/office/drawing/2014/chart" uri="{C3380CC4-5D6E-409C-BE32-E72D297353CC}">
              <c16:uniqueId val="{00000002-CA69-4A77-8BB2-3D1B4CFF2C24}"/>
            </c:ext>
          </c:extLst>
        </c:ser>
        <c:ser>
          <c:idx val="3"/>
          <c:order val="3"/>
          <c:tx>
            <c:strRef>
              <c:f>Sheet1!$H$10</c:f>
              <c:strCache>
                <c:ptCount val="1"/>
                <c:pt idx="0">
                  <c:v>2018</c:v>
                </c:pt>
              </c:strCache>
            </c:strRef>
          </c:tx>
          <c:spPr>
            <a:solidFill>
              <a:schemeClr val="accent4"/>
            </a:solidFill>
            <a:ln>
              <a:noFill/>
            </a:ln>
            <a:effectLst/>
          </c:spPr>
          <c:invertIfNegative val="0"/>
          <c:cat>
            <c:strRef>
              <c:f>Sheet1!$D$11:$D$24</c:f>
              <c:strCache>
                <c:ptCount val="14"/>
                <c:pt idx="0">
                  <c:v>Tekošā konta bilance </c:v>
                </c:pt>
                <c:pt idx="1">
                  <c:v>Neto starptautiskā inv. poz.</c:v>
                </c:pt>
                <c:pt idx="2">
                  <c:v>Reālais efektīvais  maiņas kurss</c:v>
                </c:pt>
                <c:pt idx="3">
                  <c:v>Eksporta tirgus daļa % no pasaules eksporta</c:v>
                </c:pt>
                <c:pt idx="4">
                  <c:v>Nominālās darbaspēka vienības izmaksu indekss</c:v>
                </c:pt>
                <c:pt idx="5">
                  <c:v>Mājokļu cenu indekss</c:v>
                </c:pt>
                <c:pt idx="6">
                  <c:v>Privātā sektora kredītplūsma</c:v>
                </c:pt>
                <c:pt idx="7">
                  <c:v>Privātā sektora konsolidētais parāds</c:v>
                </c:pt>
                <c:pt idx="8">
                  <c:v>Vispārējais valdības parāds</c:v>
                </c:pt>
                <c:pt idx="9">
                  <c:v>Bezdarba līmenis</c:v>
                </c:pt>
                <c:pt idx="10">
                  <c:v>Finanšu sektora saistības kopā</c:v>
                </c:pt>
                <c:pt idx="11">
                  <c:v>Ekonomiski aktīvo iedzīvotāju īpatsvars </c:v>
                </c:pt>
                <c:pt idx="12">
                  <c:v>Ilgtermiņa bezdarba līmenis </c:v>
                </c:pt>
                <c:pt idx="13">
                  <c:v>Jauniešu bezdarba līmenis</c:v>
                </c:pt>
              </c:strCache>
            </c:strRef>
          </c:cat>
          <c:val>
            <c:numRef>
              <c:f>Sheet1!$H$11:$H$24</c:f>
              <c:numCache>
                <c:formatCode>General</c:formatCode>
                <c:ptCount val="14"/>
                <c:pt idx="0">
                  <c:v>6</c:v>
                </c:pt>
                <c:pt idx="1">
                  <c:v>12</c:v>
                </c:pt>
                <c:pt idx="2">
                  <c:v>6</c:v>
                </c:pt>
                <c:pt idx="3">
                  <c:v>1</c:v>
                </c:pt>
                <c:pt idx="4">
                  <c:v>8</c:v>
                </c:pt>
                <c:pt idx="5">
                  <c:v>7</c:v>
                </c:pt>
                <c:pt idx="6">
                  <c:v>0</c:v>
                </c:pt>
                <c:pt idx="7">
                  <c:v>12</c:v>
                </c:pt>
                <c:pt idx="8">
                  <c:v>14</c:v>
                </c:pt>
                <c:pt idx="9">
                  <c:v>5</c:v>
                </c:pt>
                <c:pt idx="10">
                  <c:v>1</c:v>
                </c:pt>
                <c:pt idx="11">
                  <c:v>2</c:v>
                </c:pt>
                <c:pt idx="12">
                  <c:v>0</c:v>
                </c:pt>
                <c:pt idx="13">
                  <c:v>0</c:v>
                </c:pt>
              </c:numCache>
            </c:numRef>
          </c:val>
          <c:extLst>
            <c:ext xmlns:c16="http://schemas.microsoft.com/office/drawing/2014/chart" uri="{C3380CC4-5D6E-409C-BE32-E72D297353CC}">
              <c16:uniqueId val="{00000003-CA69-4A77-8BB2-3D1B4CFF2C24}"/>
            </c:ext>
          </c:extLst>
        </c:ser>
        <c:ser>
          <c:idx val="4"/>
          <c:order val="4"/>
          <c:tx>
            <c:strRef>
              <c:f>Sheet1!$I$10</c:f>
              <c:strCache>
                <c:ptCount val="1"/>
                <c:pt idx="0">
                  <c:v>2019</c:v>
                </c:pt>
              </c:strCache>
            </c:strRef>
          </c:tx>
          <c:spPr>
            <a:solidFill>
              <a:schemeClr val="accent5"/>
            </a:solidFill>
            <a:ln>
              <a:noFill/>
            </a:ln>
            <a:effectLst/>
          </c:spPr>
          <c:invertIfNegative val="0"/>
          <c:cat>
            <c:strRef>
              <c:f>Sheet1!$D$11:$D$24</c:f>
              <c:strCache>
                <c:ptCount val="14"/>
                <c:pt idx="0">
                  <c:v>Tekošā konta bilance </c:v>
                </c:pt>
                <c:pt idx="1">
                  <c:v>Neto starptautiskā inv. poz.</c:v>
                </c:pt>
                <c:pt idx="2">
                  <c:v>Reālais efektīvais  maiņas kurss</c:v>
                </c:pt>
                <c:pt idx="3">
                  <c:v>Eksporta tirgus daļa % no pasaules eksporta</c:v>
                </c:pt>
                <c:pt idx="4">
                  <c:v>Nominālās darbaspēka vienības izmaksu indekss</c:v>
                </c:pt>
                <c:pt idx="5">
                  <c:v>Mājokļu cenu indekss</c:v>
                </c:pt>
                <c:pt idx="6">
                  <c:v>Privātā sektora kredītplūsma</c:v>
                </c:pt>
                <c:pt idx="7">
                  <c:v>Privātā sektora konsolidētais parāds</c:v>
                </c:pt>
                <c:pt idx="8">
                  <c:v>Vispārējais valdības parāds</c:v>
                </c:pt>
                <c:pt idx="9">
                  <c:v>Bezdarba līmenis</c:v>
                </c:pt>
                <c:pt idx="10">
                  <c:v>Finanšu sektora saistības kopā</c:v>
                </c:pt>
                <c:pt idx="11">
                  <c:v>Ekonomiski aktīvo iedzīvotāju īpatsvars </c:v>
                </c:pt>
                <c:pt idx="12">
                  <c:v>Ilgtermiņa bezdarba līmenis </c:v>
                </c:pt>
                <c:pt idx="13">
                  <c:v>Jauniešu bezdarba līmenis</c:v>
                </c:pt>
              </c:strCache>
            </c:strRef>
          </c:cat>
          <c:val>
            <c:numRef>
              <c:f>Sheet1!$I$11:$I$24</c:f>
              <c:numCache>
                <c:formatCode>General</c:formatCode>
                <c:ptCount val="14"/>
                <c:pt idx="0">
                  <c:v>5</c:v>
                </c:pt>
                <c:pt idx="1">
                  <c:v>11</c:v>
                </c:pt>
                <c:pt idx="2">
                  <c:v>1</c:v>
                </c:pt>
                <c:pt idx="3">
                  <c:v>0</c:v>
                </c:pt>
                <c:pt idx="4">
                  <c:v>8</c:v>
                </c:pt>
                <c:pt idx="5">
                  <c:v>8</c:v>
                </c:pt>
                <c:pt idx="6">
                  <c:v>0</c:v>
                </c:pt>
                <c:pt idx="7">
                  <c:v>10</c:v>
                </c:pt>
                <c:pt idx="8">
                  <c:v>11</c:v>
                </c:pt>
                <c:pt idx="9">
                  <c:v>3</c:v>
                </c:pt>
                <c:pt idx="10">
                  <c:v>1</c:v>
                </c:pt>
                <c:pt idx="11">
                  <c:v>1</c:v>
                </c:pt>
                <c:pt idx="12">
                  <c:v>0</c:v>
                </c:pt>
                <c:pt idx="13">
                  <c:v>0</c:v>
                </c:pt>
              </c:numCache>
            </c:numRef>
          </c:val>
          <c:extLst>
            <c:ext xmlns:c16="http://schemas.microsoft.com/office/drawing/2014/chart" uri="{C3380CC4-5D6E-409C-BE32-E72D297353CC}">
              <c16:uniqueId val="{00000004-CA69-4A77-8BB2-3D1B4CFF2C24}"/>
            </c:ext>
          </c:extLst>
        </c:ser>
        <c:dLbls>
          <c:showLegendKey val="0"/>
          <c:showVal val="0"/>
          <c:showCatName val="0"/>
          <c:showSerName val="0"/>
          <c:showPercent val="0"/>
          <c:showBubbleSize val="0"/>
        </c:dLbls>
        <c:gapWidth val="50"/>
        <c:overlap val="-27"/>
        <c:axId val="1245898511"/>
        <c:axId val="1618127343"/>
      </c:barChart>
      <c:catAx>
        <c:axId val="12458985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18127343"/>
        <c:crosses val="autoZero"/>
        <c:auto val="1"/>
        <c:lblAlgn val="ctr"/>
        <c:lblOffset val="100"/>
        <c:noMultiLvlLbl val="0"/>
      </c:catAx>
      <c:valAx>
        <c:axId val="1618127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45898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919730448863101E-2"/>
          <c:y val="2.74641800997883E-2"/>
          <c:w val="0.91830222222222224"/>
          <c:h val="0.6175173171338243"/>
        </c:manualLayout>
      </c:layout>
      <c:lineChart>
        <c:grouping val="standard"/>
        <c:varyColors val="0"/>
        <c:ser>
          <c:idx val="9"/>
          <c:order val="0"/>
          <c:tx>
            <c:strRef>
              <c:f>LV!$A$13</c:f>
              <c:strCache>
                <c:ptCount val="1"/>
                <c:pt idx="0">
                  <c:v>2022.g. budž. progn.</c:v>
                </c:pt>
              </c:strCache>
            </c:strRef>
          </c:tx>
          <c:spPr>
            <a:ln w="28575" cap="rnd">
              <a:solidFill>
                <a:schemeClr val="accent4">
                  <a:lumMod val="60000"/>
                </a:schemeClr>
              </a:solidFill>
              <a:round/>
            </a:ln>
            <a:effectLst/>
          </c:spPr>
          <c:marker>
            <c:symbol val="none"/>
          </c:marker>
          <c:cat>
            <c:numRef>
              <c:f>LV!$B$12:$S$12</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LV!$B$13:$S$13</c:f>
              <c:numCache>
                <c:formatCode>General</c:formatCode>
                <c:ptCount val="18"/>
                <c:pt idx="13" formatCode="0.0">
                  <c:v>102.26781795482843</c:v>
                </c:pt>
                <c:pt idx="14" formatCode="0.0">
                  <c:v>106.03198771316229</c:v>
                </c:pt>
                <c:pt idx="15" formatCode="0.0">
                  <c:v>111.29013108035768</c:v>
                </c:pt>
                <c:pt idx="16" formatCode="0.0">
                  <c:v>115.14360369849642</c:v>
                </c:pt>
                <c:pt idx="17" formatCode="0.0">
                  <c:v>119.01387515386827</c:v>
                </c:pt>
              </c:numCache>
            </c:numRef>
          </c:val>
          <c:smooth val="0"/>
          <c:extLst>
            <c:ext xmlns:c16="http://schemas.microsoft.com/office/drawing/2014/chart" uri="{C3380CC4-5D6E-409C-BE32-E72D297353CC}">
              <c16:uniqueId val="{00000000-4035-4833-BE64-D915DD3CF313}"/>
            </c:ext>
          </c:extLst>
        </c:ser>
        <c:ser>
          <c:idx val="7"/>
          <c:order val="1"/>
          <c:tx>
            <c:strRef>
              <c:f>LV!$A$14</c:f>
              <c:strCache>
                <c:ptCount val="1"/>
                <c:pt idx="0">
                  <c:v>2021.g.  budž. progn.</c:v>
                </c:pt>
              </c:strCache>
            </c:strRef>
          </c:tx>
          <c:spPr>
            <a:ln w="28575" cap="rnd">
              <a:solidFill>
                <a:schemeClr val="accent2">
                  <a:lumMod val="60000"/>
                </a:schemeClr>
              </a:solidFill>
              <a:round/>
            </a:ln>
            <a:effectLst/>
          </c:spPr>
          <c:marker>
            <c:symbol val="none"/>
          </c:marker>
          <c:cat>
            <c:numRef>
              <c:f>LV!$B$12:$S$12</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LV!$B$14:$S$14</c:f>
              <c:numCache>
                <c:formatCode>General</c:formatCode>
                <c:ptCount val="18"/>
                <c:pt idx="12" formatCode="0.0">
                  <c:v>106.11301833260039</c:v>
                </c:pt>
                <c:pt idx="13" formatCode="0.0">
                  <c:v>98.685107049318162</c:v>
                </c:pt>
                <c:pt idx="14" formatCode="0.0">
                  <c:v>103.71910465375592</c:v>
                </c:pt>
                <c:pt idx="15" formatCode="0.0">
                  <c:v>106.98590247320885</c:v>
                </c:pt>
                <c:pt idx="16" formatCode="0.0">
                  <c:v>110.32888889680069</c:v>
                </c:pt>
              </c:numCache>
            </c:numRef>
          </c:val>
          <c:smooth val="0"/>
          <c:extLst>
            <c:ext xmlns:c16="http://schemas.microsoft.com/office/drawing/2014/chart" uri="{C3380CC4-5D6E-409C-BE32-E72D297353CC}">
              <c16:uniqueId val="{00000001-4035-4833-BE64-D915DD3CF313}"/>
            </c:ext>
          </c:extLst>
        </c:ser>
        <c:ser>
          <c:idx val="0"/>
          <c:order val="2"/>
          <c:tx>
            <c:strRef>
              <c:f>LV!$A$15</c:f>
              <c:strCache>
                <c:ptCount val="1"/>
                <c:pt idx="0">
                  <c:v>2020.g.  budž. progn.</c:v>
                </c:pt>
              </c:strCache>
            </c:strRef>
          </c:tx>
          <c:spPr>
            <a:ln w="22225" cap="rnd">
              <a:solidFill>
                <a:srgbClr val="FFC000"/>
              </a:solidFill>
              <a:round/>
            </a:ln>
            <a:effectLst/>
          </c:spPr>
          <c:marker>
            <c:symbol val="none"/>
          </c:marker>
          <c:dPt>
            <c:idx val="2"/>
            <c:marker>
              <c:symbol val="none"/>
            </c:marker>
            <c:bubble3D val="0"/>
            <c:spPr>
              <a:ln w="22225" cap="rnd">
                <a:solidFill>
                  <a:srgbClr val="FFC000"/>
                </a:solidFill>
                <a:round/>
              </a:ln>
              <a:effectLst/>
            </c:spPr>
            <c:extLst>
              <c:ext xmlns:c16="http://schemas.microsoft.com/office/drawing/2014/chart" uri="{C3380CC4-5D6E-409C-BE32-E72D297353CC}">
                <c16:uniqueId val="{00000003-4035-4833-BE64-D915DD3CF313}"/>
              </c:ext>
            </c:extLst>
          </c:dPt>
          <c:cat>
            <c:numRef>
              <c:f>LV!$B$12:$S$12</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LV!$B$15:$S$15</c:f>
              <c:numCache>
                <c:formatCode>General</c:formatCode>
                <c:ptCount val="18"/>
                <c:pt idx="11" formatCode="0.0">
                  <c:v>104.00473636048223</c:v>
                </c:pt>
                <c:pt idx="12" formatCode="0.0">
                  <c:v>107.2966692716237</c:v>
                </c:pt>
                <c:pt idx="13" formatCode="0.0">
                  <c:v>110.30306157819163</c:v>
                </c:pt>
                <c:pt idx="14" formatCode="0.0">
                  <c:v>113.3874909492896</c:v>
                </c:pt>
                <c:pt idx="15" formatCode="0.0">
                  <c:v>116.55649785984579</c:v>
                </c:pt>
              </c:numCache>
            </c:numRef>
          </c:val>
          <c:smooth val="0"/>
          <c:extLst>
            <c:ext xmlns:c16="http://schemas.microsoft.com/office/drawing/2014/chart" uri="{C3380CC4-5D6E-409C-BE32-E72D297353CC}">
              <c16:uniqueId val="{00000004-4035-4833-BE64-D915DD3CF313}"/>
            </c:ext>
          </c:extLst>
        </c:ser>
        <c:ser>
          <c:idx val="1"/>
          <c:order val="3"/>
          <c:tx>
            <c:strRef>
              <c:f>LV!$A$16</c:f>
              <c:strCache>
                <c:ptCount val="1"/>
                <c:pt idx="0">
                  <c:v>2019.g.  budž. progn.</c:v>
                </c:pt>
              </c:strCache>
            </c:strRef>
          </c:tx>
          <c:spPr>
            <a:ln w="22225" cap="rnd">
              <a:solidFill>
                <a:srgbClr val="FF0000"/>
              </a:solidFill>
              <a:round/>
            </a:ln>
            <a:effectLst/>
          </c:spPr>
          <c:marker>
            <c:symbol val="none"/>
          </c:marker>
          <c:cat>
            <c:numRef>
              <c:f>LV!$B$12:$S$12</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LV!$B$16:$S$16</c:f>
              <c:numCache>
                <c:formatCode>General</c:formatCode>
                <c:ptCount val="18"/>
                <c:pt idx="10" formatCode="0.0">
                  <c:v>99.98117148051972</c:v>
                </c:pt>
                <c:pt idx="11" formatCode="0.0">
                  <c:v>104.18038068270153</c:v>
                </c:pt>
                <c:pt idx="12" formatCode="0.0">
                  <c:v>107.30579210318257</c:v>
                </c:pt>
                <c:pt idx="13" formatCode="0.0">
                  <c:v>110.5249659735838</c:v>
                </c:pt>
                <c:pt idx="14" formatCode="0.0">
                  <c:v>113.7301900973427</c:v>
                </c:pt>
              </c:numCache>
            </c:numRef>
          </c:val>
          <c:smooth val="0"/>
          <c:extLst>
            <c:ext xmlns:c16="http://schemas.microsoft.com/office/drawing/2014/chart" uri="{C3380CC4-5D6E-409C-BE32-E72D297353CC}">
              <c16:uniqueId val="{00000005-4035-4833-BE64-D915DD3CF313}"/>
            </c:ext>
          </c:extLst>
        </c:ser>
        <c:ser>
          <c:idx val="2"/>
          <c:order val="4"/>
          <c:tx>
            <c:strRef>
              <c:f>LV!$A$17</c:f>
              <c:strCache>
                <c:ptCount val="1"/>
                <c:pt idx="0">
                  <c:v>2018.g.  budž. progn.</c:v>
                </c:pt>
              </c:strCache>
            </c:strRef>
          </c:tx>
          <c:spPr>
            <a:ln w="25400" cap="rnd">
              <a:solidFill>
                <a:schemeClr val="accent3"/>
              </a:solidFill>
              <a:round/>
            </a:ln>
            <a:effectLst/>
          </c:spPr>
          <c:marker>
            <c:symbol val="none"/>
          </c:marker>
          <c:dPt>
            <c:idx val="2"/>
            <c:marker>
              <c:symbol val="none"/>
            </c:marker>
            <c:bubble3D val="0"/>
            <c:spPr>
              <a:ln w="25400" cap="rnd">
                <a:solidFill>
                  <a:schemeClr val="tx1"/>
                </a:solidFill>
                <a:round/>
              </a:ln>
              <a:effectLst/>
            </c:spPr>
            <c:extLst>
              <c:ext xmlns:c16="http://schemas.microsoft.com/office/drawing/2014/chart" uri="{C3380CC4-5D6E-409C-BE32-E72D297353CC}">
                <c16:uniqueId val="{00000007-4035-4833-BE64-D915DD3CF313}"/>
              </c:ext>
            </c:extLst>
          </c:dPt>
          <c:dPt>
            <c:idx val="3"/>
            <c:marker>
              <c:symbol val="none"/>
            </c:marker>
            <c:bubble3D val="0"/>
            <c:spPr>
              <a:ln w="25400" cap="rnd">
                <a:solidFill>
                  <a:schemeClr val="tx1"/>
                </a:solidFill>
                <a:round/>
              </a:ln>
              <a:effectLst/>
            </c:spPr>
            <c:extLst>
              <c:ext xmlns:c16="http://schemas.microsoft.com/office/drawing/2014/chart" uri="{C3380CC4-5D6E-409C-BE32-E72D297353CC}">
                <c16:uniqueId val="{00000009-4035-4833-BE64-D915DD3CF313}"/>
              </c:ext>
            </c:extLst>
          </c:dPt>
          <c:dPt>
            <c:idx val="4"/>
            <c:marker>
              <c:symbol val="none"/>
            </c:marker>
            <c:bubble3D val="0"/>
            <c:spPr>
              <a:ln w="25400" cap="rnd">
                <a:solidFill>
                  <a:schemeClr val="tx1"/>
                </a:solidFill>
                <a:round/>
              </a:ln>
              <a:effectLst/>
            </c:spPr>
            <c:extLst>
              <c:ext xmlns:c16="http://schemas.microsoft.com/office/drawing/2014/chart" uri="{C3380CC4-5D6E-409C-BE32-E72D297353CC}">
                <c16:uniqueId val="{0000000B-4035-4833-BE64-D915DD3CF313}"/>
              </c:ext>
            </c:extLst>
          </c:dPt>
          <c:dPt>
            <c:idx val="5"/>
            <c:marker>
              <c:symbol val="none"/>
            </c:marker>
            <c:bubble3D val="0"/>
            <c:spPr>
              <a:ln w="25400" cap="rnd">
                <a:solidFill>
                  <a:schemeClr val="tx1"/>
                </a:solidFill>
                <a:round/>
              </a:ln>
              <a:effectLst/>
            </c:spPr>
            <c:extLst>
              <c:ext xmlns:c16="http://schemas.microsoft.com/office/drawing/2014/chart" uri="{C3380CC4-5D6E-409C-BE32-E72D297353CC}">
                <c16:uniqueId val="{0000000D-4035-4833-BE64-D915DD3CF313}"/>
              </c:ext>
            </c:extLst>
          </c:dPt>
          <c:dPt>
            <c:idx val="6"/>
            <c:marker>
              <c:symbol val="none"/>
            </c:marker>
            <c:bubble3D val="0"/>
            <c:spPr>
              <a:ln w="25400" cap="rnd">
                <a:solidFill>
                  <a:schemeClr val="tx1"/>
                </a:solidFill>
                <a:round/>
              </a:ln>
              <a:effectLst/>
            </c:spPr>
            <c:extLst>
              <c:ext xmlns:c16="http://schemas.microsoft.com/office/drawing/2014/chart" uri="{C3380CC4-5D6E-409C-BE32-E72D297353CC}">
                <c16:uniqueId val="{0000000F-4035-4833-BE64-D915DD3CF313}"/>
              </c:ext>
            </c:extLst>
          </c:dPt>
          <c:dPt>
            <c:idx val="7"/>
            <c:marker>
              <c:symbol val="none"/>
            </c:marker>
            <c:bubble3D val="0"/>
            <c:spPr>
              <a:ln w="25400" cap="rnd">
                <a:solidFill>
                  <a:schemeClr val="tx1"/>
                </a:solidFill>
                <a:round/>
              </a:ln>
              <a:effectLst/>
            </c:spPr>
            <c:extLst>
              <c:ext xmlns:c16="http://schemas.microsoft.com/office/drawing/2014/chart" uri="{C3380CC4-5D6E-409C-BE32-E72D297353CC}">
                <c16:uniqueId val="{00000011-4035-4833-BE64-D915DD3CF313}"/>
              </c:ext>
            </c:extLst>
          </c:dPt>
          <c:dPt>
            <c:idx val="8"/>
            <c:marker>
              <c:symbol val="none"/>
            </c:marker>
            <c:bubble3D val="0"/>
            <c:spPr>
              <a:ln w="25400" cap="rnd">
                <a:solidFill>
                  <a:schemeClr val="tx1"/>
                </a:solidFill>
                <a:round/>
              </a:ln>
              <a:effectLst/>
            </c:spPr>
            <c:extLst>
              <c:ext xmlns:c16="http://schemas.microsoft.com/office/drawing/2014/chart" uri="{C3380CC4-5D6E-409C-BE32-E72D297353CC}">
                <c16:uniqueId val="{00000013-4035-4833-BE64-D915DD3CF313}"/>
              </c:ext>
            </c:extLst>
          </c:dPt>
          <c:cat>
            <c:numRef>
              <c:f>LV!$B$12:$S$12</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LV!$B$17:$S$17</c:f>
              <c:numCache>
                <c:formatCode>General</c:formatCode>
                <c:ptCount val="18"/>
                <c:pt idx="9" formatCode="0.0">
                  <c:v>96.833388861226553</c:v>
                </c:pt>
                <c:pt idx="10" formatCode="0.0">
                  <c:v>100.41047821809859</c:v>
                </c:pt>
                <c:pt idx="11" formatCode="0.0">
                  <c:v>103.84436285163034</c:v>
                </c:pt>
                <c:pt idx="12" formatCode="0.0">
                  <c:v>107.18004882454831</c:v>
                </c:pt>
                <c:pt idx="13" formatCode="0.0">
                  <c:v>110.61274111739483</c:v>
                </c:pt>
              </c:numCache>
            </c:numRef>
          </c:val>
          <c:smooth val="0"/>
          <c:extLst>
            <c:ext xmlns:c16="http://schemas.microsoft.com/office/drawing/2014/chart" uri="{C3380CC4-5D6E-409C-BE32-E72D297353CC}">
              <c16:uniqueId val="{00000014-4035-4833-BE64-D915DD3CF313}"/>
            </c:ext>
          </c:extLst>
        </c:ser>
        <c:ser>
          <c:idx val="3"/>
          <c:order val="5"/>
          <c:tx>
            <c:strRef>
              <c:f>LV!$A$18</c:f>
              <c:strCache>
                <c:ptCount val="1"/>
                <c:pt idx="0">
                  <c:v>2017.g.  budž. progn.</c:v>
                </c:pt>
              </c:strCache>
            </c:strRef>
          </c:tx>
          <c:spPr>
            <a:ln w="22225" cap="rnd">
              <a:solidFill>
                <a:schemeClr val="accent4">
                  <a:lumMod val="75000"/>
                </a:schemeClr>
              </a:solidFill>
              <a:round/>
            </a:ln>
            <a:effectLst/>
          </c:spPr>
          <c:marker>
            <c:symbol val="none"/>
          </c:marker>
          <c:dPt>
            <c:idx val="2"/>
            <c:marker>
              <c:symbol val="none"/>
            </c:marker>
            <c:bubble3D val="0"/>
            <c:spPr>
              <a:ln w="22225" cap="rnd">
                <a:solidFill>
                  <a:schemeClr val="accent4">
                    <a:lumMod val="75000"/>
                  </a:schemeClr>
                </a:solidFill>
                <a:round/>
              </a:ln>
              <a:effectLst/>
            </c:spPr>
            <c:extLst>
              <c:ext xmlns:c16="http://schemas.microsoft.com/office/drawing/2014/chart" uri="{C3380CC4-5D6E-409C-BE32-E72D297353CC}">
                <c16:uniqueId val="{00000016-4035-4833-BE64-D915DD3CF313}"/>
              </c:ext>
            </c:extLst>
          </c:dPt>
          <c:dPt>
            <c:idx val="3"/>
            <c:marker>
              <c:symbol val="none"/>
            </c:marker>
            <c:bubble3D val="0"/>
            <c:spPr>
              <a:ln w="22225" cap="rnd">
                <a:solidFill>
                  <a:schemeClr val="accent4">
                    <a:lumMod val="75000"/>
                  </a:schemeClr>
                </a:solidFill>
                <a:round/>
              </a:ln>
              <a:effectLst/>
            </c:spPr>
            <c:extLst>
              <c:ext xmlns:c16="http://schemas.microsoft.com/office/drawing/2014/chart" uri="{C3380CC4-5D6E-409C-BE32-E72D297353CC}">
                <c16:uniqueId val="{00000018-4035-4833-BE64-D915DD3CF313}"/>
              </c:ext>
            </c:extLst>
          </c:dPt>
          <c:dPt>
            <c:idx val="4"/>
            <c:marker>
              <c:symbol val="none"/>
            </c:marker>
            <c:bubble3D val="0"/>
            <c:spPr>
              <a:ln w="22225" cap="rnd">
                <a:solidFill>
                  <a:schemeClr val="accent4">
                    <a:lumMod val="75000"/>
                  </a:schemeClr>
                </a:solidFill>
                <a:round/>
              </a:ln>
              <a:effectLst/>
            </c:spPr>
            <c:extLst>
              <c:ext xmlns:c16="http://schemas.microsoft.com/office/drawing/2014/chart" uri="{C3380CC4-5D6E-409C-BE32-E72D297353CC}">
                <c16:uniqueId val="{0000001A-4035-4833-BE64-D915DD3CF313}"/>
              </c:ext>
            </c:extLst>
          </c:dPt>
          <c:dPt>
            <c:idx val="5"/>
            <c:marker>
              <c:symbol val="none"/>
            </c:marker>
            <c:bubble3D val="0"/>
            <c:spPr>
              <a:ln w="22225" cap="rnd">
                <a:solidFill>
                  <a:schemeClr val="accent4">
                    <a:lumMod val="75000"/>
                  </a:schemeClr>
                </a:solidFill>
                <a:round/>
              </a:ln>
              <a:effectLst/>
            </c:spPr>
            <c:extLst>
              <c:ext xmlns:c16="http://schemas.microsoft.com/office/drawing/2014/chart" uri="{C3380CC4-5D6E-409C-BE32-E72D297353CC}">
                <c16:uniqueId val="{0000001C-4035-4833-BE64-D915DD3CF313}"/>
              </c:ext>
            </c:extLst>
          </c:dPt>
          <c:dPt>
            <c:idx val="6"/>
            <c:marker>
              <c:symbol val="none"/>
            </c:marker>
            <c:bubble3D val="0"/>
            <c:spPr>
              <a:ln w="22225" cap="rnd">
                <a:solidFill>
                  <a:schemeClr val="accent4">
                    <a:lumMod val="75000"/>
                  </a:schemeClr>
                </a:solidFill>
                <a:round/>
              </a:ln>
              <a:effectLst/>
            </c:spPr>
            <c:extLst>
              <c:ext xmlns:c16="http://schemas.microsoft.com/office/drawing/2014/chart" uri="{C3380CC4-5D6E-409C-BE32-E72D297353CC}">
                <c16:uniqueId val="{0000001E-4035-4833-BE64-D915DD3CF313}"/>
              </c:ext>
            </c:extLst>
          </c:dPt>
          <c:dPt>
            <c:idx val="7"/>
            <c:marker>
              <c:symbol val="none"/>
            </c:marker>
            <c:bubble3D val="0"/>
            <c:spPr>
              <a:ln w="22225" cap="rnd">
                <a:solidFill>
                  <a:schemeClr val="accent4">
                    <a:lumMod val="75000"/>
                  </a:schemeClr>
                </a:solidFill>
                <a:round/>
              </a:ln>
              <a:effectLst/>
            </c:spPr>
            <c:extLst>
              <c:ext xmlns:c16="http://schemas.microsoft.com/office/drawing/2014/chart" uri="{C3380CC4-5D6E-409C-BE32-E72D297353CC}">
                <c16:uniqueId val="{00000020-4035-4833-BE64-D915DD3CF313}"/>
              </c:ext>
            </c:extLst>
          </c:dPt>
          <c:cat>
            <c:numRef>
              <c:f>LV!$B$12:$S$12</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LV!$B$18:$R$18</c:f>
              <c:numCache>
                <c:formatCode>General</c:formatCode>
                <c:ptCount val="17"/>
                <c:pt idx="8" formatCode="0.0">
                  <c:v>94.588870669714908</c:v>
                </c:pt>
                <c:pt idx="9" formatCode="0.0">
                  <c:v>97.390195190635538</c:v>
                </c:pt>
                <c:pt idx="10" formatCode="0.0">
                  <c:v>100.90600055527213</c:v>
                </c:pt>
                <c:pt idx="11" formatCode="0.0">
                  <c:v>104.51882871124266</c:v>
                </c:pt>
              </c:numCache>
            </c:numRef>
          </c:val>
          <c:smooth val="0"/>
          <c:extLst>
            <c:ext xmlns:c16="http://schemas.microsoft.com/office/drawing/2014/chart" uri="{C3380CC4-5D6E-409C-BE32-E72D297353CC}">
              <c16:uniqueId val="{00000021-4035-4833-BE64-D915DD3CF313}"/>
            </c:ext>
          </c:extLst>
        </c:ser>
        <c:ser>
          <c:idx val="4"/>
          <c:order val="6"/>
          <c:tx>
            <c:strRef>
              <c:f>LV!$A$19</c:f>
              <c:strCache>
                <c:ptCount val="1"/>
                <c:pt idx="0">
                  <c:v>2016.g. budž. progn.</c:v>
                </c:pt>
              </c:strCache>
            </c:strRef>
          </c:tx>
          <c:spPr>
            <a:ln w="22225" cap="rnd">
              <a:solidFill>
                <a:srgbClr val="0070C0"/>
              </a:solidFill>
              <a:round/>
            </a:ln>
            <a:effectLst/>
          </c:spPr>
          <c:marker>
            <c:symbol val="none"/>
          </c:marker>
          <c:dPt>
            <c:idx val="2"/>
            <c:marker>
              <c:symbol val="none"/>
            </c:marker>
            <c:bubble3D val="0"/>
            <c:spPr>
              <a:ln w="22225" cap="rnd">
                <a:solidFill>
                  <a:srgbClr val="0070C0"/>
                </a:solidFill>
                <a:round/>
              </a:ln>
              <a:effectLst/>
            </c:spPr>
            <c:extLst>
              <c:ext xmlns:c16="http://schemas.microsoft.com/office/drawing/2014/chart" uri="{C3380CC4-5D6E-409C-BE32-E72D297353CC}">
                <c16:uniqueId val="{00000023-4035-4833-BE64-D915DD3CF313}"/>
              </c:ext>
            </c:extLst>
          </c:dPt>
          <c:dPt>
            <c:idx val="3"/>
            <c:marker>
              <c:symbol val="none"/>
            </c:marker>
            <c:bubble3D val="0"/>
            <c:spPr>
              <a:ln w="22225" cap="rnd">
                <a:solidFill>
                  <a:srgbClr val="0070C0"/>
                </a:solidFill>
                <a:round/>
              </a:ln>
              <a:effectLst/>
            </c:spPr>
            <c:extLst>
              <c:ext xmlns:c16="http://schemas.microsoft.com/office/drawing/2014/chart" uri="{C3380CC4-5D6E-409C-BE32-E72D297353CC}">
                <c16:uniqueId val="{00000025-4035-4833-BE64-D915DD3CF313}"/>
              </c:ext>
            </c:extLst>
          </c:dPt>
          <c:dPt>
            <c:idx val="4"/>
            <c:marker>
              <c:symbol val="none"/>
            </c:marker>
            <c:bubble3D val="0"/>
            <c:spPr>
              <a:ln w="22225" cap="rnd">
                <a:solidFill>
                  <a:srgbClr val="0070C0"/>
                </a:solidFill>
                <a:round/>
              </a:ln>
              <a:effectLst/>
            </c:spPr>
            <c:extLst>
              <c:ext xmlns:c16="http://schemas.microsoft.com/office/drawing/2014/chart" uri="{C3380CC4-5D6E-409C-BE32-E72D297353CC}">
                <c16:uniqueId val="{00000027-4035-4833-BE64-D915DD3CF313}"/>
              </c:ext>
            </c:extLst>
          </c:dPt>
          <c:dPt>
            <c:idx val="5"/>
            <c:marker>
              <c:symbol val="none"/>
            </c:marker>
            <c:bubble3D val="0"/>
            <c:spPr>
              <a:ln w="22225" cap="rnd">
                <a:solidFill>
                  <a:srgbClr val="0070C0"/>
                </a:solidFill>
                <a:round/>
              </a:ln>
              <a:effectLst/>
            </c:spPr>
            <c:extLst>
              <c:ext xmlns:c16="http://schemas.microsoft.com/office/drawing/2014/chart" uri="{C3380CC4-5D6E-409C-BE32-E72D297353CC}">
                <c16:uniqueId val="{00000029-4035-4833-BE64-D915DD3CF313}"/>
              </c:ext>
            </c:extLst>
          </c:dPt>
          <c:dPt>
            <c:idx val="6"/>
            <c:marker>
              <c:symbol val="none"/>
            </c:marker>
            <c:bubble3D val="0"/>
            <c:spPr>
              <a:ln w="22225" cap="rnd">
                <a:solidFill>
                  <a:srgbClr val="0070C0"/>
                </a:solidFill>
                <a:round/>
              </a:ln>
              <a:effectLst/>
            </c:spPr>
            <c:extLst>
              <c:ext xmlns:c16="http://schemas.microsoft.com/office/drawing/2014/chart" uri="{C3380CC4-5D6E-409C-BE32-E72D297353CC}">
                <c16:uniqueId val="{0000002B-4035-4833-BE64-D915DD3CF313}"/>
              </c:ext>
            </c:extLst>
          </c:dPt>
          <c:cat>
            <c:numRef>
              <c:f>LV!$B$12:$S$12</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LV!$B$19:$S$19</c:f>
              <c:numCache>
                <c:formatCode>General</c:formatCode>
                <c:ptCount val="18"/>
                <c:pt idx="7" formatCode="0.0">
                  <c:v>90.944837752579531</c:v>
                </c:pt>
                <c:pt idx="8" formatCode="0.0">
                  <c:v>93.44729253256844</c:v>
                </c:pt>
                <c:pt idx="9" formatCode="0.0">
                  <c:v>96.509778159251582</c:v>
                </c:pt>
                <c:pt idx="10" formatCode="0.0">
                  <c:v>99.963486732720597</c:v>
                </c:pt>
              </c:numCache>
            </c:numRef>
          </c:val>
          <c:smooth val="0"/>
          <c:extLst>
            <c:ext xmlns:c16="http://schemas.microsoft.com/office/drawing/2014/chart" uri="{C3380CC4-5D6E-409C-BE32-E72D297353CC}">
              <c16:uniqueId val="{0000002C-4035-4833-BE64-D915DD3CF313}"/>
            </c:ext>
          </c:extLst>
        </c:ser>
        <c:ser>
          <c:idx val="5"/>
          <c:order val="7"/>
          <c:tx>
            <c:strRef>
              <c:f>LV!$A$20</c:f>
              <c:strCache>
                <c:ptCount val="1"/>
                <c:pt idx="0">
                  <c:v>2015.g. budž. progn.</c:v>
                </c:pt>
              </c:strCache>
            </c:strRef>
          </c:tx>
          <c:spPr>
            <a:ln w="22225" cap="rnd">
              <a:solidFill>
                <a:schemeClr val="accent6">
                  <a:lumMod val="60000"/>
                  <a:lumOff val="40000"/>
                </a:schemeClr>
              </a:solidFill>
              <a:round/>
            </a:ln>
            <a:effectLst/>
          </c:spPr>
          <c:marker>
            <c:symbol val="none"/>
          </c:marker>
          <c:dPt>
            <c:idx val="2"/>
            <c:marker>
              <c:symbol val="none"/>
            </c:marker>
            <c:bubble3D val="0"/>
            <c:spPr>
              <a:ln w="22225" cap="rnd">
                <a:solidFill>
                  <a:schemeClr val="accent6">
                    <a:lumMod val="60000"/>
                    <a:lumOff val="40000"/>
                  </a:schemeClr>
                </a:solidFill>
                <a:round/>
              </a:ln>
              <a:effectLst/>
            </c:spPr>
            <c:extLst>
              <c:ext xmlns:c16="http://schemas.microsoft.com/office/drawing/2014/chart" uri="{C3380CC4-5D6E-409C-BE32-E72D297353CC}">
                <c16:uniqueId val="{0000002E-4035-4833-BE64-D915DD3CF313}"/>
              </c:ext>
            </c:extLst>
          </c:dPt>
          <c:dPt>
            <c:idx val="3"/>
            <c:marker>
              <c:symbol val="none"/>
            </c:marker>
            <c:bubble3D val="0"/>
            <c:spPr>
              <a:ln w="22225" cap="rnd">
                <a:solidFill>
                  <a:schemeClr val="accent6">
                    <a:lumMod val="60000"/>
                    <a:lumOff val="40000"/>
                  </a:schemeClr>
                </a:solidFill>
                <a:round/>
              </a:ln>
              <a:effectLst/>
            </c:spPr>
            <c:extLst>
              <c:ext xmlns:c16="http://schemas.microsoft.com/office/drawing/2014/chart" uri="{C3380CC4-5D6E-409C-BE32-E72D297353CC}">
                <c16:uniqueId val="{00000030-4035-4833-BE64-D915DD3CF313}"/>
              </c:ext>
            </c:extLst>
          </c:dPt>
          <c:dPt>
            <c:idx val="4"/>
            <c:marker>
              <c:symbol val="none"/>
            </c:marker>
            <c:bubble3D val="0"/>
            <c:spPr>
              <a:ln w="22225" cap="rnd">
                <a:solidFill>
                  <a:schemeClr val="accent6">
                    <a:lumMod val="60000"/>
                    <a:lumOff val="40000"/>
                  </a:schemeClr>
                </a:solidFill>
                <a:round/>
              </a:ln>
              <a:effectLst/>
            </c:spPr>
            <c:extLst>
              <c:ext xmlns:c16="http://schemas.microsoft.com/office/drawing/2014/chart" uri="{C3380CC4-5D6E-409C-BE32-E72D297353CC}">
                <c16:uniqueId val="{00000032-4035-4833-BE64-D915DD3CF313}"/>
              </c:ext>
            </c:extLst>
          </c:dPt>
          <c:dPt>
            <c:idx val="5"/>
            <c:marker>
              <c:symbol val="none"/>
            </c:marker>
            <c:bubble3D val="0"/>
            <c:spPr>
              <a:ln w="22225" cap="rnd">
                <a:solidFill>
                  <a:schemeClr val="accent6">
                    <a:lumMod val="60000"/>
                    <a:lumOff val="40000"/>
                  </a:schemeClr>
                </a:solidFill>
                <a:round/>
              </a:ln>
              <a:effectLst/>
            </c:spPr>
            <c:extLst>
              <c:ext xmlns:c16="http://schemas.microsoft.com/office/drawing/2014/chart" uri="{C3380CC4-5D6E-409C-BE32-E72D297353CC}">
                <c16:uniqueId val="{00000034-4035-4833-BE64-D915DD3CF313}"/>
              </c:ext>
            </c:extLst>
          </c:dPt>
          <c:cat>
            <c:numRef>
              <c:f>LV!$B$12:$S$12</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LV!$B$20:$S$20</c:f>
              <c:numCache>
                <c:formatCode>General</c:formatCode>
                <c:ptCount val="18"/>
                <c:pt idx="6" formatCode="0.0">
                  <c:v>89.978798755861945</c:v>
                </c:pt>
                <c:pt idx="7" formatCode="0.0">
                  <c:v>93.748119546817435</c:v>
                </c:pt>
                <c:pt idx="8" formatCode="0.0">
                  <c:v>97.474038261296513</c:v>
                </c:pt>
                <c:pt idx="9" formatCode="0.0">
                  <c:v>101.36633014446491</c:v>
                </c:pt>
              </c:numCache>
            </c:numRef>
          </c:val>
          <c:smooth val="0"/>
          <c:extLst>
            <c:ext xmlns:c16="http://schemas.microsoft.com/office/drawing/2014/chart" uri="{C3380CC4-5D6E-409C-BE32-E72D297353CC}">
              <c16:uniqueId val="{00000035-4035-4833-BE64-D915DD3CF313}"/>
            </c:ext>
          </c:extLst>
        </c:ser>
        <c:ser>
          <c:idx val="6"/>
          <c:order val="8"/>
          <c:tx>
            <c:strRef>
              <c:f>LV!$A$21</c:f>
              <c:strCache>
                <c:ptCount val="1"/>
                <c:pt idx="0">
                  <c:v>2014.g.  budž. progn.</c:v>
                </c:pt>
              </c:strCache>
            </c:strRef>
          </c:tx>
          <c:spPr>
            <a:ln w="22225" cap="rnd">
              <a:solidFill>
                <a:schemeClr val="tx2">
                  <a:lumMod val="40000"/>
                  <a:lumOff val="60000"/>
                </a:schemeClr>
              </a:solidFill>
              <a:round/>
            </a:ln>
            <a:effectLst/>
          </c:spPr>
          <c:marker>
            <c:symbol val="none"/>
          </c:marker>
          <c:dPt>
            <c:idx val="2"/>
            <c:marker>
              <c:symbol val="none"/>
            </c:marker>
            <c:bubble3D val="0"/>
            <c:spPr>
              <a:ln w="22225" cap="rnd">
                <a:solidFill>
                  <a:schemeClr val="tx2">
                    <a:lumMod val="40000"/>
                    <a:lumOff val="60000"/>
                  </a:schemeClr>
                </a:solidFill>
                <a:round/>
              </a:ln>
              <a:effectLst/>
            </c:spPr>
            <c:extLst>
              <c:ext xmlns:c16="http://schemas.microsoft.com/office/drawing/2014/chart" uri="{C3380CC4-5D6E-409C-BE32-E72D297353CC}">
                <c16:uniqueId val="{00000037-4035-4833-BE64-D915DD3CF313}"/>
              </c:ext>
            </c:extLst>
          </c:dPt>
          <c:dPt>
            <c:idx val="3"/>
            <c:marker>
              <c:symbol val="none"/>
            </c:marker>
            <c:bubble3D val="0"/>
            <c:spPr>
              <a:ln w="22225" cap="rnd">
                <a:solidFill>
                  <a:schemeClr val="tx2">
                    <a:lumMod val="40000"/>
                    <a:lumOff val="60000"/>
                  </a:schemeClr>
                </a:solidFill>
                <a:round/>
              </a:ln>
              <a:effectLst/>
            </c:spPr>
            <c:extLst>
              <c:ext xmlns:c16="http://schemas.microsoft.com/office/drawing/2014/chart" uri="{C3380CC4-5D6E-409C-BE32-E72D297353CC}">
                <c16:uniqueId val="{00000039-4035-4833-BE64-D915DD3CF313}"/>
              </c:ext>
            </c:extLst>
          </c:dPt>
          <c:dPt>
            <c:idx val="4"/>
            <c:marker>
              <c:symbol val="none"/>
            </c:marker>
            <c:bubble3D val="0"/>
            <c:spPr>
              <a:ln w="22225" cap="rnd">
                <a:solidFill>
                  <a:schemeClr val="tx2">
                    <a:lumMod val="40000"/>
                    <a:lumOff val="60000"/>
                  </a:schemeClr>
                </a:solidFill>
                <a:round/>
              </a:ln>
              <a:effectLst/>
            </c:spPr>
            <c:extLst>
              <c:ext xmlns:c16="http://schemas.microsoft.com/office/drawing/2014/chart" uri="{C3380CC4-5D6E-409C-BE32-E72D297353CC}">
                <c16:uniqueId val="{0000003B-4035-4833-BE64-D915DD3CF313}"/>
              </c:ext>
            </c:extLst>
          </c:dPt>
          <c:cat>
            <c:numRef>
              <c:f>LV!$B$12:$S$12</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LV!$B$21:$S$21</c:f>
              <c:numCache>
                <c:formatCode>General</c:formatCode>
                <c:ptCount val="18"/>
                <c:pt idx="5" formatCode="0.0">
                  <c:v>87.947059394639794</c:v>
                </c:pt>
                <c:pt idx="6" formatCode="0.0">
                  <c:v>91.209944691750607</c:v>
                </c:pt>
                <c:pt idx="7" formatCode="0.0">
                  <c:v>94.854085653802386</c:v>
                </c:pt>
                <c:pt idx="8" formatCode="0.0">
                  <c:v>98.629959505331442</c:v>
                </c:pt>
              </c:numCache>
            </c:numRef>
          </c:val>
          <c:smooth val="0"/>
          <c:extLst>
            <c:ext xmlns:c16="http://schemas.microsoft.com/office/drawing/2014/chart" uri="{C3380CC4-5D6E-409C-BE32-E72D297353CC}">
              <c16:uniqueId val="{0000003C-4035-4833-BE64-D915DD3CF313}"/>
            </c:ext>
          </c:extLst>
        </c:ser>
        <c:ser>
          <c:idx val="8"/>
          <c:order val="9"/>
          <c:tx>
            <c:strRef>
              <c:f>LV!$A$25</c:f>
              <c:strCache>
                <c:ptCount val="1"/>
                <c:pt idx="0">
                  <c:v>Faktiskā IKP izaugsme</c:v>
                </c:pt>
              </c:strCache>
            </c:strRef>
          </c:tx>
          <c:spPr>
            <a:ln w="28575" cap="rnd">
              <a:solidFill>
                <a:schemeClr val="tx1"/>
              </a:solidFill>
              <a:round/>
            </a:ln>
            <a:effectLst/>
          </c:spPr>
          <c:marker>
            <c:symbol val="circle"/>
            <c:size val="7"/>
            <c:spPr>
              <a:solidFill>
                <a:schemeClr val="bg1"/>
              </a:solidFill>
              <a:ln w="9525">
                <a:solidFill>
                  <a:schemeClr val="accent3">
                    <a:lumMod val="60000"/>
                  </a:schemeClr>
                </a:solidFill>
              </a:ln>
              <a:effectLst/>
            </c:spPr>
          </c:marker>
          <c:cat>
            <c:numRef>
              <c:f>LV!$B$12:$S$12</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LV!$B$25:$S$25</c:f>
              <c:numCache>
                <c:formatCode>0.0</c:formatCode>
                <c:ptCount val="18"/>
                <c:pt idx="0" formatCode="General">
                  <c:v>100</c:v>
                </c:pt>
                <c:pt idx="1">
                  <c:v>96.672701369552385</c:v>
                </c:pt>
                <c:pt idx="2">
                  <c:v>82.887444543193496</c:v>
                </c:pt>
                <c:pt idx="3">
                  <c:v>79.234742573624075</c:v>
                </c:pt>
                <c:pt idx="4">
                  <c:v>84.360313085659271</c:v>
                </c:pt>
                <c:pt idx="5">
                  <c:v>87.947059394639794</c:v>
                </c:pt>
                <c:pt idx="6">
                  <c:v>89.978798755861945</c:v>
                </c:pt>
                <c:pt idx="7">
                  <c:v>90.944837752579531</c:v>
                </c:pt>
                <c:pt idx="8">
                  <c:v>94.588870669714908</c:v>
                </c:pt>
                <c:pt idx="9">
                  <c:v>96.833388861226553</c:v>
                </c:pt>
                <c:pt idx="10">
                  <c:v>99.98117148051972</c:v>
                </c:pt>
                <c:pt idx="11">
                  <c:v>104.00473636048223</c:v>
                </c:pt>
                <c:pt idx="12">
                  <c:v>106.11301833260039</c:v>
                </c:pt>
                <c:pt idx="13">
                  <c:v>102.26781795482843</c:v>
                </c:pt>
              </c:numCache>
            </c:numRef>
          </c:val>
          <c:smooth val="0"/>
          <c:extLst>
            <c:ext xmlns:c16="http://schemas.microsoft.com/office/drawing/2014/chart" uri="{C3380CC4-5D6E-409C-BE32-E72D297353CC}">
              <c16:uniqueId val="{0000003D-4035-4833-BE64-D915DD3CF313}"/>
            </c:ext>
          </c:extLst>
        </c:ser>
        <c:dLbls>
          <c:showLegendKey val="0"/>
          <c:showVal val="0"/>
          <c:showCatName val="0"/>
          <c:showSerName val="0"/>
          <c:showPercent val="0"/>
          <c:showBubbleSize val="0"/>
        </c:dLbls>
        <c:smooth val="0"/>
        <c:axId val="359210992"/>
        <c:axId val="359211384"/>
      </c:lineChart>
      <c:catAx>
        <c:axId val="3592109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59211384"/>
        <c:crosses val="autoZero"/>
        <c:auto val="1"/>
        <c:lblAlgn val="ctr"/>
        <c:lblOffset val="100"/>
        <c:tickMarkSkip val="5"/>
        <c:noMultiLvlLbl val="0"/>
      </c:catAx>
      <c:valAx>
        <c:axId val="359211384"/>
        <c:scaling>
          <c:orientation val="minMax"/>
          <c:max val="120"/>
          <c:min val="7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59210992"/>
        <c:crosses val="autoZero"/>
        <c:crossBetween val="between"/>
        <c:majorUnit val="10"/>
      </c:valAx>
      <c:spPr>
        <a:noFill/>
        <a:ln>
          <a:noFill/>
        </a:ln>
        <a:effectLst/>
      </c:spPr>
    </c:plotArea>
    <c:legend>
      <c:legendPos val="b"/>
      <c:layout>
        <c:manualLayout>
          <c:xMode val="edge"/>
          <c:yMode val="edge"/>
          <c:x val="0"/>
          <c:y val="0.77674758423968726"/>
          <c:w val="1"/>
          <c:h val="0.2232524157603127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813156807198196E-2"/>
          <c:y val="4.8661199533237776E-2"/>
          <c:w val="0.94345630044498707"/>
          <c:h val="0.89074346923119385"/>
        </c:manualLayout>
      </c:layout>
      <c:barChart>
        <c:barDir val="col"/>
        <c:grouping val="stacked"/>
        <c:varyColors val="0"/>
        <c:ser>
          <c:idx val="1"/>
          <c:order val="1"/>
          <c:tx>
            <c:strRef>
              <c:f>LV!$C$3</c:f>
              <c:strCache>
                <c:ptCount val="1"/>
                <c:pt idx="0">
                  <c:v>Privātais patēriņš</c:v>
                </c:pt>
              </c:strCache>
            </c:strRef>
          </c:tx>
          <c:spPr>
            <a:ln>
              <a:noFill/>
            </a:ln>
          </c:spPr>
          <c:invertIfNegative val="0"/>
          <c:cat>
            <c:numRef>
              <c:f>LV!$D$1:$O$1</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LV!$D$3:$O$3</c:f>
              <c:numCache>
                <c:formatCode>0.0</c:formatCode>
                <c:ptCount val="12"/>
                <c:pt idx="0">
                  <c:v>-10.321954287245351</c:v>
                </c:pt>
                <c:pt idx="1">
                  <c:v>7.3567439952613185</c:v>
                </c:pt>
                <c:pt idx="2">
                  <c:v>0.64508677936896364</c:v>
                </c:pt>
                <c:pt idx="3">
                  <c:v>2.1212992274741049</c:v>
                </c:pt>
                <c:pt idx="4">
                  <c:v>0.92728403921679936</c:v>
                </c:pt>
                <c:pt idx="5">
                  <c:v>-1.5464236546618346</c:v>
                </c:pt>
                <c:pt idx="6">
                  <c:v>7.804516690147012E-2</c:v>
                </c:pt>
                <c:pt idx="7">
                  <c:v>-0.33980239802496026</c:v>
                </c:pt>
                <c:pt idx="8">
                  <c:v>0.39844253191305201</c:v>
                </c:pt>
                <c:pt idx="9">
                  <c:v>0.17135905289370879</c:v>
                </c:pt>
                <c:pt idx="10">
                  <c:v>-0.36061137046721514</c:v>
                </c:pt>
                <c:pt idx="11">
                  <c:v>-1.4596911800303989</c:v>
                </c:pt>
              </c:numCache>
            </c:numRef>
          </c:val>
          <c:extLst>
            <c:ext xmlns:c16="http://schemas.microsoft.com/office/drawing/2014/chart" uri="{C3380CC4-5D6E-409C-BE32-E72D297353CC}">
              <c16:uniqueId val="{00000000-9BF9-4B10-8600-3F8FB173E70A}"/>
            </c:ext>
          </c:extLst>
        </c:ser>
        <c:ser>
          <c:idx val="2"/>
          <c:order val="2"/>
          <c:tx>
            <c:strRef>
              <c:f>LV!$C$4</c:f>
              <c:strCache>
                <c:ptCount val="1"/>
                <c:pt idx="0">
                  <c:v>Sabiedriskais patēriņš</c:v>
                </c:pt>
              </c:strCache>
            </c:strRef>
          </c:tx>
          <c:spPr>
            <a:ln>
              <a:noFill/>
            </a:ln>
          </c:spPr>
          <c:invertIfNegative val="0"/>
          <c:cat>
            <c:numRef>
              <c:f>LV!$D$1:$O$1</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LV!$D$4:$O$4</c:f>
              <c:numCache>
                <c:formatCode>0.0</c:formatCode>
                <c:ptCount val="12"/>
                <c:pt idx="0">
                  <c:v>-0.68908932689579061</c:v>
                </c:pt>
                <c:pt idx="1">
                  <c:v>9.3043045860093931E-2</c:v>
                </c:pt>
                <c:pt idx="2">
                  <c:v>0.39102733163819609</c:v>
                </c:pt>
                <c:pt idx="3">
                  <c:v>-2.7015103219265549E-2</c:v>
                </c:pt>
                <c:pt idx="4">
                  <c:v>0.38269293624611989</c:v>
                </c:pt>
                <c:pt idx="5">
                  <c:v>0.70398361310636481</c:v>
                </c:pt>
                <c:pt idx="6">
                  <c:v>8.0392296951586839E-2</c:v>
                </c:pt>
                <c:pt idx="7">
                  <c:v>-0.14404450952870496</c:v>
                </c:pt>
                <c:pt idx="8">
                  <c:v>0.17935539454491423</c:v>
                </c:pt>
                <c:pt idx="9">
                  <c:v>3.1992948200467719E-2</c:v>
                </c:pt>
                <c:pt idx="10">
                  <c:v>-7.466315739407442E-2</c:v>
                </c:pt>
                <c:pt idx="11">
                  <c:v>-0.10039478898724752</c:v>
                </c:pt>
              </c:numCache>
            </c:numRef>
          </c:val>
          <c:extLst>
            <c:ext xmlns:c16="http://schemas.microsoft.com/office/drawing/2014/chart" uri="{C3380CC4-5D6E-409C-BE32-E72D297353CC}">
              <c16:uniqueId val="{00000001-9BF9-4B10-8600-3F8FB173E70A}"/>
            </c:ext>
          </c:extLst>
        </c:ser>
        <c:ser>
          <c:idx val="3"/>
          <c:order val="3"/>
          <c:tx>
            <c:strRef>
              <c:f>LV!$C$5</c:f>
              <c:strCache>
                <c:ptCount val="1"/>
                <c:pt idx="0">
                  <c:v>Kopējā pamatkapitāla veidošana</c:v>
                </c:pt>
              </c:strCache>
            </c:strRef>
          </c:tx>
          <c:spPr>
            <a:ln>
              <a:noFill/>
            </a:ln>
          </c:spPr>
          <c:invertIfNegative val="0"/>
          <c:cat>
            <c:numRef>
              <c:f>LV!$D$1:$O$1</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LV!$D$5:$O$5</c:f>
              <c:numCache>
                <c:formatCode>0.0</c:formatCode>
                <c:ptCount val="12"/>
                <c:pt idx="0">
                  <c:v>-7.6929708617799397</c:v>
                </c:pt>
                <c:pt idx="1">
                  <c:v>-1.6281181821237243</c:v>
                </c:pt>
                <c:pt idx="2">
                  <c:v>4.1006771021898034</c:v>
                </c:pt>
                <c:pt idx="3">
                  <c:v>1.175667247088529</c:v>
                </c:pt>
                <c:pt idx="4">
                  <c:v>-3.0573538822515669</c:v>
                </c:pt>
                <c:pt idx="5">
                  <c:v>-1.2393014584765654</c:v>
                </c:pt>
                <c:pt idx="6">
                  <c:v>-0.17750299636338718</c:v>
                </c:pt>
                <c:pt idx="7">
                  <c:v>0.14386357414500139</c:v>
                </c:pt>
                <c:pt idx="8">
                  <c:v>0.7319804554215279</c:v>
                </c:pt>
                <c:pt idx="9">
                  <c:v>0.47507424921853403</c:v>
                </c:pt>
                <c:pt idx="10">
                  <c:v>-1.1937216479336445</c:v>
                </c:pt>
                <c:pt idx="11">
                  <c:v>2.4869176291223072</c:v>
                </c:pt>
              </c:numCache>
            </c:numRef>
          </c:val>
          <c:extLst>
            <c:ext xmlns:c16="http://schemas.microsoft.com/office/drawing/2014/chart" uri="{C3380CC4-5D6E-409C-BE32-E72D297353CC}">
              <c16:uniqueId val="{00000002-9BF9-4B10-8600-3F8FB173E70A}"/>
            </c:ext>
          </c:extLst>
        </c:ser>
        <c:ser>
          <c:idx val="4"/>
          <c:order val="4"/>
          <c:tx>
            <c:strRef>
              <c:f>LV!$C$6</c:f>
              <c:strCache>
                <c:ptCount val="1"/>
                <c:pt idx="0">
                  <c:v>Krājumu izmaiņas</c:v>
                </c:pt>
              </c:strCache>
            </c:strRef>
          </c:tx>
          <c:spPr>
            <a:ln>
              <a:noFill/>
            </a:ln>
          </c:spPr>
          <c:invertIfNegative val="0"/>
          <c:cat>
            <c:numRef>
              <c:f>LV!$D$1:$O$1</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LV!$D$6:$O$6</c:f>
              <c:numCache>
                <c:formatCode>0.0</c:formatCode>
                <c:ptCount val="12"/>
                <c:pt idx="0">
                  <c:v>-2.2599889135060685</c:v>
                </c:pt>
                <c:pt idx="1">
                  <c:v>3.5787877135993305</c:v>
                </c:pt>
                <c:pt idx="2">
                  <c:v>1.8139421667859978</c:v>
                </c:pt>
                <c:pt idx="3">
                  <c:v>-4.1153043633432302</c:v>
                </c:pt>
                <c:pt idx="4">
                  <c:v>-0.62257650429221179</c:v>
                </c:pt>
                <c:pt idx="5">
                  <c:v>-1.4010806305132375</c:v>
                </c:pt>
                <c:pt idx="6">
                  <c:v>-0.17750299636338718</c:v>
                </c:pt>
                <c:pt idx="7">
                  <c:v>-2.5443102383546083</c:v>
                </c:pt>
                <c:pt idx="8">
                  <c:v>0.54013884388881594</c:v>
                </c:pt>
                <c:pt idx="9">
                  <c:v>1.4610419477111545</c:v>
                </c:pt>
                <c:pt idx="10">
                  <c:v>2.1416462212983629</c:v>
                </c:pt>
                <c:pt idx="11">
                  <c:v>3.1334359079828884</c:v>
                </c:pt>
              </c:numCache>
            </c:numRef>
          </c:val>
          <c:extLst>
            <c:ext xmlns:c16="http://schemas.microsoft.com/office/drawing/2014/chart" uri="{C3380CC4-5D6E-409C-BE32-E72D297353CC}">
              <c16:uniqueId val="{00000003-9BF9-4B10-8600-3F8FB173E70A}"/>
            </c:ext>
          </c:extLst>
        </c:ser>
        <c:ser>
          <c:idx val="5"/>
          <c:order val="5"/>
          <c:tx>
            <c:strRef>
              <c:f>LV!$C$7</c:f>
              <c:strCache>
                <c:ptCount val="1"/>
                <c:pt idx="0">
                  <c:v>Neto eksports</c:v>
                </c:pt>
              </c:strCache>
            </c:strRef>
          </c:tx>
          <c:spPr>
            <a:ln>
              <a:noFill/>
            </a:ln>
          </c:spPr>
          <c:invertIfNegative val="0"/>
          <c:cat>
            <c:numRef>
              <c:f>LV!$D$1:$O$1</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LV!$D$7:$O$7</c:f>
              <c:numCache>
                <c:formatCode>0.0</c:formatCode>
                <c:ptCount val="12"/>
                <c:pt idx="0">
                  <c:v>8.0493985565027835</c:v>
                </c:pt>
                <c:pt idx="1">
                  <c:v>-5.7216538481193133</c:v>
                </c:pt>
                <c:pt idx="2">
                  <c:v>-4.7663220960320407</c:v>
                </c:pt>
                <c:pt idx="3">
                  <c:v>3.913577297672739</c:v>
                </c:pt>
                <c:pt idx="4">
                  <c:v>2.7699387500953661</c:v>
                </c:pt>
                <c:pt idx="5">
                  <c:v>1.6529063072662975</c:v>
                </c:pt>
                <c:pt idx="6">
                  <c:v>-0.45365311295598909</c:v>
                </c:pt>
                <c:pt idx="7">
                  <c:v>2.31368614132648</c:v>
                </c:pt>
                <c:pt idx="8">
                  <c:v>-0.7485053373674373</c:v>
                </c:pt>
                <c:pt idx="9">
                  <c:v>-1.5697515163893736</c:v>
                </c:pt>
                <c:pt idx="10">
                  <c:v>-1.4803842358104242</c:v>
                </c:pt>
                <c:pt idx="11">
                  <c:v>-0.68395148377766479</c:v>
                </c:pt>
              </c:numCache>
            </c:numRef>
          </c:val>
          <c:extLst>
            <c:ext xmlns:c16="http://schemas.microsoft.com/office/drawing/2014/chart" uri="{C3380CC4-5D6E-409C-BE32-E72D297353CC}">
              <c16:uniqueId val="{00000004-9BF9-4B10-8600-3F8FB173E70A}"/>
            </c:ext>
          </c:extLst>
        </c:ser>
        <c:ser>
          <c:idx val="6"/>
          <c:order val="6"/>
          <c:tx>
            <c:strRef>
              <c:f>LV!$C$8</c:f>
              <c:strCache>
                <c:ptCount val="1"/>
                <c:pt idx="0">
                  <c:v>Statistikas korekcijas</c:v>
                </c:pt>
              </c:strCache>
            </c:strRef>
          </c:tx>
          <c:spPr>
            <a:ln>
              <a:noFill/>
            </a:ln>
          </c:spPr>
          <c:invertIfNegative val="0"/>
          <c:cat>
            <c:numRef>
              <c:f>LV!$D$1:$O$1</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LV!$D$8:$O$8</c:f>
              <c:numCache>
                <c:formatCode>0.0</c:formatCode>
                <c:ptCount val="12"/>
                <c:pt idx="0">
                  <c:v>3.4608827639365494</c:v>
                </c:pt>
                <c:pt idx="1">
                  <c:v>-3.1668226948743969</c:v>
                </c:pt>
                <c:pt idx="2">
                  <c:v>0.97863140325729336</c:v>
                </c:pt>
                <c:pt idx="3">
                  <c:v>-1.0825035576711928</c:v>
                </c:pt>
                <c:pt idx="4">
                  <c:v>-1.8892421347630046</c:v>
                </c:pt>
                <c:pt idx="5">
                  <c:v>-0.44642878006120612</c:v>
                </c:pt>
                <c:pt idx="6">
                  <c:v>0.51895245854382388</c:v>
                </c:pt>
                <c:pt idx="7">
                  <c:v>-0.17655602943811743</c:v>
                </c:pt>
                <c:pt idx="8">
                  <c:v>-0.84916586362693591</c:v>
                </c:pt>
                <c:pt idx="9">
                  <c:v>-0.74539408130722506</c:v>
                </c:pt>
                <c:pt idx="10">
                  <c:v>0.17033988251284882</c:v>
                </c:pt>
                <c:pt idx="11">
                  <c:v>0</c:v>
                </c:pt>
              </c:numCache>
            </c:numRef>
          </c:val>
          <c:extLst>
            <c:ext xmlns:c16="http://schemas.microsoft.com/office/drawing/2014/chart" uri="{C3380CC4-5D6E-409C-BE32-E72D297353CC}">
              <c16:uniqueId val="{00000005-9BF9-4B10-8600-3F8FB173E70A}"/>
            </c:ext>
          </c:extLst>
        </c:ser>
        <c:dLbls>
          <c:showLegendKey val="0"/>
          <c:showVal val="0"/>
          <c:showCatName val="0"/>
          <c:showSerName val="0"/>
          <c:showPercent val="0"/>
          <c:showBubbleSize val="0"/>
        </c:dLbls>
        <c:gapWidth val="50"/>
        <c:overlap val="100"/>
        <c:axId val="435172480"/>
        <c:axId val="435172872"/>
      </c:barChart>
      <c:lineChart>
        <c:grouping val="standard"/>
        <c:varyColors val="0"/>
        <c:ser>
          <c:idx val="0"/>
          <c:order val="0"/>
          <c:tx>
            <c:strRef>
              <c:f>LV!$C$2</c:f>
              <c:strCache>
                <c:ptCount val="1"/>
                <c:pt idx="0">
                  <c:v>IKP</c:v>
                </c:pt>
              </c:strCache>
            </c:strRef>
          </c:tx>
          <c:spPr>
            <a:ln>
              <a:solidFill>
                <a:schemeClr val="bg1">
                  <a:lumMod val="75000"/>
                </a:schemeClr>
              </a:solidFill>
            </a:ln>
          </c:spPr>
          <c:marker>
            <c:symbol val="circle"/>
            <c:size val="7"/>
            <c:spPr>
              <a:solidFill>
                <a:schemeClr val="bg1">
                  <a:lumMod val="65000"/>
                </a:schemeClr>
              </a:solidFill>
              <a:ln>
                <a:solidFill>
                  <a:schemeClr val="bg1">
                    <a:lumMod val="75000"/>
                  </a:schemeClr>
                </a:solidFill>
              </a:ln>
            </c:spPr>
          </c:marker>
          <c:cat>
            <c:numRef>
              <c:f>LV!$D$1:$O$1</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LV!$D$2:$O$2</c:f>
              <c:numCache>
                <c:formatCode>0.0</c:formatCode>
                <c:ptCount val="12"/>
                <c:pt idx="0">
                  <c:v>-12.914604832924368</c:v>
                </c:pt>
                <c:pt idx="1">
                  <c:v>3.6788027244777051</c:v>
                </c:pt>
                <c:pt idx="2">
                  <c:v>2.1844112839509204</c:v>
                </c:pt>
                <c:pt idx="3">
                  <c:v>3.0682243056728771</c:v>
                </c:pt>
                <c:pt idx="4">
                  <c:v>0.40003964242507895</c:v>
                </c:pt>
                <c:pt idx="5">
                  <c:v>-1.8299158232789585</c:v>
                </c:pt>
                <c:pt idx="6">
                  <c:v>-1.0835124894503778E-2</c:v>
                </c:pt>
                <c:pt idx="7">
                  <c:v>-0.57060743043677409</c:v>
                </c:pt>
                <c:pt idx="8">
                  <c:v>1.1014118884008246</c:v>
                </c:pt>
                <c:pt idx="9">
                  <c:v>0.56971668163448896</c:v>
                </c:pt>
                <c:pt idx="10">
                  <c:v>-0.96773419030701291</c:v>
                </c:pt>
                <c:pt idx="11">
                  <c:v>3.3763160843098774</c:v>
                </c:pt>
              </c:numCache>
            </c:numRef>
          </c:val>
          <c:smooth val="0"/>
          <c:extLst>
            <c:ext xmlns:c16="http://schemas.microsoft.com/office/drawing/2014/chart" uri="{C3380CC4-5D6E-409C-BE32-E72D297353CC}">
              <c16:uniqueId val="{00000006-9BF9-4B10-8600-3F8FB173E70A}"/>
            </c:ext>
          </c:extLst>
        </c:ser>
        <c:dLbls>
          <c:showLegendKey val="0"/>
          <c:showVal val="0"/>
          <c:showCatName val="0"/>
          <c:showSerName val="0"/>
          <c:showPercent val="0"/>
          <c:showBubbleSize val="0"/>
        </c:dLbls>
        <c:marker val="1"/>
        <c:smooth val="0"/>
        <c:axId val="435172480"/>
        <c:axId val="435172872"/>
      </c:lineChart>
      <c:catAx>
        <c:axId val="435172480"/>
        <c:scaling>
          <c:orientation val="minMax"/>
        </c:scaling>
        <c:delete val="0"/>
        <c:axPos val="b"/>
        <c:numFmt formatCode="General" sourceLinked="1"/>
        <c:majorTickMark val="out"/>
        <c:minorTickMark val="none"/>
        <c:tickLblPos val="low"/>
        <c:crossAx val="435172872"/>
        <c:crosses val="autoZero"/>
        <c:auto val="1"/>
        <c:lblAlgn val="ctr"/>
        <c:lblOffset val="100"/>
        <c:noMultiLvlLbl val="0"/>
      </c:catAx>
      <c:valAx>
        <c:axId val="435172872"/>
        <c:scaling>
          <c:orientation val="minMax"/>
        </c:scaling>
        <c:delete val="0"/>
        <c:axPos val="l"/>
        <c:majorGridlines/>
        <c:numFmt formatCode="0" sourceLinked="0"/>
        <c:majorTickMark val="out"/>
        <c:minorTickMark val="none"/>
        <c:tickLblPos val="nextTo"/>
        <c:crossAx val="435172480"/>
        <c:crosses val="autoZero"/>
        <c:crossBetween val="between"/>
      </c:valAx>
    </c:plotArea>
    <c:legend>
      <c:legendPos val="r"/>
      <c:layout>
        <c:manualLayout>
          <c:xMode val="edge"/>
          <c:yMode val="edge"/>
          <c:x val="0.54408500827596407"/>
          <c:y val="0.52087737058317474"/>
          <c:w val="0.37001503514203749"/>
          <c:h val="0.38006239786064477"/>
        </c:manualLayout>
      </c:layout>
      <c:overlay val="0"/>
      <c:spPr>
        <a:solidFill>
          <a:schemeClr val="bg1"/>
        </a:solidFill>
        <a:ln>
          <a:noFill/>
        </a:ln>
      </c:spPr>
    </c:legend>
    <c:plotVisOnly val="1"/>
    <c:dispBlanksAs val="gap"/>
    <c:showDLblsOverMax val="0"/>
  </c:chart>
  <c:spPr>
    <a:ln>
      <a:noFill/>
    </a:ln>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userShapes r:id="rId2"/>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7238537666913032"/>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A86-4370-8DA4-72BDB78B0D4F}"/>
                </c:ext>
              </c:extLst>
            </c:dLbl>
            <c:dLbl>
              <c:idx val="3"/>
              <c:layout>
                <c:manualLayout>
                  <c:x val="-7.7623026926648103E-2"/>
                  <c:y val="4.1513900388421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A86-4370-8DA4-72BDB78B0D4F}"/>
                </c:ext>
              </c:extLst>
            </c:dLbl>
            <c:dLbl>
              <c:idx val="4"/>
              <c:layout>
                <c:manualLayout>
                  <c:x val="-7.6075518415351345E-2"/>
                  <c:y val="6.26853894498191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86-4370-8DA4-72BDB78B0D4F}"/>
                </c:ext>
              </c:extLst>
            </c:dLbl>
            <c:dLbl>
              <c:idx val="5"/>
              <c:layout>
                <c:manualLayout>
                  <c:x val="-7.6802725564596899E-2"/>
                  <c:y val="4.8571063408887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86-4370-8DA4-72BDB78B0D4F}"/>
                </c:ext>
              </c:extLst>
            </c:dLbl>
            <c:dLbl>
              <c:idx val="6"/>
              <c:layout>
                <c:manualLayout>
                  <c:x val="-7.66638153517719E-2"/>
                  <c:y val="6.26853894498191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A86-4370-8DA4-72BDB78B0D4F}"/>
                </c:ext>
              </c:extLst>
            </c:dLbl>
            <c:numFmt formatCode="#,##0.00" sourceLinked="0"/>
            <c:spPr>
              <a:noFill/>
              <a:ln>
                <a:noFill/>
              </a:ln>
              <a:effectLst/>
            </c:spPr>
            <c:txPr>
              <a:bodyPr wrap="square" lIns="38100" tIns="19050" rIns="38100" bIns="19050" anchor="ctr">
                <a:spAutoFit/>
              </a:bodyPr>
              <a:lstStyle/>
              <a:p>
                <a:pPr>
                  <a:defRPr sz="600"/>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0.00</c:formatCode>
                <c:ptCount val="13"/>
                <c:pt idx="0">
                  <c:v>0.57999999999999996</c:v>
                </c:pt>
                <c:pt idx="1">
                  <c:v>0.45</c:v>
                </c:pt>
                <c:pt idx="2">
                  <c:v>0.61</c:v>
                </c:pt>
                <c:pt idx="3">
                  <c:v>0.7</c:v>
                </c:pt>
                <c:pt idx="4">
                  <c:v>0.66</c:v>
                </c:pt>
                <c:pt idx="5">
                  <c:v>0.61</c:v>
                </c:pt>
                <c:pt idx="6">
                  <c:v>0.69</c:v>
                </c:pt>
                <c:pt idx="7">
                  <c:v>0.63</c:v>
                </c:pt>
                <c:pt idx="8">
                  <c:v>0.44</c:v>
                </c:pt>
                <c:pt idx="9">
                  <c:v>0.51</c:v>
                </c:pt>
                <c:pt idx="10">
                  <c:v>0.63</c:v>
                </c:pt>
                <c:pt idx="11">
                  <c:v>0.64</c:v>
                </c:pt>
              </c:numCache>
            </c:numRef>
          </c:val>
          <c:smooth val="0"/>
          <c:extLst>
            <c:ext xmlns:c16="http://schemas.microsoft.com/office/drawing/2014/chart" uri="{C3380CC4-5D6E-409C-BE32-E72D297353CC}">
              <c16:uniqueId val="{00000005-5A86-4370-8DA4-72BDB78B0D4F}"/>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1" formatCode="0.0">
                  <c:v>0.64</c:v>
                </c:pt>
                <c:pt idx="12" formatCode="0.0">
                  <c:v>0.66554336541178327</c:v>
                </c:pt>
              </c:numCache>
            </c:numRef>
          </c:val>
          <c:smooth val="0"/>
          <c:extLst>
            <c:ext xmlns:c16="http://schemas.microsoft.com/office/drawing/2014/chart" uri="{C3380CC4-5D6E-409C-BE32-E72D297353CC}">
              <c16:uniqueId val="{00000006-5A86-4370-8DA4-72BDB78B0D4F}"/>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c:ext xmlns:c16="http://schemas.microsoft.com/office/drawing/2014/chart" uri="{C3380CC4-5D6E-409C-BE32-E72D297353CC}">
                <c16:uniqueId val="{00000007-5A86-4370-8DA4-72BDB78B0D4F}"/>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0">
                  <c:v>1.5</c:v>
                </c:pt>
              </c:numCache>
            </c:numRef>
          </c:val>
          <c:smooth val="0"/>
          <c:extLst>
            <c:ext xmlns:c16="http://schemas.microsoft.com/office/drawing/2014/chart" uri="{C3380CC4-5D6E-409C-BE32-E72D297353CC}">
              <c16:uniqueId val="{00000008-5A86-4370-8DA4-72BDB78B0D4F}"/>
            </c:ext>
          </c:extLst>
        </c:ser>
        <c:dLbls>
          <c:showLegendKey val="0"/>
          <c:showVal val="0"/>
          <c:showCatName val="0"/>
          <c:showSerName val="0"/>
          <c:showPercent val="0"/>
          <c:showBubbleSize val="0"/>
        </c:dLbls>
        <c:marker val="1"/>
        <c:smooth val="0"/>
        <c:axId val="455792912"/>
        <c:axId val="455794872"/>
      </c:lineChart>
      <c:catAx>
        <c:axId val="455792912"/>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455794872"/>
        <c:crosses val="autoZero"/>
        <c:auto val="1"/>
        <c:lblAlgn val="ctr"/>
        <c:lblOffset val="0"/>
        <c:tickLblSkip val="1"/>
        <c:noMultiLvlLbl val="1"/>
      </c:catAx>
      <c:valAx>
        <c:axId val="455794872"/>
        <c:scaling>
          <c:orientation val="minMax"/>
          <c:max val="1.52"/>
          <c:min val="0"/>
        </c:scaling>
        <c:delete val="0"/>
        <c:axPos val="l"/>
        <c:numFmt formatCode="0.0" sourceLinked="0"/>
        <c:majorTickMark val="out"/>
        <c:minorTickMark val="none"/>
        <c:tickLblPos val="nextTo"/>
        <c:spPr>
          <a:ln w="3175">
            <a:noFill/>
          </a:ln>
        </c:spPr>
        <c:txPr>
          <a:bodyPr rot="0" vert="horz"/>
          <a:lstStyle/>
          <a:p>
            <a:pPr>
              <a:defRPr/>
            </a:pPr>
            <a:endParaRPr lang="lv-LV"/>
          </a:p>
        </c:txPr>
        <c:crossAx val="455792912"/>
        <c:crosses val="autoZero"/>
        <c:crossBetween val="between"/>
        <c:majorUnit val="0.5"/>
      </c:valAx>
      <c:spPr>
        <a:noFill/>
        <a:ln w="24631">
          <a:noFill/>
        </a:ln>
      </c:spPr>
    </c:plotArea>
    <c:legend>
      <c:legendPos val="r"/>
      <c:layout>
        <c:manualLayout>
          <c:xMode val="edge"/>
          <c:yMode val="edge"/>
          <c:x val="0.1333907056798623"/>
          <c:y val="3.4796814830044603E-3"/>
          <c:w val="0.41049913941480215"/>
          <c:h val="0.38140187487149857"/>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648452841699879E-2"/>
          <c:y val="7.123173277661797E-2"/>
          <c:w val="0.89316619320889956"/>
          <c:h val="0.77945532037853071"/>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39-4742-A165-97E3ECD1B95A}"/>
                </c:ext>
              </c:extLst>
            </c:dLbl>
            <c:dLbl>
              <c:idx val="3"/>
              <c:layout>
                <c:manualLayout>
                  <c:x val="-7.7623026926648103E-2"/>
                  <c:y val="4.1513900388421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39-4742-A165-97E3ECD1B95A}"/>
                </c:ext>
              </c:extLst>
            </c:dLbl>
            <c:dLbl>
              <c:idx val="4"/>
              <c:layout>
                <c:manualLayout>
                  <c:x val="-7.6075518415351345E-2"/>
                  <c:y val="6.26853894498191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739-4742-A165-97E3ECD1B95A}"/>
                </c:ext>
              </c:extLst>
            </c:dLbl>
            <c:dLbl>
              <c:idx val="5"/>
              <c:layout>
                <c:manualLayout>
                  <c:x val="-7.6802725564596899E-2"/>
                  <c:y val="4.8571063408887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39-4742-A165-97E3ECD1B95A}"/>
                </c:ext>
              </c:extLst>
            </c:dLbl>
            <c:dLbl>
              <c:idx val="6"/>
              <c:layout>
                <c:manualLayout>
                  <c:x val="-7.66638153517719E-2"/>
                  <c:y val="6.26853894498191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739-4742-A165-97E3ECD1B95A}"/>
                </c:ext>
              </c:extLst>
            </c:dLbl>
            <c:numFmt formatCode="#,##0" sourceLinked="0"/>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27.048022598870052</c:v>
                </c:pt>
                <c:pt idx="1">
                  <c:v>36.971830985915496</c:v>
                </c:pt>
                <c:pt idx="2">
                  <c:v>38.777372262773724</c:v>
                </c:pt>
                <c:pt idx="3">
                  <c:v>24.823196605374822</c:v>
                </c:pt>
                <c:pt idx="4">
                  <c:v>23.796423658872076</c:v>
                </c:pt>
                <c:pt idx="5">
                  <c:v>21.792114695340501</c:v>
                </c:pt>
                <c:pt idx="6">
                  <c:v>27.825552825552823</c:v>
                </c:pt>
                <c:pt idx="7">
                  <c:v>20.039421813403418</c:v>
                </c:pt>
                <c:pt idx="8">
                  <c:v>21.557971014492754</c:v>
                </c:pt>
                <c:pt idx="9">
                  <c:v>24.147933284989122</c:v>
                </c:pt>
                <c:pt idx="10">
                  <c:v>22.341568206229862</c:v>
                </c:pt>
                <c:pt idx="11">
                  <c:v>24</c:v>
                </c:pt>
              </c:numCache>
            </c:numRef>
          </c:val>
          <c:smooth val="0"/>
          <c:extLst>
            <c:ext xmlns:c16="http://schemas.microsoft.com/office/drawing/2014/chart" uri="{C3380CC4-5D6E-409C-BE32-E72D297353CC}">
              <c16:uniqueId val="{00000005-F739-4742-A165-97E3ECD1B95A}"/>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1" formatCode="0">
                  <c:v>24</c:v>
                </c:pt>
                <c:pt idx="12" formatCode="0">
                  <c:v>24.567155042608437</c:v>
                </c:pt>
              </c:numCache>
            </c:numRef>
          </c:val>
          <c:smooth val="0"/>
          <c:extLst>
            <c:ext xmlns:c16="http://schemas.microsoft.com/office/drawing/2014/chart" uri="{C3380CC4-5D6E-409C-BE32-E72D297353CC}">
              <c16:uniqueId val="{00000006-F739-4742-A165-97E3ECD1B95A}"/>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c:ext xmlns:c16="http://schemas.microsoft.com/office/drawing/2014/chart" uri="{C3380CC4-5D6E-409C-BE32-E72D297353CC}">
                <c16:uniqueId val="{00000007-F739-4742-A165-97E3ECD1B95A}"/>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48</c:v>
                </c:pt>
              </c:numCache>
            </c:numRef>
          </c:val>
          <c:smooth val="0"/>
          <c:extLst>
            <c:ext xmlns:c16="http://schemas.microsoft.com/office/drawing/2014/chart" uri="{C3380CC4-5D6E-409C-BE32-E72D297353CC}">
              <c16:uniqueId val="{00000008-F739-4742-A165-97E3ECD1B95A}"/>
            </c:ext>
          </c:extLst>
        </c:ser>
        <c:dLbls>
          <c:showLegendKey val="0"/>
          <c:showVal val="0"/>
          <c:showCatName val="0"/>
          <c:showSerName val="0"/>
          <c:showPercent val="0"/>
          <c:showBubbleSize val="0"/>
        </c:dLbls>
        <c:marker val="1"/>
        <c:smooth val="0"/>
        <c:axId val="455783504"/>
        <c:axId val="455797616"/>
      </c:lineChart>
      <c:catAx>
        <c:axId val="455783504"/>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lv-LV"/>
          </a:p>
        </c:txPr>
        <c:crossAx val="455797616"/>
        <c:crosses val="autoZero"/>
        <c:auto val="1"/>
        <c:lblAlgn val="ctr"/>
        <c:lblOffset val="0"/>
        <c:tickLblSkip val="1"/>
        <c:noMultiLvlLbl val="1"/>
      </c:catAx>
      <c:valAx>
        <c:axId val="455797616"/>
        <c:scaling>
          <c:orientation val="minMax"/>
          <c:max val="60"/>
          <c:min val="0"/>
        </c:scaling>
        <c:delete val="0"/>
        <c:axPos val="l"/>
        <c:numFmt formatCode="#,##0" sourceLinked="0"/>
        <c:majorTickMark val="out"/>
        <c:minorTickMark val="none"/>
        <c:tickLblPos val="nextTo"/>
        <c:spPr>
          <a:ln w="3175">
            <a:noFill/>
          </a:ln>
        </c:spPr>
        <c:txPr>
          <a:bodyPr rot="0" vert="horz"/>
          <a:lstStyle/>
          <a:p>
            <a:pPr>
              <a:defRPr/>
            </a:pPr>
            <a:endParaRPr lang="lv-LV"/>
          </a:p>
        </c:txPr>
        <c:crossAx val="455783504"/>
        <c:crosses val="autoZero"/>
        <c:crossBetween val="between"/>
        <c:majorUnit val="20"/>
      </c:valAx>
      <c:spPr>
        <a:noFill/>
        <a:ln w="24631">
          <a:noFill/>
        </a:ln>
      </c:spPr>
    </c:plotArea>
    <c:legend>
      <c:legendPos val="r"/>
      <c:layout>
        <c:manualLayout>
          <c:xMode val="edge"/>
          <c:yMode val="edge"/>
          <c:x val="0.32307859107972953"/>
          <c:y val="4.2192943948343789E-3"/>
          <c:w val="0.39495541219998104"/>
          <c:h val="0.3697175467745431"/>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lv-LV"/>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556206636961076"/>
          <c:y val="0.25135713639243368"/>
          <c:w val="0.50708905572849905"/>
          <c:h val="0.56391800162910666"/>
        </c:manualLayout>
      </c:layout>
      <c:pieChart>
        <c:varyColors val="1"/>
        <c:ser>
          <c:idx val="0"/>
          <c:order val="0"/>
          <c:dPt>
            <c:idx val="0"/>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1-105A-40B1-A620-6C321B567220}"/>
              </c:ext>
            </c:extLst>
          </c:dPt>
          <c:dPt>
            <c:idx val="1"/>
            <c:bubble3D val="0"/>
            <c:spPr>
              <a:pattFill prst="dkUpDiag">
                <a:fgClr>
                  <a:schemeClr val="tx1">
                    <a:lumMod val="50000"/>
                    <a:lumOff val="50000"/>
                  </a:schemeClr>
                </a:fgClr>
                <a:bgClr>
                  <a:schemeClr val="bg1"/>
                </a:bgClr>
              </a:pattFill>
              <a:ln w="19050">
                <a:solidFill>
                  <a:schemeClr val="lt1"/>
                </a:solidFill>
              </a:ln>
              <a:effectLst/>
            </c:spPr>
            <c:extLst>
              <c:ext xmlns:c16="http://schemas.microsoft.com/office/drawing/2014/chart" uri="{C3380CC4-5D6E-409C-BE32-E72D297353CC}">
                <c16:uniqueId val="{00000003-105A-40B1-A620-6C321B567220}"/>
              </c:ext>
            </c:extLst>
          </c:dPt>
          <c:dPt>
            <c:idx val="2"/>
            <c:bubble3D val="0"/>
            <c:spPr>
              <a:solidFill>
                <a:srgbClr val="FFFF99"/>
              </a:solidFill>
              <a:ln w="19050">
                <a:solidFill>
                  <a:schemeClr val="lt1"/>
                </a:solidFill>
              </a:ln>
              <a:effectLst/>
            </c:spPr>
            <c:extLst>
              <c:ext xmlns:c16="http://schemas.microsoft.com/office/drawing/2014/chart" uri="{C3380CC4-5D6E-409C-BE32-E72D297353CC}">
                <c16:uniqueId val="{00000005-105A-40B1-A620-6C321B567220}"/>
              </c:ext>
            </c:extLst>
          </c:dPt>
          <c:dPt>
            <c:idx val="3"/>
            <c:bubble3D val="0"/>
            <c:spPr>
              <a:pattFill prst="dkUpDiag">
                <a:fgClr>
                  <a:srgbClr val="00B050"/>
                </a:fgClr>
                <a:bgClr>
                  <a:schemeClr val="bg1"/>
                </a:bgClr>
              </a:pattFill>
              <a:ln w="19050">
                <a:solidFill>
                  <a:schemeClr val="lt1"/>
                </a:solidFill>
              </a:ln>
              <a:effectLst/>
            </c:spPr>
            <c:extLst>
              <c:ext xmlns:c16="http://schemas.microsoft.com/office/drawing/2014/chart" uri="{C3380CC4-5D6E-409C-BE32-E72D297353CC}">
                <c16:uniqueId val="{00000007-105A-40B1-A620-6C321B567220}"/>
              </c:ext>
            </c:extLst>
          </c:dPt>
          <c:dPt>
            <c:idx val="4"/>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9-105A-40B1-A620-6C321B567220}"/>
              </c:ext>
            </c:extLst>
          </c:dPt>
          <c:dPt>
            <c:idx val="5"/>
            <c:bubble3D val="0"/>
            <c:spPr>
              <a:pattFill prst="dkUpDiag">
                <a:fgClr>
                  <a:schemeClr val="accent4">
                    <a:lumMod val="75000"/>
                  </a:schemeClr>
                </a:fgClr>
                <a:bgClr>
                  <a:schemeClr val="bg1"/>
                </a:bgClr>
              </a:pattFill>
              <a:ln w="19050">
                <a:solidFill>
                  <a:schemeClr val="lt1"/>
                </a:solidFill>
              </a:ln>
              <a:effectLst/>
            </c:spPr>
            <c:extLst>
              <c:ext xmlns:c16="http://schemas.microsoft.com/office/drawing/2014/chart" uri="{C3380CC4-5D6E-409C-BE32-E72D297353CC}">
                <c16:uniqueId val="{0000000B-105A-40B1-A620-6C321B567220}"/>
              </c:ext>
            </c:extLst>
          </c:dPt>
          <c:dPt>
            <c:idx val="6"/>
            <c:bubble3D val="0"/>
            <c:spPr>
              <a:solidFill>
                <a:schemeClr val="accent1"/>
              </a:solidFill>
              <a:ln w="19050">
                <a:solidFill>
                  <a:schemeClr val="lt1"/>
                </a:solidFill>
              </a:ln>
              <a:effectLst/>
            </c:spPr>
            <c:extLst>
              <c:ext xmlns:c16="http://schemas.microsoft.com/office/drawing/2014/chart" uri="{C3380CC4-5D6E-409C-BE32-E72D297353CC}">
                <c16:uniqueId val="{0000000D-105A-40B1-A620-6C321B567220}"/>
              </c:ext>
            </c:extLst>
          </c:dPt>
          <c:dPt>
            <c:idx val="7"/>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F-105A-40B1-A620-6C321B567220}"/>
              </c:ext>
            </c:extLst>
          </c:dPt>
          <c:dPt>
            <c:idx val="8"/>
            <c:bubble3D val="0"/>
            <c:spPr>
              <a:pattFill prst="dkUpDiag">
                <a:fgClr>
                  <a:schemeClr val="accent2">
                    <a:lumMod val="60000"/>
                    <a:lumOff val="40000"/>
                  </a:schemeClr>
                </a:fgClr>
                <a:bgClr>
                  <a:schemeClr val="bg1"/>
                </a:bgClr>
              </a:pattFill>
              <a:ln w="19050">
                <a:solidFill>
                  <a:schemeClr val="lt1"/>
                </a:solidFill>
              </a:ln>
              <a:effectLst/>
            </c:spPr>
            <c:extLst>
              <c:ext xmlns:c16="http://schemas.microsoft.com/office/drawing/2014/chart" uri="{C3380CC4-5D6E-409C-BE32-E72D297353CC}">
                <c16:uniqueId val="{00000011-105A-40B1-A620-6C321B567220}"/>
              </c:ext>
            </c:extLst>
          </c:dPt>
          <c:dLbls>
            <c:dLbl>
              <c:idx val="0"/>
              <c:layout>
                <c:manualLayout>
                  <c:x val="-8.9250645994832095E-2"/>
                  <c:y val="6.9044709928500186E-3"/>
                </c:manualLayout>
              </c:layout>
              <c:showLegendKey val="0"/>
              <c:showVal val="0"/>
              <c:showCatName val="1"/>
              <c:showSerName val="0"/>
              <c:showPercent val="1"/>
              <c:showBubbleSize val="0"/>
              <c:extLst>
                <c:ext xmlns:c15="http://schemas.microsoft.com/office/drawing/2012/chart" uri="{CE6537A1-D6FC-4f65-9D91-7224C49458BB}">
                  <c15:layout>
                    <c:manualLayout>
                      <c:w val="0.4200871680030821"/>
                      <c:h val="0.15756946329984611"/>
                    </c:manualLayout>
                  </c15:layout>
                </c:ext>
                <c:ext xmlns:c16="http://schemas.microsoft.com/office/drawing/2014/chart" uri="{C3380CC4-5D6E-409C-BE32-E72D297353CC}">
                  <c16:uniqueId val="{00000001-105A-40B1-A620-6C321B567220}"/>
                </c:ext>
              </c:extLst>
            </c:dLbl>
            <c:dLbl>
              <c:idx val="1"/>
              <c:layout>
                <c:manualLayout>
                  <c:x val="-4.809863883293658E-2"/>
                  <c:y val="9.3697845958910286E-2"/>
                </c:manualLayout>
              </c:layout>
              <c:showLegendKey val="0"/>
              <c:showVal val="0"/>
              <c:showCatName val="1"/>
              <c:showSerName val="0"/>
              <c:showPercent val="1"/>
              <c:showBubbleSize val="0"/>
              <c:extLst>
                <c:ext xmlns:c15="http://schemas.microsoft.com/office/drawing/2012/chart" uri="{CE6537A1-D6FC-4f65-9D91-7224C49458BB}">
                  <c15:layout>
                    <c:manualLayout>
                      <c:w val="0.31728912326326181"/>
                      <c:h val="0.19560367454068239"/>
                    </c:manualLayout>
                  </c15:layout>
                </c:ext>
                <c:ext xmlns:c16="http://schemas.microsoft.com/office/drawing/2014/chart" uri="{C3380CC4-5D6E-409C-BE32-E72D297353CC}">
                  <c16:uniqueId val="{00000003-105A-40B1-A620-6C321B567220}"/>
                </c:ext>
              </c:extLst>
            </c:dLbl>
            <c:dLbl>
              <c:idx val="2"/>
              <c:layout>
                <c:manualLayout>
                  <c:x val="-5.1101751815908628E-3"/>
                  <c:y val="2.0877454973300224E-3"/>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31940263281043357"/>
                      <c:h val="0.15537378948321112"/>
                    </c:manualLayout>
                  </c15:layout>
                </c:ext>
                <c:ext xmlns:c16="http://schemas.microsoft.com/office/drawing/2014/chart" uri="{C3380CC4-5D6E-409C-BE32-E72D297353CC}">
                  <c16:uniqueId val="{00000005-105A-40B1-A620-6C321B567220}"/>
                </c:ext>
              </c:extLst>
            </c:dLbl>
            <c:dLbl>
              <c:idx val="3"/>
              <c:layout>
                <c:manualLayout>
                  <c:x val="0"/>
                  <c:y val="-4.5341207349081362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34709475269079737"/>
                      <c:h val="0.25287356321839083"/>
                    </c:manualLayout>
                  </c15:layout>
                </c:ext>
                <c:ext xmlns:c16="http://schemas.microsoft.com/office/drawing/2014/chart" uri="{C3380CC4-5D6E-409C-BE32-E72D297353CC}">
                  <c16:uniqueId val="{00000007-105A-40B1-A620-6C321B567220}"/>
                </c:ext>
              </c:extLst>
            </c:dLbl>
            <c:dLbl>
              <c:idx val="4"/>
              <c:layout>
                <c:manualLayout>
                  <c:x val="-3.4011068383893922E-2"/>
                  <c:y val="-1.0752104262830269E-3"/>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38220187592829963"/>
                      <c:h val="0.21106344465562496"/>
                    </c:manualLayout>
                  </c15:layout>
                </c:ext>
                <c:ext xmlns:c16="http://schemas.microsoft.com/office/drawing/2014/chart" uri="{C3380CC4-5D6E-409C-BE32-E72D297353CC}">
                  <c16:uniqueId val="{00000009-105A-40B1-A620-6C321B567220}"/>
                </c:ext>
              </c:extLst>
            </c:dLbl>
            <c:dLbl>
              <c:idx val="5"/>
              <c:layout>
                <c:manualLayout>
                  <c:x val="9.7859162953468026E-2"/>
                  <c:y val="3.7842338673183096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29051984780972145"/>
                      <c:h val="0.17672413793103448"/>
                    </c:manualLayout>
                  </c15:layout>
                </c:ext>
                <c:ext xmlns:c16="http://schemas.microsoft.com/office/drawing/2014/chart" uri="{C3380CC4-5D6E-409C-BE32-E72D297353CC}">
                  <c16:uniqueId val="{0000000B-105A-40B1-A620-6C321B567220}"/>
                </c:ext>
              </c:extLst>
            </c:dLbl>
            <c:dLbl>
              <c:idx val="6"/>
              <c:layout>
                <c:manualLayout>
                  <c:x val="4.6959246373273099E-4"/>
                  <c:y val="8.8297583491718703E-3"/>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44886175925257049"/>
                      <c:h val="0.19145126255769754"/>
                    </c:manualLayout>
                  </c15:layout>
                </c:ext>
                <c:ext xmlns:c16="http://schemas.microsoft.com/office/drawing/2014/chart" uri="{C3380CC4-5D6E-409C-BE32-E72D297353CC}">
                  <c16:uniqueId val="{0000000D-105A-40B1-A620-6C321B567220}"/>
                </c:ext>
              </c:extLst>
            </c:dLbl>
            <c:dLbl>
              <c:idx val="7"/>
              <c:layout>
                <c:manualLayout>
                  <c:x val="2.0346293922562005E-7"/>
                  <c:y val="-2.8839261471626392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33269323892652947"/>
                      <c:h val="0.28577608833378587"/>
                    </c:manualLayout>
                  </c15:layout>
                </c:ext>
                <c:ext xmlns:c16="http://schemas.microsoft.com/office/drawing/2014/chart" uri="{C3380CC4-5D6E-409C-BE32-E72D297353CC}">
                  <c16:uniqueId val="{0000000F-105A-40B1-A620-6C321B567220}"/>
                </c:ext>
              </c:extLst>
            </c:dLbl>
            <c:dLbl>
              <c:idx val="8"/>
              <c:layout>
                <c:manualLayout>
                  <c:x val="0"/>
                  <c:y val="5.8446918273146867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43883781969114327"/>
                      <c:h val="0.15660919540229884"/>
                    </c:manualLayout>
                  </c15:layout>
                </c:ext>
                <c:ext xmlns:c16="http://schemas.microsoft.com/office/drawing/2014/chart" uri="{C3380CC4-5D6E-409C-BE32-E72D297353CC}">
                  <c16:uniqueId val="{00000011-105A-40B1-A620-6C321B56722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'PV strukt'!$A$52:$A$60</c:f>
              <c:strCache>
                <c:ptCount val="9"/>
                <c:pt idx="0">
                  <c:v>Lauksaimniecība</c:v>
                </c:pt>
                <c:pt idx="1">
                  <c:v>Rūpniecība</c:v>
                </c:pt>
                <c:pt idx="2">
                  <c:v>Būvniecība</c:v>
                </c:pt>
                <c:pt idx="3">
                  <c:v>Transports un uzglabāšana</c:v>
                </c:pt>
                <c:pt idx="4">
                  <c:v>Tirdzniecība, izmitināšana</c:v>
                </c:pt>
                <c:pt idx="5">
                  <c:v>Finanšu pak. </c:v>
                </c:pt>
                <c:pt idx="6">
                  <c:v>Operācijas ar NĪ</c:v>
                </c:pt>
                <c:pt idx="7">
                  <c:v>IT un komunikācijas pak.</c:v>
                </c:pt>
                <c:pt idx="8">
                  <c:v>Citi pakalpojumi</c:v>
                </c:pt>
              </c:strCache>
            </c:strRef>
          </c:cat>
          <c:val>
            <c:numRef>
              <c:f>'PV strukt'!$C$52:$C$60</c:f>
              <c:numCache>
                <c:formatCode>0.0</c:formatCode>
                <c:ptCount val="9"/>
                <c:pt idx="0">
                  <c:v>3.8</c:v>
                </c:pt>
                <c:pt idx="1">
                  <c:v>15.4</c:v>
                </c:pt>
                <c:pt idx="2">
                  <c:v>6.5</c:v>
                </c:pt>
                <c:pt idx="3">
                  <c:v>9.3000000000000007</c:v>
                </c:pt>
                <c:pt idx="4">
                  <c:v>17.5</c:v>
                </c:pt>
                <c:pt idx="5">
                  <c:v>2.9</c:v>
                </c:pt>
                <c:pt idx="6">
                  <c:v>11.644362824378893</c:v>
                </c:pt>
                <c:pt idx="7">
                  <c:v>5.2</c:v>
                </c:pt>
                <c:pt idx="8">
                  <c:v>27.755637175621104</c:v>
                </c:pt>
              </c:numCache>
            </c:numRef>
          </c:val>
          <c:extLst>
            <c:ext xmlns:c16="http://schemas.microsoft.com/office/drawing/2014/chart" uri="{C3380CC4-5D6E-409C-BE32-E72D297353CC}">
              <c16:uniqueId val="{00000012-105A-40B1-A620-6C321B567220}"/>
            </c:ext>
          </c:extLst>
        </c:ser>
        <c:dLbls>
          <c:showLegendKey val="0"/>
          <c:showVal val="1"/>
          <c:showCatName val="0"/>
          <c:showSerName val="0"/>
          <c:showPercent val="0"/>
          <c:showBubbleSize val="0"/>
          <c:showLeaderLines val="1"/>
        </c:dLbls>
        <c:firstSliceAng val="0"/>
      </c:pieChart>
      <c:spPr>
        <a:noFill/>
        <a:ln>
          <a:solidFill>
            <a:schemeClr val="bg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556206636961076"/>
          <c:y val="0.25135713639243368"/>
          <c:w val="0.50708905572849905"/>
          <c:h val="0.56391800162910666"/>
        </c:manualLayout>
      </c:layout>
      <c:pieChart>
        <c:varyColors val="1"/>
        <c:ser>
          <c:idx val="0"/>
          <c:order val="0"/>
          <c:dPt>
            <c:idx val="0"/>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1-012B-461C-97A9-6AEBF1D6570A}"/>
              </c:ext>
            </c:extLst>
          </c:dPt>
          <c:dPt>
            <c:idx val="1"/>
            <c:bubble3D val="0"/>
            <c:spPr>
              <a:pattFill prst="dkUpDiag">
                <a:fgClr>
                  <a:schemeClr val="tx1">
                    <a:lumMod val="50000"/>
                    <a:lumOff val="50000"/>
                  </a:schemeClr>
                </a:fgClr>
                <a:bgClr>
                  <a:schemeClr val="bg1"/>
                </a:bgClr>
              </a:pattFill>
              <a:ln w="19050">
                <a:solidFill>
                  <a:schemeClr val="lt1"/>
                </a:solidFill>
              </a:ln>
              <a:effectLst/>
            </c:spPr>
            <c:extLst>
              <c:ext xmlns:c16="http://schemas.microsoft.com/office/drawing/2014/chart" uri="{C3380CC4-5D6E-409C-BE32-E72D297353CC}">
                <c16:uniqueId val="{00000003-012B-461C-97A9-6AEBF1D6570A}"/>
              </c:ext>
            </c:extLst>
          </c:dPt>
          <c:dPt>
            <c:idx val="2"/>
            <c:bubble3D val="0"/>
            <c:spPr>
              <a:solidFill>
                <a:srgbClr val="FFFF99"/>
              </a:solidFill>
              <a:ln w="19050">
                <a:solidFill>
                  <a:schemeClr val="lt1"/>
                </a:solidFill>
              </a:ln>
              <a:effectLst/>
            </c:spPr>
            <c:extLst>
              <c:ext xmlns:c16="http://schemas.microsoft.com/office/drawing/2014/chart" uri="{C3380CC4-5D6E-409C-BE32-E72D297353CC}">
                <c16:uniqueId val="{00000005-012B-461C-97A9-6AEBF1D6570A}"/>
              </c:ext>
            </c:extLst>
          </c:dPt>
          <c:dPt>
            <c:idx val="3"/>
            <c:bubble3D val="0"/>
            <c:spPr>
              <a:pattFill prst="dkUpDiag">
                <a:fgClr>
                  <a:srgbClr val="00B050"/>
                </a:fgClr>
                <a:bgClr>
                  <a:schemeClr val="bg1"/>
                </a:bgClr>
              </a:pattFill>
              <a:ln w="19050">
                <a:solidFill>
                  <a:schemeClr val="lt1"/>
                </a:solidFill>
              </a:ln>
              <a:effectLst/>
            </c:spPr>
            <c:extLst>
              <c:ext xmlns:c16="http://schemas.microsoft.com/office/drawing/2014/chart" uri="{C3380CC4-5D6E-409C-BE32-E72D297353CC}">
                <c16:uniqueId val="{00000007-012B-461C-97A9-6AEBF1D6570A}"/>
              </c:ext>
            </c:extLst>
          </c:dPt>
          <c:dPt>
            <c:idx val="4"/>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9-012B-461C-97A9-6AEBF1D6570A}"/>
              </c:ext>
            </c:extLst>
          </c:dPt>
          <c:dPt>
            <c:idx val="5"/>
            <c:bubble3D val="0"/>
            <c:spPr>
              <a:pattFill prst="dkUpDiag">
                <a:fgClr>
                  <a:schemeClr val="accent4">
                    <a:lumMod val="75000"/>
                  </a:schemeClr>
                </a:fgClr>
                <a:bgClr>
                  <a:schemeClr val="bg1"/>
                </a:bgClr>
              </a:pattFill>
              <a:ln w="19050">
                <a:solidFill>
                  <a:schemeClr val="lt1"/>
                </a:solidFill>
              </a:ln>
              <a:effectLst/>
            </c:spPr>
            <c:extLst>
              <c:ext xmlns:c16="http://schemas.microsoft.com/office/drawing/2014/chart" uri="{C3380CC4-5D6E-409C-BE32-E72D297353CC}">
                <c16:uniqueId val="{0000000B-012B-461C-97A9-6AEBF1D6570A}"/>
              </c:ext>
            </c:extLst>
          </c:dPt>
          <c:dPt>
            <c:idx val="6"/>
            <c:bubble3D val="0"/>
            <c:spPr>
              <a:solidFill>
                <a:schemeClr val="accent1"/>
              </a:solidFill>
              <a:ln w="19050">
                <a:solidFill>
                  <a:schemeClr val="lt1"/>
                </a:solidFill>
              </a:ln>
              <a:effectLst/>
            </c:spPr>
            <c:extLst>
              <c:ext xmlns:c16="http://schemas.microsoft.com/office/drawing/2014/chart" uri="{C3380CC4-5D6E-409C-BE32-E72D297353CC}">
                <c16:uniqueId val="{0000000D-012B-461C-97A9-6AEBF1D6570A}"/>
              </c:ext>
            </c:extLst>
          </c:dPt>
          <c:dPt>
            <c:idx val="7"/>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F-012B-461C-97A9-6AEBF1D6570A}"/>
              </c:ext>
            </c:extLst>
          </c:dPt>
          <c:dPt>
            <c:idx val="8"/>
            <c:bubble3D val="0"/>
            <c:spPr>
              <a:pattFill prst="dkUpDiag">
                <a:fgClr>
                  <a:schemeClr val="accent2">
                    <a:lumMod val="60000"/>
                    <a:lumOff val="40000"/>
                  </a:schemeClr>
                </a:fgClr>
                <a:bgClr>
                  <a:schemeClr val="bg1"/>
                </a:bgClr>
              </a:pattFill>
              <a:ln w="19050">
                <a:solidFill>
                  <a:schemeClr val="lt1"/>
                </a:solidFill>
              </a:ln>
              <a:effectLst/>
            </c:spPr>
            <c:extLst>
              <c:ext xmlns:c16="http://schemas.microsoft.com/office/drawing/2014/chart" uri="{C3380CC4-5D6E-409C-BE32-E72D297353CC}">
                <c16:uniqueId val="{00000011-012B-461C-97A9-6AEBF1D6570A}"/>
              </c:ext>
            </c:extLst>
          </c:dPt>
          <c:dLbls>
            <c:dLbl>
              <c:idx val="0"/>
              <c:layout>
                <c:manualLayout>
                  <c:x val="-8.9250645994832095E-2"/>
                  <c:y val="6.9044709928500186E-3"/>
                </c:manualLayout>
              </c:layout>
              <c:showLegendKey val="0"/>
              <c:showVal val="0"/>
              <c:showCatName val="1"/>
              <c:showSerName val="0"/>
              <c:showPercent val="1"/>
              <c:showBubbleSize val="0"/>
              <c:extLst>
                <c:ext xmlns:c15="http://schemas.microsoft.com/office/drawing/2012/chart" uri="{CE6537A1-D6FC-4f65-9D91-7224C49458BB}">
                  <c15:layout>
                    <c:manualLayout>
                      <c:w val="0.4200871680030821"/>
                      <c:h val="0.15756946329984611"/>
                    </c:manualLayout>
                  </c15:layout>
                </c:ext>
                <c:ext xmlns:c16="http://schemas.microsoft.com/office/drawing/2014/chart" uri="{C3380CC4-5D6E-409C-BE32-E72D297353CC}">
                  <c16:uniqueId val="{00000001-012B-461C-97A9-6AEBF1D6570A}"/>
                </c:ext>
              </c:extLst>
            </c:dLbl>
            <c:dLbl>
              <c:idx val="1"/>
              <c:layout>
                <c:manualLayout>
                  <c:x val="-4.809863883293658E-2"/>
                  <c:y val="9.3697845958910286E-2"/>
                </c:manualLayout>
              </c:layout>
              <c:showLegendKey val="0"/>
              <c:showVal val="0"/>
              <c:showCatName val="1"/>
              <c:showSerName val="0"/>
              <c:showPercent val="1"/>
              <c:showBubbleSize val="0"/>
              <c:extLst>
                <c:ext xmlns:c15="http://schemas.microsoft.com/office/drawing/2012/chart" uri="{CE6537A1-D6FC-4f65-9D91-7224C49458BB}">
                  <c15:layout>
                    <c:manualLayout>
                      <c:w val="0.31728912326326181"/>
                      <c:h val="0.19560367454068239"/>
                    </c:manualLayout>
                  </c15:layout>
                </c:ext>
                <c:ext xmlns:c16="http://schemas.microsoft.com/office/drawing/2014/chart" uri="{C3380CC4-5D6E-409C-BE32-E72D297353CC}">
                  <c16:uniqueId val="{00000003-012B-461C-97A9-6AEBF1D6570A}"/>
                </c:ext>
              </c:extLst>
            </c:dLbl>
            <c:dLbl>
              <c:idx val="2"/>
              <c:layout>
                <c:manualLayout>
                  <c:x val="-5.1101751815908628E-3"/>
                  <c:y val="2.0877454973300224E-3"/>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31940263281043357"/>
                      <c:h val="0.15537378948321112"/>
                    </c:manualLayout>
                  </c15:layout>
                </c:ext>
                <c:ext xmlns:c16="http://schemas.microsoft.com/office/drawing/2014/chart" uri="{C3380CC4-5D6E-409C-BE32-E72D297353CC}">
                  <c16:uniqueId val="{00000005-012B-461C-97A9-6AEBF1D6570A}"/>
                </c:ext>
              </c:extLst>
            </c:dLbl>
            <c:dLbl>
              <c:idx val="3"/>
              <c:layout>
                <c:manualLayout>
                  <c:x val="0"/>
                  <c:y val="-4.5341207349081362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34709475269079737"/>
                      <c:h val="0.25287356321839083"/>
                    </c:manualLayout>
                  </c15:layout>
                </c:ext>
                <c:ext xmlns:c16="http://schemas.microsoft.com/office/drawing/2014/chart" uri="{C3380CC4-5D6E-409C-BE32-E72D297353CC}">
                  <c16:uniqueId val="{00000007-012B-461C-97A9-6AEBF1D6570A}"/>
                </c:ext>
              </c:extLst>
            </c:dLbl>
            <c:dLbl>
              <c:idx val="4"/>
              <c:layout>
                <c:manualLayout>
                  <c:x val="-3.4011068383893922E-2"/>
                  <c:y val="-1.0752104262830269E-3"/>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38220187592829963"/>
                      <c:h val="0.21106344465562496"/>
                    </c:manualLayout>
                  </c15:layout>
                </c:ext>
                <c:ext xmlns:c16="http://schemas.microsoft.com/office/drawing/2014/chart" uri="{C3380CC4-5D6E-409C-BE32-E72D297353CC}">
                  <c16:uniqueId val="{00000009-012B-461C-97A9-6AEBF1D6570A}"/>
                </c:ext>
              </c:extLst>
            </c:dLbl>
            <c:dLbl>
              <c:idx val="5"/>
              <c:layout>
                <c:manualLayout>
                  <c:x val="9.7859162953468026E-2"/>
                  <c:y val="3.7842338673183096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29051984780972145"/>
                      <c:h val="0.17672413793103448"/>
                    </c:manualLayout>
                  </c15:layout>
                </c:ext>
                <c:ext xmlns:c16="http://schemas.microsoft.com/office/drawing/2014/chart" uri="{C3380CC4-5D6E-409C-BE32-E72D297353CC}">
                  <c16:uniqueId val="{0000000B-012B-461C-97A9-6AEBF1D6570A}"/>
                </c:ext>
              </c:extLst>
            </c:dLbl>
            <c:dLbl>
              <c:idx val="6"/>
              <c:layout>
                <c:manualLayout>
                  <c:x val="4.6959246373273099E-4"/>
                  <c:y val="8.8297583491718703E-3"/>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44886175925257049"/>
                      <c:h val="0.19145126255769754"/>
                    </c:manualLayout>
                  </c15:layout>
                </c:ext>
                <c:ext xmlns:c16="http://schemas.microsoft.com/office/drawing/2014/chart" uri="{C3380CC4-5D6E-409C-BE32-E72D297353CC}">
                  <c16:uniqueId val="{0000000D-012B-461C-97A9-6AEBF1D6570A}"/>
                </c:ext>
              </c:extLst>
            </c:dLbl>
            <c:dLbl>
              <c:idx val="7"/>
              <c:layout>
                <c:manualLayout>
                  <c:x val="2.0346293922562005E-7"/>
                  <c:y val="-2.8839261471626392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33269323892652947"/>
                      <c:h val="0.28577608833378587"/>
                    </c:manualLayout>
                  </c15:layout>
                </c:ext>
                <c:ext xmlns:c16="http://schemas.microsoft.com/office/drawing/2014/chart" uri="{C3380CC4-5D6E-409C-BE32-E72D297353CC}">
                  <c16:uniqueId val="{0000000F-012B-461C-97A9-6AEBF1D6570A}"/>
                </c:ext>
              </c:extLst>
            </c:dLbl>
            <c:dLbl>
              <c:idx val="8"/>
              <c:layout>
                <c:manualLayout>
                  <c:x val="0"/>
                  <c:y val="5.8446918273146867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43883781969114327"/>
                      <c:h val="0.15660919540229884"/>
                    </c:manualLayout>
                  </c15:layout>
                </c:ext>
                <c:ext xmlns:c16="http://schemas.microsoft.com/office/drawing/2014/chart" uri="{C3380CC4-5D6E-409C-BE32-E72D297353CC}">
                  <c16:uniqueId val="{00000011-012B-461C-97A9-6AEBF1D6570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'PV strukt'!$A$52:$A$60</c:f>
              <c:strCache>
                <c:ptCount val="9"/>
                <c:pt idx="0">
                  <c:v>Lauksaimniecība</c:v>
                </c:pt>
                <c:pt idx="1">
                  <c:v>Rūpniecība</c:v>
                </c:pt>
                <c:pt idx="2">
                  <c:v>Būvniecība</c:v>
                </c:pt>
                <c:pt idx="3">
                  <c:v>Transports un uzglabāšana</c:v>
                </c:pt>
                <c:pt idx="4">
                  <c:v>Tirdzniecība, izmitināšana</c:v>
                </c:pt>
                <c:pt idx="5">
                  <c:v>Finanšu pak. </c:v>
                </c:pt>
                <c:pt idx="6">
                  <c:v>Operācijas ar NĪ</c:v>
                </c:pt>
                <c:pt idx="7">
                  <c:v>IT un komunikācijas pak.</c:v>
                </c:pt>
                <c:pt idx="8">
                  <c:v>Citi pakalpojumi</c:v>
                </c:pt>
              </c:strCache>
            </c:strRef>
          </c:cat>
          <c:val>
            <c:numRef>
              <c:f>'PV strukt'!$E$52:$E$60</c:f>
              <c:numCache>
                <c:formatCode>General</c:formatCode>
                <c:ptCount val="9"/>
                <c:pt idx="0">
                  <c:v>4</c:v>
                </c:pt>
                <c:pt idx="1">
                  <c:v>15.6</c:v>
                </c:pt>
                <c:pt idx="2">
                  <c:v>6.9</c:v>
                </c:pt>
                <c:pt idx="3">
                  <c:v>8.1999999999999993</c:v>
                </c:pt>
                <c:pt idx="4">
                  <c:v>17</c:v>
                </c:pt>
                <c:pt idx="5">
                  <c:v>2.8</c:v>
                </c:pt>
                <c:pt idx="6">
                  <c:v>12</c:v>
                </c:pt>
                <c:pt idx="7">
                  <c:v>5</c:v>
                </c:pt>
                <c:pt idx="8" formatCode="0.0">
                  <c:v>28.5</c:v>
                </c:pt>
              </c:numCache>
            </c:numRef>
          </c:val>
          <c:extLst>
            <c:ext xmlns:c16="http://schemas.microsoft.com/office/drawing/2014/chart" uri="{C3380CC4-5D6E-409C-BE32-E72D297353CC}">
              <c16:uniqueId val="{00000012-012B-461C-97A9-6AEBF1D6570A}"/>
            </c:ext>
          </c:extLst>
        </c:ser>
        <c:dLbls>
          <c:showLegendKey val="0"/>
          <c:showVal val="1"/>
          <c:showCatName val="0"/>
          <c:showSerName val="0"/>
          <c:showPercent val="0"/>
          <c:showBubbleSize val="0"/>
          <c:showLeaderLines val="1"/>
        </c:dLbls>
        <c:firstSliceAng val="0"/>
      </c:pieChart>
      <c:spPr>
        <a:noFill/>
        <a:ln>
          <a:solidFill>
            <a:schemeClr val="bg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Sheet1!$K$442</c:f>
              <c:strCache>
                <c:ptCount val="1"/>
                <c:pt idx="0">
                  <c:v>ES</c:v>
                </c:pt>
              </c:strCache>
            </c:strRef>
          </c:tx>
          <c:spPr>
            <a:ln w="28575" cap="rnd">
              <a:solidFill>
                <a:schemeClr val="accent2"/>
              </a:solidFill>
              <a:prstDash val="sysDash"/>
              <a:round/>
            </a:ln>
            <a:effectLst/>
          </c:spPr>
          <c:marker>
            <c:symbol val="none"/>
          </c:marker>
          <c:cat>
            <c:numRef>
              <c:f>Sheet1!$J$182:$J$441</c:f>
              <c:numCache>
                <c:formatCode>mmm\-yy</c:formatCode>
                <c:ptCount val="260"/>
                <c:pt idx="0">
                  <c:v>36556</c:v>
                </c:pt>
                <c:pt idx="1">
                  <c:v>36585</c:v>
                </c:pt>
                <c:pt idx="2">
                  <c:v>36616</c:v>
                </c:pt>
                <c:pt idx="3">
                  <c:v>36646</c:v>
                </c:pt>
                <c:pt idx="4">
                  <c:v>36677</c:v>
                </c:pt>
                <c:pt idx="5">
                  <c:v>36707</c:v>
                </c:pt>
                <c:pt idx="6">
                  <c:v>36738</c:v>
                </c:pt>
                <c:pt idx="7">
                  <c:v>36769</c:v>
                </c:pt>
                <c:pt idx="8">
                  <c:v>36799</c:v>
                </c:pt>
                <c:pt idx="9">
                  <c:v>36830</c:v>
                </c:pt>
                <c:pt idx="10">
                  <c:v>36860</c:v>
                </c:pt>
                <c:pt idx="11">
                  <c:v>36891</c:v>
                </c:pt>
                <c:pt idx="12">
                  <c:v>36922</c:v>
                </c:pt>
                <c:pt idx="13">
                  <c:v>36950</c:v>
                </c:pt>
                <c:pt idx="14">
                  <c:v>36981</c:v>
                </c:pt>
                <c:pt idx="15">
                  <c:v>37011</c:v>
                </c:pt>
                <c:pt idx="16">
                  <c:v>37042</c:v>
                </c:pt>
                <c:pt idx="17">
                  <c:v>37072</c:v>
                </c:pt>
                <c:pt idx="18">
                  <c:v>37103</c:v>
                </c:pt>
                <c:pt idx="19">
                  <c:v>37134</c:v>
                </c:pt>
                <c:pt idx="20">
                  <c:v>37164</c:v>
                </c:pt>
                <c:pt idx="21">
                  <c:v>37195</c:v>
                </c:pt>
                <c:pt idx="22">
                  <c:v>37225</c:v>
                </c:pt>
                <c:pt idx="23">
                  <c:v>37256</c:v>
                </c:pt>
                <c:pt idx="24">
                  <c:v>37287</c:v>
                </c:pt>
                <c:pt idx="25">
                  <c:v>37315</c:v>
                </c:pt>
                <c:pt idx="26">
                  <c:v>37346</c:v>
                </c:pt>
                <c:pt idx="27">
                  <c:v>37376</c:v>
                </c:pt>
                <c:pt idx="28">
                  <c:v>37407</c:v>
                </c:pt>
                <c:pt idx="29">
                  <c:v>37437</c:v>
                </c:pt>
                <c:pt idx="30">
                  <c:v>37468</c:v>
                </c:pt>
                <c:pt idx="31">
                  <c:v>37499</c:v>
                </c:pt>
                <c:pt idx="32">
                  <c:v>37529</c:v>
                </c:pt>
                <c:pt idx="33">
                  <c:v>37560</c:v>
                </c:pt>
                <c:pt idx="34">
                  <c:v>37590</c:v>
                </c:pt>
                <c:pt idx="35">
                  <c:v>37621</c:v>
                </c:pt>
                <c:pt idx="36">
                  <c:v>37652</c:v>
                </c:pt>
                <c:pt idx="37">
                  <c:v>37680</c:v>
                </c:pt>
                <c:pt idx="38">
                  <c:v>37711</c:v>
                </c:pt>
                <c:pt idx="39">
                  <c:v>37741</c:v>
                </c:pt>
                <c:pt idx="40">
                  <c:v>37772</c:v>
                </c:pt>
                <c:pt idx="41">
                  <c:v>37802</c:v>
                </c:pt>
                <c:pt idx="42">
                  <c:v>37833</c:v>
                </c:pt>
                <c:pt idx="43">
                  <c:v>37864</c:v>
                </c:pt>
                <c:pt idx="44">
                  <c:v>37894</c:v>
                </c:pt>
                <c:pt idx="45">
                  <c:v>37925</c:v>
                </c:pt>
                <c:pt idx="46">
                  <c:v>37955</c:v>
                </c:pt>
                <c:pt idx="47">
                  <c:v>37986</c:v>
                </c:pt>
                <c:pt idx="48">
                  <c:v>38017</c:v>
                </c:pt>
                <c:pt idx="49">
                  <c:v>38046</c:v>
                </c:pt>
                <c:pt idx="50">
                  <c:v>38077</c:v>
                </c:pt>
                <c:pt idx="51">
                  <c:v>38107</c:v>
                </c:pt>
                <c:pt idx="52">
                  <c:v>38138</c:v>
                </c:pt>
                <c:pt idx="53">
                  <c:v>38168</c:v>
                </c:pt>
                <c:pt idx="54">
                  <c:v>38199</c:v>
                </c:pt>
                <c:pt idx="55">
                  <c:v>38230</c:v>
                </c:pt>
                <c:pt idx="56">
                  <c:v>38260</c:v>
                </c:pt>
                <c:pt idx="57">
                  <c:v>38291</c:v>
                </c:pt>
                <c:pt idx="58">
                  <c:v>38321</c:v>
                </c:pt>
                <c:pt idx="59">
                  <c:v>38352</c:v>
                </c:pt>
                <c:pt idx="60">
                  <c:v>38383</c:v>
                </c:pt>
                <c:pt idx="61">
                  <c:v>38411</c:v>
                </c:pt>
                <c:pt idx="62">
                  <c:v>38442</c:v>
                </c:pt>
                <c:pt idx="63">
                  <c:v>38472</c:v>
                </c:pt>
                <c:pt idx="64">
                  <c:v>38503</c:v>
                </c:pt>
                <c:pt idx="65">
                  <c:v>38533</c:v>
                </c:pt>
                <c:pt idx="66">
                  <c:v>38564</c:v>
                </c:pt>
                <c:pt idx="67">
                  <c:v>38595</c:v>
                </c:pt>
                <c:pt idx="68">
                  <c:v>38625</c:v>
                </c:pt>
                <c:pt idx="69">
                  <c:v>38656</c:v>
                </c:pt>
                <c:pt idx="70">
                  <c:v>38686</c:v>
                </c:pt>
                <c:pt idx="71">
                  <c:v>38717</c:v>
                </c:pt>
                <c:pt idx="72">
                  <c:v>38748</c:v>
                </c:pt>
                <c:pt idx="73">
                  <c:v>38776</c:v>
                </c:pt>
                <c:pt idx="74">
                  <c:v>38807</c:v>
                </c:pt>
                <c:pt idx="75">
                  <c:v>38837</c:v>
                </c:pt>
                <c:pt idx="76">
                  <c:v>38868</c:v>
                </c:pt>
                <c:pt idx="77">
                  <c:v>38898</c:v>
                </c:pt>
                <c:pt idx="78">
                  <c:v>38929</c:v>
                </c:pt>
                <c:pt idx="79">
                  <c:v>38960</c:v>
                </c:pt>
                <c:pt idx="80">
                  <c:v>38990</c:v>
                </c:pt>
                <c:pt idx="81">
                  <c:v>39021</c:v>
                </c:pt>
                <c:pt idx="82">
                  <c:v>39051</c:v>
                </c:pt>
                <c:pt idx="83">
                  <c:v>39082</c:v>
                </c:pt>
                <c:pt idx="84">
                  <c:v>39113</c:v>
                </c:pt>
                <c:pt idx="85">
                  <c:v>39141</c:v>
                </c:pt>
                <c:pt idx="86">
                  <c:v>39172</c:v>
                </c:pt>
                <c:pt idx="87">
                  <c:v>39202</c:v>
                </c:pt>
                <c:pt idx="88">
                  <c:v>39233</c:v>
                </c:pt>
                <c:pt idx="89">
                  <c:v>39263</c:v>
                </c:pt>
                <c:pt idx="90">
                  <c:v>39294</c:v>
                </c:pt>
                <c:pt idx="91">
                  <c:v>39325</c:v>
                </c:pt>
                <c:pt idx="92">
                  <c:v>39355</c:v>
                </c:pt>
                <c:pt idx="93">
                  <c:v>39386</c:v>
                </c:pt>
                <c:pt idx="94">
                  <c:v>39416</c:v>
                </c:pt>
                <c:pt idx="95">
                  <c:v>39447</c:v>
                </c:pt>
                <c:pt idx="96">
                  <c:v>39478</c:v>
                </c:pt>
                <c:pt idx="97">
                  <c:v>39507</c:v>
                </c:pt>
                <c:pt idx="98">
                  <c:v>39538</c:v>
                </c:pt>
                <c:pt idx="99">
                  <c:v>39568</c:v>
                </c:pt>
                <c:pt idx="100">
                  <c:v>39599</c:v>
                </c:pt>
                <c:pt idx="101">
                  <c:v>39629</c:v>
                </c:pt>
                <c:pt idx="102">
                  <c:v>39660</c:v>
                </c:pt>
                <c:pt idx="103">
                  <c:v>39691</c:v>
                </c:pt>
                <c:pt idx="104">
                  <c:v>39721</c:v>
                </c:pt>
                <c:pt idx="105">
                  <c:v>39752</c:v>
                </c:pt>
                <c:pt idx="106">
                  <c:v>39782</c:v>
                </c:pt>
                <c:pt idx="107">
                  <c:v>39813</c:v>
                </c:pt>
                <c:pt idx="108">
                  <c:v>39844</c:v>
                </c:pt>
                <c:pt idx="109">
                  <c:v>39872</c:v>
                </c:pt>
                <c:pt idx="110">
                  <c:v>39903</c:v>
                </c:pt>
                <c:pt idx="111">
                  <c:v>39933</c:v>
                </c:pt>
                <c:pt idx="112">
                  <c:v>39964</c:v>
                </c:pt>
                <c:pt idx="113">
                  <c:v>39994</c:v>
                </c:pt>
                <c:pt idx="114">
                  <c:v>40025</c:v>
                </c:pt>
                <c:pt idx="115">
                  <c:v>40056</c:v>
                </c:pt>
                <c:pt idx="116">
                  <c:v>40086</c:v>
                </c:pt>
                <c:pt idx="117">
                  <c:v>40117</c:v>
                </c:pt>
                <c:pt idx="118">
                  <c:v>40147</c:v>
                </c:pt>
                <c:pt idx="119">
                  <c:v>40178</c:v>
                </c:pt>
                <c:pt idx="120">
                  <c:v>40209</c:v>
                </c:pt>
                <c:pt idx="121">
                  <c:v>40237</c:v>
                </c:pt>
                <c:pt idx="122">
                  <c:v>40268</c:v>
                </c:pt>
                <c:pt idx="123">
                  <c:v>40298</c:v>
                </c:pt>
                <c:pt idx="124">
                  <c:v>40329</c:v>
                </c:pt>
                <c:pt idx="125">
                  <c:v>40359</c:v>
                </c:pt>
                <c:pt idx="126">
                  <c:v>40390</c:v>
                </c:pt>
                <c:pt idx="127">
                  <c:v>40421</c:v>
                </c:pt>
                <c:pt idx="128">
                  <c:v>40451</c:v>
                </c:pt>
                <c:pt idx="129">
                  <c:v>40482</c:v>
                </c:pt>
                <c:pt idx="130">
                  <c:v>40512</c:v>
                </c:pt>
                <c:pt idx="131">
                  <c:v>40543</c:v>
                </c:pt>
                <c:pt idx="132">
                  <c:v>40574</c:v>
                </c:pt>
                <c:pt idx="133">
                  <c:v>40602</c:v>
                </c:pt>
                <c:pt idx="134">
                  <c:v>40633</c:v>
                </c:pt>
                <c:pt idx="135">
                  <c:v>40663</c:v>
                </c:pt>
                <c:pt idx="136">
                  <c:v>40694</c:v>
                </c:pt>
                <c:pt idx="137">
                  <c:v>40724</c:v>
                </c:pt>
                <c:pt idx="138">
                  <c:v>40755</c:v>
                </c:pt>
                <c:pt idx="139">
                  <c:v>40786</c:v>
                </c:pt>
                <c:pt idx="140">
                  <c:v>40816</c:v>
                </c:pt>
                <c:pt idx="141">
                  <c:v>40847</c:v>
                </c:pt>
                <c:pt idx="142">
                  <c:v>40877</c:v>
                </c:pt>
                <c:pt idx="143">
                  <c:v>40908</c:v>
                </c:pt>
                <c:pt idx="144">
                  <c:v>40939</c:v>
                </c:pt>
                <c:pt idx="145">
                  <c:v>40968</c:v>
                </c:pt>
                <c:pt idx="146">
                  <c:v>40999</c:v>
                </c:pt>
                <c:pt idx="147">
                  <c:v>41029</c:v>
                </c:pt>
                <c:pt idx="148">
                  <c:v>41060</c:v>
                </c:pt>
                <c:pt idx="149">
                  <c:v>41090</c:v>
                </c:pt>
                <c:pt idx="150">
                  <c:v>41121</c:v>
                </c:pt>
                <c:pt idx="151">
                  <c:v>41152</c:v>
                </c:pt>
                <c:pt idx="152">
                  <c:v>41182</c:v>
                </c:pt>
                <c:pt idx="153">
                  <c:v>41213</c:v>
                </c:pt>
                <c:pt idx="154">
                  <c:v>41243</c:v>
                </c:pt>
                <c:pt idx="155">
                  <c:v>41274</c:v>
                </c:pt>
                <c:pt idx="156">
                  <c:v>41305</c:v>
                </c:pt>
                <c:pt idx="157">
                  <c:v>41333</c:v>
                </c:pt>
                <c:pt idx="158">
                  <c:v>41364</c:v>
                </c:pt>
                <c:pt idx="159">
                  <c:v>41394</c:v>
                </c:pt>
                <c:pt idx="160">
                  <c:v>41425</c:v>
                </c:pt>
                <c:pt idx="161">
                  <c:v>41455</c:v>
                </c:pt>
                <c:pt idx="162">
                  <c:v>41486</c:v>
                </c:pt>
                <c:pt idx="163">
                  <c:v>41517</c:v>
                </c:pt>
                <c:pt idx="164">
                  <c:v>41547</c:v>
                </c:pt>
                <c:pt idx="165">
                  <c:v>41578</c:v>
                </c:pt>
                <c:pt idx="166">
                  <c:v>41608</c:v>
                </c:pt>
                <c:pt idx="167">
                  <c:v>41639</c:v>
                </c:pt>
                <c:pt idx="168">
                  <c:v>41670</c:v>
                </c:pt>
                <c:pt idx="169">
                  <c:v>41698</c:v>
                </c:pt>
                <c:pt idx="170">
                  <c:v>41729</c:v>
                </c:pt>
                <c:pt idx="171">
                  <c:v>41759</c:v>
                </c:pt>
                <c:pt idx="172">
                  <c:v>41790</c:v>
                </c:pt>
                <c:pt idx="173">
                  <c:v>41820</c:v>
                </c:pt>
                <c:pt idx="174">
                  <c:v>41851</c:v>
                </c:pt>
                <c:pt idx="175">
                  <c:v>41882</c:v>
                </c:pt>
                <c:pt idx="176">
                  <c:v>41912</c:v>
                </c:pt>
                <c:pt idx="177">
                  <c:v>41943</c:v>
                </c:pt>
                <c:pt idx="178">
                  <c:v>41973</c:v>
                </c:pt>
                <c:pt idx="179">
                  <c:v>42004</c:v>
                </c:pt>
                <c:pt idx="180">
                  <c:v>42035</c:v>
                </c:pt>
                <c:pt idx="181">
                  <c:v>42063</c:v>
                </c:pt>
                <c:pt idx="182">
                  <c:v>42094</c:v>
                </c:pt>
                <c:pt idx="183">
                  <c:v>42124</c:v>
                </c:pt>
                <c:pt idx="184">
                  <c:v>42155</c:v>
                </c:pt>
                <c:pt idx="185">
                  <c:v>42185</c:v>
                </c:pt>
                <c:pt idx="186">
                  <c:v>42216</c:v>
                </c:pt>
                <c:pt idx="187">
                  <c:v>42247</c:v>
                </c:pt>
                <c:pt idx="188">
                  <c:v>42277</c:v>
                </c:pt>
                <c:pt idx="189">
                  <c:v>42308</c:v>
                </c:pt>
                <c:pt idx="190">
                  <c:v>42338</c:v>
                </c:pt>
                <c:pt idx="191">
                  <c:v>42369</c:v>
                </c:pt>
                <c:pt idx="192">
                  <c:v>42400</c:v>
                </c:pt>
                <c:pt idx="193">
                  <c:v>42429</c:v>
                </c:pt>
                <c:pt idx="194">
                  <c:v>42460</c:v>
                </c:pt>
                <c:pt idx="195">
                  <c:v>42490</c:v>
                </c:pt>
                <c:pt idx="196">
                  <c:v>42521</c:v>
                </c:pt>
                <c:pt idx="197">
                  <c:v>42551</c:v>
                </c:pt>
                <c:pt idx="198">
                  <c:v>42582</c:v>
                </c:pt>
                <c:pt idx="199">
                  <c:v>42613</c:v>
                </c:pt>
                <c:pt idx="200">
                  <c:v>42643</c:v>
                </c:pt>
                <c:pt idx="201">
                  <c:v>42674</c:v>
                </c:pt>
                <c:pt idx="202">
                  <c:v>42704</c:v>
                </c:pt>
                <c:pt idx="203">
                  <c:v>42735</c:v>
                </c:pt>
                <c:pt idx="204">
                  <c:v>42766</c:v>
                </c:pt>
                <c:pt idx="205">
                  <c:v>42794</c:v>
                </c:pt>
                <c:pt idx="206">
                  <c:v>42825</c:v>
                </c:pt>
                <c:pt idx="207">
                  <c:v>42855</c:v>
                </c:pt>
                <c:pt idx="208">
                  <c:v>42886</c:v>
                </c:pt>
                <c:pt idx="209">
                  <c:v>42916</c:v>
                </c:pt>
                <c:pt idx="210">
                  <c:v>42947</c:v>
                </c:pt>
                <c:pt idx="211">
                  <c:v>42978</c:v>
                </c:pt>
                <c:pt idx="212">
                  <c:v>43008</c:v>
                </c:pt>
                <c:pt idx="213">
                  <c:v>43039</c:v>
                </c:pt>
                <c:pt idx="214">
                  <c:v>43069</c:v>
                </c:pt>
                <c:pt idx="215">
                  <c:v>43100</c:v>
                </c:pt>
                <c:pt idx="216">
                  <c:v>43131</c:v>
                </c:pt>
                <c:pt idx="217">
                  <c:v>43159</c:v>
                </c:pt>
                <c:pt idx="218">
                  <c:v>43190</c:v>
                </c:pt>
                <c:pt idx="219">
                  <c:v>43220</c:v>
                </c:pt>
                <c:pt idx="220">
                  <c:v>43251</c:v>
                </c:pt>
                <c:pt idx="221">
                  <c:v>43281</c:v>
                </c:pt>
                <c:pt idx="222">
                  <c:v>43312</c:v>
                </c:pt>
                <c:pt idx="223">
                  <c:v>43343</c:v>
                </c:pt>
                <c:pt idx="224">
                  <c:v>43373</c:v>
                </c:pt>
                <c:pt idx="225">
                  <c:v>43404</c:v>
                </c:pt>
                <c:pt idx="226">
                  <c:v>43434</c:v>
                </c:pt>
                <c:pt idx="227">
                  <c:v>43465</c:v>
                </c:pt>
                <c:pt idx="228">
                  <c:v>43496</c:v>
                </c:pt>
                <c:pt idx="229">
                  <c:v>43524</c:v>
                </c:pt>
                <c:pt idx="230">
                  <c:v>43555</c:v>
                </c:pt>
                <c:pt idx="231">
                  <c:v>43585</c:v>
                </c:pt>
                <c:pt idx="232">
                  <c:v>43616</c:v>
                </c:pt>
                <c:pt idx="233">
                  <c:v>43646</c:v>
                </c:pt>
                <c:pt idx="234">
                  <c:v>43677</c:v>
                </c:pt>
                <c:pt idx="235">
                  <c:v>43708</c:v>
                </c:pt>
                <c:pt idx="236">
                  <c:v>43738</c:v>
                </c:pt>
                <c:pt idx="237">
                  <c:v>43769</c:v>
                </c:pt>
                <c:pt idx="238">
                  <c:v>43799</c:v>
                </c:pt>
                <c:pt idx="239">
                  <c:v>43830</c:v>
                </c:pt>
                <c:pt idx="240">
                  <c:v>43861</c:v>
                </c:pt>
                <c:pt idx="241">
                  <c:v>43890</c:v>
                </c:pt>
                <c:pt idx="242">
                  <c:v>43921</c:v>
                </c:pt>
                <c:pt idx="243">
                  <c:v>43951</c:v>
                </c:pt>
                <c:pt idx="244">
                  <c:v>43982</c:v>
                </c:pt>
                <c:pt idx="245">
                  <c:v>44012</c:v>
                </c:pt>
                <c:pt idx="246">
                  <c:v>44043</c:v>
                </c:pt>
                <c:pt idx="247">
                  <c:v>44074</c:v>
                </c:pt>
                <c:pt idx="248">
                  <c:v>44104</c:v>
                </c:pt>
                <c:pt idx="249">
                  <c:v>44135</c:v>
                </c:pt>
                <c:pt idx="250">
                  <c:v>44165</c:v>
                </c:pt>
                <c:pt idx="251">
                  <c:v>44196</c:v>
                </c:pt>
                <c:pt idx="252">
                  <c:v>44227</c:v>
                </c:pt>
                <c:pt idx="253">
                  <c:v>44255</c:v>
                </c:pt>
                <c:pt idx="254">
                  <c:v>44286</c:v>
                </c:pt>
                <c:pt idx="255">
                  <c:v>44316</c:v>
                </c:pt>
                <c:pt idx="256">
                  <c:v>44347</c:v>
                </c:pt>
                <c:pt idx="257">
                  <c:v>44377</c:v>
                </c:pt>
                <c:pt idx="258">
                  <c:v>44408</c:v>
                </c:pt>
                <c:pt idx="259">
                  <c:v>44439</c:v>
                </c:pt>
              </c:numCache>
            </c:numRef>
          </c:cat>
          <c:val>
            <c:numRef>
              <c:f>Sheet1!$K$182:$K$441</c:f>
              <c:numCache>
                <c:formatCode>0.0</c:formatCode>
                <c:ptCount val="260"/>
                <c:pt idx="0">
                  <c:v>112.8</c:v>
                </c:pt>
                <c:pt idx="1">
                  <c:v>115.1</c:v>
                </c:pt>
                <c:pt idx="2">
                  <c:v>116.4</c:v>
                </c:pt>
                <c:pt idx="3">
                  <c:v>116.9</c:v>
                </c:pt>
                <c:pt idx="4">
                  <c:v>117.7</c:v>
                </c:pt>
                <c:pt idx="5">
                  <c:v>115.8</c:v>
                </c:pt>
                <c:pt idx="6">
                  <c:v>116.2</c:v>
                </c:pt>
                <c:pt idx="7">
                  <c:v>116.5</c:v>
                </c:pt>
                <c:pt idx="8">
                  <c:v>114.2</c:v>
                </c:pt>
                <c:pt idx="9">
                  <c:v>114.7</c:v>
                </c:pt>
                <c:pt idx="10">
                  <c:v>113.2</c:v>
                </c:pt>
                <c:pt idx="11">
                  <c:v>112.5</c:v>
                </c:pt>
                <c:pt idx="12">
                  <c:v>113</c:v>
                </c:pt>
                <c:pt idx="13">
                  <c:v>109.7</c:v>
                </c:pt>
                <c:pt idx="14">
                  <c:v>108.1</c:v>
                </c:pt>
                <c:pt idx="15">
                  <c:v>107.1</c:v>
                </c:pt>
                <c:pt idx="16">
                  <c:v>103.7</c:v>
                </c:pt>
                <c:pt idx="17">
                  <c:v>102.8</c:v>
                </c:pt>
                <c:pt idx="18">
                  <c:v>102</c:v>
                </c:pt>
                <c:pt idx="19">
                  <c:v>99.4</c:v>
                </c:pt>
                <c:pt idx="20">
                  <c:v>95.9</c:v>
                </c:pt>
                <c:pt idx="21">
                  <c:v>91.8</c:v>
                </c:pt>
                <c:pt idx="22">
                  <c:v>88.5</c:v>
                </c:pt>
                <c:pt idx="23">
                  <c:v>90.5</c:v>
                </c:pt>
                <c:pt idx="24">
                  <c:v>93.9</c:v>
                </c:pt>
                <c:pt idx="25">
                  <c:v>93.9</c:v>
                </c:pt>
                <c:pt idx="26">
                  <c:v>95.7</c:v>
                </c:pt>
                <c:pt idx="27">
                  <c:v>97.3</c:v>
                </c:pt>
                <c:pt idx="28">
                  <c:v>97.8</c:v>
                </c:pt>
                <c:pt idx="29">
                  <c:v>96.3</c:v>
                </c:pt>
                <c:pt idx="30">
                  <c:v>95</c:v>
                </c:pt>
                <c:pt idx="31">
                  <c:v>93.2</c:v>
                </c:pt>
                <c:pt idx="32">
                  <c:v>95.3</c:v>
                </c:pt>
                <c:pt idx="33">
                  <c:v>93.5</c:v>
                </c:pt>
                <c:pt idx="34">
                  <c:v>92.9</c:v>
                </c:pt>
                <c:pt idx="35">
                  <c:v>91.2</c:v>
                </c:pt>
                <c:pt idx="36">
                  <c:v>92.1</c:v>
                </c:pt>
                <c:pt idx="37">
                  <c:v>92</c:v>
                </c:pt>
                <c:pt idx="38">
                  <c:v>89.9</c:v>
                </c:pt>
                <c:pt idx="39">
                  <c:v>92.5</c:v>
                </c:pt>
                <c:pt idx="40">
                  <c:v>91.8</c:v>
                </c:pt>
                <c:pt idx="41">
                  <c:v>92.8</c:v>
                </c:pt>
                <c:pt idx="42">
                  <c:v>93.1</c:v>
                </c:pt>
                <c:pt idx="43">
                  <c:v>95</c:v>
                </c:pt>
                <c:pt idx="44">
                  <c:v>96.3</c:v>
                </c:pt>
                <c:pt idx="45">
                  <c:v>97.8</c:v>
                </c:pt>
                <c:pt idx="46">
                  <c:v>99.3</c:v>
                </c:pt>
                <c:pt idx="47">
                  <c:v>98.5</c:v>
                </c:pt>
                <c:pt idx="48">
                  <c:v>98</c:v>
                </c:pt>
                <c:pt idx="49">
                  <c:v>98.8</c:v>
                </c:pt>
                <c:pt idx="50">
                  <c:v>98.2</c:v>
                </c:pt>
                <c:pt idx="51">
                  <c:v>100.3</c:v>
                </c:pt>
                <c:pt idx="52">
                  <c:v>100.8</c:v>
                </c:pt>
                <c:pt idx="53">
                  <c:v>101.6</c:v>
                </c:pt>
                <c:pt idx="54">
                  <c:v>101.8</c:v>
                </c:pt>
                <c:pt idx="55">
                  <c:v>101.1</c:v>
                </c:pt>
                <c:pt idx="56">
                  <c:v>102.5</c:v>
                </c:pt>
                <c:pt idx="57">
                  <c:v>103</c:v>
                </c:pt>
                <c:pt idx="58">
                  <c:v>101.8</c:v>
                </c:pt>
                <c:pt idx="59">
                  <c:v>101.1</c:v>
                </c:pt>
                <c:pt idx="60">
                  <c:v>101.6</c:v>
                </c:pt>
                <c:pt idx="61">
                  <c:v>99.8</c:v>
                </c:pt>
                <c:pt idx="62">
                  <c:v>98.9</c:v>
                </c:pt>
                <c:pt idx="63">
                  <c:v>98.6</c:v>
                </c:pt>
                <c:pt idx="64">
                  <c:v>97.7</c:v>
                </c:pt>
                <c:pt idx="65">
                  <c:v>97.8</c:v>
                </c:pt>
                <c:pt idx="66">
                  <c:v>98.7</c:v>
                </c:pt>
                <c:pt idx="67">
                  <c:v>99.6</c:v>
                </c:pt>
                <c:pt idx="68">
                  <c:v>100</c:v>
                </c:pt>
                <c:pt idx="69">
                  <c:v>101.9</c:v>
                </c:pt>
                <c:pt idx="70">
                  <c:v>101.8</c:v>
                </c:pt>
                <c:pt idx="71">
                  <c:v>102.6</c:v>
                </c:pt>
                <c:pt idx="72">
                  <c:v>104.3</c:v>
                </c:pt>
                <c:pt idx="73">
                  <c:v>104.1</c:v>
                </c:pt>
                <c:pt idx="74">
                  <c:v>105.6</c:v>
                </c:pt>
                <c:pt idx="75">
                  <c:v>107.7</c:v>
                </c:pt>
                <c:pt idx="76">
                  <c:v>108.4</c:v>
                </c:pt>
                <c:pt idx="77">
                  <c:v>109</c:v>
                </c:pt>
                <c:pt idx="78">
                  <c:v>109.4</c:v>
                </c:pt>
                <c:pt idx="79">
                  <c:v>109.7</c:v>
                </c:pt>
                <c:pt idx="80">
                  <c:v>110.2</c:v>
                </c:pt>
                <c:pt idx="81">
                  <c:v>110.9</c:v>
                </c:pt>
                <c:pt idx="82">
                  <c:v>111</c:v>
                </c:pt>
                <c:pt idx="83">
                  <c:v>111.8</c:v>
                </c:pt>
                <c:pt idx="84">
                  <c:v>110.5</c:v>
                </c:pt>
                <c:pt idx="85">
                  <c:v>110.8</c:v>
                </c:pt>
                <c:pt idx="86">
                  <c:v>111.9</c:v>
                </c:pt>
                <c:pt idx="87">
                  <c:v>112.4</c:v>
                </c:pt>
                <c:pt idx="88">
                  <c:v>112.6</c:v>
                </c:pt>
                <c:pt idx="89">
                  <c:v>112.5</c:v>
                </c:pt>
                <c:pt idx="90">
                  <c:v>112</c:v>
                </c:pt>
                <c:pt idx="91">
                  <c:v>110.9</c:v>
                </c:pt>
                <c:pt idx="92">
                  <c:v>108.9</c:v>
                </c:pt>
                <c:pt idx="93">
                  <c:v>107.8</c:v>
                </c:pt>
                <c:pt idx="94">
                  <c:v>106.8</c:v>
                </c:pt>
                <c:pt idx="95">
                  <c:v>105.5</c:v>
                </c:pt>
                <c:pt idx="96">
                  <c:v>104.1</c:v>
                </c:pt>
                <c:pt idx="97">
                  <c:v>102.6</c:v>
                </c:pt>
                <c:pt idx="98">
                  <c:v>102.5</c:v>
                </c:pt>
                <c:pt idx="99">
                  <c:v>100.4</c:v>
                </c:pt>
                <c:pt idx="100">
                  <c:v>100</c:v>
                </c:pt>
                <c:pt idx="101">
                  <c:v>96.6</c:v>
                </c:pt>
                <c:pt idx="102">
                  <c:v>93.8</c:v>
                </c:pt>
                <c:pt idx="103">
                  <c:v>91.8</c:v>
                </c:pt>
                <c:pt idx="104">
                  <c:v>91</c:v>
                </c:pt>
                <c:pt idx="105">
                  <c:v>84.7</c:v>
                </c:pt>
                <c:pt idx="106">
                  <c:v>79.5</c:v>
                </c:pt>
                <c:pt idx="107">
                  <c:v>72.599999999999994</c:v>
                </c:pt>
                <c:pt idx="108">
                  <c:v>71.8</c:v>
                </c:pt>
                <c:pt idx="109">
                  <c:v>69.2</c:v>
                </c:pt>
                <c:pt idx="110">
                  <c:v>67.5</c:v>
                </c:pt>
                <c:pt idx="111">
                  <c:v>69</c:v>
                </c:pt>
                <c:pt idx="112">
                  <c:v>72.3</c:v>
                </c:pt>
                <c:pt idx="113">
                  <c:v>75</c:v>
                </c:pt>
                <c:pt idx="114">
                  <c:v>77.8</c:v>
                </c:pt>
                <c:pt idx="115">
                  <c:v>81.900000000000006</c:v>
                </c:pt>
                <c:pt idx="116">
                  <c:v>84.4</c:v>
                </c:pt>
                <c:pt idx="117">
                  <c:v>87.2</c:v>
                </c:pt>
                <c:pt idx="118">
                  <c:v>89.6</c:v>
                </c:pt>
                <c:pt idx="119">
                  <c:v>92.3</c:v>
                </c:pt>
                <c:pt idx="120">
                  <c:v>94.1</c:v>
                </c:pt>
                <c:pt idx="121">
                  <c:v>95.3</c:v>
                </c:pt>
                <c:pt idx="122">
                  <c:v>97.4</c:v>
                </c:pt>
                <c:pt idx="123">
                  <c:v>99.9</c:v>
                </c:pt>
                <c:pt idx="124">
                  <c:v>98.3</c:v>
                </c:pt>
                <c:pt idx="125">
                  <c:v>98.9</c:v>
                </c:pt>
                <c:pt idx="126">
                  <c:v>100.6</c:v>
                </c:pt>
                <c:pt idx="127">
                  <c:v>101.1</c:v>
                </c:pt>
                <c:pt idx="128">
                  <c:v>102</c:v>
                </c:pt>
                <c:pt idx="129">
                  <c:v>102.9</c:v>
                </c:pt>
                <c:pt idx="130">
                  <c:v>104.7</c:v>
                </c:pt>
                <c:pt idx="131">
                  <c:v>106</c:v>
                </c:pt>
                <c:pt idx="132">
                  <c:v>106.2</c:v>
                </c:pt>
                <c:pt idx="133">
                  <c:v>107.6</c:v>
                </c:pt>
                <c:pt idx="134">
                  <c:v>106.7</c:v>
                </c:pt>
                <c:pt idx="135">
                  <c:v>105.1</c:v>
                </c:pt>
                <c:pt idx="136">
                  <c:v>104</c:v>
                </c:pt>
                <c:pt idx="137">
                  <c:v>103.6</c:v>
                </c:pt>
                <c:pt idx="138">
                  <c:v>101.4</c:v>
                </c:pt>
                <c:pt idx="139">
                  <c:v>97.4</c:v>
                </c:pt>
                <c:pt idx="140">
                  <c:v>94.1</c:v>
                </c:pt>
                <c:pt idx="141">
                  <c:v>93.4</c:v>
                </c:pt>
                <c:pt idx="142">
                  <c:v>93.3</c:v>
                </c:pt>
                <c:pt idx="143">
                  <c:v>92.3</c:v>
                </c:pt>
                <c:pt idx="144">
                  <c:v>92.5</c:v>
                </c:pt>
                <c:pt idx="145">
                  <c:v>93.8</c:v>
                </c:pt>
                <c:pt idx="146">
                  <c:v>94.5</c:v>
                </c:pt>
                <c:pt idx="147">
                  <c:v>92.8</c:v>
                </c:pt>
                <c:pt idx="148">
                  <c:v>90.3</c:v>
                </c:pt>
                <c:pt idx="149">
                  <c:v>89.9</c:v>
                </c:pt>
                <c:pt idx="150">
                  <c:v>88.1</c:v>
                </c:pt>
                <c:pt idx="151">
                  <c:v>86.8</c:v>
                </c:pt>
                <c:pt idx="152">
                  <c:v>85.3</c:v>
                </c:pt>
                <c:pt idx="153">
                  <c:v>84.6</c:v>
                </c:pt>
                <c:pt idx="154">
                  <c:v>85.7</c:v>
                </c:pt>
                <c:pt idx="155">
                  <c:v>86.9</c:v>
                </c:pt>
                <c:pt idx="156">
                  <c:v>88.2</c:v>
                </c:pt>
                <c:pt idx="157">
                  <c:v>89.1</c:v>
                </c:pt>
                <c:pt idx="158">
                  <c:v>89</c:v>
                </c:pt>
                <c:pt idx="159">
                  <c:v>87.2</c:v>
                </c:pt>
                <c:pt idx="160">
                  <c:v>88</c:v>
                </c:pt>
                <c:pt idx="161">
                  <c:v>89.5</c:v>
                </c:pt>
                <c:pt idx="162">
                  <c:v>90.6</c:v>
                </c:pt>
                <c:pt idx="163">
                  <c:v>92.6</c:v>
                </c:pt>
                <c:pt idx="164">
                  <c:v>95.3</c:v>
                </c:pt>
                <c:pt idx="165">
                  <c:v>96.1</c:v>
                </c:pt>
                <c:pt idx="166">
                  <c:v>97.5</c:v>
                </c:pt>
                <c:pt idx="167">
                  <c:v>99</c:v>
                </c:pt>
                <c:pt idx="168">
                  <c:v>99.7</c:v>
                </c:pt>
                <c:pt idx="169">
                  <c:v>99.9</c:v>
                </c:pt>
                <c:pt idx="170">
                  <c:v>100.9</c:v>
                </c:pt>
                <c:pt idx="171">
                  <c:v>100.6</c:v>
                </c:pt>
                <c:pt idx="172">
                  <c:v>101</c:v>
                </c:pt>
                <c:pt idx="173">
                  <c:v>100.7</c:v>
                </c:pt>
                <c:pt idx="174">
                  <c:v>100.7</c:v>
                </c:pt>
                <c:pt idx="175">
                  <c:v>99.9</c:v>
                </c:pt>
                <c:pt idx="176">
                  <c:v>99</c:v>
                </c:pt>
                <c:pt idx="177">
                  <c:v>100</c:v>
                </c:pt>
                <c:pt idx="178">
                  <c:v>99.8</c:v>
                </c:pt>
                <c:pt idx="179">
                  <c:v>100.1</c:v>
                </c:pt>
                <c:pt idx="180">
                  <c:v>100.3</c:v>
                </c:pt>
                <c:pt idx="181">
                  <c:v>101.2</c:v>
                </c:pt>
                <c:pt idx="182">
                  <c:v>102.2</c:v>
                </c:pt>
                <c:pt idx="183">
                  <c:v>102.6</c:v>
                </c:pt>
                <c:pt idx="184">
                  <c:v>102.9</c:v>
                </c:pt>
                <c:pt idx="185">
                  <c:v>102.8</c:v>
                </c:pt>
                <c:pt idx="186">
                  <c:v>103.3</c:v>
                </c:pt>
                <c:pt idx="187">
                  <c:v>103.6</c:v>
                </c:pt>
                <c:pt idx="188">
                  <c:v>104.7</c:v>
                </c:pt>
                <c:pt idx="189">
                  <c:v>105.5</c:v>
                </c:pt>
                <c:pt idx="190">
                  <c:v>105.6</c:v>
                </c:pt>
                <c:pt idx="191">
                  <c:v>106.1</c:v>
                </c:pt>
                <c:pt idx="192">
                  <c:v>105.3</c:v>
                </c:pt>
                <c:pt idx="193">
                  <c:v>103.9</c:v>
                </c:pt>
                <c:pt idx="194">
                  <c:v>102.9</c:v>
                </c:pt>
                <c:pt idx="195">
                  <c:v>103.7</c:v>
                </c:pt>
                <c:pt idx="196">
                  <c:v>104</c:v>
                </c:pt>
                <c:pt idx="197">
                  <c:v>104.1</c:v>
                </c:pt>
                <c:pt idx="198">
                  <c:v>104.3</c:v>
                </c:pt>
                <c:pt idx="199">
                  <c:v>103.6</c:v>
                </c:pt>
                <c:pt idx="200">
                  <c:v>104.3</c:v>
                </c:pt>
                <c:pt idx="201">
                  <c:v>105.8</c:v>
                </c:pt>
                <c:pt idx="202">
                  <c:v>106.1</c:v>
                </c:pt>
                <c:pt idx="203">
                  <c:v>107.5</c:v>
                </c:pt>
                <c:pt idx="204">
                  <c:v>107.6</c:v>
                </c:pt>
                <c:pt idx="205">
                  <c:v>107.5</c:v>
                </c:pt>
                <c:pt idx="206">
                  <c:v>107.3</c:v>
                </c:pt>
                <c:pt idx="207">
                  <c:v>108.7</c:v>
                </c:pt>
                <c:pt idx="208">
                  <c:v>109</c:v>
                </c:pt>
                <c:pt idx="209">
                  <c:v>110.4</c:v>
                </c:pt>
                <c:pt idx="210">
                  <c:v>111.5</c:v>
                </c:pt>
                <c:pt idx="211">
                  <c:v>111.5</c:v>
                </c:pt>
                <c:pt idx="212">
                  <c:v>112.5</c:v>
                </c:pt>
                <c:pt idx="213">
                  <c:v>113.7</c:v>
                </c:pt>
                <c:pt idx="214">
                  <c:v>114</c:v>
                </c:pt>
                <c:pt idx="215">
                  <c:v>114.9</c:v>
                </c:pt>
                <c:pt idx="216">
                  <c:v>114.4</c:v>
                </c:pt>
                <c:pt idx="217">
                  <c:v>114.2</c:v>
                </c:pt>
                <c:pt idx="218">
                  <c:v>112.5</c:v>
                </c:pt>
                <c:pt idx="219">
                  <c:v>112.8</c:v>
                </c:pt>
                <c:pt idx="220">
                  <c:v>112.2</c:v>
                </c:pt>
                <c:pt idx="221">
                  <c:v>112.5</c:v>
                </c:pt>
                <c:pt idx="222">
                  <c:v>111.9</c:v>
                </c:pt>
                <c:pt idx="223">
                  <c:v>111.7</c:v>
                </c:pt>
                <c:pt idx="224">
                  <c:v>111</c:v>
                </c:pt>
                <c:pt idx="225">
                  <c:v>110.2</c:v>
                </c:pt>
                <c:pt idx="226">
                  <c:v>109.9</c:v>
                </c:pt>
                <c:pt idx="227">
                  <c:v>108.3</c:v>
                </c:pt>
                <c:pt idx="228">
                  <c:v>106.8</c:v>
                </c:pt>
                <c:pt idx="229">
                  <c:v>106.8</c:v>
                </c:pt>
                <c:pt idx="230">
                  <c:v>106.3</c:v>
                </c:pt>
                <c:pt idx="231">
                  <c:v>104.6</c:v>
                </c:pt>
                <c:pt idx="232">
                  <c:v>105.6</c:v>
                </c:pt>
                <c:pt idx="233">
                  <c:v>103.8</c:v>
                </c:pt>
                <c:pt idx="234">
                  <c:v>103.1</c:v>
                </c:pt>
                <c:pt idx="235">
                  <c:v>103.4</c:v>
                </c:pt>
                <c:pt idx="236">
                  <c:v>102</c:v>
                </c:pt>
                <c:pt idx="237">
                  <c:v>101.2</c:v>
                </c:pt>
                <c:pt idx="238">
                  <c:v>101.7</c:v>
                </c:pt>
                <c:pt idx="239">
                  <c:v>101.7</c:v>
                </c:pt>
                <c:pt idx="240">
                  <c:v>103.2</c:v>
                </c:pt>
                <c:pt idx="241">
                  <c:v>103.9</c:v>
                </c:pt>
                <c:pt idx="242">
                  <c:v>95.9</c:v>
                </c:pt>
                <c:pt idx="243">
                  <c:v>67.099999999999994</c:v>
                </c:pt>
                <c:pt idx="244">
                  <c:v>69.400000000000006</c:v>
                </c:pt>
                <c:pt idx="245">
                  <c:v>77.2</c:v>
                </c:pt>
                <c:pt idx="246">
                  <c:v>83.7</c:v>
                </c:pt>
                <c:pt idx="247">
                  <c:v>88.4</c:v>
                </c:pt>
                <c:pt idx="248">
                  <c:v>91.5</c:v>
                </c:pt>
                <c:pt idx="249">
                  <c:v>91.7</c:v>
                </c:pt>
                <c:pt idx="250">
                  <c:v>88.6</c:v>
                </c:pt>
                <c:pt idx="251">
                  <c:v>91.6</c:v>
                </c:pt>
                <c:pt idx="252">
                  <c:v>91.1</c:v>
                </c:pt>
                <c:pt idx="253">
                  <c:v>93.1</c:v>
                </c:pt>
                <c:pt idx="254">
                  <c:v>99.9</c:v>
                </c:pt>
                <c:pt idx="255">
                  <c:v>109.9</c:v>
                </c:pt>
                <c:pt idx="256">
                  <c:v>114</c:v>
                </c:pt>
                <c:pt idx="257">
                  <c:v>117.1</c:v>
                </c:pt>
                <c:pt idx="258">
                  <c:v>118</c:v>
                </c:pt>
                <c:pt idx="259">
                  <c:v>116.5</c:v>
                </c:pt>
              </c:numCache>
            </c:numRef>
          </c:val>
          <c:smooth val="0"/>
          <c:extLst>
            <c:ext xmlns:c16="http://schemas.microsoft.com/office/drawing/2014/chart" uri="{C3380CC4-5D6E-409C-BE32-E72D297353CC}">
              <c16:uniqueId val="{00000000-EA94-45AD-8CB4-EA2A0550F6FB}"/>
            </c:ext>
          </c:extLst>
        </c:ser>
        <c:ser>
          <c:idx val="1"/>
          <c:order val="1"/>
          <c:tx>
            <c:strRef>
              <c:f>Sheet1!$L$442</c:f>
              <c:strCache>
                <c:ptCount val="1"/>
                <c:pt idx="0">
                  <c:v>Igaunija</c:v>
                </c:pt>
              </c:strCache>
            </c:strRef>
          </c:tx>
          <c:spPr>
            <a:ln w="28575" cap="rnd">
              <a:solidFill>
                <a:srgbClr val="002060"/>
              </a:solidFill>
              <a:round/>
            </a:ln>
            <a:effectLst/>
          </c:spPr>
          <c:marker>
            <c:symbol val="none"/>
          </c:marker>
          <c:cat>
            <c:numRef>
              <c:f>Sheet1!$J$182:$J$441</c:f>
              <c:numCache>
                <c:formatCode>mmm\-yy</c:formatCode>
                <c:ptCount val="260"/>
                <c:pt idx="0">
                  <c:v>36556</c:v>
                </c:pt>
                <c:pt idx="1">
                  <c:v>36585</c:v>
                </c:pt>
                <c:pt idx="2">
                  <c:v>36616</c:v>
                </c:pt>
                <c:pt idx="3">
                  <c:v>36646</c:v>
                </c:pt>
                <c:pt idx="4">
                  <c:v>36677</c:v>
                </c:pt>
                <c:pt idx="5">
                  <c:v>36707</c:v>
                </c:pt>
                <c:pt idx="6">
                  <c:v>36738</c:v>
                </c:pt>
                <c:pt idx="7">
                  <c:v>36769</c:v>
                </c:pt>
                <c:pt idx="8">
                  <c:v>36799</c:v>
                </c:pt>
                <c:pt idx="9">
                  <c:v>36830</c:v>
                </c:pt>
                <c:pt idx="10">
                  <c:v>36860</c:v>
                </c:pt>
                <c:pt idx="11">
                  <c:v>36891</c:v>
                </c:pt>
                <c:pt idx="12">
                  <c:v>36922</c:v>
                </c:pt>
                <c:pt idx="13">
                  <c:v>36950</c:v>
                </c:pt>
                <c:pt idx="14">
                  <c:v>36981</c:v>
                </c:pt>
                <c:pt idx="15">
                  <c:v>37011</c:v>
                </c:pt>
                <c:pt idx="16">
                  <c:v>37042</c:v>
                </c:pt>
                <c:pt idx="17">
                  <c:v>37072</c:v>
                </c:pt>
                <c:pt idx="18">
                  <c:v>37103</c:v>
                </c:pt>
                <c:pt idx="19">
                  <c:v>37134</c:v>
                </c:pt>
                <c:pt idx="20">
                  <c:v>37164</c:v>
                </c:pt>
                <c:pt idx="21">
                  <c:v>37195</c:v>
                </c:pt>
                <c:pt idx="22">
                  <c:v>37225</c:v>
                </c:pt>
                <c:pt idx="23">
                  <c:v>37256</c:v>
                </c:pt>
                <c:pt idx="24">
                  <c:v>37287</c:v>
                </c:pt>
                <c:pt idx="25">
                  <c:v>37315</c:v>
                </c:pt>
                <c:pt idx="26">
                  <c:v>37346</c:v>
                </c:pt>
                <c:pt idx="27">
                  <c:v>37376</c:v>
                </c:pt>
                <c:pt idx="28">
                  <c:v>37407</c:v>
                </c:pt>
                <c:pt idx="29">
                  <c:v>37437</c:v>
                </c:pt>
                <c:pt idx="30">
                  <c:v>37468</c:v>
                </c:pt>
                <c:pt idx="31">
                  <c:v>37499</c:v>
                </c:pt>
                <c:pt idx="32">
                  <c:v>37529</c:v>
                </c:pt>
                <c:pt idx="33">
                  <c:v>37560</c:v>
                </c:pt>
                <c:pt idx="34">
                  <c:v>37590</c:v>
                </c:pt>
                <c:pt idx="35">
                  <c:v>37621</c:v>
                </c:pt>
                <c:pt idx="36">
                  <c:v>37652</c:v>
                </c:pt>
                <c:pt idx="37">
                  <c:v>37680</c:v>
                </c:pt>
                <c:pt idx="38">
                  <c:v>37711</c:v>
                </c:pt>
                <c:pt idx="39">
                  <c:v>37741</c:v>
                </c:pt>
                <c:pt idx="40">
                  <c:v>37772</c:v>
                </c:pt>
                <c:pt idx="41">
                  <c:v>37802</c:v>
                </c:pt>
                <c:pt idx="42">
                  <c:v>37833</c:v>
                </c:pt>
                <c:pt idx="43">
                  <c:v>37864</c:v>
                </c:pt>
                <c:pt idx="44">
                  <c:v>37894</c:v>
                </c:pt>
                <c:pt idx="45">
                  <c:v>37925</c:v>
                </c:pt>
                <c:pt idx="46">
                  <c:v>37955</c:v>
                </c:pt>
                <c:pt idx="47">
                  <c:v>37986</c:v>
                </c:pt>
                <c:pt idx="48">
                  <c:v>38017</c:v>
                </c:pt>
                <c:pt idx="49">
                  <c:v>38046</c:v>
                </c:pt>
                <c:pt idx="50">
                  <c:v>38077</c:v>
                </c:pt>
                <c:pt idx="51">
                  <c:v>38107</c:v>
                </c:pt>
                <c:pt idx="52">
                  <c:v>38138</c:v>
                </c:pt>
                <c:pt idx="53">
                  <c:v>38168</c:v>
                </c:pt>
                <c:pt idx="54">
                  <c:v>38199</c:v>
                </c:pt>
                <c:pt idx="55">
                  <c:v>38230</c:v>
                </c:pt>
                <c:pt idx="56">
                  <c:v>38260</c:v>
                </c:pt>
                <c:pt idx="57">
                  <c:v>38291</c:v>
                </c:pt>
                <c:pt idx="58">
                  <c:v>38321</c:v>
                </c:pt>
                <c:pt idx="59">
                  <c:v>38352</c:v>
                </c:pt>
                <c:pt idx="60">
                  <c:v>38383</c:v>
                </c:pt>
                <c:pt idx="61">
                  <c:v>38411</c:v>
                </c:pt>
                <c:pt idx="62">
                  <c:v>38442</c:v>
                </c:pt>
                <c:pt idx="63">
                  <c:v>38472</c:v>
                </c:pt>
                <c:pt idx="64">
                  <c:v>38503</c:v>
                </c:pt>
                <c:pt idx="65">
                  <c:v>38533</c:v>
                </c:pt>
                <c:pt idx="66">
                  <c:v>38564</c:v>
                </c:pt>
                <c:pt idx="67">
                  <c:v>38595</c:v>
                </c:pt>
                <c:pt idx="68">
                  <c:v>38625</c:v>
                </c:pt>
                <c:pt idx="69">
                  <c:v>38656</c:v>
                </c:pt>
                <c:pt idx="70">
                  <c:v>38686</c:v>
                </c:pt>
                <c:pt idx="71">
                  <c:v>38717</c:v>
                </c:pt>
                <c:pt idx="72">
                  <c:v>38748</c:v>
                </c:pt>
                <c:pt idx="73">
                  <c:v>38776</c:v>
                </c:pt>
                <c:pt idx="74">
                  <c:v>38807</c:v>
                </c:pt>
                <c:pt idx="75">
                  <c:v>38837</c:v>
                </c:pt>
                <c:pt idx="76">
                  <c:v>38868</c:v>
                </c:pt>
                <c:pt idx="77">
                  <c:v>38898</c:v>
                </c:pt>
                <c:pt idx="78">
                  <c:v>38929</c:v>
                </c:pt>
                <c:pt idx="79">
                  <c:v>38960</c:v>
                </c:pt>
                <c:pt idx="80">
                  <c:v>38990</c:v>
                </c:pt>
                <c:pt idx="81">
                  <c:v>39021</c:v>
                </c:pt>
                <c:pt idx="82">
                  <c:v>39051</c:v>
                </c:pt>
                <c:pt idx="83">
                  <c:v>39082</c:v>
                </c:pt>
                <c:pt idx="84">
                  <c:v>39113</c:v>
                </c:pt>
                <c:pt idx="85">
                  <c:v>39141</c:v>
                </c:pt>
                <c:pt idx="86">
                  <c:v>39172</c:v>
                </c:pt>
                <c:pt idx="87">
                  <c:v>39202</c:v>
                </c:pt>
                <c:pt idx="88">
                  <c:v>39233</c:v>
                </c:pt>
                <c:pt idx="89">
                  <c:v>39263</c:v>
                </c:pt>
                <c:pt idx="90">
                  <c:v>39294</c:v>
                </c:pt>
                <c:pt idx="91">
                  <c:v>39325</c:v>
                </c:pt>
                <c:pt idx="92">
                  <c:v>39355</c:v>
                </c:pt>
                <c:pt idx="93">
                  <c:v>39386</c:v>
                </c:pt>
                <c:pt idx="94">
                  <c:v>39416</c:v>
                </c:pt>
                <c:pt idx="95">
                  <c:v>39447</c:v>
                </c:pt>
                <c:pt idx="96">
                  <c:v>39478</c:v>
                </c:pt>
                <c:pt idx="97">
                  <c:v>39507</c:v>
                </c:pt>
                <c:pt idx="98">
                  <c:v>39538</c:v>
                </c:pt>
                <c:pt idx="99">
                  <c:v>39568</c:v>
                </c:pt>
                <c:pt idx="100">
                  <c:v>39599</c:v>
                </c:pt>
                <c:pt idx="101">
                  <c:v>39629</c:v>
                </c:pt>
                <c:pt idx="102">
                  <c:v>39660</c:v>
                </c:pt>
                <c:pt idx="103">
                  <c:v>39691</c:v>
                </c:pt>
                <c:pt idx="104">
                  <c:v>39721</c:v>
                </c:pt>
                <c:pt idx="105">
                  <c:v>39752</c:v>
                </c:pt>
                <c:pt idx="106">
                  <c:v>39782</c:v>
                </c:pt>
                <c:pt idx="107">
                  <c:v>39813</c:v>
                </c:pt>
                <c:pt idx="108">
                  <c:v>39844</c:v>
                </c:pt>
                <c:pt idx="109">
                  <c:v>39872</c:v>
                </c:pt>
                <c:pt idx="110">
                  <c:v>39903</c:v>
                </c:pt>
                <c:pt idx="111">
                  <c:v>39933</c:v>
                </c:pt>
                <c:pt idx="112">
                  <c:v>39964</c:v>
                </c:pt>
                <c:pt idx="113">
                  <c:v>39994</c:v>
                </c:pt>
                <c:pt idx="114">
                  <c:v>40025</c:v>
                </c:pt>
                <c:pt idx="115">
                  <c:v>40056</c:v>
                </c:pt>
                <c:pt idx="116">
                  <c:v>40086</c:v>
                </c:pt>
                <c:pt idx="117">
                  <c:v>40117</c:v>
                </c:pt>
                <c:pt idx="118">
                  <c:v>40147</c:v>
                </c:pt>
                <c:pt idx="119">
                  <c:v>40178</c:v>
                </c:pt>
                <c:pt idx="120">
                  <c:v>40209</c:v>
                </c:pt>
                <c:pt idx="121">
                  <c:v>40237</c:v>
                </c:pt>
                <c:pt idx="122">
                  <c:v>40268</c:v>
                </c:pt>
                <c:pt idx="123">
                  <c:v>40298</c:v>
                </c:pt>
                <c:pt idx="124">
                  <c:v>40329</c:v>
                </c:pt>
                <c:pt idx="125">
                  <c:v>40359</c:v>
                </c:pt>
                <c:pt idx="126">
                  <c:v>40390</c:v>
                </c:pt>
                <c:pt idx="127">
                  <c:v>40421</c:v>
                </c:pt>
                <c:pt idx="128">
                  <c:v>40451</c:v>
                </c:pt>
                <c:pt idx="129">
                  <c:v>40482</c:v>
                </c:pt>
                <c:pt idx="130">
                  <c:v>40512</c:v>
                </c:pt>
                <c:pt idx="131">
                  <c:v>40543</c:v>
                </c:pt>
                <c:pt idx="132">
                  <c:v>40574</c:v>
                </c:pt>
                <c:pt idx="133">
                  <c:v>40602</c:v>
                </c:pt>
                <c:pt idx="134">
                  <c:v>40633</c:v>
                </c:pt>
                <c:pt idx="135">
                  <c:v>40663</c:v>
                </c:pt>
                <c:pt idx="136">
                  <c:v>40694</c:v>
                </c:pt>
                <c:pt idx="137">
                  <c:v>40724</c:v>
                </c:pt>
                <c:pt idx="138">
                  <c:v>40755</c:v>
                </c:pt>
                <c:pt idx="139">
                  <c:v>40786</c:v>
                </c:pt>
                <c:pt idx="140">
                  <c:v>40816</c:v>
                </c:pt>
                <c:pt idx="141">
                  <c:v>40847</c:v>
                </c:pt>
                <c:pt idx="142">
                  <c:v>40877</c:v>
                </c:pt>
                <c:pt idx="143">
                  <c:v>40908</c:v>
                </c:pt>
                <c:pt idx="144">
                  <c:v>40939</c:v>
                </c:pt>
                <c:pt idx="145">
                  <c:v>40968</c:v>
                </c:pt>
                <c:pt idx="146">
                  <c:v>40999</c:v>
                </c:pt>
                <c:pt idx="147">
                  <c:v>41029</c:v>
                </c:pt>
                <c:pt idx="148">
                  <c:v>41060</c:v>
                </c:pt>
                <c:pt idx="149">
                  <c:v>41090</c:v>
                </c:pt>
                <c:pt idx="150">
                  <c:v>41121</c:v>
                </c:pt>
                <c:pt idx="151">
                  <c:v>41152</c:v>
                </c:pt>
                <c:pt idx="152">
                  <c:v>41182</c:v>
                </c:pt>
                <c:pt idx="153">
                  <c:v>41213</c:v>
                </c:pt>
                <c:pt idx="154">
                  <c:v>41243</c:v>
                </c:pt>
                <c:pt idx="155">
                  <c:v>41274</c:v>
                </c:pt>
                <c:pt idx="156">
                  <c:v>41305</c:v>
                </c:pt>
                <c:pt idx="157">
                  <c:v>41333</c:v>
                </c:pt>
                <c:pt idx="158">
                  <c:v>41364</c:v>
                </c:pt>
                <c:pt idx="159">
                  <c:v>41394</c:v>
                </c:pt>
                <c:pt idx="160">
                  <c:v>41425</c:v>
                </c:pt>
                <c:pt idx="161">
                  <c:v>41455</c:v>
                </c:pt>
                <c:pt idx="162">
                  <c:v>41486</c:v>
                </c:pt>
                <c:pt idx="163">
                  <c:v>41517</c:v>
                </c:pt>
                <c:pt idx="164">
                  <c:v>41547</c:v>
                </c:pt>
                <c:pt idx="165">
                  <c:v>41578</c:v>
                </c:pt>
                <c:pt idx="166">
                  <c:v>41608</c:v>
                </c:pt>
                <c:pt idx="167">
                  <c:v>41639</c:v>
                </c:pt>
                <c:pt idx="168">
                  <c:v>41670</c:v>
                </c:pt>
                <c:pt idx="169">
                  <c:v>41698</c:v>
                </c:pt>
                <c:pt idx="170">
                  <c:v>41729</c:v>
                </c:pt>
                <c:pt idx="171">
                  <c:v>41759</c:v>
                </c:pt>
                <c:pt idx="172">
                  <c:v>41790</c:v>
                </c:pt>
                <c:pt idx="173">
                  <c:v>41820</c:v>
                </c:pt>
                <c:pt idx="174">
                  <c:v>41851</c:v>
                </c:pt>
                <c:pt idx="175">
                  <c:v>41882</c:v>
                </c:pt>
                <c:pt idx="176">
                  <c:v>41912</c:v>
                </c:pt>
                <c:pt idx="177">
                  <c:v>41943</c:v>
                </c:pt>
                <c:pt idx="178">
                  <c:v>41973</c:v>
                </c:pt>
                <c:pt idx="179">
                  <c:v>42004</c:v>
                </c:pt>
                <c:pt idx="180">
                  <c:v>42035</c:v>
                </c:pt>
                <c:pt idx="181">
                  <c:v>42063</c:v>
                </c:pt>
                <c:pt idx="182">
                  <c:v>42094</c:v>
                </c:pt>
                <c:pt idx="183">
                  <c:v>42124</c:v>
                </c:pt>
                <c:pt idx="184">
                  <c:v>42155</c:v>
                </c:pt>
                <c:pt idx="185">
                  <c:v>42185</c:v>
                </c:pt>
                <c:pt idx="186">
                  <c:v>42216</c:v>
                </c:pt>
                <c:pt idx="187">
                  <c:v>42247</c:v>
                </c:pt>
                <c:pt idx="188">
                  <c:v>42277</c:v>
                </c:pt>
                <c:pt idx="189">
                  <c:v>42308</c:v>
                </c:pt>
                <c:pt idx="190">
                  <c:v>42338</c:v>
                </c:pt>
                <c:pt idx="191">
                  <c:v>42369</c:v>
                </c:pt>
                <c:pt idx="192">
                  <c:v>42400</c:v>
                </c:pt>
                <c:pt idx="193">
                  <c:v>42429</c:v>
                </c:pt>
                <c:pt idx="194">
                  <c:v>42460</c:v>
                </c:pt>
                <c:pt idx="195">
                  <c:v>42490</c:v>
                </c:pt>
                <c:pt idx="196">
                  <c:v>42521</c:v>
                </c:pt>
                <c:pt idx="197">
                  <c:v>42551</c:v>
                </c:pt>
                <c:pt idx="198">
                  <c:v>42582</c:v>
                </c:pt>
                <c:pt idx="199">
                  <c:v>42613</c:v>
                </c:pt>
                <c:pt idx="200">
                  <c:v>42643</c:v>
                </c:pt>
                <c:pt idx="201">
                  <c:v>42674</c:v>
                </c:pt>
                <c:pt idx="202">
                  <c:v>42704</c:v>
                </c:pt>
                <c:pt idx="203">
                  <c:v>42735</c:v>
                </c:pt>
                <c:pt idx="204">
                  <c:v>42766</c:v>
                </c:pt>
                <c:pt idx="205">
                  <c:v>42794</c:v>
                </c:pt>
                <c:pt idx="206">
                  <c:v>42825</c:v>
                </c:pt>
                <c:pt idx="207">
                  <c:v>42855</c:v>
                </c:pt>
                <c:pt idx="208">
                  <c:v>42886</c:v>
                </c:pt>
                <c:pt idx="209">
                  <c:v>42916</c:v>
                </c:pt>
                <c:pt idx="210">
                  <c:v>42947</c:v>
                </c:pt>
                <c:pt idx="211">
                  <c:v>42978</c:v>
                </c:pt>
                <c:pt idx="212">
                  <c:v>43008</c:v>
                </c:pt>
                <c:pt idx="213">
                  <c:v>43039</c:v>
                </c:pt>
                <c:pt idx="214">
                  <c:v>43069</c:v>
                </c:pt>
                <c:pt idx="215">
                  <c:v>43100</c:v>
                </c:pt>
                <c:pt idx="216">
                  <c:v>43131</c:v>
                </c:pt>
                <c:pt idx="217">
                  <c:v>43159</c:v>
                </c:pt>
                <c:pt idx="218">
                  <c:v>43190</c:v>
                </c:pt>
                <c:pt idx="219">
                  <c:v>43220</c:v>
                </c:pt>
                <c:pt idx="220">
                  <c:v>43251</c:v>
                </c:pt>
                <c:pt idx="221">
                  <c:v>43281</c:v>
                </c:pt>
                <c:pt idx="222">
                  <c:v>43312</c:v>
                </c:pt>
                <c:pt idx="223">
                  <c:v>43343</c:v>
                </c:pt>
                <c:pt idx="224">
                  <c:v>43373</c:v>
                </c:pt>
                <c:pt idx="225">
                  <c:v>43404</c:v>
                </c:pt>
                <c:pt idx="226">
                  <c:v>43434</c:v>
                </c:pt>
                <c:pt idx="227">
                  <c:v>43465</c:v>
                </c:pt>
                <c:pt idx="228">
                  <c:v>43496</c:v>
                </c:pt>
                <c:pt idx="229">
                  <c:v>43524</c:v>
                </c:pt>
                <c:pt idx="230">
                  <c:v>43555</c:v>
                </c:pt>
                <c:pt idx="231">
                  <c:v>43585</c:v>
                </c:pt>
                <c:pt idx="232">
                  <c:v>43616</c:v>
                </c:pt>
                <c:pt idx="233">
                  <c:v>43646</c:v>
                </c:pt>
                <c:pt idx="234">
                  <c:v>43677</c:v>
                </c:pt>
                <c:pt idx="235">
                  <c:v>43708</c:v>
                </c:pt>
                <c:pt idx="236">
                  <c:v>43738</c:v>
                </c:pt>
                <c:pt idx="237">
                  <c:v>43769</c:v>
                </c:pt>
                <c:pt idx="238">
                  <c:v>43799</c:v>
                </c:pt>
                <c:pt idx="239">
                  <c:v>43830</c:v>
                </c:pt>
                <c:pt idx="240">
                  <c:v>43861</c:v>
                </c:pt>
                <c:pt idx="241">
                  <c:v>43890</c:v>
                </c:pt>
                <c:pt idx="242">
                  <c:v>43921</c:v>
                </c:pt>
                <c:pt idx="243">
                  <c:v>43951</c:v>
                </c:pt>
                <c:pt idx="244">
                  <c:v>43982</c:v>
                </c:pt>
                <c:pt idx="245">
                  <c:v>44012</c:v>
                </c:pt>
                <c:pt idx="246">
                  <c:v>44043</c:v>
                </c:pt>
                <c:pt idx="247">
                  <c:v>44074</c:v>
                </c:pt>
                <c:pt idx="248">
                  <c:v>44104</c:v>
                </c:pt>
                <c:pt idx="249">
                  <c:v>44135</c:v>
                </c:pt>
                <c:pt idx="250">
                  <c:v>44165</c:v>
                </c:pt>
                <c:pt idx="251">
                  <c:v>44196</c:v>
                </c:pt>
                <c:pt idx="252">
                  <c:v>44227</c:v>
                </c:pt>
                <c:pt idx="253">
                  <c:v>44255</c:v>
                </c:pt>
                <c:pt idx="254">
                  <c:v>44286</c:v>
                </c:pt>
                <c:pt idx="255">
                  <c:v>44316</c:v>
                </c:pt>
                <c:pt idx="256">
                  <c:v>44347</c:v>
                </c:pt>
                <c:pt idx="257">
                  <c:v>44377</c:v>
                </c:pt>
                <c:pt idx="258">
                  <c:v>44408</c:v>
                </c:pt>
                <c:pt idx="259">
                  <c:v>44439</c:v>
                </c:pt>
              </c:numCache>
            </c:numRef>
          </c:cat>
          <c:val>
            <c:numRef>
              <c:f>Sheet1!$L$182:$L$441</c:f>
              <c:numCache>
                <c:formatCode>General</c:formatCode>
                <c:ptCount val="260"/>
                <c:pt idx="0">
                  <c:v>87.2</c:v>
                </c:pt>
                <c:pt idx="1">
                  <c:v>87</c:v>
                </c:pt>
                <c:pt idx="2">
                  <c:v>86.8</c:v>
                </c:pt>
                <c:pt idx="3">
                  <c:v>88.9</c:v>
                </c:pt>
                <c:pt idx="4">
                  <c:v>88.9</c:v>
                </c:pt>
                <c:pt idx="5">
                  <c:v>88.8</c:v>
                </c:pt>
                <c:pt idx="6">
                  <c:v>94.2</c:v>
                </c:pt>
                <c:pt idx="7">
                  <c:v>95.5</c:v>
                </c:pt>
                <c:pt idx="8">
                  <c:v>96.7</c:v>
                </c:pt>
                <c:pt idx="9">
                  <c:v>96.1</c:v>
                </c:pt>
                <c:pt idx="10">
                  <c:v>96.3</c:v>
                </c:pt>
                <c:pt idx="11">
                  <c:v>96.4</c:v>
                </c:pt>
                <c:pt idx="12">
                  <c:v>102.4</c:v>
                </c:pt>
                <c:pt idx="13">
                  <c:v>102.6</c:v>
                </c:pt>
                <c:pt idx="14">
                  <c:v>102.8</c:v>
                </c:pt>
                <c:pt idx="15">
                  <c:v>95.2</c:v>
                </c:pt>
                <c:pt idx="16">
                  <c:v>100</c:v>
                </c:pt>
                <c:pt idx="17">
                  <c:v>101.4</c:v>
                </c:pt>
                <c:pt idx="18">
                  <c:v>101.3</c:v>
                </c:pt>
                <c:pt idx="19">
                  <c:v>102.6</c:v>
                </c:pt>
                <c:pt idx="20">
                  <c:v>102</c:v>
                </c:pt>
                <c:pt idx="21">
                  <c:v>97.8</c:v>
                </c:pt>
                <c:pt idx="22">
                  <c:v>97.4</c:v>
                </c:pt>
                <c:pt idx="23">
                  <c:v>95.5</c:v>
                </c:pt>
                <c:pt idx="24">
                  <c:v>102.7</c:v>
                </c:pt>
                <c:pt idx="25">
                  <c:v>106.7</c:v>
                </c:pt>
                <c:pt idx="26">
                  <c:v>110.6</c:v>
                </c:pt>
                <c:pt idx="27">
                  <c:v>108.3</c:v>
                </c:pt>
                <c:pt idx="28">
                  <c:v>107.6</c:v>
                </c:pt>
                <c:pt idx="29">
                  <c:v>107.6</c:v>
                </c:pt>
                <c:pt idx="30">
                  <c:v>108.1</c:v>
                </c:pt>
                <c:pt idx="31">
                  <c:v>110.5</c:v>
                </c:pt>
                <c:pt idx="32">
                  <c:v>112.3</c:v>
                </c:pt>
                <c:pt idx="33">
                  <c:v>110.6</c:v>
                </c:pt>
                <c:pt idx="34">
                  <c:v>110.2</c:v>
                </c:pt>
                <c:pt idx="35">
                  <c:v>107.9</c:v>
                </c:pt>
                <c:pt idx="36">
                  <c:v>111.5</c:v>
                </c:pt>
                <c:pt idx="37">
                  <c:v>111.6</c:v>
                </c:pt>
                <c:pt idx="38">
                  <c:v>111.5</c:v>
                </c:pt>
                <c:pt idx="39">
                  <c:v>108.3</c:v>
                </c:pt>
                <c:pt idx="40">
                  <c:v>106.3</c:v>
                </c:pt>
                <c:pt idx="41">
                  <c:v>106.5</c:v>
                </c:pt>
                <c:pt idx="42">
                  <c:v>107.8</c:v>
                </c:pt>
                <c:pt idx="43">
                  <c:v>107.2</c:v>
                </c:pt>
                <c:pt idx="44">
                  <c:v>107.8</c:v>
                </c:pt>
                <c:pt idx="45">
                  <c:v>109</c:v>
                </c:pt>
                <c:pt idx="46">
                  <c:v>107.2</c:v>
                </c:pt>
                <c:pt idx="47">
                  <c:v>102.9</c:v>
                </c:pt>
                <c:pt idx="48">
                  <c:v>105.6</c:v>
                </c:pt>
                <c:pt idx="49">
                  <c:v>106.4</c:v>
                </c:pt>
                <c:pt idx="50">
                  <c:v>107.8</c:v>
                </c:pt>
                <c:pt idx="51">
                  <c:v>108.5</c:v>
                </c:pt>
                <c:pt idx="52">
                  <c:v>109.4</c:v>
                </c:pt>
                <c:pt idx="53">
                  <c:v>108</c:v>
                </c:pt>
                <c:pt idx="54">
                  <c:v>105.9</c:v>
                </c:pt>
                <c:pt idx="55">
                  <c:v>105.5</c:v>
                </c:pt>
                <c:pt idx="56">
                  <c:v>106.4</c:v>
                </c:pt>
                <c:pt idx="57">
                  <c:v>103.6</c:v>
                </c:pt>
                <c:pt idx="58">
                  <c:v>101</c:v>
                </c:pt>
                <c:pt idx="59">
                  <c:v>101.9</c:v>
                </c:pt>
                <c:pt idx="60">
                  <c:v>105.1</c:v>
                </c:pt>
                <c:pt idx="61">
                  <c:v>107.5</c:v>
                </c:pt>
                <c:pt idx="62">
                  <c:v>110.2</c:v>
                </c:pt>
                <c:pt idx="63">
                  <c:v>109.5</c:v>
                </c:pt>
                <c:pt idx="64">
                  <c:v>110</c:v>
                </c:pt>
                <c:pt idx="65">
                  <c:v>109.4</c:v>
                </c:pt>
                <c:pt idx="66">
                  <c:v>111.8</c:v>
                </c:pt>
                <c:pt idx="67">
                  <c:v>110.2</c:v>
                </c:pt>
                <c:pt idx="68">
                  <c:v>108.2</c:v>
                </c:pt>
                <c:pt idx="69">
                  <c:v>113</c:v>
                </c:pt>
                <c:pt idx="70">
                  <c:v>114.3</c:v>
                </c:pt>
                <c:pt idx="71">
                  <c:v>117.2</c:v>
                </c:pt>
                <c:pt idx="72">
                  <c:v>115.9</c:v>
                </c:pt>
                <c:pt idx="73">
                  <c:v>112.9</c:v>
                </c:pt>
                <c:pt idx="74">
                  <c:v>112.8</c:v>
                </c:pt>
                <c:pt idx="75">
                  <c:v>113.4</c:v>
                </c:pt>
                <c:pt idx="76">
                  <c:v>113.9</c:v>
                </c:pt>
                <c:pt idx="77">
                  <c:v>115.9</c:v>
                </c:pt>
                <c:pt idx="78">
                  <c:v>117.6</c:v>
                </c:pt>
                <c:pt idx="79">
                  <c:v>118.5</c:v>
                </c:pt>
                <c:pt idx="80">
                  <c:v>118.4</c:v>
                </c:pt>
                <c:pt idx="81">
                  <c:v>116.8</c:v>
                </c:pt>
                <c:pt idx="82">
                  <c:v>117.8</c:v>
                </c:pt>
                <c:pt idx="83">
                  <c:v>118.9</c:v>
                </c:pt>
                <c:pt idx="84">
                  <c:v>116.6</c:v>
                </c:pt>
                <c:pt idx="85">
                  <c:v>116.8</c:v>
                </c:pt>
                <c:pt idx="86">
                  <c:v>116.8</c:v>
                </c:pt>
                <c:pt idx="87">
                  <c:v>114.9</c:v>
                </c:pt>
                <c:pt idx="88">
                  <c:v>110.9</c:v>
                </c:pt>
                <c:pt idx="89">
                  <c:v>112</c:v>
                </c:pt>
                <c:pt idx="90">
                  <c:v>108.5</c:v>
                </c:pt>
                <c:pt idx="91">
                  <c:v>103.6</c:v>
                </c:pt>
                <c:pt idx="92">
                  <c:v>103.1</c:v>
                </c:pt>
                <c:pt idx="93">
                  <c:v>100.1</c:v>
                </c:pt>
                <c:pt idx="94">
                  <c:v>98.7</c:v>
                </c:pt>
                <c:pt idx="95">
                  <c:v>98.6</c:v>
                </c:pt>
                <c:pt idx="96">
                  <c:v>97.3</c:v>
                </c:pt>
                <c:pt idx="97">
                  <c:v>97.6</c:v>
                </c:pt>
                <c:pt idx="98">
                  <c:v>96.6</c:v>
                </c:pt>
                <c:pt idx="99">
                  <c:v>93.3</c:v>
                </c:pt>
                <c:pt idx="100">
                  <c:v>92.8</c:v>
                </c:pt>
                <c:pt idx="101">
                  <c:v>92.2</c:v>
                </c:pt>
                <c:pt idx="102">
                  <c:v>89.5</c:v>
                </c:pt>
                <c:pt idx="103">
                  <c:v>89.8</c:v>
                </c:pt>
                <c:pt idx="104">
                  <c:v>84.3</c:v>
                </c:pt>
                <c:pt idx="105">
                  <c:v>80.099999999999994</c:v>
                </c:pt>
                <c:pt idx="106">
                  <c:v>75.5</c:v>
                </c:pt>
                <c:pt idx="107">
                  <c:v>70.3</c:v>
                </c:pt>
                <c:pt idx="108">
                  <c:v>70.599999999999994</c:v>
                </c:pt>
                <c:pt idx="109">
                  <c:v>65.900000000000006</c:v>
                </c:pt>
                <c:pt idx="110">
                  <c:v>64.7</c:v>
                </c:pt>
                <c:pt idx="111">
                  <c:v>66.5</c:v>
                </c:pt>
                <c:pt idx="112">
                  <c:v>71.7</c:v>
                </c:pt>
                <c:pt idx="113">
                  <c:v>71.2</c:v>
                </c:pt>
                <c:pt idx="114">
                  <c:v>72.900000000000006</c:v>
                </c:pt>
                <c:pt idx="115">
                  <c:v>76.7</c:v>
                </c:pt>
                <c:pt idx="116">
                  <c:v>81</c:v>
                </c:pt>
                <c:pt idx="117">
                  <c:v>83.2</c:v>
                </c:pt>
                <c:pt idx="118">
                  <c:v>86.5</c:v>
                </c:pt>
                <c:pt idx="119">
                  <c:v>88.4</c:v>
                </c:pt>
                <c:pt idx="120">
                  <c:v>89.7</c:v>
                </c:pt>
                <c:pt idx="121">
                  <c:v>91.9</c:v>
                </c:pt>
                <c:pt idx="122">
                  <c:v>92.2</c:v>
                </c:pt>
                <c:pt idx="123">
                  <c:v>95.9</c:v>
                </c:pt>
                <c:pt idx="124">
                  <c:v>98.8</c:v>
                </c:pt>
                <c:pt idx="125">
                  <c:v>98.6</c:v>
                </c:pt>
                <c:pt idx="126">
                  <c:v>99.6</c:v>
                </c:pt>
                <c:pt idx="127">
                  <c:v>102.7</c:v>
                </c:pt>
                <c:pt idx="128">
                  <c:v>101.2</c:v>
                </c:pt>
                <c:pt idx="129">
                  <c:v>105.5</c:v>
                </c:pt>
                <c:pt idx="130">
                  <c:v>105.6</c:v>
                </c:pt>
                <c:pt idx="131">
                  <c:v>107.2</c:v>
                </c:pt>
                <c:pt idx="132">
                  <c:v>107.8</c:v>
                </c:pt>
                <c:pt idx="133">
                  <c:v>108.3</c:v>
                </c:pt>
                <c:pt idx="134">
                  <c:v>108.5</c:v>
                </c:pt>
                <c:pt idx="135">
                  <c:v>106.7</c:v>
                </c:pt>
                <c:pt idx="136">
                  <c:v>105.9</c:v>
                </c:pt>
                <c:pt idx="137">
                  <c:v>105.2</c:v>
                </c:pt>
                <c:pt idx="138">
                  <c:v>104.2</c:v>
                </c:pt>
                <c:pt idx="139">
                  <c:v>102.6</c:v>
                </c:pt>
                <c:pt idx="140">
                  <c:v>100.2</c:v>
                </c:pt>
                <c:pt idx="141">
                  <c:v>97.2</c:v>
                </c:pt>
                <c:pt idx="142">
                  <c:v>98.2</c:v>
                </c:pt>
                <c:pt idx="143">
                  <c:v>98.1</c:v>
                </c:pt>
                <c:pt idx="144">
                  <c:v>98.1</c:v>
                </c:pt>
                <c:pt idx="145">
                  <c:v>99.4</c:v>
                </c:pt>
                <c:pt idx="146">
                  <c:v>100.7</c:v>
                </c:pt>
                <c:pt idx="147">
                  <c:v>99.5</c:v>
                </c:pt>
                <c:pt idx="148">
                  <c:v>98.1</c:v>
                </c:pt>
                <c:pt idx="149">
                  <c:v>99.6</c:v>
                </c:pt>
                <c:pt idx="150">
                  <c:v>98.2</c:v>
                </c:pt>
                <c:pt idx="151">
                  <c:v>99</c:v>
                </c:pt>
                <c:pt idx="152">
                  <c:v>96.5</c:v>
                </c:pt>
                <c:pt idx="153">
                  <c:v>95.8</c:v>
                </c:pt>
                <c:pt idx="154">
                  <c:v>95.2</c:v>
                </c:pt>
                <c:pt idx="155">
                  <c:v>98.1</c:v>
                </c:pt>
                <c:pt idx="156">
                  <c:v>98.6</c:v>
                </c:pt>
                <c:pt idx="157">
                  <c:v>99.6</c:v>
                </c:pt>
                <c:pt idx="158">
                  <c:v>98.8</c:v>
                </c:pt>
                <c:pt idx="159">
                  <c:v>97.9</c:v>
                </c:pt>
                <c:pt idx="160">
                  <c:v>98.8</c:v>
                </c:pt>
                <c:pt idx="161">
                  <c:v>97</c:v>
                </c:pt>
                <c:pt idx="162">
                  <c:v>97.4</c:v>
                </c:pt>
                <c:pt idx="163">
                  <c:v>98.4</c:v>
                </c:pt>
                <c:pt idx="164">
                  <c:v>99.3</c:v>
                </c:pt>
                <c:pt idx="165">
                  <c:v>100.8</c:v>
                </c:pt>
                <c:pt idx="166">
                  <c:v>100.8</c:v>
                </c:pt>
                <c:pt idx="167">
                  <c:v>100</c:v>
                </c:pt>
                <c:pt idx="168">
                  <c:v>102.5</c:v>
                </c:pt>
                <c:pt idx="169">
                  <c:v>100.6</c:v>
                </c:pt>
                <c:pt idx="170">
                  <c:v>100.1</c:v>
                </c:pt>
                <c:pt idx="171">
                  <c:v>100.5</c:v>
                </c:pt>
                <c:pt idx="172">
                  <c:v>97.5</c:v>
                </c:pt>
                <c:pt idx="173">
                  <c:v>96.3</c:v>
                </c:pt>
                <c:pt idx="174">
                  <c:v>95.5</c:v>
                </c:pt>
                <c:pt idx="175">
                  <c:v>97.8</c:v>
                </c:pt>
                <c:pt idx="176">
                  <c:v>97.7</c:v>
                </c:pt>
                <c:pt idx="177">
                  <c:v>99.3</c:v>
                </c:pt>
                <c:pt idx="178">
                  <c:v>101.2</c:v>
                </c:pt>
                <c:pt idx="179">
                  <c:v>99.9</c:v>
                </c:pt>
                <c:pt idx="180">
                  <c:v>98.5</c:v>
                </c:pt>
                <c:pt idx="181">
                  <c:v>95.6</c:v>
                </c:pt>
                <c:pt idx="182">
                  <c:v>94</c:v>
                </c:pt>
                <c:pt idx="183">
                  <c:v>94.4</c:v>
                </c:pt>
                <c:pt idx="184">
                  <c:v>93.9</c:v>
                </c:pt>
                <c:pt idx="185">
                  <c:v>92.5</c:v>
                </c:pt>
                <c:pt idx="186">
                  <c:v>93.9</c:v>
                </c:pt>
                <c:pt idx="187">
                  <c:v>94.4</c:v>
                </c:pt>
                <c:pt idx="188">
                  <c:v>95.4</c:v>
                </c:pt>
                <c:pt idx="189">
                  <c:v>97.9</c:v>
                </c:pt>
                <c:pt idx="190">
                  <c:v>97.2</c:v>
                </c:pt>
                <c:pt idx="191">
                  <c:v>97.4</c:v>
                </c:pt>
                <c:pt idx="192">
                  <c:v>98.8</c:v>
                </c:pt>
                <c:pt idx="193">
                  <c:v>96.5</c:v>
                </c:pt>
                <c:pt idx="194">
                  <c:v>97.5</c:v>
                </c:pt>
                <c:pt idx="195">
                  <c:v>97.6</c:v>
                </c:pt>
                <c:pt idx="196">
                  <c:v>97.6</c:v>
                </c:pt>
                <c:pt idx="197">
                  <c:v>98.1</c:v>
                </c:pt>
                <c:pt idx="198">
                  <c:v>100</c:v>
                </c:pt>
                <c:pt idx="199">
                  <c:v>98.8</c:v>
                </c:pt>
                <c:pt idx="200">
                  <c:v>100.8</c:v>
                </c:pt>
                <c:pt idx="201">
                  <c:v>101.7</c:v>
                </c:pt>
                <c:pt idx="202">
                  <c:v>100.1</c:v>
                </c:pt>
                <c:pt idx="203">
                  <c:v>102.3</c:v>
                </c:pt>
                <c:pt idx="204">
                  <c:v>101.7</c:v>
                </c:pt>
                <c:pt idx="205">
                  <c:v>105</c:v>
                </c:pt>
                <c:pt idx="206">
                  <c:v>103.5</c:v>
                </c:pt>
                <c:pt idx="207">
                  <c:v>105.7</c:v>
                </c:pt>
                <c:pt idx="208">
                  <c:v>103.6</c:v>
                </c:pt>
                <c:pt idx="209">
                  <c:v>107.6</c:v>
                </c:pt>
                <c:pt idx="210">
                  <c:v>107.4</c:v>
                </c:pt>
                <c:pt idx="211">
                  <c:v>104.5</c:v>
                </c:pt>
                <c:pt idx="212">
                  <c:v>106.2</c:v>
                </c:pt>
                <c:pt idx="213">
                  <c:v>104.5</c:v>
                </c:pt>
                <c:pt idx="214">
                  <c:v>106.2</c:v>
                </c:pt>
                <c:pt idx="215">
                  <c:v>106.5</c:v>
                </c:pt>
                <c:pt idx="216">
                  <c:v>105.2</c:v>
                </c:pt>
                <c:pt idx="217">
                  <c:v>105.1</c:v>
                </c:pt>
                <c:pt idx="218">
                  <c:v>105</c:v>
                </c:pt>
                <c:pt idx="219">
                  <c:v>103.2</c:v>
                </c:pt>
                <c:pt idx="220">
                  <c:v>102</c:v>
                </c:pt>
                <c:pt idx="221">
                  <c:v>103.1</c:v>
                </c:pt>
                <c:pt idx="222">
                  <c:v>104.6</c:v>
                </c:pt>
                <c:pt idx="223">
                  <c:v>102.7</c:v>
                </c:pt>
                <c:pt idx="224">
                  <c:v>103.7</c:v>
                </c:pt>
                <c:pt idx="225">
                  <c:v>102.6</c:v>
                </c:pt>
                <c:pt idx="226">
                  <c:v>103.7</c:v>
                </c:pt>
                <c:pt idx="227">
                  <c:v>102.5</c:v>
                </c:pt>
                <c:pt idx="228">
                  <c:v>100.8</c:v>
                </c:pt>
                <c:pt idx="229">
                  <c:v>100.1</c:v>
                </c:pt>
                <c:pt idx="230">
                  <c:v>100.7</c:v>
                </c:pt>
                <c:pt idx="231">
                  <c:v>99.4</c:v>
                </c:pt>
                <c:pt idx="232">
                  <c:v>100.5</c:v>
                </c:pt>
                <c:pt idx="233">
                  <c:v>98.4</c:v>
                </c:pt>
                <c:pt idx="234">
                  <c:v>97</c:v>
                </c:pt>
                <c:pt idx="235">
                  <c:v>97.8</c:v>
                </c:pt>
                <c:pt idx="236">
                  <c:v>95.9</c:v>
                </c:pt>
                <c:pt idx="237">
                  <c:v>95.1</c:v>
                </c:pt>
                <c:pt idx="238">
                  <c:v>93.6</c:v>
                </c:pt>
                <c:pt idx="239">
                  <c:v>95.5</c:v>
                </c:pt>
                <c:pt idx="240">
                  <c:v>95.4</c:v>
                </c:pt>
                <c:pt idx="241">
                  <c:v>98.1</c:v>
                </c:pt>
                <c:pt idx="242">
                  <c:v>97.6</c:v>
                </c:pt>
                <c:pt idx="243">
                  <c:v>71.900000000000006</c:v>
                </c:pt>
                <c:pt idx="244">
                  <c:v>71.7</c:v>
                </c:pt>
                <c:pt idx="245">
                  <c:v>74.3</c:v>
                </c:pt>
                <c:pt idx="246">
                  <c:v>83.2</c:v>
                </c:pt>
                <c:pt idx="247">
                  <c:v>86.3</c:v>
                </c:pt>
                <c:pt idx="248">
                  <c:v>89.2</c:v>
                </c:pt>
                <c:pt idx="249">
                  <c:v>92.3</c:v>
                </c:pt>
                <c:pt idx="250">
                  <c:v>91.1</c:v>
                </c:pt>
                <c:pt idx="251">
                  <c:v>94.1</c:v>
                </c:pt>
                <c:pt idx="252">
                  <c:v>96</c:v>
                </c:pt>
                <c:pt idx="253">
                  <c:v>96.8</c:v>
                </c:pt>
                <c:pt idx="254">
                  <c:v>94</c:v>
                </c:pt>
                <c:pt idx="255">
                  <c:v>102.9</c:v>
                </c:pt>
                <c:pt idx="256">
                  <c:v>107.5</c:v>
                </c:pt>
                <c:pt idx="257">
                  <c:v>108</c:v>
                </c:pt>
                <c:pt idx="258">
                  <c:v>110.1</c:v>
                </c:pt>
                <c:pt idx="259">
                  <c:v>107</c:v>
                </c:pt>
              </c:numCache>
            </c:numRef>
          </c:val>
          <c:smooth val="0"/>
          <c:extLst>
            <c:ext xmlns:c16="http://schemas.microsoft.com/office/drawing/2014/chart" uri="{C3380CC4-5D6E-409C-BE32-E72D297353CC}">
              <c16:uniqueId val="{00000001-EA94-45AD-8CB4-EA2A0550F6FB}"/>
            </c:ext>
          </c:extLst>
        </c:ser>
        <c:ser>
          <c:idx val="2"/>
          <c:order val="2"/>
          <c:tx>
            <c:strRef>
              <c:f>Sheet1!$M$442</c:f>
              <c:strCache>
                <c:ptCount val="1"/>
                <c:pt idx="0">
                  <c:v>Latvija</c:v>
                </c:pt>
              </c:strCache>
            </c:strRef>
          </c:tx>
          <c:spPr>
            <a:ln w="28575" cap="rnd">
              <a:solidFill>
                <a:srgbClr val="C00000"/>
              </a:solidFill>
              <a:round/>
            </a:ln>
            <a:effectLst/>
          </c:spPr>
          <c:marker>
            <c:symbol val="none"/>
          </c:marker>
          <c:cat>
            <c:numRef>
              <c:f>Sheet1!$J$182:$J$441</c:f>
              <c:numCache>
                <c:formatCode>mmm\-yy</c:formatCode>
                <c:ptCount val="260"/>
                <c:pt idx="0">
                  <c:v>36556</c:v>
                </c:pt>
                <c:pt idx="1">
                  <c:v>36585</c:v>
                </c:pt>
                <c:pt idx="2">
                  <c:v>36616</c:v>
                </c:pt>
                <c:pt idx="3">
                  <c:v>36646</c:v>
                </c:pt>
                <c:pt idx="4">
                  <c:v>36677</c:v>
                </c:pt>
                <c:pt idx="5">
                  <c:v>36707</c:v>
                </c:pt>
                <c:pt idx="6">
                  <c:v>36738</c:v>
                </c:pt>
                <c:pt idx="7">
                  <c:v>36769</c:v>
                </c:pt>
                <c:pt idx="8">
                  <c:v>36799</c:v>
                </c:pt>
                <c:pt idx="9">
                  <c:v>36830</c:v>
                </c:pt>
                <c:pt idx="10">
                  <c:v>36860</c:v>
                </c:pt>
                <c:pt idx="11">
                  <c:v>36891</c:v>
                </c:pt>
                <c:pt idx="12">
                  <c:v>36922</c:v>
                </c:pt>
                <c:pt idx="13">
                  <c:v>36950</c:v>
                </c:pt>
                <c:pt idx="14">
                  <c:v>36981</c:v>
                </c:pt>
                <c:pt idx="15">
                  <c:v>37011</c:v>
                </c:pt>
                <c:pt idx="16">
                  <c:v>37042</c:v>
                </c:pt>
                <c:pt idx="17">
                  <c:v>37072</c:v>
                </c:pt>
                <c:pt idx="18">
                  <c:v>37103</c:v>
                </c:pt>
                <c:pt idx="19">
                  <c:v>37134</c:v>
                </c:pt>
                <c:pt idx="20">
                  <c:v>37164</c:v>
                </c:pt>
                <c:pt idx="21">
                  <c:v>37195</c:v>
                </c:pt>
                <c:pt idx="22">
                  <c:v>37225</c:v>
                </c:pt>
                <c:pt idx="23">
                  <c:v>37256</c:v>
                </c:pt>
                <c:pt idx="24">
                  <c:v>37287</c:v>
                </c:pt>
                <c:pt idx="25">
                  <c:v>37315</c:v>
                </c:pt>
                <c:pt idx="26">
                  <c:v>37346</c:v>
                </c:pt>
                <c:pt idx="27">
                  <c:v>37376</c:v>
                </c:pt>
                <c:pt idx="28">
                  <c:v>37407</c:v>
                </c:pt>
                <c:pt idx="29">
                  <c:v>37437</c:v>
                </c:pt>
                <c:pt idx="30">
                  <c:v>37468</c:v>
                </c:pt>
                <c:pt idx="31">
                  <c:v>37499</c:v>
                </c:pt>
                <c:pt idx="32">
                  <c:v>37529</c:v>
                </c:pt>
                <c:pt idx="33">
                  <c:v>37560</c:v>
                </c:pt>
                <c:pt idx="34">
                  <c:v>37590</c:v>
                </c:pt>
                <c:pt idx="35">
                  <c:v>37621</c:v>
                </c:pt>
                <c:pt idx="36">
                  <c:v>37652</c:v>
                </c:pt>
                <c:pt idx="37">
                  <c:v>37680</c:v>
                </c:pt>
                <c:pt idx="38">
                  <c:v>37711</c:v>
                </c:pt>
                <c:pt idx="39">
                  <c:v>37741</c:v>
                </c:pt>
                <c:pt idx="40">
                  <c:v>37772</c:v>
                </c:pt>
                <c:pt idx="41">
                  <c:v>37802</c:v>
                </c:pt>
                <c:pt idx="42">
                  <c:v>37833</c:v>
                </c:pt>
                <c:pt idx="43">
                  <c:v>37864</c:v>
                </c:pt>
                <c:pt idx="44">
                  <c:v>37894</c:v>
                </c:pt>
                <c:pt idx="45">
                  <c:v>37925</c:v>
                </c:pt>
                <c:pt idx="46">
                  <c:v>37955</c:v>
                </c:pt>
                <c:pt idx="47">
                  <c:v>37986</c:v>
                </c:pt>
                <c:pt idx="48">
                  <c:v>38017</c:v>
                </c:pt>
                <c:pt idx="49">
                  <c:v>38046</c:v>
                </c:pt>
                <c:pt idx="50">
                  <c:v>38077</c:v>
                </c:pt>
                <c:pt idx="51">
                  <c:v>38107</c:v>
                </c:pt>
                <c:pt idx="52">
                  <c:v>38138</c:v>
                </c:pt>
                <c:pt idx="53">
                  <c:v>38168</c:v>
                </c:pt>
                <c:pt idx="54">
                  <c:v>38199</c:v>
                </c:pt>
                <c:pt idx="55">
                  <c:v>38230</c:v>
                </c:pt>
                <c:pt idx="56">
                  <c:v>38260</c:v>
                </c:pt>
                <c:pt idx="57">
                  <c:v>38291</c:v>
                </c:pt>
                <c:pt idx="58">
                  <c:v>38321</c:v>
                </c:pt>
                <c:pt idx="59">
                  <c:v>38352</c:v>
                </c:pt>
                <c:pt idx="60">
                  <c:v>38383</c:v>
                </c:pt>
                <c:pt idx="61">
                  <c:v>38411</c:v>
                </c:pt>
                <c:pt idx="62">
                  <c:v>38442</c:v>
                </c:pt>
                <c:pt idx="63">
                  <c:v>38472</c:v>
                </c:pt>
                <c:pt idx="64">
                  <c:v>38503</c:v>
                </c:pt>
                <c:pt idx="65">
                  <c:v>38533</c:v>
                </c:pt>
                <c:pt idx="66">
                  <c:v>38564</c:v>
                </c:pt>
                <c:pt idx="67">
                  <c:v>38595</c:v>
                </c:pt>
                <c:pt idx="68">
                  <c:v>38625</c:v>
                </c:pt>
                <c:pt idx="69">
                  <c:v>38656</c:v>
                </c:pt>
                <c:pt idx="70">
                  <c:v>38686</c:v>
                </c:pt>
                <c:pt idx="71">
                  <c:v>38717</c:v>
                </c:pt>
                <c:pt idx="72">
                  <c:v>38748</c:v>
                </c:pt>
                <c:pt idx="73">
                  <c:v>38776</c:v>
                </c:pt>
                <c:pt idx="74">
                  <c:v>38807</c:v>
                </c:pt>
                <c:pt idx="75">
                  <c:v>38837</c:v>
                </c:pt>
                <c:pt idx="76">
                  <c:v>38868</c:v>
                </c:pt>
                <c:pt idx="77">
                  <c:v>38898</c:v>
                </c:pt>
                <c:pt idx="78">
                  <c:v>38929</c:v>
                </c:pt>
                <c:pt idx="79">
                  <c:v>38960</c:v>
                </c:pt>
                <c:pt idx="80">
                  <c:v>38990</c:v>
                </c:pt>
                <c:pt idx="81">
                  <c:v>39021</c:v>
                </c:pt>
                <c:pt idx="82">
                  <c:v>39051</c:v>
                </c:pt>
                <c:pt idx="83">
                  <c:v>39082</c:v>
                </c:pt>
                <c:pt idx="84">
                  <c:v>39113</c:v>
                </c:pt>
                <c:pt idx="85">
                  <c:v>39141</c:v>
                </c:pt>
                <c:pt idx="86">
                  <c:v>39172</c:v>
                </c:pt>
                <c:pt idx="87">
                  <c:v>39202</c:v>
                </c:pt>
                <c:pt idx="88">
                  <c:v>39233</c:v>
                </c:pt>
                <c:pt idx="89">
                  <c:v>39263</c:v>
                </c:pt>
                <c:pt idx="90">
                  <c:v>39294</c:v>
                </c:pt>
                <c:pt idx="91">
                  <c:v>39325</c:v>
                </c:pt>
                <c:pt idx="92">
                  <c:v>39355</c:v>
                </c:pt>
                <c:pt idx="93">
                  <c:v>39386</c:v>
                </c:pt>
                <c:pt idx="94">
                  <c:v>39416</c:v>
                </c:pt>
                <c:pt idx="95">
                  <c:v>39447</c:v>
                </c:pt>
                <c:pt idx="96">
                  <c:v>39478</c:v>
                </c:pt>
                <c:pt idx="97">
                  <c:v>39507</c:v>
                </c:pt>
                <c:pt idx="98">
                  <c:v>39538</c:v>
                </c:pt>
                <c:pt idx="99">
                  <c:v>39568</c:v>
                </c:pt>
                <c:pt idx="100">
                  <c:v>39599</c:v>
                </c:pt>
                <c:pt idx="101">
                  <c:v>39629</c:v>
                </c:pt>
                <c:pt idx="102">
                  <c:v>39660</c:v>
                </c:pt>
                <c:pt idx="103">
                  <c:v>39691</c:v>
                </c:pt>
                <c:pt idx="104">
                  <c:v>39721</c:v>
                </c:pt>
                <c:pt idx="105">
                  <c:v>39752</c:v>
                </c:pt>
                <c:pt idx="106">
                  <c:v>39782</c:v>
                </c:pt>
                <c:pt idx="107">
                  <c:v>39813</c:v>
                </c:pt>
                <c:pt idx="108">
                  <c:v>39844</c:v>
                </c:pt>
                <c:pt idx="109">
                  <c:v>39872</c:v>
                </c:pt>
                <c:pt idx="110">
                  <c:v>39903</c:v>
                </c:pt>
                <c:pt idx="111">
                  <c:v>39933</c:v>
                </c:pt>
                <c:pt idx="112">
                  <c:v>39964</c:v>
                </c:pt>
                <c:pt idx="113">
                  <c:v>39994</c:v>
                </c:pt>
                <c:pt idx="114">
                  <c:v>40025</c:v>
                </c:pt>
                <c:pt idx="115">
                  <c:v>40056</c:v>
                </c:pt>
                <c:pt idx="116">
                  <c:v>40086</c:v>
                </c:pt>
                <c:pt idx="117">
                  <c:v>40117</c:v>
                </c:pt>
                <c:pt idx="118">
                  <c:v>40147</c:v>
                </c:pt>
                <c:pt idx="119">
                  <c:v>40178</c:v>
                </c:pt>
                <c:pt idx="120">
                  <c:v>40209</c:v>
                </c:pt>
                <c:pt idx="121">
                  <c:v>40237</c:v>
                </c:pt>
                <c:pt idx="122">
                  <c:v>40268</c:v>
                </c:pt>
                <c:pt idx="123">
                  <c:v>40298</c:v>
                </c:pt>
                <c:pt idx="124">
                  <c:v>40329</c:v>
                </c:pt>
                <c:pt idx="125">
                  <c:v>40359</c:v>
                </c:pt>
                <c:pt idx="126">
                  <c:v>40390</c:v>
                </c:pt>
                <c:pt idx="127">
                  <c:v>40421</c:v>
                </c:pt>
                <c:pt idx="128">
                  <c:v>40451</c:v>
                </c:pt>
                <c:pt idx="129">
                  <c:v>40482</c:v>
                </c:pt>
                <c:pt idx="130">
                  <c:v>40512</c:v>
                </c:pt>
                <c:pt idx="131">
                  <c:v>40543</c:v>
                </c:pt>
                <c:pt idx="132">
                  <c:v>40574</c:v>
                </c:pt>
                <c:pt idx="133">
                  <c:v>40602</c:v>
                </c:pt>
                <c:pt idx="134">
                  <c:v>40633</c:v>
                </c:pt>
                <c:pt idx="135">
                  <c:v>40663</c:v>
                </c:pt>
                <c:pt idx="136">
                  <c:v>40694</c:v>
                </c:pt>
                <c:pt idx="137">
                  <c:v>40724</c:v>
                </c:pt>
                <c:pt idx="138">
                  <c:v>40755</c:v>
                </c:pt>
                <c:pt idx="139">
                  <c:v>40786</c:v>
                </c:pt>
                <c:pt idx="140">
                  <c:v>40816</c:v>
                </c:pt>
                <c:pt idx="141">
                  <c:v>40847</c:v>
                </c:pt>
                <c:pt idx="142">
                  <c:v>40877</c:v>
                </c:pt>
                <c:pt idx="143">
                  <c:v>40908</c:v>
                </c:pt>
                <c:pt idx="144">
                  <c:v>40939</c:v>
                </c:pt>
                <c:pt idx="145">
                  <c:v>40968</c:v>
                </c:pt>
                <c:pt idx="146">
                  <c:v>40999</c:v>
                </c:pt>
                <c:pt idx="147">
                  <c:v>41029</c:v>
                </c:pt>
                <c:pt idx="148">
                  <c:v>41060</c:v>
                </c:pt>
                <c:pt idx="149">
                  <c:v>41090</c:v>
                </c:pt>
                <c:pt idx="150">
                  <c:v>41121</c:v>
                </c:pt>
                <c:pt idx="151">
                  <c:v>41152</c:v>
                </c:pt>
                <c:pt idx="152">
                  <c:v>41182</c:v>
                </c:pt>
                <c:pt idx="153">
                  <c:v>41213</c:v>
                </c:pt>
                <c:pt idx="154">
                  <c:v>41243</c:v>
                </c:pt>
                <c:pt idx="155">
                  <c:v>41274</c:v>
                </c:pt>
                <c:pt idx="156">
                  <c:v>41305</c:v>
                </c:pt>
                <c:pt idx="157">
                  <c:v>41333</c:v>
                </c:pt>
                <c:pt idx="158">
                  <c:v>41364</c:v>
                </c:pt>
                <c:pt idx="159">
                  <c:v>41394</c:v>
                </c:pt>
                <c:pt idx="160">
                  <c:v>41425</c:v>
                </c:pt>
                <c:pt idx="161">
                  <c:v>41455</c:v>
                </c:pt>
                <c:pt idx="162">
                  <c:v>41486</c:v>
                </c:pt>
                <c:pt idx="163">
                  <c:v>41517</c:v>
                </c:pt>
                <c:pt idx="164">
                  <c:v>41547</c:v>
                </c:pt>
                <c:pt idx="165">
                  <c:v>41578</c:v>
                </c:pt>
                <c:pt idx="166">
                  <c:v>41608</c:v>
                </c:pt>
                <c:pt idx="167">
                  <c:v>41639</c:v>
                </c:pt>
                <c:pt idx="168">
                  <c:v>41670</c:v>
                </c:pt>
                <c:pt idx="169">
                  <c:v>41698</c:v>
                </c:pt>
                <c:pt idx="170">
                  <c:v>41729</c:v>
                </c:pt>
                <c:pt idx="171">
                  <c:v>41759</c:v>
                </c:pt>
                <c:pt idx="172">
                  <c:v>41790</c:v>
                </c:pt>
                <c:pt idx="173">
                  <c:v>41820</c:v>
                </c:pt>
                <c:pt idx="174">
                  <c:v>41851</c:v>
                </c:pt>
                <c:pt idx="175">
                  <c:v>41882</c:v>
                </c:pt>
                <c:pt idx="176">
                  <c:v>41912</c:v>
                </c:pt>
                <c:pt idx="177">
                  <c:v>41943</c:v>
                </c:pt>
                <c:pt idx="178">
                  <c:v>41973</c:v>
                </c:pt>
                <c:pt idx="179">
                  <c:v>42004</c:v>
                </c:pt>
                <c:pt idx="180">
                  <c:v>42035</c:v>
                </c:pt>
                <c:pt idx="181">
                  <c:v>42063</c:v>
                </c:pt>
                <c:pt idx="182">
                  <c:v>42094</c:v>
                </c:pt>
                <c:pt idx="183">
                  <c:v>42124</c:v>
                </c:pt>
                <c:pt idx="184">
                  <c:v>42155</c:v>
                </c:pt>
                <c:pt idx="185">
                  <c:v>42185</c:v>
                </c:pt>
                <c:pt idx="186">
                  <c:v>42216</c:v>
                </c:pt>
                <c:pt idx="187">
                  <c:v>42247</c:v>
                </c:pt>
                <c:pt idx="188">
                  <c:v>42277</c:v>
                </c:pt>
                <c:pt idx="189">
                  <c:v>42308</c:v>
                </c:pt>
                <c:pt idx="190">
                  <c:v>42338</c:v>
                </c:pt>
                <c:pt idx="191">
                  <c:v>42369</c:v>
                </c:pt>
                <c:pt idx="192">
                  <c:v>42400</c:v>
                </c:pt>
                <c:pt idx="193">
                  <c:v>42429</c:v>
                </c:pt>
                <c:pt idx="194">
                  <c:v>42460</c:v>
                </c:pt>
                <c:pt idx="195">
                  <c:v>42490</c:v>
                </c:pt>
                <c:pt idx="196">
                  <c:v>42521</c:v>
                </c:pt>
                <c:pt idx="197">
                  <c:v>42551</c:v>
                </c:pt>
                <c:pt idx="198">
                  <c:v>42582</c:v>
                </c:pt>
                <c:pt idx="199">
                  <c:v>42613</c:v>
                </c:pt>
                <c:pt idx="200">
                  <c:v>42643</c:v>
                </c:pt>
                <c:pt idx="201">
                  <c:v>42674</c:v>
                </c:pt>
                <c:pt idx="202">
                  <c:v>42704</c:v>
                </c:pt>
                <c:pt idx="203">
                  <c:v>42735</c:v>
                </c:pt>
                <c:pt idx="204">
                  <c:v>42766</c:v>
                </c:pt>
                <c:pt idx="205">
                  <c:v>42794</c:v>
                </c:pt>
                <c:pt idx="206">
                  <c:v>42825</c:v>
                </c:pt>
                <c:pt idx="207">
                  <c:v>42855</c:v>
                </c:pt>
                <c:pt idx="208">
                  <c:v>42886</c:v>
                </c:pt>
                <c:pt idx="209">
                  <c:v>42916</c:v>
                </c:pt>
                <c:pt idx="210">
                  <c:v>42947</c:v>
                </c:pt>
                <c:pt idx="211">
                  <c:v>42978</c:v>
                </c:pt>
                <c:pt idx="212">
                  <c:v>43008</c:v>
                </c:pt>
                <c:pt idx="213">
                  <c:v>43039</c:v>
                </c:pt>
                <c:pt idx="214">
                  <c:v>43069</c:v>
                </c:pt>
                <c:pt idx="215">
                  <c:v>43100</c:v>
                </c:pt>
                <c:pt idx="216">
                  <c:v>43131</c:v>
                </c:pt>
                <c:pt idx="217">
                  <c:v>43159</c:v>
                </c:pt>
                <c:pt idx="218">
                  <c:v>43190</c:v>
                </c:pt>
                <c:pt idx="219">
                  <c:v>43220</c:v>
                </c:pt>
                <c:pt idx="220">
                  <c:v>43251</c:v>
                </c:pt>
                <c:pt idx="221">
                  <c:v>43281</c:v>
                </c:pt>
                <c:pt idx="222">
                  <c:v>43312</c:v>
                </c:pt>
                <c:pt idx="223">
                  <c:v>43343</c:v>
                </c:pt>
                <c:pt idx="224">
                  <c:v>43373</c:v>
                </c:pt>
                <c:pt idx="225">
                  <c:v>43404</c:v>
                </c:pt>
                <c:pt idx="226">
                  <c:v>43434</c:v>
                </c:pt>
                <c:pt idx="227">
                  <c:v>43465</c:v>
                </c:pt>
                <c:pt idx="228">
                  <c:v>43496</c:v>
                </c:pt>
                <c:pt idx="229">
                  <c:v>43524</c:v>
                </c:pt>
                <c:pt idx="230">
                  <c:v>43555</c:v>
                </c:pt>
                <c:pt idx="231">
                  <c:v>43585</c:v>
                </c:pt>
                <c:pt idx="232">
                  <c:v>43616</c:v>
                </c:pt>
                <c:pt idx="233">
                  <c:v>43646</c:v>
                </c:pt>
                <c:pt idx="234">
                  <c:v>43677</c:v>
                </c:pt>
                <c:pt idx="235">
                  <c:v>43708</c:v>
                </c:pt>
                <c:pt idx="236">
                  <c:v>43738</c:v>
                </c:pt>
                <c:pt idx="237">
                  <c:v>43769</c:v>
                </c:pt>
                <c:pt idx="238">
                  <c:v>43799</c:v>
                </c:pt>
                <c:pt idx="239">
                  <c:v>43830</c:v>
                </c:pt>
                <c:pt idx="240">
                  <c:v>43861</c:v>
                </c:pt>
                <c:pt idx="241">
                  <c:v>43890</c:v>
                </c:pt>
                <c:pt idx="242">
                  <c:v>43921</c:v>
                </c:pt>
                <c:pt idx="243">
                  <c:v>43951</c:v>
                </c:pt>
                <c:pt idx="244">
                  <c:v>43982</c:v>
                </c:pt>
                <c:pt idx="245">
                  <c:v>44012</c:v>
                </c:pt>
                <c:pt idx="246">
                  <c:v>44043</c:v>
                </c:pt>
                <c:pt idx="247">
                  <c:v>44074</c:v>
                </c:pt>
                <c:pt idx="248">
                  <c:v>44104</c:v>
                </c:pt>
                <c:pt idx="249">
                  <c:v>44135</c:v>
                </c:pt>
                <c:pt idx="250">
                  <c:v>44165</c:v>
                </c:pt>
                <c:pt idx="251">
                  <c:v>44196</c:v>
                </c:pt>
                <c:pt idx="252">
                  <c:v>44227</c:v>
                </c:pt>
                <c:pt idx="253">
                  <c:v>44255</c:v>
                </c:pt>
                <c:pt idx="254">
                  <c:v>44286</c:v>
                </c:pt>
                <c:pt idx="255">
                  <c:v>44316</c:v>
                </c:pt>
                <c:pt idx="256">
                  <c:v>44347</c:v>
                </c:pt>
                <c:pt idx="257">
                  <c:v>44377</c:v>
                </c:pt>
                <c:pt idx="258">
                  <c:v>44408</c:v>
                </c:pt>
                <c:pt idx="259">
                  <c:v>44439</c:v>
                </c:pt>
              </c:numCache>
            </c:numRef>
          </c:cat>
          <c:val>
            <c:numRef>
              <c:f>Sheet1!$M$182:$M$441</c:f>
              <c:numCache>
                <c:formatCode>General</c:formatCode>
                <c:ptCount val="260"/>
                <c:pt idx="0">
                  <c:v>81.3</c:v>
                </c:pt>
                <c:pt idx="1">
                  <c:v>81.5</c:v>
                </c:pt>
                <c:pt idx="2">
                  <c:v>81.599999999999994</c:v>
                </c:pt>
                <c:pt idx="3">
                  <c:v>89.3</c:v>
                </c:pt>
                <c:pt idx="4">
                  <c:v>89.7</c:v>
                </c:pt>
                <c:pt idx="5">
                  <c:v>90.2</c:v>
                </c:pt>
                <c:pt idx="6">
                  <c:v>90.6</c:v>
                </c:pt>
                <c:pt idx="7">
                  <c:v>91.1</c:v>
                </c:pt>
                <c:pt idx="8">
                  <c:v>91.4</c:v>
                </c:pt>
                <c:pt idx="9">
                  <c:v>100.9</c:v>
                </c:pt>
                <c:pt idx="10">
                  <c:v>101.3</c:v>
                </c:pt>
                <c:pt idx="11">
                  <c:v>101.7</c:v>
                </c:pt>
                <c:pt idx="12">
                  <c:v>99.9</c:v>
                </c:pt>
                <c:pt idx="13">
                  <c:v>100.2</c:v>
                </c:pt>
                <c:pt idx="14">
                  <c:v>99.9</c:v>
                </c:pt>
                <c:pt idx="15">
                  <c:v>95.5</c:v>
                </c:pt>
                <c:pt idx="16">
                  <c:v>95.9</c:v>
                </c:pt>
                <c:pt idx="17">
                  <c:v>97.9</c:v>
                </c:pt>
                <c:pt idx="18">
                  <c:v>103.6</c:v>
                </c:pt>
                <c:pt idx="19">
                  <c:v>104.8</c:v>
                </c:pt>
                <c:pt idx="20">
                  <c:v>101.4</c:v>
                </c:pt>
                <c:pt idx="21">
                  <c:v>100.7</c:v>
                </c:pt>
                <c:pt idx="22">
                  <c:v>101.5</c:v>
                </c:pt>
                <c:pt idx="23">
                  <c:v>98.8</c:v>
                </c:pt>
                <c:pt idx="24">
                  <c:v>106.5</c:v>
                </c:pt>
                <c:pt idx="25">
                  <c:v>106.3</c:v>
                </c:pt>
                <c:pt idx="26">
                  <c:v>106.5</c:v>
                </c:pt>
                <c:pt idx="27">
                  <c:v>101.4</c:v>
                </c:pt>
                <c:pt idx="28">
                  <c:v>102.1</c:v>
                </c:pt>
                <c:pt idx="29">
                  <c:v>102.5</c:v>
                </c:pt>
                <c:pt idx="30">
                  <c:v>102.8</c:v>
                </c:pt>
                <c:pt idx="31">
                  <c:v>103.6</c:v>
                </c:pt>
                <c:pt idx="32">
                  <c:v>104.2</c:v>
                </c:pt>
                <c:pt idx="33">
                  <c:v>105.7</c:v>
                </c:pt>
                <c:pt idx="34">
                  <c:v>104.6</c:v>
                </c:pt>
                <c:pt idx="35">
                  <c:v>104.3</c:v>
                </c:pt>
                <c:pt idx="36">
                  <c:v>106</c:v>
                </c:pt>
                <c:pt idx="37">
                  <c:v>108.1</c:v>
                </c:pt>
                <c:pt idx="38">
                  <c:v>110.8</c:v>
                </c:pt>
                <c:pt idx="39">
                  <c:v>109.1</c:v>
                </c:pt>
                <c:pt idx="40">
                  <c:v>108.3</c:v>
                </c:pt>
                <c:pt idx="41">
                  <c:v>108</c:v>
                </c:pt>
                <c:pt idx="42">
                  <c:v>108.1</c:v>
                </c:pt>
                <c:pt idx="43">
                  <c:v>107.4</c:v>
                </c:pt>
                <c:pt idx="44">
                  <c:v>108</c:v>
                </c:pt>
                <c:pt idx="45">
                  <c:v>108.2</c:v>
                </c:pt>
                <c:pt idx="46">
                  <c:v>108</c:v>
                </c:pt>
                <c:pt idx="47">
                  <c:v>107.4</c:v>
                </c:pt>
                <c:pt idx="48">
                  <c:v>107.6</c:v>
                </c:pt>
                <c:pt idx="49">
                  <c:v>108.1</c:v>
                </c:pt>
                <c:pt idx="50">
                  <c:v>109.1</c:v>
                </c:pt>
                <c:pt idx="51">
                  <c:v>109</c:v>
                </c:pt>
                <c:pt idx="52">
                  <c:v>110.1</c:v>
                </c:pt>
                <c:pt idx="53">
                  <c:v>108.5</c:v>
                </c:pt>
                <c:pt idx="54">
                  <c:v>108.4</c:v>
                </c:pt>
                <c:pt idx="55">
                  <c:v>108.1</c:v>
                </c:pt>
                <c:pt idx="56">
                  <c:v>109.2</c:v>
                </c:pt>
                <c:pt idx="57">
                  <c:v>107</c:v>
                </c:pt>
                <c:pt idx="58">
                  <c:v>106.6</c:v>
                </c:pt>
                <c:pt idx="59">
                  <c:v>107.9</c:v>
                </c:pt>
                <c:pt idx="60">
                  <c:v>107</c:v>
                </c:pt>
                <c:pt idx="61">
                  <c:v>108.3</c:v>
                </c:pt>
                <c:pt idx="62">
                  <c:v>108.5</c:v>
                </c:pt>
                <c:pt idx="63">
                  <c:v>108.7</c:v>
                </c:pt>
                <c:pt idx="64">
                  <c:v>109.8</c:v>
                </c:pt>
                <c:pt idx="65">
                  <c:v>109</c:v>
                </c:pt>
                <c:pt idx="66">
                  <c:v>109.6</c:v>
                </c:pt>
                <c:pt idx="67">
                  <c:v>111</c:v>
                </c:pt>
                <c:pt idx="68">
                  <c:v>110.2</c:v>
                </c:pt>
                <c:pt idx="69">
                  <c:v>111.2</c:v>
                </c:pt>
                <c:pt idx="70">
                  <c:v>111.3</c:v>
                </c:pt>
                <c:pt idx="71">
                  <c:v>111.8</c:v>
                </c:pt>
                <c:pt idx="72">
                  <c:v>110.2</c:v>
                </c:pt>
                <c:pt idx="73">
                  <c:v>110.6</c:v>
                </c:pt>
                <c:pt idx="74">
                  <c:v>112</c:v>
                </c:pt>
                <c:pt idx="75">
                  <c:v>111.2</c:v>
                </c:pt>
                <c:pt idx="76">
                  <c:v>111.7</c:v>
                </c:pt>
                <c:pt idx="77">
                  <c:v>111.6</c:v>
                </c:pt>
                <c:pt idx="78">
                  <c:v>114.4</c:v>
                </c:pt>
                <c:pt idx="79">
                  <c:v>113.5</c:v>
                </c:pt>
                <c:pt idx="80">
                  <c:v>115.7</c:v>
                </c:pt>
                <c:pt idx="81">
                  <c:v>115.1</c:v>
                </c:pt>
                <c:pt idx="82">
                  <c:v>114.3</c:v>
                </c:pt>
                <c:pt idx="83">
                  <c:v>114.9</c:v>
                </c:pt>
                <c:pt idx="84">
                  <c:v>116.3</c:v>
                </c:pt>
                <c:pt idx="85">
                  <c:v>117</c:v>
                </c:pt>
                <c:pt idx="86">
                  <c:v>115.8</c:v>
                </c:pt>
                <c:pt idx="87">
                  <c:v>114.1</c:v>
                </c:pt>
                <c:pt idx="88">
                  <c:v>112.8</c:v>
                </c:pt>
                <c:pt idx="89">
                  <c:v>112.3</c:v>
                </c:pt>
                <c:pt idx="90">
                  <c:v>111.6</c:v>
                </c:pt>
                <c:pt idx="91">
                  <c:v>111.3</c:v>
                </c:pt>
                <c:pt idx="92">
                  <c:v>109.5</c:v>
                </c:pt>
                <c:pt idx="93">
                  <c:v>106.4</c:v>
                </c:pt>
                <c:pt idx="94">
                  <c:v>106.4</c:v>
                </c:pt>
                <c:pt idx="95">
                  <c:v>105.4</c:v>
                </c:pt>
                <c:pt idx="96">
                  <c:v>102.5</c:v>
                </c:pt>
                <c:pt idx="97">
                  <c:v>102.6</c:v>
                </c:pt>
                <c:pt idx="98">
                  <c:v>99.8</c:v>
                </c:pt>
                <c:pt idx="99">
                  <c:v>95.9</c:v>
                </c:pt>
                <c:pt idx="100">
                  <c:v>93</c:v>
                </c:pt>
                <c:pt idx="101">
                  <c:v>91.4</c:v>
                </c:pt>
                <c:pt idx="102">
                  <c:v>90.4</c:v>
                </c:pt>
                <c:pt idx="103">
                  <c:v>90.4</c:v>
                </c:pt>
                <c:pt idx="104">
                  <c:v>88.3</c:v>
                </c:pt>
                <c:pt idx="105">
                  <c:v>83.6</c:v>
                </c:pt>
                <c:pt idx="106">
                  <c:v>81.900000000000006</c:v>
                </c:pt>
                <c:pt idx="107">
                  <c:v>74.8</c:v>
                </c:pt>
                <c:pt idx="108">
                  <c:v>68.5</c:v>
                </c:pt>
                <c:pt idx="109">
                  <c:v>64.2</c:v>
                </c:pt>
                <c:pt idx="110">
                  <c:v>62.9</c:v>
                </c:pt>
                <c:pt idx="111">
                  <c:v>67.900000000000006</c:v>
                </c:pt>
                <c:pt idx="112">
                  <c:v>69.5</c:v>
                </c:pt>
                <c:pt idx="113">
                  <c:v>68.400000000000006</c:v>
                </c:pt>
                <c:pt idx="114">
                  <c:v>67.7</c:v>
                </c:pt>
                <c:pt idx="115">
                  <c:v>68.400000000000006</c:v>
                </c:pt>
                <c:pt idx="116">
                  <c:v>70.599999999999994</c:v>
                </c:pt>
                <c:pt idx="117">
                  <c:v>72.7</c:v>
                </c:pt>
                <c:pt idx="118">
                  <c:v>72.900000000000006</c:v>
                </c:pt>
                <c:pt idx="119">
                  <c:v>76.3</c:v>
                </c:pt>
                <c:pt idx="120">
                  <c:v>78.3</c:v>
                </c:pt>
                <c:pt idx="121">
                  <c:v>82</c:v>
                </c:pt>
                <c:pt idx="122">
                  <c:v>86.9</c:v>
                </c:pt>
                <c:pt idx="123">
                  <c:v>90</c:v>
                </c:pt>
                <c:pt idx="124">
                  <c:v>92.2</c:v>
                </c:pt>
                <c:pt idx="125">
                  <c:v>94.6</c:v>
                </c:pt>
                <c:pt idx="126">
                  <c:v>95.4</c:v>
                </c:pt>
                <c:pt idx="127">
                  <c:v>95.6</c:v>
                </c:pt>
                <c:pt idx="128">
                  <c:v>96.8</c:v>
                </c:pt>
                <c:pt idx="129">
                  <c:v>99.2</c:v>
                </c:pt>
                <c:pt idx="130">
                  <c:v>98.7</c:v>
                </c:pt>
                <c:pt idx="131">
                  <c:v>99.7</c:v>
                </c:pt>
                <c:pt idx="132">
                  <c:v>98.4</c:v>
                </c:pt>
                <c:pt idx="133">
                  <c:v>100.3</c:v>
                </c:pt>
                <c:pt idx="134">
                  <c:v>99.9</c:v>
                </c:pt>
                <c:pt idx="135">
                  <c:v>98.8</c:v>
                </c:pt>
                <c:pt idx="136">
                  <c:v>100.2</c:v>
                </c:pt>
                <c:pt idx="137">
                  <c:v>100.2</c:v>
                </c:pt>
                <c:pt idx="138">
                  <c:v>100.3</c:v>
                </c:pt>
                <c:pt idx="139">
                  <c:v>99.4</c:v>
                </c:pt>
                <c:pt idx="140">
                  <c:v>100.7</c:v>
                </c:pt>
                <c:pt idx="141">
                  <c:v>100.1</c:v>
                </c:pt>
                <c:pt idx="142">
                  <c:v>100</c:v>
                </c:pt>
                <c:pt idx="143">
                  <c:v>99.4</c:v>
                </c:pt>
                <c:pt idx="144">
                  <c:v>103.2</c:v>
                </c:pt>
                <c:pt idx="145">
                  <c:v>101.8</c:v>
                </c:pt>
                <c:pt idx="146">
                  <c:v>100.4</c:v>
                </c:pt>
                <c:pt idx="147">
                  <c:v>100.1</c:v>
                </c:pt>
                <c:pt idx="148">
                  <c:v>98.6</c:v>
                </c:pt>
                <c:pt idx="149">
                  <c:v>101.8</c:v>
                </c:pt>
                <c:pt idx="150">
                  <c:v>98.7</c:v>
                </c:pt>
                <c:pt idx="151">
                  <c:v>100.1</c:v>
                </c:pt>
                <c:pt idx="152">
                  <c:v>100</c:v>
                </c:pt>
                <c:pt idx="153">
                  <c:v>100</c:v>
                </c:pt>
                <c:pt idx="154">
                  <c:v>101</c:v>
                </c:pt>
                <c:pt idx="155">
                  <c:v>101.8</c:v>
                </c:pt>
                <c:pt idx="156">
                  <c:v>103.7</c:v>
                </c:pt>
                <c:pt idx="157">
                  <c:v>103.2</c:v>
                </c:pt>
                <c:pt idx="158">
                  <c:v>102</c:v>
                </c:pt>
                <c:pt idx="159">
                  <c:v>100.3</c:v>
                </c:pt>
                <c:pt idx="160">
                  <c:v>101</c:v>
                </c:pt>
                <c:pt idx="161">
                  <c:v>100.7</c:v>
                </c:pt>
                <c:pt idx="162">
                  <c:v>100.5</c:v>
                </c:pt>
                <c:pt idx="163">
                  <c:v>98.8</c:v>
                </c:pt>
                <c:pt idx="164">
                  <c:v>99.7</c:v>
                </c:pt>
                <c:pt idx="165">
                  <c:v>99.7</c:v>
                </c:pt>
                <c:pt idx="166">
                  <c:v>101.4</c:v>
                </c:pt>
                <c:pt idx="167">
                  <c:v>101.4</c:v>
                </c:pt>
                <c:pt idx="168">
                  <c:v>103.1</c:v>
                </c:pt>
                <c:pt idx="169">
                  <c:v>105.8</c:v>
                </c:pt>
                <c:pt idx="170">
                  <c:v>101.2</c:v>
                </c:pt>
                <c:pt idx="171">
                  <c:v>102.9</c:v>
                </c:pt>
                <c:pt idx="172">
                  <c:v>100.5</c:v>
                </c:pt>
                <c:pt idx="173">
                  <c:v>100.5</c:v>
                </c:pt>
                <c:pt idx="174">
                  <c:v>101.3</c:v>
                </c:pt>
                <c:pt idx="175">
                  <c:v>99.9</c:v>
                </c:pt>
                <c:pt idx="176">
                  <c:v>98.3</c:v>
                </c:pt>
                <c:pt idx="177">
                  <c:v>98.9</c:v>
                </c:pt>
                <c:pt idx="178">
                  <c:v>101.2</c:v>
                </c:pt>
                <c:pt idx="179">
                  <c:v>99.3</c:v>
                </c:pt>
                <c:pt idx="180">
                  <c:v>98.3</c:v>
                </c:pt>
                <c:pt idx="181">
                  <c:v>97</c:v>
                </c:pt>
                <c:pt idx="182">
                  <c:v>99.6</c:v>
                </c:pt>
                <c:pt idx="183">
                  <c:v>100</c:v>
                </c:pt>
                <c:pt idx="184">
                  <c:v>99.4</c:v>
                </c:pt>
                <c:pt idx="185">
                  <c:v>97.6</c:v>
                </c:pt>
                <c:pt idx="186">
                  <c:v>99.2</c:v>
                </c:pt>
                <c:pt idx="187">
                  <c:v>100.1</c:v>
                </c:pt>
                <c:pt idx="188">
                  <c:v>98.3</c:v>
                </c:pt>
                <c:pt idx="189">
                  <c:v>99.6</c:v>
                </c:pt>
                <c:pt idx="190">
                  <c:v>98.1</c:v>
                </c:pt>
                <c:pt idx="191">
                  <c:v>98.9</c:v>
                </c:pt>
                <c:pt idx="192">
                  <c:v>99.9</c:v>
                </c:pt>
                <c:pt idx="193">
                  <c:v>99.1</c:v>
                </c:pt>
                <c:pt idx="194">
                  <c:v>100.8</c:v>
                </c:pt>
                <c:pt idx="195">
                  <c:v>101</c:v>
                </c:pt>
                <c:pt idx="196">
                  <c:v>100.9</c:v>
                </c:pt>
                <c:pt idx="197">
                  <c:v>101.6</c:v>
                </c:pt>
                <c:pt idx="198">
                  <c:v>101.9</c:v>
                </c:pt>
                <c:pt idx="199">
                  <c:v>100.2</c:v>
                </c:pt>
                <c:pt idx="200">
                  <c:v>101.2</c:v>
                </c:pt>
                <c:pt idx="201">
                  <c:v>100.5</c:v>
                </c:pt>
                <c:pt idx="202">
                  <c:v>100.7</c:v>
                </c:pt>
                <c:pt idx="203">
                  <c:v>101.2</c:v>
                </c:pt>
                <c:pt idx="204">
                  <c:v>100.3</c:v>
                </c:pt>
                <c:pt idx="205">
                  <c:v>101.4</c:v>
                </c:pt>
                <c:pt idx="206">
                  <c:v>102.7</c:v>
                </c:pt>
                <c:pt idx="207">
                  <c:v>102.3</c:v>
                </c:pt>
                <c:pt idx="208">
                  <c:v>103.1</c:v>
                </c:pt>
                <c:pt idx="209">
                  <c:v>103.1</c:v>
                </c:pt>
                <c:pt idx="210">
                  <c:v>102</c:v>
                </c:pt>
                <c:pt idx="211">
                  <c:v>103.6</c:v>
                </c:pt>
                <c:pt idx="212">
                  <c:v>104.1</c:v>
                </c:pt>
                <c:pt idx="213">
                  <c:v>104.7</c:v>
                </c:pt>
                <c:pt idx="214">
                  <c:v>104.3</c:v>
                </c:pt>
                <c:pt idx="215">
                  <c:v>105.2</c:v>
                </c:pt>
                <c:pt idx="216">
                  <c:v>105.8</c:v>
                </c:pt>
                <c:pt idx="217">
                  <c:v>104.6</c:v>
                </c:pt>
                <c:pt idx="218">
                  <c:v>103.4</c:v>
                </c:pt>
                <c:pt idx="219">
                  <c:v>102</c:v>
                </c:pt>
                <c:pt idx="220">
                  <c:v>102.3</c:v>
                </c:pt>
                <c:pt idx="221">
                  <c:v>102.6</c:v>
                </c:pt>
                <c:pt idx="222">
                  <c:v>102.7</c:v>
                </c:pt>
                <c:pt idx="223">
                  <c:v>104.1</c:v>
                </c:pt>
                <c:pt idx="224">
                  <c:v>103.8</c:v>
                </c:pt>
                <c:pt idx="225">
                  <c:v>103.7</c:v>
                </c:pt>
                <c:pt idx="226">
                  <c:v>103.6</c:v>
                </c:pt>
                <c:pt idx="227">
                  <c:v>104.7</c:v>
                </c:pt>
                <c:pt idx="228">
                  <c:v>104.1</c:v>
                </c:pt>
                <c:pt idx="229">
                  <c:v>102.2</c:v>
                </c:pt>
                <c:pt idx="230">
                  <c:v>103.1</c:v>
                </c:pt>
                <c:pt idx="231">
                  <c:v>101.4</c:v>
                </c:pt>
                <c:pt idx="232">
                  <c:v>101.1</c:v>
                </c:pt>
                <c:pt idx="233">
                  <c:v>101.4</c:v>
                </c:pt>
                <c:pt idx="234">
                  <c:v>101.1</c:v>
                </c:pt>
                <c:pt idx="235">
                  <c:v>101</c:v>
                </c:pt>
                <c:pt idx="236">
                  <c:v>101.1</c:v>
                </c:pt>
                <c:pt idx="237">
                  <c:v>99.8</c:v>
                </c:pt>
                <c:pt idx="238">
                  <c:v>100.6</c:v>
                </c:pt>
                <c:pt idx="239">
                  <c:v>101.2</c:v>
                </c:pt>
                <c:pt idx="240">
                  <c:v>102</c:v>
                </c:pt>
                <c:pt idx="241">
                  <c:v>102.4</c:v>
                </c:pt>
                <c:pt idx="242">
                  <c:v>96.9</c:v>
                </c:pt>
                <c:pt idx="243">
                  <c:v>79</c:v>
                </c:pt>
                <c:pt idx="244">
                  <c:v>80.099999999999994</c:v>
                </c:pt>
                <c:pt idx="245">
                  <c:v>84.7</c:v>
                </c:pt>
                <c:pt idx="246">
                  <c:v>88.5</c:v>
                </c:pt>
                <c:pt idx="247">
                  <c:v>91.8</c:v>
                </c:pt>
                <c:pt idx="248">
                  <c:v>95.1</c:v>
                </c:pt>
                <c:pt idx="249">
                  <c:v>93.1</c:v>
                </c:pt>
                <c:pt idx="250">
                  <c:v>91.3</c:v>
                </c:pt>
                <c:pt idx="251">
                  <c:v>89</c:v>
                </c:pt>
                <c:pt idx="252">
                  <c:v>87.2</c:v>
                </c:pt>
                <c:pt idx="253">
                  <c:v>88.5</c:v>
                </c:pt>
                <c:pt idx="254">
                  <c:v>90.7</c:v>
                </c:pt>
                <c:pt idx="255">
                  <c:v>101.7</c:v>
                </c:pt>
                <c:pt idx="256">
                  <c:v>104.2</c:v>
                </c:pt>
                <c:pt idx="257">
                  <c:v>105.6</c:v>
                </c:pt>
                <c:pt idx="258">
                  <c:v>102.9</c:v>
                </c:pt>
                <c:pt idx="259">
                  <c:v>101.9</c:v>
                </c:pt>
              </c:numCache>
            </c:numRef>
          </c:val>
          <c:smooth val="0"/>
          <c:extLst>
            <c:ext xmlns:c16="http://schemas.microsoft.com/office/drawing/2014/chart" uri="{C3380CC4-5D6E-409C-BE32-E72D297353CC}">
              <c16:uniqueId val="{00000002-EA94-45AD-8CB4-EA2A0550F6FB}"/>
            </c:ext>
          </c:extLst>
        </c:ser>
        <c:ser>
          <c:idx val="3"/>
          <c:order val="3"/>
          <c:tx>
            <c:strRef>
              <c:f>Sheet1!$N$442</c:f>
              <c:strCache>
                <c:ptCount val="1"/>
                <c:pt idx="0">
                  <c:v>Lietuva</c:v>
                </c:pt>
              </c:strCache>
            </c:strRef>
          </c:tx>
          <c:spPr>
            <a:ln w="28575" cap="rnd">
              <a:solidFill>
                <a:srgbClr val="00B050"/>
              </a:solidFill>
              <a:round/>
            </a:ln>
            <a:effectLst/>
          </c:spPr>
          <c:marker>
            <c:symbol val="none"/>
          </c:marker>
          <c:cat>
            <c:numRef>
              <c:f>Sheet1!$J$182:$J$441</c:f>
              <c:numCache>
                <c:formatCode>mmm\-yy</c:formatCode>
                <c:ptCount val="260"/>
                <c:pt idx="0">
                  <c:v>36556</c:v>
                </c:pt>
                <c:pt idx="1">
                  <c:v>36585</c:v>
                </c:pt>
                <c:pt idx="2">
                  <c:v>36616</c:v>
                </c:pt>
                <c:pt idx="3">
                  <c:v>36646</c:v>
                </c:pt>
                <c:pt idx="4">
                  <c:v>36677</c:v>
                </c:pt>
                <c:pt idx="5">
                  <c:v>36707</c:v>
                </c:pt>
                <c:pt idx="6">
                  <c:v>36738</c:v>
                </c:pt>
                <c:pt idx="7">
                  <c:v>36769</c:v>
                </c:pt>
                <c:pt idx="8">
                  <c:v>36799</c:v>
                </c:pt>
                <c:pt idx="9">
                  <c:v>36830</c:v>
                </c:pt>
                <c:pt idx="10">
                  <c:v>36860</c:v>
                </c:pt>
                <c:pt idx="11">
                  <c:v>36891</c:v>
                </c:pt>
                <c:pt idx="12">
                  <c:v>36922</c:v>
                </c:pt>
                <c:pt idx="13">
                  <c:v>36950</c:v>
                </c:pt>
                <c:pt idx="14">
                  <c:v>36981</c:v>
                </c:pt>
                <c:pt idx="15">
                  <c:v>37011</c:v>
                </c:pt>
                <c:pt idx="16">
                  <c:v>37042</c:v>
                </c:pt>
                <c:pt idx="17">
                  <c:v>37072</c:v>
                </c:pt>
                <c:pt idx="18">
                  <c:v>37103</c:v>
                </c:pt>
                <c:pt idx="19">
                  <c:v>37134</c:v>
                </c:pt>
                <c:pt idx="20">
                  <c:v>37164</c:v>
                </c:pt>
                <c:pt idx="21">
                  <c:v>37195</c:v>
                </c:pt>
                <c:pt idx="22">
                  <c:v>37225</c:v>
                </c:pt>
                <c:pt idx="23">
                  <c:v>37256</c:v>
                </c:pt>
                <c:pt idx="24">
                  <c:v>37287</c:v>
                </c:pt>
                <c:pt idx="25">
                  <c:v>37315</c:v>
                </c:pt>
                <c:pt idx="26">
                  <c:v>37346</c:v>
                </c:pt>
                <c:pt idx="27">
                  <c:v>37376</c:v>
                </c:pt>
                <c:pt idx="28">
                  <c:v>37407</c:v>
                </c:pt>
                <c:pt idx="29">
                  <c:v>37437</c:v>
                </c:pt>
                <c:pt idx="30">
                  <c:v>37468</c:v>
                </c:pt>
                <c:pt idx="31">
                  <c:v>37499</c:v>
                </c:pt>
                <c:pt idx="32">
                  <c:v>37529</c:v>
                </c:pt>
                <c:pt idx="33">
                  <c:v>37560</c:v>
                </c:pt>
                <c:pt idx="34">
                  <c:v>37590</c:v>
                </c:pt>
                <c:pt idx="35">
                  <c:v>37621</c:v>
                </c:pt>
                <c:pt idx="36">
                  <c:v>37652</c:v>
                </c:pt>
                <c:pt idx="37">
                  <c:v>37680</c:v>
                </c:pt>
                <c:pt idx="38">
                  <c:v>37711</c:v>
                </c:pt>
                <c:pt idx="39">
                  <c:v>37741</c:v>
                </c:pt>
                <c:pt idx="40">
                  <c:v>37772</c:v>
                </c:pt>
                <c:pt idx="41">
                  <c:v>37802</c:v>
                </c:pt>
                <c:pt idx="42">
                  <c:v>37833</c:v>
                </c:pt>
                <c:pt idx="43">
                  <c:v>37864</c:v>
                </c:pt>
                <c:pt idx="44">
                  <c:v>37894</c:v>
                </c:pt>
                <c:pt idx="45">
                  <c:v>37925</c:v>
                </c:pt>
                <c:pt idx="46">
                  <c:v>37955</c:v>
                </c:pt>
                <c:pt idx="47">
                  <c:v>37986</c:v>
                </c:pt>
                <c:pt idx="48">
                  <c:v>38017</c:v>
                </c:pt>
                <c:pt idx="49">
                  <c:v>38046</c:v>
                </c:pt>
                <c:pt idx="50">
                  <c:v>38077</c:v>
                </c:pt>
                <c:pt idx="51">
                  <c:v>38107</c:v>
                </c:pt>
                <c:pt idx="52">
                  <c:v>38138</c:v>
                </c:pt>
                <c:pt idx="53">
                  <c:v>38168</c:v>
                </c:pt>
                <c:pt idx="54">
                  <c:v>38199</c:v>
                </c:pt>
                <c:pt idx="55">
                  <c:v>38230</c:v>
                </c:pt>
                <c:pt idx="56">
                  <c:v>38260</c:v>
                </c:pt>
                <c:pt idx="57">
                  <c:v>38291</c:v>
                </c:pt>
                <c:pt idx="58">
                  <c:v>38321</c:v>
                </c:pt>
                <c:pt idx="59">
                  <c:v>38352</c:v>
                </c:pt>
                <c:pt idx="60">
                  <c:v>38383</c:v>
                </c:pt>
                <c:pt idx="61">
                  <c:v>38411</c:v>
                </c:pt>
                <c:pt idx="62">
                  <c:v>38442</c:v>
                </c:pt>
                <c:pt idx="63">
                  <c:v>38472</c:v>
                </c:pt>
                <c:pt idx="64">
                  <c:v>38503</c:v>
                </c:pt>
                <c:pt idx="65">
                  <c:v>38533</c:v>
                </c:pt>
                <c:pt idx="66">
                  <c:v>38564</c:v>
                </c:pt>
                <c:pt idx="67">
                  <c:v>38595</c:v>
                </c:pt>
                <c:pt idx="68">
                  <c:v>38625</c:v>
                </c:pt>
                <c:pt idx="69">
                  <c:v>38656</c:v>
                </c:pt>
                <c:pt idx="70">
                  <c:v>38686</c:v>
                </c:pt>
                <c:pt idx="71">
                  <c:v>38717</c:v>
                </c:pt>
                <c:pt idx="72">
                  <c:v>38748</c:v>
                </c:pt>
                <c:pt idx="73">
                  <c:v>38776</c:v>
                </c:pt>
                <c:pt idx="74">
                  <c:v>38807</c:v>
                </c:pt>
                <c:pt idx="75">
                  <c:v>38837</c:v>
                </c:pt>
                <c:pt idx="76">
                  <c:v>38868</c:v>
                </c:pt>
                <c:pt idx="77">
                  <c:v>38898</c:v>
                </c:pt>
                <c:pt idx="78">
                  <c:v>38929</c:v>
                </c:pt>
                <c:pt idx="79">
                  <c:v>38960</c:v>
                </c:pt>
                <c:pt idx="80">
                  <c:v>38990</c:v>
                </c:pt>
                <c:pt idx="81">
                  <c:v>39021</c:v>
                </c:pt>
                <c:pt idx="82">
                  <c:v>39051</c:v>
                </c:pt>
                <c:pt idx="83">
                  <c:v>39082</c:v>
                </c:pt>
                <c:pt idx="84">
                  <c:v>39113</c:v>
                </c:pt>
                <c:pt idx="85">
                  <c:v>39141</c:v>
                </c:pt>
                <c:pt idx="86">
                  <c:v>39172</c:v>
                </c:pt>
                <c:pt idx="87">
                  <c:v>39202</c:v>
                </c:pt>
                <c:pt idx="88">
                  <c:v>39233</c:v>
                </c:pt>
                <c:pt idx="89">
                  <c:v>39263</c:v>
                </c:pt>
                <c:pt idx="90">
                  <c:v>39294</c:v>
                </c:pt>
                <c:pt idx="91">
                  <c:v>39325</c:v>
                </c:pt>
                <c:pt idx="92">
                  <c:v>39355</c:v>
                </c:pt>
                <c:pt idx="93">
                  <c:v>39386</c:v>
                </c:pt>
                <c:pt idx="94">
                  <c:v>39416</c:v>
                </c:pt>
                <c:pt idx="95">
                  <c:v>39447</c:v>
                </c:pt>
                <c:pt idx="96">
                  <c:v>39478</c:v>
                </c:pt>
                <c:pt idx="97">
                  <c:v>39507</c:v>
                </c:pt>
                <c:pt idx="98">
                  <c:v>39538</c:v>
                </c:pt>
                <c:pt idx="99">
                  <c:v>39568</c:v>
                </c:pt>
                <c:pt idx="100">
                  <c:v>39599</c:v>
                </c:pt>
                <c:pt idx="101">
                  <c:v>39629</c:v>
                </c:pt>
                <c:pt idx="102">
                  <c:v>39660</c:v>
                </c:pt>
                <c:pt idx="103">
                  <c:v>39691</c:v>
                </c:pt>
                <c:pt idx="104">
                  <c:v>39721</c:v>
                </c:pt>
                <c:pt idx="105">
                  <c:v>39752</c:v>
                </c:pt>
                <c:pt idx="106">
                  <c:v>39782</c:v>
                </c:pt>
                <c:pt idx="107">
                  <c:v>39813</c:v>
                </c:pt>
                <c:pt idx="108">
                  <c:v>39844</c:v>
                </c:pt>
                <c:pt idx="109">
                  <c:v>39872</c:v>
                </c:pt>
                <c:pt idx="110">
                  <c:v>39903</c:v>
                </c:pt>
                <c:pt idx="111">
                  <c:v>39933</c:v>
                </c:pt>
                <c:pt idx="112">
                  <c:v>39964</c:v>
                </c:pt>
                <c:pt idx="113">
                  <c:v>39994</c:v>
                </c:pt>
                <c:pt idx="114">
                  <c:v>40025</c:v>
                </c:pt>
                <c:pt idx="115">
                  <c:v>40056</c:v>
                </c:pt>
                <c:pt idx="116">
                  <c:v>40086</c:v>
                </c:pt>
                <c:pt idx="117">
                  <c:v>40117</c:v>
                </c:pt>
                <c:pt idx="118">
                  <c:v>40147</c:v>
                </c:pt>
                <c:pt idx="119">
                  <c:v>40178</c:v>
                </c:pt>
                <c:pt idx="120">
                  <c:v>40209</c:v>
                </c:pt>
                <c:pt idx="121">
                  <c:v>40237</c:v>
                </c:pt>
                <c:pt idx="122">
                  <c:v>40268</c:v>
                </c:pt>
                <c:pt idx="123">
                  <c:v>40298</c:v>
                </c:pt>
                <c:pt idx="124">
                  <c:v>40329</c:v>
                </c:pt>
                <c:pt idx="125">
                  <c:v>40359</c:v>
                </c:pt>
                <c:pt idx="126">
                  <c:v>40390</c:v>
                </c:pt>
                <c:pt idx="127">
                  <c:v>40421</c:v>
                </c:pt>
                <c:pt idx="128">
                  <c:v>40451</c:v>
                </c:pt>
                <c:pt idx="129">
                  <c:v>40482</c:v>
                </c:pt>
                <c:pt idx="130">
                  <c:v>40512</c:v>
                </c:pt>
                <c:pt idx="131">
                  <c:v>40543</c:v>
                </c:pt>
                <c:pt idx="132">
                  <c:v>40574</c:v>
                </c:pt>
                <c:pt idx="133">
                  <c:v>40602</c:v>
                </c:pt>
                <c:pt idx="134">
                  <c:v>40633</c:v>
                </c:pt>
                <c:pt idx="135">
                  <c:v>40663</c:v>
                </c:pt>
                <c:pt idx="136">
                  <c:v>40694</c:v>
                </c:pt>
                <c:pt idx="137">
                  <c:v>40724</c:v>
                </c:pt>
                <c:pt idx="138">
                  <c:v>40755</c:v>
                </c:pt>
                <c:pt idx="139">
                  <c:v>40786</c:v>
                </c:pt>
                <c:pt idx="140">
                  <c:v>40816</c:v>
                </c:pt>
                <c:pt idx="141">
                  <c:v>40847</c:v>
                </c:pt>
                <c:pt idx="142">
                  <c:v>40877</c:v>
                </c:pt>
                <c:pt idx="143">
                  <c:v>40908</c:v>
                </c:pt>
                <c:pt idx="144">
                  <c:v>40939</c:v>
                </c:pt>
                <c:pt idx="145">
                  <c:v>40968</c:v>
                </c:pt>
                <c:pt idx="146">
                  <c:v>40999</c:v>
                </c:pt>
                <c:pt idx="147">
                  <c:v>41029</c:v>
                </c:pt>
                <c:pt idx="148">
                  <c:v>41060</c:v>
                </c:pt>
                <c:pt idx="149">
                  <c:v>41090</c:v>
                </c:pt>
                <c:pt idx="150">
                  <c:v>41121</c:v>
                </c:pt>
                <c:pt idx="151">
                  <c:v>41152</c:v>
                </c:pt>
                <c:pt idx="152">
                  <c:v>41182</c:v>
                </c:pt>
                <c:pt idx="153">
                  <c:v>41213</c:v>
                </c:pt>
                <c:pt idx="154">
                  <c:v>41243</c:v>
                </c:pt>
                <c:pt idx="155">
                  <c:v>41274</c:v>
                </c:pt>
                <c:pt idx="156">
                  <c:v>41305</c:v>
                </c:pt>
                <c:pt idx="157">
                  <c:v>41333</c:v>
                </c:pt>
                <c:pt idx="158">
                  <c:v>41364</c:v>
                </c:pt>
                <c:pt idx="159">
                  <c:v>41394</c:v>
                </c:pt>
                <c:pt idx="160">
                  <c:v>41425</c:v>
                </c:pt>
                <c:pt idx="161">
                  <c:v>41455</c:v>
                </c:pt>
                <c:pt idx="162">
                  <c:v>41486</c:v>
                </c:pt>
                <c:pt idx="163">
                  <c:v>41517</c:v>
                </c:pt>
                <c:pt idx="164">
                  <c:v>41547</c:v>
                </c:pt>
                <c:pt idx="165">
                  <c:v>41578</c:v>
                </c:pt>
                <c:pt idx="166">
                  <c:v>41608</c:v>
                </c:pt>
                <c:pt idx="167">
                  <c:v>41639</c:v>
                </c:pt>
                <c:pt idx="168">
                  <c:v>41670</c:v>
                </c:pt>
                <c:pt idx="169">
                  <c:v>41698</c:v>
                </c:pt>
                <c:pt idx="170">
                  <c:v>41729</c:v>
                </c:pt>
                <c:pt idx="171">
                  <c:v>41759</c:v>
                </c:pt>
                <c:pt idx="172">
                  <c:v>41790</c:v>
                </c:pt>
                <c:pt idx="173">
                  <c:v>41820</c:v>
                </c:pt>
                <c:pt idx="174">
                  <c:v>41851</c:v>
                </c:pt>
                <c:pt idx="175">
                  <c:v>41882</c:v>
                </c:pt>
                <c:pt idx="176">
                  <c:v>41912</c:v>
                </c:pt>
                <c:pt idx="177">
                  <c:v>41943</c:v>
                </c:pt>
                <c:pt idx="178">
                  <c:v>41973</c:v>
                </c:pt>
                <c:pt idx="179">
                  <c:v>42004</c:v>
                </c:pt>
                <c:pt idx="180">
                  <c:v>42035</c:v>
                </c:pt>
                <c:pt idx="181">
                  <c:v>42063</c:v>
                </c:pt>
                <c:pt idx="182">
                  <c:v>42094</c:v>
                </c:pt>
                <c:pt idx="183">
                  <c:v>42124</c:v>
                </c:pt>
                <c:pt idx="184">
                  <c:v>42155</c:v>
                </c:pt>
                <c:pt idx="185">
                  <c:v>42185</c:v>
                </c:pt>
                <c:pt idx="186">
                  <c:v>42216</c:v>
                </c:pt>
                <c:pt idx="187">
                  <c:v>42247</c:v>
                </c:pt>
                <c:pt idx="188">
                  <c:v>42277</c:v>
                </c:pt>
                <c:pt idx="189">
                  <c:v>42308</c:v>
                </c:pt>
                <c:pt idx="190">
                  <c:v>42338</c:v>
                </c:pt>
                <c:pt idx="191">
                  <c:v>42369</c:v>
                </c:pt>
                <c:pt idx="192">
                  <c:v>42400</c:v>
                </c:pt>
                <c:pt idx="193">
                  <c:v>42429</c:v>
                </c:pt>
                <c:pt idx="194">
                  <c:v>42460</c:v>
                </c:pt>
                <c:pt idx="195">
                  <c:v>42490</c:v>
                </c:pt>
                <c:pt idx="196">
                  <c:v>42521</c:v>
                </c:pt>
                <c:pt idx="197">
                  <c:v>42551</c:v>
                </c:pt>
                <c:pt idx="198">
                  <c:v>42582</c:v>
                </c:pt>
                <c:pt idx="199">
                  <c:v>42613</c:v>
                </c:pt>
                <c:pt idx="200">
                  <c:v>42643</c:v>
                </c:pt>
                <c:pt idx="201">
                  <c:v>42674</c:v>
                </c:pt>
                <c:pt idx="202">
                  <c:v>42704</c:v>
                </c:pt>
                <c:pt idx="203">
                  <c:v>42735</c:v>
                </c:pt>
                <c:pt idx="204">
                  <c:v>42766</c:v>
                </c:pt>
                <c:pt idx="205">
                  <c:v>42794</c:v>
                </c:pt>
                <c:pt idx="206">
                  <c:v>42825</c:v>
                </c:pt>
                <c:pt idx="207">
                  <c:v>42855</c:v>
                </c:pt>
                <c:pt idx="208">
                  <c:v>42886</c:v>
                </c:pt>
                <c:pt idx="209">
                  <c:v>42916</c:v>
                </c:pt>
                <c:pt idx="210">
                  <c:v>42947</c:v>
                </c:pt>
                <c:pt idx="211">
                  <c:v>42978</c:v>
                </c:pt>
                <c:pt idx="212">
                  <c:v>43008</c:v>
                </c:pt>
                <c:pt idx="213">
                  <c:v>43039</c:v>
                </c:pt>
                <c:pt idx="214">
                  <c:v>43069</c:v>
                </c:pt>
                <c:pt idx="215">
                  <c:v>43100</c:v>
                </c:pt>
                <c:pt idx="216">
                  <c:v>43131</c:v>
                </c:pt>
                <c:pt idx="217">
                  <c:v>43159</c:v>
                </c:pt>
                <c:pt idx="218">
                  <c:v>43190</c:v>
                </c:pt>
                <c:pt idx="219">
                  <c:v>43220</c:v>
                </c:pt>
                <c:pt idx="220">
                  <c:v>43251</c:v>
                </c:pt>
                <c:pt idx="221">
                  <c:v>43281</c:v>
                </c:pt>
                <c:pt idx="222">
                  <c:v>43312</c:v>
                </c:pt>
                <c:pt idx="223">
                  <c:v>43343</c:v>
                </c:pt>
                <c:pt idx="224">
                  <c:v>43373</c:v>
                </c:pt>
                <c:pt idx="225">
                  <c:v>43404</c:v>
                </c:pt>
                <c:pt idx="226">
                  <c:v>43434</c:v>
                </c:pt>
                <c:pt idx="227">
                  <c:v>43465</c:v>
                </c:pt>
                <c:pt idx="228">
                  <c:v>43496</c:v>
                </c:pt>
                <c:pt idx="229">
                  <c:v>43524</c:v>
                </c:pt>
                <c:pt idx="230">
                  <c:v>43555</c:v>
                </c:pt>
                <c:pt idx="231">
                  <c:v>43585</c:v>
                </c:pt>
                <c:pt idx="232">
                  <c:v>43616</c:v>
                </c:pt>
                <c:pt idx="233">
                  <c:v>43646</c:v>
                </c:pt>
                <c:pt idx="234">
                  <c:v>43677</c:v>
                </c:pt>
                <c:pt idx="235">
                  <c:v>43708</c:v>
                </c:pt>
                <c:pt idx="236">
                  <c:v>43738</c:v>
                </c:pt>
                <c:pt idx="237">
                  <c:v>43769</c:v>
                </c:pt>
                <c:pt idx="238">
                  <c:v>43799</c:v>
                </c:pt>
                <c:pt idx="239">
                  <c:v>43830</c:v>
                </c:pt>
                <c:pt idx="240">
                  <c:v>43861</c:v>
                </c:pt>
                <c:pt idx="241">
                  <c:v>43890</c:v>
                </c:pt>
                <c:pt idx="242">
                  <c:v>43921</c:v>
                </c:pt>
                <c:pt idx="243">
                  <c:v>43951</c:v>
                </c:pt>
                <c:pt idx="244">
                  <c:v>43982</c:v>
                </c:pt>
                <c:pt idx="245">
                  <c:v>44012</c:v>
                </c:pt>
                <c:pt idx="246">
                  <c:v>44043</c:v>
                </c:pt>
                <c:pt idx="247">
                  <c:v>44074</c:v>
                </c:pt>
                <c:pt idx="248">
                  <c:v>44104</c:v>
                </c:pt>
                <c:pt idx="249">
                  <c:v>44135</c:v>
                </c:pt>
                <c:pt idx="250">
                  <c:v>44165</c:v>
                </c:pt>
                <c:pt idx="251">
                  <c:v>44196</c:v>
                </c:pt>
                <c:pt idx="252">
                  <c:v>44227</c:v>
                </c:pt>
                <c:pt idx="253">
                  <c:v>44255</c:v>
                </c:pt>
                <c:pt idx="254">
                  <c:v>44286</c:v>
                </c:pt>
                <c:pt idx="255">
                  <c:v>44316</c:v>
                </c:pt>
                <c:pt idx="256">
                  <c:v>44347</c:v>
                </c:pt>
                <c:pt idx="257">
                  <c:v>44377</c:v>
                </c:pt>
                <c:pt idx="258">
                  <c:v>44408</c:v>
                </c:pt>
                <c:pt idx="259">
                  <c:v>44439</c:v>
                </c:pt>
              </c:numCache>
            </c:numRef>
          </c:cat>
          <c:val>
            <c:numRef>
              <c:f>Sheet1!$N$182:$N$441</c:f>
              <c:numCache>
                <c:formatCode>0.0</c:formatCode>
                <c:ptCount val="260"/>
                <c:pt idx="0">
                  <c:v>89.7</c:v>
                </c:pt>
                <c:pt idx="1">
                  <c:v>91.3</c:v>
                </c:pt>
                <c:pt idx="2">
                  <c:v>89.3</c:v>
                </c:pt>
                <c:pt idx="3">
                  <c:v>88.4</c:v>
                </c:pt>
                <c:pt idx="4">
                  <c:v>92.5</c:v>
                </c:pt>
                <c:pt idx="5">
                  <c:v>88.7</c:v>
                </c:pt>
                <c:pt idx="6">
                  <c:v>84.8</c:v>
                </c:pt>
                <c:pt idx="7">
                  <c:v>88.6</c:v>
                </c:pt>
                <c:pt idx="8">
                  <c:v>94.5</c:v>
                </c:pt>
                <c:pt idx="9">
                  <c:v>92.9</c:v>
                </c:pt>
                <c:pt idx="10">
                  <c:v>94.9</c:v>
                </c:pt>
                <c:pt idx="11">
                  <c:v>94.3</c:v>
                </c:pt>
                <c:pt idx="12">
                  <c:v>95</c:v>
                </c:pt>
                <c:pt idx="13">
                  <c:v>95.6</c:v>
                </c:pt>
                <c:pt idx="14">
                  <c:v>97.7</c:v>
                </c:pt>
                <c:pt idx="15">
                  <c:v>102.8</c:v>
                </c:pt>
                <c:pt idx="16">
                  <c:v>97.7</c:v>
                </c:pt>
                <c:pt idx="17">
                  <c:v>92.4</c:v>
                </c:pt>
                <c:pt idx="18">
                  <c:v>94.7</c:v>
                </c:pt>
                <c:pt idx="19">
                  <c:v>96.1</c:v>
                </c:pt>
                <c:pt idx="20">
                  <c:v>94</c:v>
                </c:pt>
                <c:pt idx="21">
                  <c:v>95.9</c:v>
                </c:pt>
                <c:pt idx="22">
                  <c:v>96.3</c:v>
                </c:pt>
                <c:pt idx="23">
                  <c:v>97.2</c:v>
                </c:pt>
                <c:pt idx="24">
                  <c:v>97.1</c:v>
                </c:pt>
                <c:pt idx="25">
                  <c:v>97.1</c:v>
                </c:pt>
                <c:pt idx="26">
                  <c:v>96.8</c:v>
                </c:pt>
                <c:pt idx="27">
                  <c:v>97.2</c:v>
                </c:pt>
                <c:pt idx="28">
                  <c:v>100.1</c:v>
                </c:pt>
                <c:pt idx="29">
                  <c:v>96.5</c:v>
                </c:pt>
                <c:pt idx="30">
                  <c:v>97.4</c:v>
                </c:pt>
                <c:pt idx="31">
                  <c:v>100</c:v>
                </c:pt>
                <c:pt idx="32">
                  <c:v>100.1</c:v>
                </c:pt>
                <c:pt idx="33">
                  <c:v>101.6</c:v>
                </c:pt>
                <c:pt idx="34">
                  <c:v>102.7</c:v>
                </c:pt>
                <c:pt idx="35">
                  <c:v>102</c:v>
                </c:pt>
                <c:pt idx="36">
                  <c:v>101.5</c:v>
                </c:pt>
                <c:pt idx="37">
                  <c:v>103.7</c:v>
                </c:pt>
                <c:pt idx="38">
                  <c:v>101.7</c:v>
                </c:pt>
                <c:pt idx="39">
                  <c:v>100.7</c:v>
                </c:pt>
                <c:pt idx="40">
                  <c:v>100.4</c:v>
                </c:pt>
                <c:pt idx="41">
                  <c:v>98.9</c:v>
                </c:pt>
                <c:pt idx="42">
                  <c:v>97.6</c:v>
                </c:pt>
                <c:pt idx="43">
                  <c:v>99.1</c:v>
                </c:pt>
                <c:pt idx="44">
                  <c:v>99.3</c:v>
                </c:pt>
                <c:pt idx="45">
                  <c:v>103.5</c:v>
                </c:pt>
                <c:pt idx="46">
                  <c:v>104.5</c:v>
                </c:pt>
                <c:pt idx="47">
                  <c:v>104.2</c:v>
                </c:pt>
                <c:pt idx="48">
                  <c:v>102.5</c:v>
                </c:pt>
                <c:pt idx="49">
                  <c:v>101.8</c:v>
                </c:pt>
                <c:pt idx="50">
                  <c:v>103.6</c:v>
                </c:pt>
                <c:pt idx="51">
                  <c:v>105.4</c:v>
                </c:pt>
                <c:pt idx="52">
                  <c:v>106</c:v>
                </c:pt>
                <c:pt idx="53">
                  <c:v>104.8</c:v>
                </c:pt>
                <c:pt idx="54">
                  <c:v>108.1</c:v>
                </c:pt>
                <c:pt idx="55">
                  <c:v>105.8</c:v>
                </c:pt>
                <c:pt idx="56">
                  <c:v>107.4</c:v>
                </c:pt>
                <c:pt idx="57">
                  <c:v>108.1</c:v>
                </c:pt>
                <c:pt idx="58">
                  <c:v>104.9</c:v>
                </c:pt>
                <c:pt idx="59">
                  <c:v>103</c:v>
                </c:pt>
                <c:pt idx="60">
                  <c:v>102.7</c:v>
                </c:pt>
                <c:pt idx="61">
                  <c:v>102.7</c:v>
                </c:pt>
                <c:pt idx="62">
                  <c:v>104.9</c:v>
                </c:pt>
                <c:pt idx="63">
                  <c:v>103.9</c:v>
                </c:pt>
                <c:pt idx="64">
                  <c:v>104</c:v>
                </c:pt>
                <c:pt idx="65">
                  <c:v>107.3</c:v>
                </c:pt>
                <c:pt idx="66">
                  <c:v>111.5</c:v>
                </c:pt>
                <c:pt idx="67">
                  <c:v>106.9</c:v>
                </c:pt>
                <c:pt idx="68">
                  <c:v>110.8</c:v>
                </c:pt>
                <c:pt idx="69">
                  <c:v>112.4</c:v>
                </c:pt>
                <c:pt idx="70">
                  <c:v>112.5</c:v>
                </c:pt>
                <c:pt idx="71">
                  <c:v>112.3</c:v>
                </c:pt>
                <c:pt idx="72">
                  <c:v>113.6</c:v>
                </c:pt>
                <c:pt idx="73">
                  <c:v>112.5</c:v>
                </c:pt>
                <c:pt idx="74">
                  <c:v>111.8</c:v>
                </c:pt>
                <c:pt idx="75">
                  <c:v>110.6</c:v>
                </c:pt>
                <c:pt idx="76">
                  <c:v>113.2</c:v>
                </c:pt>
                <c:pt idx="77">
                  <c:v>114.7</c:v>
                </c:pt>
                <c:pt idx="78">
                  <c:v>116.6</c:v>
                </c:pt>
                <c:pt idx="79">
                  <c:v>114.1</c:v>
                </c:pt>
                <c:pt idx="80">
                  <c:v>113.4</c:v>
                </c:pt>
                <c:pt idx="81">
                  <c:v>114</c:v>
                </c:pt>
                <c:pt idx="82">
                  <c:v>112</c:v>
                </c:pt>
                <c:pt idx="83">
                  <c:v>111.2</c:v>
                </c:pt>
                <c:pt idx="84">
                  <c:v>111.3</c:v>
                </c:pt>
                <c:pt idx="85">
                  <c:v>114.8</c:v>
                </c:pt>
                <c:pt idx="86">
                  <c:v>114.2</c:v>
                </c:pt>
                <c:pt idx="87">
                  <c:v>115.6</c:v>
                </c:pt>
                <c:pt idx="88">
                  <c:v>114.5</c:v>
                </c:pt>
                <c:pt idx="89">
                  <c:v>115.9</c:v>
                </c:pt>
                <c:pt idx="90">
                  <c:v>116.2</c:v>
                </c:pt>
                <c:pt idx="91">
                  <c:v>117</c:v>
                </c:pt>
                <c:pt idx="92">
                  <c:v>114.4</c:v>
                </c:pt>
                <c:pt idx="93">
                  <c:v>108.7</c:v>
                </c:pt>
                <c:pt idx="94">
                  <c:v>113.6</c:v>
                </c:pt>
                <c:pt idx="95">
                  <c:v>109.4</c:v>
                </c:pt>
                <c:pt idx="96">
                  <c:v>110.3</c:v>
                </c:pt>
                <c:pt idx="97">
                  <c:v>108.2</c:v>
                </c:pt>
                <c:pt idx="98">
                  <c:v>104.8</c:v>
                </c:pt>
                <c:pt idx="99">
                  <c:v>101.8</c:v>
                </c:pt>
                <c:pt idx="100">
                  <c:v>103.6</c:v>
                </c:pt>
                <c:pt idx="101">
                  <c:v>100.7</c:v>
                </c:pt>
                <c:pt idx="102">
                  <c:v>96.7</c:v>
                </c:pt>
                <c:pt idx="103">
                  <c:v>97.7</c:v>
                </c:pt>
                <c:pt idx="104">
                  <c:v>94.2</c:v>
                </c:pt>
                <c:pt idx="105">
                  <c:v>90.7</c:v>
                </c:pt>
                <c:pt idx="106">
                  <c:v>83.6</c:v>
                </c:pt>
                <c:pt idx="107">
                  <c:v>75.3</c:v>
                </c:pt>
                <c:pt idx="108">
                  <c:v>71.5</c:v>
                </c:pt>
                <c:pt idx="109">
                  <c:v>68.400000000000006</c:v>
                </c:pt>
                <c:pt idx="110">
                  <c:v>64.099999999999994</c:v>
                </c:pt>
                <c:pt idx="111">
                  <c:v>62.2</c:v>
                </c:pt>
                <c:pt idx="112">
                  <c:v>66.2</c:v>
                </c:pt>
                <c:pt idx="113">
                  <c:v>68.5</c:v>
                </c:pt>
                <c:pt idx="114">
                  <c:v>67.7</c:v>
                </c:pt>
                <c:pt idx="115">
                  <c:v>70.2</c:v>
                </c:pt>
                <c:pt idx="116">
                  <c:v>69.8</c:v>
                </c:pt>
                <c:pt idx="117">
                  <c:v>72.099999999999994</c:v>
                </c:pt>
                <c:pt idx="118">
                  <c:v>73.7</c:v>
                </c:pt>
                <c:pt idx="119">
                  <c:v>77.8</c:v>
                </c:pt>
                <c:pt idx="120">
                  <c:v>84.8</c:v>
                </c:pt>
                <c:pt idx="121">
                  <c:v>83.7</c:v>
                </c:pt>
                <c:pt idx="122">
                  <c:v>85.7</c:v>
                </c:pt>
                <c:pt idx="123">
                  <c:v>89.5</c:v>
                </c:pt>
                <c:pt idx="124">
                  <c:v>90.9</c:v>
                </c:pt>
                <c:pt idx="125">
                  <c:v>90</c:v>
                </c:pt>
                <c:pt idx="126">
                  <c:v>90.2</c:v>
                </c:pt>
                <c:pt idx="127">
                  <c:v>93.5</c:v>
                </c:pt>
                <c:pt idx="128">
                  <c:v>94.7</c:v>
                </c:pt>
                <c:pt idx="129">
                  <c:v>97.7</c:v>
                </c:pt>
                <c:pt idx="130">
                  <c:v>100.3</c:v>
                </c:pt>
                <c:pt idx="131">
                  <c:v>104</c:v>
                </c:pt>
                <c:pt idx="132">
                  <c:v>102</c:v>
                </c:pt>
                <c:pt idx="133">
                  <c:v>101.5</c:v>
                </c:pt>
                <c:pt idx="134">
                  <c:v>103.5</c:v>
                </c:pt>
                <c:pt idx="135">
                  <c:v>104.9</c:v>
                </c:pt>
                <c:pt idx="136">
                  <c:v>105.5</c:v>
                </c:pt>
                <c:pt idx="137">
                  <c:v>107.8</c:v>
                </c:pt>
                <c:pt idx="138">
                  <c:v>108</c:v>
                </c:pt>
                <c:pt idx="139">
                  <c:v>103.6</c:v>
                </c:pt>
                <c:pt idx="140">
                  <c:v>97</c:v>
                </c:pt>
                <c:pt idx="141">
                  <c:v>94.4</c:v>
                </c:pt>
                <c:pt idx="142">
                  <c:v>94.9</c:v>
                </c:pt>
                <c:pt idx="143">
                  <c:v>97.4</c:v>
                </c:pt>
                <c:pt idx="144">
                  <c:v>95.4</c:v>
                </c:pt>
                <c:pt idx="145">
                  <c:v>96.3</c:v>
                </c:pt>
                <c:pt idx="146">
                  <c:v>95.2</c:v>
                </c:pt>
                <c:pt idx="147">
                  <c:v>95.2</c:v>
                </c:pt>
                <c:pt idx="148">
                  <c:v>95.3</c:v>
                </c:pt>
                <c:pt idx="149">
                  <c:v>94.9</c:v>
                </c:pt>
                <c:pt idx="150">
                  <c:v>95.4</c:v>
                </c:pt>
                <c:pt idx="151">
                  <c:v>92.2</c:v>
                </c:pt>
                <c:pt idx="152">
                  <c:v>94.3</c:v>
                </c:pt>
                <c:pt idx="153">
                  <c:v>94.3</c:v>
                </c:pt>
                <c:pt idx="154">
                  <c:v>94.2</c:v>
                </c:pt>
                <c:pt idx="155">
                  <c:v>96.9</c:v>
                </c:pt>
                <c:pt idx="156">
                  <c:v>98.3</c:v>
                </c:pt>
                <c:pt idx="157">
                  <c:v>99.2</c:v>
                </c:pt>
                <c:pt idx="158">
                  <c:v>100.2</c:v>
                </c:pt>
                <c:pt idx="159">
                  <c:v>100.1</c:v>
                </c:pt>
                <c:pt idx="160">
                  <c:v>98.3</c:v>
                </c:pt>
                <c:pt idx="161">
                  <c:v>101.4</c:v>
                </c:pt>
                <c:pt idx="162">
                  <c:v>98.7</c:v>
                </c:pt>
                <c:pt idx="163">
                  <c:v>103.4</c:v>
                </c:pt>
                <c:pt idx="164">
                  <c:v>101.3</c:v>
                </c:pt>
                <c:pt idx="165">
                  <c:v>98.1</c:v>
                </c:pt>
                <c:pt idx="166">
                  <c:v>97.4</c:v>
                </c:pt>
                <c:pt idx="167">
                  <c:v>98.8</c:v>
                </c:pt>
                <c:pt idx="168">
                  <c:v>101</c:v>
                </c:pt>
                <c:pt idx="169">
                  <c:v>101.1</c:v>
                </c:pt>
                <c:pt idx="170">
                  <c:v>101.7</c:v>
                </c:pt>
                <c:pt idx="171">
                  <c:v>100.7</c:v>
                </c:pt>
                <c:pt idx="172">
                  <c:v>99.1</c:v>
                </c:pt>
                <c:pt idx="173">
                  <c:v>97.8</c:v>
                </c:pt>
                <c:pt idx="174">
                  <c:v>95.5</c:v>
                </c:pt>
                <c:pt idx="175">
                  <c:v>96.6</c:v>
                </c:pt>
                <c:pt idx="176">
                  <c:v>94.8</c:v>
                </c:pt>
                <c:pt idx="177">
                  <c:v>100.5</c:v>
                </c:pt>
                <c:pt idx="178">
                  <c:v>101.2</c:v>
                </c:pt>
                <c:pt idx="179">
                  <c:v>97.5</c:v>
                </c:pt>
                <c:pt idx="180">
                  <c:v>95.9</c:v>
                </c:pt>
                <c:pt idx="181">
                  <c:v>97.4</c:v>
                </c:pt>
                <c:pt idx="182">
                  <c:v>100.1</c:v>
                </c:pt>
                <c:pt idx="183">
                  <c:v>100.6</c:v>
                </c:pt>
                <c:pt idx="184">
                  <c:v>97.2</c:v>
                </c:pt>
                <c:pt idx="185">
                  <c:v>96.6</c:v>
                </c:pt>
                <c:pt idx="186">
                  <c:v>97.6</c:v>
                </c:pt>
                <c:pt idx="187">
                  <c:v>97.2</c:v>
                </c:pt>
                <c:pt idx="188">
                  <c:v>99.8</c:v>
                </c:pt>
                <c:pt idx="189">
                  <c:v>101</c:v>
                </c:pt>
                <c:pt idx="190">
                  <c:v>101.9</c:v>
                </c:pt>
                <c:pt idx="191">
                  <c:v>100.3</c:v>
                </c:pt>
                <c:pt idx="192">
                  <c:v>101</c:v>
                </c:pt>
                <c:pt idx="193">
                  <c:v>100</c:v>
                </c:pt>
                <c:pt idx="194">
                  <c:v>100.5</c:v>
                </c:pt>
                <c:pt idx="195">
                  <c:v>98.8</c:v>
                </c:pt>
                <c:pt idx="196">
                  <c:v>99</c:v>
                </c:pt>
                <c:pt idx="197">
                  <c:v>98.2</c:v>
                </c:pt>
                <c:pt idx="198">
                  <c:v>98.6</c:v>
                </c:pt>
                <c:pt idx="199">
                  <c:v>101</c:v>
                </c:pt>
                <c:pt idx="200">
                  <c:v>102.6</c:v>
                </c:pt>
                <c:pt idx="201">
                  <c:v>102</c:v>
                </c:pt>
                <c:pt idx="202">
                  <c:v>105.1</c:v>
                </c:pt>
                <c:pt idx="203">
                  <c:v>107.5</c:v>
                </c:pt>
                <c:pt idx="204">
                  <c:v>104.9</c:v>
                </c:pt>
                <c:pt idx="205">
                  <c:v>103.5</c:v>
                </c:pt>
                <c:pt idx="206">
                  <c:v>102.3</c:v>
                </c:pt>
                <c:pt idx="207">
                  <c:v>102.3</c:v>
                </c:pt>
                <c:pt idx="208">
                  <c:v>101.9</c:v>
                </c:pt>
                <c:pt idx="209">
                  <c:v>103.4</c:v>
                </c:pt>
                <c:pt idx="210">
                  <c:v>106.5</c:v>
                </c:pt>
                <c:pt idx="211">
                  <c:v>106.6</c:v>
                </c:pt>
                <c:pt idx="212">
                  <c:v>107.1</c:v>
                </c:pt>
                <c:pt idx="213">
                  <c:v>106.2</c:v>
                </c:pt>
                <c:pt idx="214">
                  <c:v>105.7</c:v>
                </c:pt>
                <c:pt idx="215">
                  <c:v>107.4</c:v>
                </c:pt>
                <c:pt idx="216">
                  <c:v>106.5</c:v>
                </c:pt>
                <c:pt idx="217">
                  <c:v>107.3</c:v>
                </c:pt>
                <c:pt idx="218">
                  <c:v>106.4</c:v>
                </c:pt>
                <c:pt idx="219">
                  <c:v>109.1</c:v>
                </c:pt>
                <c:pt idx="220">
                  <c:v>109.2</c:v>
                </c:pt>
                <c:pt idx="221">
                  <c:v>110.5</c:v>
                </c:pt>
                <c:pt idx="222">
                  <c:v>111.4</c:v>
                </c:pt>
                <c:pt idx="223">
                  <c:v>110.2</c:v>
                </c:pt>
                <c:pt idx="224">
                  <c:v>110</c:v>
                </c:pt>
                <c:pt idx="225">
                  <c:v>110</c:v>
                </c:pt>
                <c:pt idx="226">
                  <c:v>109.4</c:v>
                </c:pt>
                <c:pt idx="227">
                  <c:v>110.6</c:v>
                </c:pt>
                <c:pt idx="228">
                  <c:v>109.6</c:v>
                </c:pt>
                <c:pt idx="229">
                  <c:v>108.6</c:v>
                </c:pt>
                <c:pt idx="230">
                  <c:v>107.9</c:v>
                </c:pt>
                <c:pt idx="231">
                  <c:v>108.7</c:v>
                </c:pt>
                <c:pt idx="232">
                  <c:v>108.8</c:v>
                </c:pt>
                <c:pt idx="233">
                  <c:v>107.4</c:v>
                </c:pt>
                <c:pt idx="234">
                  <c:v>107</c:v>
                </c:pt>
                <c:pt idx="235">
                  <c:v>109.2</c:v>
                </c:pt>
                <c:pt idx="236">
                  <c:v>108.9</c:v>
                </c:pt>
                <c:pt idx="237">
                  <c:v>108.5</c:v>
                </c:pt>
                <c:pt idx="238">
                  <c:v>108.2</c:v>
                </c:pt>
                <c:pt idx="239">
                  <c:v>107.7</c:v>
                </c:pt>
                <c:pt idx="240">
                  <c:v>108.9</c:v>
                </c:pt>
                <c:pt idx="241">
                  <c:v>110.4</c:v>
                </c:pt>
                <c:pt idx="242">
                  <c:v>103.3</c:v>
                </c:pt>
                <c:pt idx="243">
                  <c:v>82.3</c:v>
                </c:pt>
                <c:pt idx="244">
                  <c:v>86.3</c:v>
                </c:pt>
                <c:pt idx="245">
                  <c:v>90.2</c:v>
                </c:pt>
                <c:pt idx="246">
                  <c:v>92.8</c:v>
                </c:pt>
                <c:pt idx="247">
                  <c:v>94.8</c:v>
                </c:pt>
                <c:pt idx="248">
                  <c:v>97.5</c:v>
                </c:pt>
                <c:pt idx="249">
                  <c:v>99.8</c:v>
                </c:pt>
                <c:pt idx="250">
                  <c:v>96</c:v>
                </c:pt>
                <c:pt idx="251">
                  <c:v>96.2</c:v>
                </c:pt>
                <c:pt idx="252">
                  <c:v>99.1</c:v>
                </c:pt>
                <c:pt idx="253">
                  <c:v>101.9</c:v>
                </c:pt>
                <c:pt idx="254">
                  <c:v>103.4</c:v>
                </c:pt>
                <c:pt idx="255">
                  <c:v>108.2</c:v>
                </c:pt>
                <c:pt idx="256">
                  <c:v>111.6</c:v>
                </c:pt>
                <c:pt idx="257">
                  <c:v>110.1</c:v>
                </c:pt>
                <c:pt idx="258">
                  <c:v>108.1</c:v>
                </c:pt>
                <c:pt idx="259">
                  <c:v>108.1</c:v>
                </c:pt>
              </c:numCache>
            </c:numRef>
          </c:val>
          <c:smooth val="0"/>
          <c:extLst>
            <c:ext xmlns:c16="http://schemas.microsoft.com/office/drawing/2014/chart" uri="{C3380CC4-5D6E-409C-BE32-E72D297353CC}">
              <c16:uniqueId val="{00000003-EA94-45AD-8CB4-EA2A0550F6FB}"/>
            </c:ext>
          </c:extLst>
        </c:ser>
        <c:dLbls>
          <c:showLegendKey val="0"/>
          <c:showVal val="0"/>
          <c:showCatName val="0"/>
          <c:showSerName val="0"/>
          <c:showPercent val="0"/>
          <c:showBubbleSize val="0"/>
        </c:dLbls>
        <c:smooth val="0"/>
        <c:axId val="531194568"/>
        <c:axId val="531194896"/>
      </c:lineChart>
      <c:catAx>
        <c:axId val="531194568"/>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low"/>
        <c:spPr>
          <a:noFill/>
          <a:ln w="9525" cap="flat" cmpd="sng" algn="ctr">
            <a:solidFill>
              <a:sysClr val="windowText" lastClr="000000"/>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31194896"/>
        <c:crossesAt val="100"/>
        <c:auto val="0"/>
        <c:lblAlgn val="ctr"/>
        <c:lblOffset val="100"/>
        <c:tickLblSkip val="12"/>
        <c:tickMarkSkip val="12"/>
        <c:noMultiLvlLbl val="1"/>
      </c:catAx>
      <c:valAx>
        <c:axId val="531194896"/>
        <c:scaling>
          <c:orientation val="minMax"/>
          <c:max val="120"/>
          <c:min val="6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31194568"/>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b="1">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641934954684342E-2"/>
          <c:y val="2.0943756557542541E-2"/>
          <c:w val="0.88152115819150556"/>
          <c:h val="0.84402763021583205"/>
        </c:manualLayout>
      </c:layout>
      <c:barChart>
        <c:barDir val="col"/>
        <c:grouping val="clustered"/>
        <c:varyColors val="0"/>
        <c:ser>
          <c:idx val="0"/>
          <c:order val="0"/>
          <c:tx>
            <c:strRef>
              <c:f>Rūpniecība!$J$1</c:f>
              <c:strCache>
                <c:ptCount val="1"/>
                <c:pt idx="0">
                  <c:v>Rūpniecības produkcijas apjoma indekss, sez. izl. (2015=100)</c:v>
                </c:pt>
              </c:strCache>
            </c:strRef>
          </c:tx>
          <c:spPr>
            <a:pattFill prst="dkUpDiag">
              <a:fgClr>
                <a:srgbClr val="00B050"/>
              </a:fgClr>
              <a:bgClr>
                <a:sysClr val="window" lastClr="FFFFFF"/>
              </a:bgClr>
            </a:pattFill>
            <a:ln>
              <a:solidFill>
                <a:srgbClr val="00B050"/>
              </a:solidFill>
            </a:ln>
            <a:effectLst/>
          </c:spPr>
          <c:invertIfNegative val="0"/>
          <c:cat>
            <c:multiLvlStrRef>
              <c:f>Rūpniecība!$A$134:$B$176</c:f>
              <c:multiLvlStrCache>
                <c:ptCount val="43"/>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lvl>
                <c:lvl>
                  <c:pt idx="0">
                    <c:v>2018</c:v>
                  </c:pt>
                  <c:pt idx="12">
                    <c:v>2019</c:v>
                  </c:pt>
                  <c:pt idx="24">
                    <c:v>2020</c:v>
                  </c:pt>
                  <c:pt idx="36">
                    <c:v>2021</c:v>
                  </c:pt>
                </c:lvl>
              </c:multiLvlStrCache>
            </c:multiLvlStrRef>
          </c:cat>
          <c:val>
            <c:numRef>
              <c:f>Rūpniecība!$J$134:$J$176</c:f>
              <c:numCache>
                <c:formatCode>General</c:formatCode>
                <c:ptCount val="43"/>
                <c:pt idx="0">
                  <c:v>116.48</c:v>
                </c:pt>
                <c:pt idx="1">
                  <c:v>119.9</c:v>
                </c:pt>
                <c:pt idx="2">
                  <c:v>115.17</c:v>
                </c:pt>
                <c:pt idx="3">
                  <c:v>115.91</c:v>
                </c:pt>
                <c:pt idx="4">
                  <c:v>114.49</c:v>
                </c:pt>
                <c:pt idx="5">
                  <c:v>113.41</c:v>
                </c:pt>
                <c:pt idx="6">
                  <c:v>117.1</c:v>
                </c:pt>
                <c:pt idx="7">
                  <c:v>118.31</c:v>
                </c:pt>
                <c:pt idx="8">
                  <c:v>113.6</c:v>
                </c:pt>
                <c:pt idx="9">
                  <c:v>114.34</c:v>
                </c:pt>
                <c:pt idx="10">
                  <c:v>115.66</c:v>
                </c:pt>
                <c:pt idx="11">
                  <c:v>119.25</c:v>
                </c:pt>
                <c:pt idx="12">
                  <c:v>117.06</c:v>
                </c:pt>
                <c:pt idx="13">
                  <c:v>116.37</c:v>
                </c:pt>
                <c:pt idx="14">
                  <c:v>118.03</c:v>
                </c:pt>
                <c:pt idx="15">
                  <c:v>114.07</c:v>
                </c:pt>
                <c:pt idx="16">
                  <c:v>116.89</c:v>
                </c:pt>
                <c:pt idx="17">
                  <c:v>116.77</c:v>
                </c:pt>
                <c:pt idx="18">
                  <c:v>114.98</c:v>
                </c:pt>
                <c:pt idx="19">
                  <c:v>119.19</c:v>
                </c:pt>
                <c:pt idx="20">
                  <c:v>120.38</c:v>
                </c:pt>
                <c:pt idx="21">
                  <c:v>117.95</c:v>
                </c:pt>
                <c:pt idx="22">
                  <c:v>115.87</c:v>
                </c:pt>
                <c:pt idx="23">
                  <c:v>115.39</c:v>
                </c:pt>
                <c:pt idx="24">
                  <c:v>114.24</c:v>
                </c:pt>
                <c:pt idx="25">
                  <c:v>116.93</c:v>
                </c:pt>
                <c:pt idx="26">
                  <c:v>115.09</c:v>
                </c:pt>
                <c:pt idx="27">
                  <c:v>103.58</c:v>
                </c:pt>
                <c:pt idx="28">
                  <c:v>109.74</c:v>
                </c:pt>
                <c:pt idx="29">
                  <c:v>114.91</c:v>
                </c:pt>
                <c:pt idx="30">
                  <c:v>114.91</c:v>
                </c:pt>
                <c:pt idx="31">
                  <c:v>115.39</c:v>
                </c:pt>
                <c:pt idx="32">
                  <c:v>116.69</c:v>
                </c:pt>
                <c:pt idx="33">
                  <c:v>117.17</c:v>
                </c:pt>
                <c:pt idx="34">
                  <c:v>119.34</c:v>
                </c:pt>
                <c:pt idx="35">
                  <c:v>120.57</c:v>
                </c:pt>
                <c:pt idx="36">
                  <c:v>118.88</c:v>
                </c:pt>
                <c:pt idx="37">
                  <c:v>120.42</c:v>
                </c:pt>
                <c:pt idx="38">
                  <c:v>121.04</c:v>
                </c:pt>
                <c:pt idx="39">
                  <c:v>124.33</c:v>
                </c:pt>
                <c:pt idx="40">
                  <c:v>121.69</c:v>
                </c:pt>
                <c:pt idx="41">
                  <c:v>123.28</c:v>
                </c:pt>
                <c:pt idx="42">
                  <c:v>124.28</c:v>
                </c:pt>
              </c:numCache>
            </c:numRef>
          </c:val>
          <c:extLst>
            <c:ext xmlns:c16="http://schemas.microsoft.com/office/drawing/2014/chart" uri="{C3380CC4-5D6E-409C-BE32-E72D297353CC}">
              <c16:uniqueId val="{00000000-DD4A-4F51-9F49-49EE3D3F2B91}"/>
            </c:ext>
          </c:extLst>
        </c:ser>
        <c:dLbls>
          <c:showLegendKey val="0"/>
          <c:showVal val="0"/>
          <c:showCatName val="0"/>
          <c:showSerName val="0"/>
          <c:showPercent val="0"/>
          <c:showBubbleSize val="0"/>
        </c:dLbls>
        <c:gapWidth val="50"/>
        <c:axId val="343594496"/>
        <c:axId val="343594888"/>
      </c:barChart>
      <c:catAx>
        <c:axId val="34359449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3594888"/>
        <c:crosses val="autoZero"/>
        <c:auto val="1"/>
        <c:lblAlgn val="ctr"/>
        <c:lblOffset val="100"/>
        <c:noMultiLvlLbl val="0"/>
      </c:catAx>
      <c:valAx>
        <c:axId val="343594888"/>
        <c:scaling>
          <c:orientation val="minMax"/>
          <c:max val="128"/>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3594496"/>
        <c:crosses val="autoZero"/>
        <c:crossBetween val="between"/>
        <c:majorUnit val="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pattFill prst="pct30">
                <a:fgClr>
                  <a:schemeClr val="accent1">
                    <a:lumMod val="75000"/>
                  </a:schemeClr>
                </a:fgClr>
                <a:bgClr>
                  <a:schemeClr val="bg1"/>
                </a:bgClr>
              </a:pattFill>
              <a:ln w="19050">
                <a:solidFill>
                  <a:schemeClr val="lt1"/>
                </a:solidFill>
              </a:ln>
              <a:effectLst/>
            </c:spPr>
            <c:extLst>
              <c:ext xmlns:c16="http://schemas.microsoft.com/office/drawing/2014/chart" uri="{C3380CC4-5D6E-409C-BE32-E72D297353CC}">
                <c16:uniqueId val="{00000001-53DB-49BB-92C1-32C6F412BFF1}"/>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3-53DB-49BB-92C1-32C6F412BFF1}"/>
              </c:ext>
            </c:extLst>
          </c:dPt>
          <c:dPt>
            <c:idx val="2"/>
            <c:bubble3D val="0"/>
            <c:spPr>
              <a:pattFill prst="pct25">
                <a:fgClr>
                  <a:srgbClr val="00B050"/>
                </a:fgClr>
                <a:bgClr>
                  <a:schemeClr val="bg1"/>
                </a:bgClr>
              </a:pattFill>
              <a:ln w="19050">
                <a:solidFill>
                  <a:schemeClr val="lt1"/>
                </a:solidFill>
              </a:ln>
              <a:effectLst/>
            </c:spPr>
            <c:extLst>
              <c:ext xmlns:c16="http://schemas.microsoft.com/office/drawing/2014/chart" uri="{C3380CC4-5D6E-409C-BE32-E72D297353CC}">
                <c16:uniqueId val="{00000005-53DB-49BB-92C1-32C6F412BFF1}"/>
              </c:ext>
            </c:extLst>
          </c:dPt>
          <c:dPt>
            <c:idx val="3"/>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7-53DB-49BB-92C1-32C6F412BFF1}"/>
              </c:ext>
            </c:extLst>
          </c:dPt>
          <c:dPt>
            <c:idx val="4"/>
            <c:bubble3D val="0"/>
            <c:spPr>
              <a:solidFill>
                <a:srgbClr val="92D050"/>
              </a:solidFill>
              <a:ln w="19050">
                <a:solidFill>
                  <a:schemeClr val="lt1"/>
                </a:solidFill>
              </a:ln>
              <a:effectLst/>
            </c:spPr>
            <c:extLst>
              <c:ext xmlns:c16="http://schemas.microsoft.com/office/drawing/2014/chart" uri="{C3380CC4-5D6E-409C-BE32-E72D297353CC}">
                <c16:uniqueId val="{00000009-53DB-49BB-92C1-32C6F412BFF1}"/>
              </c:ext>
            </c:extLst>
          </c:dPt>
          <c:dPt>
            <c:idx val="5"/>
            <c:bubble3D val="0"/>
            <c:spPr>
              <a:pattFill prst="pct25">
                <a:fgClr>
                  <a:schemeClr val="accent1">
                    <a:lumMod val="75000"/>
                  </a:schemeClr>
                </a:fgClr>
                <a:bgClr>
                  <a:schemeClr val="bg1"/>
                </a:bgClr>
              </a:pattFill>
              <a:ln w="19050">
                <a:solidFill>
                  <a:schemeClr val="lt1"/>
                </a:solidFill>
              </a:ln>
              <a:effectLst/>
            </c:spPr>
            <c:extLst>
              <c:ext xmlns:c16="http://schemas.microsoft.com/office/drawing/2014/chart" uri="{C3380CC4-5D6E-409C-BE32-E72D297353CC}">
                <c16:uniqueId val="{0000000B-53DB-49BB-92C1-32C6F412BFF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3DB-49BB-92C1-32C6F412BFF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53DB-49BB-92C1-32C6F412BFF1}"/>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53DB-49BB-92C1-32C6F412BFF1}"/>
              </c:ext>
            </c:extLst>
          </c:dPt>
          <c:dPt>
            <c:idx val="9"/>
            <c:bubble3D val="0"/>
            <c:spPr>
              <a:pattFill prst="pct30">
                <a:fgClr>
                  <a:schemeClr val="accent4">
                    <a:lumMod val="75000"/>
                  </a:schemeClr>
                </a:fgClr>
                <a:bgClr>
                  <a:schemeClr val="bg1"/>
                </a:bgClr>
              </a:pattFill>
              <a:ln w="19050">
                <a:solidFill>
                  <a:schemeClr val="lt1"/>
                </a:solidFill>
              </a:ln>
              <a:effectLst/>
            </c:spPr>
            <c:extLst>
              <c:ext xmlns:c16="http://schemas.microsoft.com/office/drawing/2014/chart" uri="{C3380CC4-5D6E-409C-BE32-E72D297353CC}">
                <c16:uniqueId val="{00000013-53DB-49BB-92C1-32C6F412BFF1}"/>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53DB-49BB-92C1-32C6F412BFF1}"/>
              </c:ext>
            </c:extLst>
          </c:dPt>
          <c:dLbls>
            <c:dLbl>
              <c:idx val="0"/>
              <c:layout>
                <c:manualLayout>
                  <c:x val="-6.0517489859222118E-2"/>
                  <c:y val="8.25142169728783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3DB-49BB-92C1-32C6F412BFF1}"/>
                </c:ext>
              </c:extLst>
            </c:dLbl>
            <c:dLbl>
              <c:idx val="2"/>
              <c:layout>
                <c:manualLayout>
                  <c:x val="3.9172512526844125E-3"/>
                  <c:y val="-1.38447798191892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3DB-49BB-92C1-32C6F412BFF1}"/>
                </c:ext>
              </c:extLst>
            </c:dLbl>
            <c:dLbl>
              <c:idx val="3"/>
              <c:layout>
                <c:manualLayout>
                  <c:x val="4.7246385110951951E-2"/>
                  <c:y val="-0.1128419364246135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3DB-49BB-92C1-32C6F412BFF1}"/>
                </c:ext>
              </c:extLst>
            </c:dLbl>
            <c:dLbl>
              <c:idx val="4"/>
              <c:layout>
                <c:manualLayout>
                  <c:x val="0.11339823431162013"/>
                  <c:y val="-4.796988918051910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3DB-49BB-92C1-32C6F412BFF1}"/>
                </c:ext>
              </c:extLst>
            </c:dLbl>
            <c:dLbl>
              <c:idx val="5"/>
              <c:layout>
                <c:manualLayout>
                  <c:x val="7.2727272727272727E-3"/>
                  <c:y val="-3.2981554389034705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7454545454545456"/>
                      <c:h val="0.18171296296296294"/>
                    </c:manualLayout>
                  </c15:layout>
                </c:ext>
                <c:ext xmlns:c16="http://schemas.microsoft.com/office/drawing/2014/chart" uri="{C3380CC4-5D6E-409C-BE32-E72D297353CC}">
                  <c16:uniqueId val="{0000000B-53DB-49BB-92C1-32C6F412BFF1}"/>
                </c:ext>
              </c:extLst>
            </c:dLbl>
            <c:dLbl>
              <c:idx val="6"/>
              <c:layout>
                <c:manualLayout>
                  <c:x val="-8.3151574803149608E-2"/>
                  <c:y val="1.61417322834645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53DB-49BB-92C1-32C6F412BFF1}"/>
                </c:ext>
              </c:extLst>
            </c:dLbl>
            <c:dLbl>
              <c:idx val="8"/>
              <c:layout>
                <c:manualLayout>
                  <c:x val="-2.3180816034359342E-2"/>
                  <c:y val="-1.475029163021288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53DB-49BB-92C1-32C6F412BFF1}"/>
                </c:ext>
              </c:extLst>
            </c:dLbl>
            <c:dLbl>
              <c:idx val="10"/>
              <c:layout>
                <c:manualLayout>
                  <c:x val="-6.2557862085421143E-3"/>
                  <c:y val="-3.536016331291921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53DB-49BB-92C1-32C6F412BFF1}"/>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'izlaide &amp; apgr. fakt. cenas'!$AI$60:$AI$70</c:f>
              <c:strCache>
                <c:ptCount val="11"/>
                <c:pt idx="0">
                  <c:v>Pārtika un dzērieni</c:v>
                </c:pt>
                <c:pt idx="1">
                  <c:v>Vieglā rūpniecība</c:v>
                </c:pt>
                <c:pt idx="2">
                  <c:v>Kokapstrāde</c:v>
                </c:pt>
                <c:pt idx="3">
                  <c:v>Papīra izstrādājumi un poligrāfija</c:v>
                </c:pt>
                <c:pt idx="4">
                  <c:v>Ķīmiskās vielas un produkti</c:v>
                </c:pt>
                <c:pt idx="5">
                  <c:v>Nemetālisko minerālu ražošana</c:v>
                </c:pt>
                <c:pt idx="6">
                  <c:v>Datoru, elektron. un opt.iek. ražošana</c:v>
                </c:pt>
                <c:pt idx="7">
                  <c:v>Metālapstrāde</c:v>
                </c:pt>
                <c:pt idx="8">
                  <c:v>Mašīnbūve</c:v>
                </c:pt>
                <c:pt idx="9">
                  <c:v>Mēbeļu ražošana</c:v>
                </c:pt>
                <c:pt idx="10">
                  <c:v>Pārējās apakšnozares</c:v>
                </c:pt>
              </c:strCache>
            </c:strRef>
          </c:cat>
          <c:val>
            <c:numRef>
              <c:f>'izlaide &amp; apgr. fakt. cenas'!$AP$60:$AP$70</c:f>
              <c:numCache>
                <c:formatCode>0.0</c:formatCode>
                <c:ptCount val="11"/>
                <c:pt idx="0">
                  <c:v>21.474744938784124</c:v>
                </c:pt>
                <c:pt idx="1">
                  <c:v>3.1323516205079196</c:v>
                </c:pt>
                <c:pt idx="2">
                  <c:v>26.521172725521449</c:v>
                </c:pt>
                <c:pt idx="3">
                  <c:v>3.8966788490574666</c:v>
                </c:pt>
                <c:pt idx="4">
                  <c:v>3.8239472076392822</c:v>
                </c:pt>
                <c:pt idx="5">
                  <c:v>5.7822856577274448</c:v>
                </c:pt>
                <c:pt idx="7">
                  <c:v>9.5867388576306212</c:v>
                </c:pt>
                <c:pt idx="8">
                  <c:v>9.3584552712356821</c:v>
                </c:pt>
                <c:pt idx="9">
                  <c:v>2.5871988231990022</c:v>
                </c:pt>
                <c:pt idx="10">
                  <c:v>13.836426048697009</c:v>
                </c:pt>
              </c:numCache>
            </c:numRef>
          </c:val>
          <c:extLst>
            <c:ext xmlns:c16="http://schemas.microsoft.com/office/drawing/2014/chart" uri="{C3380CC4-5D6E-409C-BE32-E72D297353CC}">
              <c16:uniqueId val="{00000016-53DB-49BB-92C1-32C6F412BFF1}"/>
            </c:ext>
          </c:extLst>
        </c:ser>
        <c:dLbls>
          <c:dLblPos val="bestFit"/>
          <c:showLegendKey val="0"/>
          <c:showVal val="1"/>
          <c:showCatName val="0"/>
          <c:showSerName val="0"/>
          <c:showPercent val="0"/>
          <c:showBubbleSize val="0"/>
          <c:showLeaderLines val="1"/>
        </c:dLbls>
        <c:firstSliceAng val="30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0.02868</cdr:x>
      <cdr:y>0.06466</cdr:y>
    </cdr:from>
    <cdr:to>
      <cdr:x>0.27907</cdr:x>
      <cdr:y>0.18103</cdr:y>
    </cdr:to>
    <cdr:sp macro="" textlink="">
      <cdr:nvSpPr>
        <cdr:cNvPr id="2" name="Text Box 7"/>
        <cdr:cNvSpPr txBox="1"/>
      </cdr:nvSpPr>
      <cdr:spPr>
        <a:xfrm xmlns:a="http://schemas.openxmlformats.org/drawingml/2006/main">
          <a:off x="70487" y="142877"/>
          <a:ext cx="615319" cy="257163"/>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lv-LV" sz="1100" b="1">
              <a:effectLst/>
              <a:latin typeface="Times New Roman" panose="02020603050405020304" pitchFamily="18" charset="0"/>
              <a:ea typeface="Calibri" panose="020F0502020204030204" pitchFamily="34" charset="0"/>
            </a:rPr>
            <a:t>2019.g.</a:t>
          </a:r>
          <a:endParaRPr lang="lv-LV" sz="1200">
            <a:effectLst/>
            <a:latin typeface="Times New Roman" panose="02020603050405020304" pitchFamily="18" charset="0"/>
            <a:ea typeface="Calibri" panose="020F050202020403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0.02868</cdr:x>
      <cdr:y>0.06466</cdr:y>
    </cdr:from>
    <cdr:to>
      <cdr:x>0.27907</cdr:x>
      <cdr:y>0.18103</cdr:y>
    </cdr:to>
    <cdr:sp macro="" textlink="">
      <cdr:nvSpPr>
        <cdr:cNvPr id="2" name="Text Box 7"/>
        <cdr:cNvSpPr txBox="1"/>
      </cdr:nvSpPr>
      <cdr:spPr>
        <a:xfrm xmlns:a="http://schemas.openxmlformats.org/drawingml/2006/main">
          <a:off x="70487" y="142877"/>
          <a:ext cx="615319" cy="257163"/>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lv-LV" sz="1100" b="1">
              <a:effectLst/>
              <a:latin typeface="Times New Roman" panose="02020603050405020304" pitchFamily="18" charset="0"/>
              <a:ea typeface="Calibri" panose="020F0502020204030204" pitchFamily="34" charset="0"/>
            </a:rPr>
            <a:t>2020.g.</a:t>
          </a:r>
          <a:endParaRPr lang="lv-LV" sz="1200">
            <a:effectLst/>
            <a:latin typeface="Times New Roman" panose="02020603050405020304" pitchFamily="18" charset="0"/>
            <a:ea typeface="Calibri" panose="020F05020202040302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0.54339</cdr:x>
      <cdr:y>0.2267</cdr:y>
    </cdr:from>
    <cdr:to>
      <cdr:x>1</cdr:x>
      <cdr:y>0.30515</cdr:y>
    </cdr:to>
    <cdr:sp macro="" textlink="">
      <cdr:nvSpPr>
        <cdr:cNvPr id="2" name="TextBox 1"/>
        <cdr:cNvSpPr txBox="1"/>
      </cdr:nvSpPr>
      <cdr:spPr>
        <a:xfrm xmlns:a="http://schemas.openxmlformats.org/drawingml/2006/main">
          <a:off x="2866008" y="675292"/>
          <a:ext cx="2408302" cy="23368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b="1">
              <a:latin typeface="Times New Roman" panose="02020603050405020304" pitchFamily="18" charset="0"/>
              <a:cs typeface="Times New Roman" panose="02020603050405020304" pitchFamily="18" charset="0"/>
            </a:rPr>
            <a:t>Vidēji ES28</a:t>
          </a:r>
          <a:r>
            <a:rPr lang="lv-LV" sz="900" b="1" baseline="0">
              <a:latin typeface="Times New Roman" panose="02020603050405020304" pitchFamily="18" charset="0"/>
              <a:cs typeface="Times New Roman" panose="02020603050405020304" pitchFamily="18" charset="0"/>
            </a:rPr>
            <a:t> </a:t>
          </a:r>
          <a:r>
            <a:rPr lang="lv-LV" sz="900" b="1">
              <a:latin typeface="Times New Roman" panose="02020603050405020304" pitchFamily="18" charset="0"/>
              <a:cs typeface="Times New Roman" panose="02020603050405020304" pitchFamily="18" charset="0"/>
            </a:rPr>
            <a:t>- 100</a:t>
          </a:r>
        </a:p>
      </cdr:txBody>
    </cdr:sp>
  </cdr:relSizeAnchor>
</c:userShapes>
</file>

<file path=word/drawings/drawing4.xml><?xml version="1.0" encoding="utf-8"?>
<c:userShapes xmlns:c="http://schemas.openxmlformats.org/drawingml/2006/chart">
  <cdr:relSizeAnchor xmlns:cdr="http://schemas.openxmlformats.org/drawingml/2006/chartDrawing">
    <cdr:from>
      <cdr:x>0.05912</cdr:x>
      <cdr:y>0.84532</cdr:y>
    </cdr:from>
    <cdr:to>
      <cdr:x>0.36236</cdr:x>
      <cdr:y>0.91246</cdr:y>
    </cdr:to>
    <cdr:sp macro="" textlink="">
      <cdr:nvSpPr>
        <cdr:cNvPr id="2" name="Left Brace 1"/>
        <cdr:cNvSpPr/>
      </cdr:nvSpPr>
      <cdr:spPr>
        <a:xfrm xmlns:a="http://schemas.openxmlformats.org/drawingml/2006/main" rot="5400000" flipH="1">
          <a:off x="1014337" y="1744118"/>
          <a:ext cx="194322" cy="1599362"/>
        </a:xfrm>
        <a:prstGeom xmlns:a="http://schemas.openxmlformats.org/drawingml/2006/main" prst="leftBrace">
          <a:avLst>
            <a:gd name="adj1" fmla="val 119900"/>
            <a:gd name="adj2" fmla="val 47557"/>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lv-LV"/>
        </a:p>
      </cdr:txBody>
    </cdr:sp>
  </cdr:relSizeAnchor>
  <cdr:relSizeAnchor xmlns:cdr="http://schemas.openxmlformats.org/drawingml/2006/chartDrawing">
    <cdr:from>
      <cdr:x>0.13572</cdr:x>
      <cdr:y>0.66886</cdr:y>
    </cdr:from>
    <cdr:to>
      <cdr:x>0.30925</cdr:x>
      <cdr:y>0.86524</cdr:y>
    </cdr:to>
    <cdr:sp macro="" textlink="">
      <cdr:nvSpPr>
        <cdr:cNvPr id="3" name="Rectangle 2"/>
        <cdr:cNvSpPr/>
      </cdr:nvSpPr>
      <cdr:spPr>
        <a:xfrm xmlns:a="http://schemas.openxmlformats.org/drawingml/2006/main">
          <a:off x="715843" y="1935891"/>
          <a:ext cx="915250" cy="568411"/>
        </a:xfrm>
        <a:prstGeom xmlns:a="http://schemas.openxmlformats.org/drawingml/2006/main" prst="rect">
          <a:avLst/>
        </a:prstGeom>
        <a:solidFill xmlns:a="http://schemas.openxmlformats.org/drawingml/2006/main">
          <a:schemeClr val="lt1"/>
        </a:solidFill>
        <a:ln xmlns:a="http://schemas.openxmlformats.org/drawingml/2006/main" w="9525">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900">
              <a:latin typeface="Times New Roman" panose="02020603050405020304" pitchFamily="18" charset="0"/>
              <a:cs typeface="Times New Roman" panose="02020603050405020304" pitchFamily="18" charset="0"/>
            </a:rPr>
            <a:t>Starptautiskā aizdevuma programma</a:t>
          </a:r>
          <a:endParaRPr lang="en-US" sz="9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656AD-4FDD-4015-97F1-5D971FC14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1579</TotalTime>
  <Pages>141</Pages>
  <Words>208256</Words>
  <Characters>118707</Characters>
  <Application>Microsoft Office Word</Application>
  <DocSecurity>0</DocSecurity>
  <Lines>989</Lines>
  <Paragraphs>652</Paragraphs>
  <ScaleCrop>false</ScaleCrop>
  <HeadingPairs>
    <vt:vector size="2" baseType="variant">
      <vt:variant>
        <vt:lpstr>Title</vt:lpstr>
      </vt:variant>
      <vt:variant>
        <vt:i4>1</vt:i4>
      </vt:variant>
    </vt:vector>
  </HeadingPairs>
  <TitlesOfParts>
    <vt:vector size="1" baseType="lpstr">
      <vt:lpstr/>
    </vt:vector>
  </TitlesOfParts>
  <Company>Finanšu Ministrija</Company>
  <LinksUpToDate>false</LinksUpToDate>
  <CharactersWithSpaces>326311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Deksne</dc:creator>
  <cp:keywords/>
  <dc:description/>
  <cp:lastModifiedBy>Anna Deksne</cp:lastModifiedBy>
  <cp:revision>56</cp:revision>
  <cp:lastPrinted>2020-02-10T11:16:00Z</cp:lastPrinted>
  <dcterms:created xsi:type="dcterms:W3CDTF">2020-10-13T05:40:00Z</dcterms:created>
  <dcterms:modified xsi:type="dcterms:W3CDTF">2021-10-11T05:44:00Z</dcterms:modified>
  <cp:contentStatus/>
</cp:coreProperties>
</file>