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DB937" w14:textId="36FA7A3D" w:rsidR="002507F5" w:rsidRPr="007520AD" w:rsidRDefault="002507F5" w:rsidP="0035054E">
      <w:pPr>
        <w:pStyle w:val="Heading3"/>
        <w:shd w:val="clear" w:color="auto" w:fill="FFFFFF"/>
        <w:spacing w:before="0" w:beforeAutospacing="0" w:after="0" w:afterAutospacing="0"/>
        <w:rPr>
          <w:b w:val="0"/>
          <w:color w:val="FF0000"/>
          <w:sz w:val="24"/>
          <w:szCs w:val="24"/>
        </w:rPr>
      </w:pPr>
      <w:bookmarkStart w:id="0" w:name="_Hlk16753935"/>
      <w:bookmarkStart w:id="1" w:name="_Hlk18412806"/>
      <w:bookmarkStart w:id="2" w:name="_GoBack"/>
      <w:bookmarkEnd w:id="2"/>
      <w:r w:rsidRPr="007520AD">
        <w:rPr>
          <w:b w:val="0"/>
          <w:color w:val="000000" w:themeColor="text1"/>
          <w:sz w:val="24"/>
          <w:szCs w:val="24"/>
        </w:rPr>
        <w:t>Uz</w:t>
      </w:r>
      <w:r w:rsidR="00E3797B" w:rsidRPr="007520AD">
        <w:rPr>
          <w:b w:val="0"/>
          <w:color w:val="000000" w:themeColor="text1"/>
          <w:sz w:val="24"/>
          <w:szCs w:val="24"/>
        </w:rPr>
        <w:t xml:space="preserve"> </w:t>
      </w:r>
      <w:r w:rsidR="008E1DC9" w:rsidRPr="007520AD">
        <w:rPr>
          <w:b w:val="0"/>
          <w:color w:val="000000" w:themeColor="text1"/>
          <w:sz w:val="24"/>
          <w:szCs w:val="24"/>
        </w:rPr>
        <w:t>08</w:t>
      </w:r>
      <w:r w:rsidRPr="007520AD">
        <w:rPr>
          <w:b w:val="0"/>
          <w:color w:val="000000" w:themeColor="text1"/>
          <w:sz w:val="24"/>
          <w:szCs w:val="24"/>
        </w:rPr>
        <w:t>.0</w:t>
      </w:r>
      <w:r w:rsidR="008E1DC9" w:rsidRPr="007520AD">
        <w:rPr>
          <w:b w:val="0"/>
          <w:color w:val="000000" w:themeColor="text1"/>
          <w:sz w:val="24"/>
          <w:szCs w:val="24"/>
        </w:rPr>
        <w:t>7</w:t>
      </w:r>
      <w:r w:rsidRPr="007520AD">
        <w:rPr>
          <w:b w:val="0"/>
          <w:color w:val="000000" w:themeColor="text1"/>
          <w:sz w:val="24"/>
          <w:szCs w:val="24"/>
        </w:rPr>
        <w:t>.20</w:t>
      </w:r>
      <w:r w:rsidR="004D043D" w:rsidRPr="007520AD">
        <w:rPr>
          <w:b w:val="0"/>
          <w:color w:val="000000" w:themeColor="text1"/>
          <w:sz w:val="24"/>
          <w:szCs w:val="24"/>
        </w:rPr>
        <w:t>2</w:t>
      </w:r>
      <w:r w:rsidR="008E1DC9" w:rsidRPr="007520AD">
        <w:rPr>
          <w:b w:val="0"/>
          <w:color w:val="000000" w:themeColor="text1"/>
          <w:sz w:val="24"/>
          <w:szCs w:val="24"/>
        </w:rPr>
        <w:t>1</w:t>
      </w:r>
      <w:r w:rsidRPr="007520AD">
        <w:rPr>
          <w:b w:val="0"/>
          <w:color w:val="000000" w:themeColor="text1"/>
          <w:sz w:val="24"/>
          <w:szCs w:val="24"/>
        </w:rPr>
        <w:t xml:space="preserve">. Nr. VSS – </w:t>
      </w:r>
      <w:r w:rsidR="003964A8" w:rsidRPr="007520AD">
        <w:rPr>
          <w:b w:val="0"/>
          <w:color w:val="000000" w:themeColor="text1"/>
          <w:sz w:val="24"/>
          <w:szCs w:val="24"/>
        </w:rPr>
        <w:t>6</w:t>
      </w:r>
      <w:r w:rsidR="008E1DC9" w:rsidRPr="007520AD">
        <w:rPr>
          <w:b w:val="0"/>
          <w:color w:val="000000" w:themeColor="text1"/>
          <w:sz w:val="24"/>
          <w:szCs w:val="24"/>
        </w:rPr>
        <w:t>3</w:t>
      </w:r>
      <w:r w:rsidR="00370164" w:rsidRPr="007520AD">
        <w:rPr>
          <w:b w:val="0"/>
          <w:color w:val="000000" w:themeColor="text1"/>
          <w:sz w:val="24"/>
          <w:szCs w:val="24"/>
        </w:rPr>
        <w:t>9</w:t>
      </w:r>
      <w:r w:rsidRPr="007520AD">
        <w:rPr>
          <w:b w:val="0"/>
          <w:color w:val="000000" w:themeColor="text1"/>
          <w:sz w:val="24"/>
          <w:szCs w:val="24"/>
        </w:rPr>
        <w:t xml:space="preserve"> (prot.Nr.</w:t>
      </w:r>
      <w:r w:rsidR="008E1DC9" w:rsidRPr="007520AD">
        <w:rPr>
          <w:b w:val="0"/>
          <w:color w:val="000000" w:themeColor="text1"/>
          <w:sz w:val="24"/>
          <w:szCs w:val="24"/>
        </w:rPr>
        <w:t>26</w:t>
      </w:r>
      <w:r w:rsidRPr="007520AD">
        <w:rPr>
          <w:b w:val="0"/>
          <w:color w:val="000000" w:themeColor="text1"/>
          <w:sz w:val="24"/>
          <w:szCs w:val="24"/>
        </w:rPr>
        <w:t xml:space="preserve"> </w:t>
      </w:r>
      <w:r w:rsidR="00B16C38" w:rsidRPr="007520AD">
        <w:rPr>
          <w:b w:val="0"/>
          <w:color w:val="000000" w:themeColor="text1"/>
          <w:sz w:val="24"/>
          <w:szCs w:val="24"/>
        </w:rPr>
        <w:t>6</w:t>
      </w:r>
      <w:r w:rsidRPr="007520AD">
        <w:rPr>
          <w:b w:val="0"/>
          <w:color w:val="000000" w:themeColor="text1"/>
          <w:sz w:val="24"/>
          <w:szCs w:val="24"/>
        </w:rPr>
        <w:t>.§)</w:t>
      </w:r>
    </w:p>
    <w:p w14:paraId="4F3726C1" w14:textId="079A56D0" w:rsidR="002507F5" w:rsidRPr="007520AD" w:rsidRDefault="00BF1ABB" w:rsidP="0035054E">
      <w:pPr>
        <w:pStyle w:val="Heading3"/>
        <w:shd w:val="clear" w:color="auto" w:fill="FFFFFF"/>
        <w:spacing w:before="0" w:beforeAutospacing="0" w:after="0" w:afterAutospacing="0"/>
        <w:jc w:val="right"/>
        <w:rPr>
          <w:sz w:val="24"/>
          <w:szCs w:val="24"/>
        </w:rPr>
      </w:pPr>
      <w:r w:rsidRPr="007520AD">
        <w:rPr>
          <w:sz w:val="24"/>
          <w:szCs w:val="24"/>
        </w:rPr>
        <w:t>Ekonomikas</w:t>
      </w:r>
      <w:r w:rsidR="002507F5" w:rsidRPr="007520AD">
        <w:rPr>
          <w:sz w:val="24"/>
          <w:szCs w:val="24"/>
        </w:rPr>
        <w:t xml:space="preserve"> ministrijai</w:t>
      </w:r>
    </w:p>
    <w:p w14:paraId="11D6A7AA" w14:textId="77777777" w:rsidR="002507F5" w:rsidRPr="007520AD" w:rsidRDefault="002507F5" w:rsidP="0035054E">
      <w:pPr>
        <w:pStyle w:val="Heading3"/>
        <w:shd w:val="clear" w:color="auto" w:fill="FFFFFF"/>
        <w:spacing w:before="0" w:beforeAutospacing="0" w:after="0" w:afterAutospacing="0"/>
        <w:rPr>
          <w:b w:val="0"/>
          <w:i/>
          <w:sz w:val="24"/>
          <w:szCs w:val="24"/>
        </w:rPr>
      </w:pPr>
    </w:p>
    <w:p w14:paraId="72EAD2C3" w14:textId="7B88D77C" w:rsidR="00BA6CF8" w:rsidRPr="007520AD" w:rsidRDefault="00BA6CF8" w:rsidP="0035054E">
      <w:pPr>
        <w:pStyle w:val="Heading3"/>
        <w:shd w:val="clear" w:color="auto" w:fill="FFFFFF"/>
        <w:spacing w:before="0" w:beforeAutospacing="0" w:after="0" w:afterAutospacing="0"/>
        <w:rPr>
          <w:b w:val="0"/>
          <w:i/>
          <w:sz w:val="24"/>
          <w:szCs w:val="24"/>
        </w:rPr>
      </w:pPr>
    </w:p>
    <w:p w14:paraId="4BBFB472" w14:textId="77777777" w:rsidR="00FF4B8F" w:rsidRPr="007520AD" w:rsidRDefault="00FF4B8F" w:rsidP="0035054E">
      <w:pPr>
        <w:pStyle w:val="Heading3"/>
        <w:shd w:val="clear" w:color="auto" w:fill="FFFFFF"/>
        <w:spacing w:before="0" w:beforeAutospacing="0" w:after="0" w:afterAutospacing="0"/>
        <w:rPr>
          <w:b w:val="0"/>
          <w:i/>
          <w:sz w:val="24"/>
          <w:szCs w:val="24"/>
        </w:rPr>
      </w:pPr>
    </w:p>
    <w:p w14:paraId="7080859E" w14:textId="77777777" w:rsidR="00465660" w:rsidRPr="007520AD" w:rsidRDefault="002507F5" w:rsidP="008E1DC9">
      <w:pPr>
        <w:pStyle w:val="Heading3"/>
        <w:shd w:val="clear" w:color="auto" w:fill="FFFFFF"/>
        <w:spacing w:before="0" w:beforeAutospacing="0" w:after="0" w:afterAutospacing="0"/>
        <w:rPr>
          <w:b w:val="0"/>
          <w:i/>
          <w:sz w:val="24"/>
          <w:szCs w:val="24"/>
        </w:rPr>
      </w:pPr>
      <w:r w:rsidRPr="007520AD">
        <w:rPr>
          <w:b w:val="0"/>
          <w:i/>
          <w:sz w:val="24"/>
          <w:szCs w:val="24"/>
        </w:rPr>
        <w:t>Atzinums par</w:t>
      </w:r>
      <w:r w:rsidRPr="007520AD">
        <w:rPr>
          <w:sz w:val="24"/>
          <w:szCs w:val="24"/>
        </w:rPr>
        <w:t xml:space="preserve"> </w:t>
      </w:r>
      <w:r w:rsidR="008E1DC9" w:rsidRPr="007520AD">
        <w:rPr>
          <w:b w:val="0"/>
          <w:i/>
          <w:sz w:val="24"/>
          <w:szCs w:val="24"/>
        </w:rPr>
        <w:t>likumprojektu "</w:t>
      </w:r>
      <w:bookmarkStart w:id="3" w:name="_Hlk77765126"/>
      <w:r w:rsidR="008E1DC9" w:rsidRPr="007520AD">
        <w:rPr>
          <w:b w:val="0"/>
          <w:i/>
          <w:sz w:val="24"/>
          <w:szCs w:val="24"/>
        </w:rPr>
        <w:t xml:space="preserve">Grozījumi </w:t>
      </w:r>
    </w:p>
    <w:p w14:paraId="3641BD42" w14:textId="79D80D3B" w:rsidR="008E1DC9" w:rsidRPr="007520AD" w:rsidRDefault="008E1DC9" w:rsidP="008E1DC9">
      <w:pPr>
        <w:pStyle w:val="Heading3"/>
        <w:shd w:val="clear" w:color="auto" w:fill="FFFFFF"/>
        <w:spacing w:before="0" w:beforeAutospacing="0" w:after="0" w:afterAutospacing="0"/>
        <w:rPr>
          <w:b w:val="0"/>
          <w:i/>
          <w:sz w:val="24"/>
          <w:szCs w:val="24"/>
        </w:rPr>
      </w:pPr>
      <w:r w:rsidRPr="007520AD">
        <w:rPr>
          <w:b w:val="0"/>
          <w:i/>
          <w:sz w:val="24"/>
          <w:szCs w:val="24"/>
        </w:rPr>
        <w:t>Negodīgas komercprakses aizlieguma likumā</w:t>
      </w:r>
      <w:bookmarkEnd w:id="3"/>
      <w:r w:rsidRPr="007520AD">
        <w:rPr>
          <w:b w:val="0"/>
          <w:i/>
          <w:sz w:val="24"/>
          <w:szCs w:val="24"/>
        </w:rPr>
        <w:t xml:space="preserve">" </w:t>
      </w:r>
    </w:p>
    <w:p w14:paraId="7A137020" w14:textId="147A51C2" w:rsidR="00BA6CF8" w:rsidRPr="007520AD" w:rsidRDefault="00BA6CF8" w:rsidP="0035054E">
      <w:pPr>
        <w:pStyle w:val="Heading3"/>
        <w:shd w:val="clear" w:color="auto" w:fill="FFFFFF"/>
        <w:spacing w:before="0" w:beforeAutospacing="0" w:after="0" w:afterAutospacing="0"/>
        <w:jc w:val="both"/>
        <w:rPr>
          <w:b w:val="0"/>
          <w:sz w:val="24"/>
          <w:szCs w:val="24"/>
        </w:rPr>
      </w:pPr>
    </w:p>
    <w:p w14:paraId="339F38DF" w14:textId="77777777" w:rsidR="00FF4B8F" w:rsidRPr="007520AD" w:rsidRDefault="00FF4B8F" w:rsidP="0035054E">
      <w:pPr>
        <w:pStyle w:val="Heading3"/>
        <w:shd w:val="clear" w:color="auto" w:fill="FFFFFF"/>
        <w:spacing w:before="0" w:beforeAutospacing="0" w:after="0" w:afterAutospacing="0"/>
        <w:jc w:val="both"/>
        <w:rPr>
          <w:b w:val="0"/>
          <w:sz w:val="24"/>
          <w:szCs w:val="24"/>
        </w:rPr>
      </w:pPr>
    </w:p>
    <w:p w14:paraId="02757A29" w14:textId="6559D08C" w:rsidR="006131B7" w:rsidRPr="007520AD" w:rsidRDefault="002507F5" w:rsidP="007520AD">
      <w:pPr>
        <w:pStyle w:val="Heading3"/>
        <w:shd w:val="clear" w:color="auto" w:fill="FFFFFF"/>
        <w:spacing w:before="0" w:beforeAutospacing="0" w:after="0" w:afterAutospacing="0"/>
        <w:ind w:firstLine="720"/>
        <w:jc w:val="both"/>
        <w:rPr>
          <w:b w:val="0"/>
          <w:sz w:val="24"/>
          <w:szCs w:val="24"/>
        </w:rPr>
      </w:pPr>
      <w:r w:rsidRPr="007520AD">
        <w:rPr>
          <w:b w:val="0"/>
          <w:sz w:val="24"/>
          <w:szCs w:val="24"/>
        </w:rPr>
        <w:t xml:space="preserve">Tieslietu ministrija ir izskatījusi </w:t>
      </w:r>
      <w:r w:rsidR="005E1776" w:rsidRPr="007520AD">
        <w:rPr>
          <w:b w:val="0"/>
          <w:sz w:val="24"/>
          <w:szCs w:val="24"/>
        </w:rPr>
        <w:t>Ekonomikas</w:t>
      </w:r>
      <w:r w:rsidRPr="007520AD">
        <w:rPr>
          <w:b w:val="0"/>
          <w:sz w:val="24"/>
          <w:szCs w:val="24"/>
        </w:rPr>
        <w:t xml:space="preserve"> ministrijas sagatavoto </w:t>
      </w:r>
      <w:r w:rsidR="008E1DC9" w:rsidRPr="007520AD">
        <w:rPr>
          <w:b w:val="0"/>
          <w:sz w:val="24"/>
          <w:szCs w:val="24"/>
        </w:rPr>
        <w:t>likum</w:t>
      </w:r>
      <w:r w:rsidR="00B47CF3" w:rsidRPr="007520AD">
        <w:rPr>
          <w:b w:val="0"/>
          <w:sz w:val="24"/>
          <w:szCs w:val="24"/>
        </w:rPr>
        <w:t>projektu</w:t>
      </w:r>
      <w:r w:rsidRPr="007520AD">
        <w:rPr>
          <w:b w:val="0"/>
          <w:sz w:val="24"/>
          <w:szCs w:val="24"/>
        </w:rPr>
        <w:t xml:space="preserve"> </w:t>
      </w:r>
      <w:r w:rsidR="008E1DC9" w:rsidRPr="007520AD">
        <w:rPr>
          <w:b w:val="0"/>
          <w:sz w:val="24"/>
          <w:szCs w:val="24"/>
        </w:rPr>
        <w:t xml:space="preserve">"Grozījumi </w:t>
      </w:r>
      <w:bookmarkStart w:id="4" w:name="_Hlk77768843"/>
      <w:r w:rsidR="008E1DC9" w:rsidRPr="007520AD">
        <w:rPr>
          <w:b w:val="0"/>
          <w:sz w:val="24"/>
          <w:szCs w:val="24"/>
        </w:rPr>
        <w:t>Negodīgas komercprakses aizlieguma likumā</w:t>
      </w:r>
      <w:bookmarkEnd w:id="4"/>
      <w:r w:rsidR="008E1DC9" w:rsidRPr="007520AD">
        <w:rPr>
          <w:b w:val="0"/>
          <w:sz w:val="24"/>
          <w:szCs w:val="24"/>
        </w:rPr>
        <w:t>"</w:t>
      </w:r>
      <w:r w:rsidRPr="007520AD">
        <w:rPr>
          <w:b w:val="0"/>
          <w:sz w:val="24"/>
          <w:szCs w:val="24"/>
        </w:rPr>
        <w:t xml:space="preserve"> (turpmāk –</w:t>
      </w:r>
      <w:r w:rsidR="00B47CF3" w:rsidRPr="007520AD">
        <w:rPr>
          <w:b w:val="0"/>
          <w:sz w:val="24"/>
          <w:szCs w:val="24"/>
        </w:rPr>
        <w:t xml:space="preserve"> </w:t>
      </w:r>
      <w:r w:rsidR="008E1DC9" w:rsidRPr="007520AD">
        <w:rPr>
          <w:b w:val="0"/>
          <w:sz w:val="24"/>
          <w:szCs w:val="24"/>
        </w:rPr>
        <w:t>Likum</w:t>
      </w:r>
      <w:r w:rsidRPr="007520AD">
        <w:rPr>
          <w:b w:val="0"/>
          <w:sz w:val="24"/>
          <w:szCs w:val="24"/>
        </w:rPr>
        <w:t xml:space="preserve">projekts) un </w:t>
      </w:r>
      <w:r w:rsidRPr="007520AD">
        <w:rPr>
          <w:b w:val="0"/>
          <w:color w:val="000000" w:themeColor="text1"/>
          <w:sz w:val="24"/>
          <w:szCs w:val="24"/>
        </w:rPr>
        <w:t>atbalsta</w:t>
      </w:r>
      <w:r w:rsidRPr="007520AD">
        <w:rPr>
          <w:b w:val="0"/>
          <w:sz w:val="24"/>
          <w:szCs w:val="24"/>
        </w:rPr>
        <w:t xml:space="preserve"> t</w:t>
      </w:r>
      <w:r w:rsidR="007F08F2" w:rsidRPr="007520AD">
        <w:rPr>
          <w:b w:val="0"/>
          <w:sz w:val="24"/>
          <w:szCs w:val="24"/>
        </w:rPr>
        <w:t>ā</w:t>
      </w:r>
      <w:r w:rsidRPr="007520AD">
        <w:rPr>
          <w:b w:val="0"/>
          <w:sz w:val="24"/>
          <w:szCs w:val="24"/>
        </w:rPr>
        <w:t xml:space="preserve"> virzību, izsakot šādu</w:t>
      </w:r>
      <w:r w:rsidR="00964A17" w:rsidRPr="007520AD">
        <w:rPr>
          <w:b w:val="0"/>
          <w:sz w:val="24"/>
          <w:szCs w:val="24"/>
        </w:rPr>
        <w:t>s</w:t>
      </w:r>
      <w:r w:rsidRPr="007520AD">
        <w:rPr>
          <w:b w:val="0"/>
          <w:sz w:val="24"/>
          <w:szCs w:val="24"/>
        </w:rPr>
        <w:t xml:space="preserve"> </w:t>
      </w:r>
      <w:r w:rsidR="00AD3555" w:rsidRPr="007520AD">
        <w:rPr>
          <w:b w:val="0"/>
          <w:sz w:val="24"/>
          <w:szCs w:val="24"/>
        </w:rPr>
        <w:t>iebildumu</w:t>
      </w:r>
      <w:r w:rsidR="008E1EC0" w:rsidRPr="007520AD">
        <w:rPr>
          <w:b w:val="0"/>
          <w:sz w:val="24"/>
          <w:szCs w:val="24"/>
        </w:rPr>
        <w:t>s</w:t>
      </w:r>
      <w:r w:rsidR="000A74D0" w:rsidRPr="007520AD">
        <w:rPr>
          <w:b w:val="0"/>
          <w:sz w:val="24"/>
          <w:szCs w:val="24"/>
        </w:rPr>
        <w:t>:</w:t>
      </w:r>
    </w:p>
    <w:p w14:paraId="41A26CB7" w14:textId="6D60139A" w:rsidR="00FA6425" w:rsidRPr="007520AD" w:rsidRDefault="00FA6425" w:rsidP="007520AD">
      <w:pPr>
        <w:pStyle w:val="Heading3"/>
        <w:shd w:val="clear" w:color="auto" w:fill="FFFFFF"/>
        <w:spacing w:before="0" w:beforeAutospacing="0" w:after="0" w:afterAutospacing="0"/>
        <w:ind w:firstLine="720"/>
        <w:jc w:val="both"/>
        <w:rPr>
          <w:b w:val="0"/>
          <w:color w:val="000000" w:themeColor="text1"/>
          <w:sz w:val="24"/>
          <w:szCs w:val="24"/>
        </w:rPr>
      </w:pPr>
      <w:r w:rsidRPr="007520AD">
        <w:rPr>
          <w:b w:val="0"/>
          <w:sz w:val="24"/>
          <w:szCs w:val="24"/>
        </w:rPr>
        <w:t>1. </w:t>
      </w:r>
      <w:r w:rsidRPr="007520AD">
        <w:rPr>
          <w:b w:val="0"/>
          <w:color w:val="000000" w:themeColor="text1"/>
          <w:sz w:val="24"/>
          <w:szCs w:val="24"/>
        </w:rPr>
        <w:t>Lūdzam Likumprojektu noformēt atbilstoši Ministru kabineta 2009. gada 3. februāra noteikumiem Nr. 108 "Normatīvo aktu projektu sagatavošanas noteikumi"</w:t>
      </w:r>
      <w:r w:rsidR="004C067E" w:rsidRPr="007520AD">
        <w:rPr>
          <w:b w:val="0"/>
          <w:color w:val="000000" w:themeColor="text1"/>
          <w:sz w:val="24"/>
          <w:szCs w:val="24"/>
        </w:rPr>
        <w:t xml:space="preserve">. </w:t>
      </w:r>
    </w:p>
    <w:p w14:paraId="3D74C07D" w14:textId="3A3EA4AC" w:rsidR="007F08F2" w:rsidRPr="007520AD" w:rsidRDefault="001C6021" w:rsidP="007520AD">
      <w:pPr>
        <w:pStyle w:val="NormalWeb"/>
        <w:spacing w:before="0" w:after="0"/>
        <w:ind w:firstLine="720"/>
        <w:contextualSpacing/>
        <w:jc w:val="both"/>
        <w:rPr>
          <w:iCs/>
        </w:rPr>
      </w:pPr>
      <w:r w:rsidRPr="007520AD">
        <w:rPr>
          <w:iCs/>
        </w:rPr>
        <w:t>2. </w:t>
      </w:r>
      <w:r w:rsidR="007F08F2" w:rsidRPr="007520AD">
        <w:rPr>
          <w:iCs/>
        </w:rPr>
        <w:t xml:space="preserve">Likumprojekta 2. pantā paredzēts Negodīgas komercprakses aizlieguma likuma </w:t>
      </w:r>
      <w:r w:rsidR="006118DD" w:rsidRPr="007520AD">
        <w:rPr>
          <w:iCs/>
        </w:rPr>
        <w:t xml:space="preserve">(turpmāk – Likums) </w:t>
      </w:r>
      <w:r w:rsidR="007F08F2" w:rsidRPr="007520AD">
        <w:rPr>
          <w:iCs/>
        </w:rPr>
        <w:t xml:space="preserve">1. panta pirmo daļu papildināt ar 3., 4. un 5. punktu, taču </w:t>
      </w:r>
      <w:r w:rsidR="0001426C" w:rsidRPr="007520AD">
        <w:rPr>
          <w:iCs/>
        </w:rPr>
        <w:t xml:space="preserve">šāds </w:t>
      </w:r>
      <w:r w:rsidR="007F08F2" w:rsidRPr="007520AD">
        <w:rPr>
          <w:iCs/>
        </w:rPr>
        <w:t xml:space="preserve">5. punkts šajā Likumprojekta pantā nav ietverts. Lūdzam precizēt Likumprojekta 2. pantu.  </w:t>
      </w:r>
    </w:p>
    <w:p w14:paraId="0FECD598" w14:textId="77777777" w:rsidR="0001426C" w:rsidRPr="007520AD" w:rsidRDefault="00782D50" w:rsidP="007520AD">
      <w:pPr>
        <w:pStyle w:val="NormalWeb"/>
        <w:spacing w:before="0" w:after="0"/>
        <w:ind w:firstLine="720"/>
        <w:contextualSpacing/>
        <w:jc w:val="both"/>
        <w:rPr>
          <w:iCs/>
        </w:rPr>
      </w:pPr>
      <w:r w:rsidRPr="007520AD">
        <w:rPr>
          <w:iCs/>
        </w:rPr>
        <w:t>3. </w:t>
      </w:r>
      <w:bookmarkStart w:id="5" w:name="_Hlk77938552"/>
      <w:bookmarkStart w:id="6" w:name="_Hlk77938594"/>
      <w:r w:rsidR="0001426C" w:rsidRPr="007520AD">
        <w:rPr>
          <w:iCs/>
        </w:rPr>
        <w:t>Šobrīd Likumprojekta 3. pantā konstatējamas vairākas nepilnības, kuras atbilstoši zemāk minētajam lūdzam novērst.</w:t>
      </w:r>
    </w:p>
    <w:p w14:paraId="5B7B9914" w14:textId="1BC60C3D" w:rsidR="006118DD" w:rsidRPr="007520AD" w:rsidRDefault="0001426C" w:rsidP="007520AD">
      <w:pPr>
        <w:pStyle w:val="NormalWeb"/>
        <w:spacing w:before="0" w:after="0"/>
        <w:ind w:firstLine="720"/>
        <w:contextualSpacing/>
        <w:jc w:val="both"/>
        <w:rPr>
          <w:iCs/>
        </w:rPr>
      </w:pPr>
      <w:r w:rsidRPr="007520AD">
        <w:rPr>
          <w:iCs/>
        </w:rPr>
        <w:t xml:space="preserve">Pirmkārt, </w:t>
      </w:r>
      <w:r w:rsidR="006118DD" w:rsidRPr="007520AD">
        <w:rPr>
          <w:iCs/>
        </w:rPr>
        <w:t>L</w:t>
      </w:r>
      <w:r w:rsidR="00782D50" w:rsidRPr="007520AD">
        <w:rPr>
          <w:iCs/>
        </w:rPr>
        <w:t>ikum</w:t>
      </w:r>
      <w:r w:rsidRPr="007520AD">
        <w:rPr>
          <w:iCs/>
        </w:rPr>
        <w:t>projekta 3. pantā</w:t>
      </w:r>
      <w:r w:rsidR="00B53D0E" w:rsidRPr="007520AD">
        <w:rPr>
          <w:iCs/>
        </w:rPr>
        <w:t xml:space="preserve"> </w:t>
      </w:r>
      <w:r w:rsidRPr="007520AD">
        <w:rPr>
          <w:iCs/>
        </w:rPr>
        <w:t xml:space="preserve">norādīti vairāki tiesiskās aizsardzības līdzekļi, kurus patērētāji var izmantot pret viņiem vērstas negodīgas komercprakses gadījumā, un šajā Likumprojekta pantā arī ietverta norāde uz patērētāja tiesībām vērsties tiesā, ja komercprakses īstenotājs atsakās izpildīt patērētāja prasījumu vai patērētāju neapmierina tā piedāvātais risinājums.  </w:t>
      </w:r>
      <w:r w:rsidR="00782D50" w:rsidRPr="007520AD">
        <w:rPr>
          <w:iCs/>
        </w:rPr>
        <w:t xml:space="preserve"> </w:t>
      </w:r>
      <w:bookmarkStart w:id="7" w:name="_Hlk77956482"/>
      <w:bookmarkEnd w:id="5"/>
      <w:r w:rsidRPr="007520AD">
        <w:rPr>
          <w:iCs/>
        </w:rPr>
        <w:t xml:space="preserve">Vienlaikus šobrīd Likuma </w:t>
      </w:r>
      <w:r w:rsidR="00782D50" w:rsidRPr="007520AD">
        <w:rPr>
          <w:iCs/>
        </w:rPr>
        <w:t>4.</w:t>
      </w:r>
      <w:r w:rsidR="00782D50" w:rsidRPr="007520AD">
        <w:rPr>
          <w:iCs/>
          <w:vertAlign w:val="superscript"/>
        </w:rPr>
        <w:t>1</w:t>
      </w:r>
      <w:r w:rsidR="00782D50" w:rsidRPr="007520AD">
        <w:rPr>
          <w:iCs/>
        </w:rPr>
        <w:t xml:space="preserve"> pantā</w:t>
      </w:r>
      <w:bookmarkEnd w:id="6"/>
      <w:r w:rsidR="00782D50" w:rsidRPr="007520AD">
        <w:rPr>
          <w:iCs/>
        </w:rPr>
        <w:t xml:space="preserve"> </w:t>
      </w:r>
      <w:bookmarkEnd w:id="7"/>
      <w:r w:rsidR="00782D50" w:rsidRPr="007520AD">
        <w:rPr>
          <w:iCs/>
        </w:rPr>
        <w:t>noteikts, ka persona, kurai negodīga komercprakse nodarījusi kaitējumu, ir tiesīga celt prasību tiesā likumā noteiktajā kārtībā</w:t>
      </w:r>
      <w:r w:rsidRPr="007520AD">
        <w:rPr>
          <w:iCs/>
        </w:rPr>
        <w:t xml:space="preserve">. </w:t>
      </w:r>
      <w:r w:rsidR="00396AC2" w:rsidRPr="007520AD">
        <w:rPr>
          <w:iCs/>
        </w:rPr>
        <w:t xml:space="preserve">Kopsakarā vērtējot jau šobrīd Likumā </w:t>
      </w:r>
      <w:r w:rsidRPr="007520AD">
        <w:rPr>
          <w:iCs/>
        </w:rPr>
        <w:t xml:space="preserve">ietverto minēto regulējumu </w:t>
      </w:r>
      <w:r w:rsidR="00396AC2" w:rsidRPr="007520AD">
        <w:rPr>
          <w:iCs/>
        </w:rPr>
        <w:t xml:space="preserve"> un Likumprojekta 3. pantā </w:t>
      </w:r>
      <w:r w:rsidR="00CD58D9" w:rsidRPr="007520AD">
        <w:rPr>
          <w:iCs/>
        </w:rPr>
        <w:t>ietverto regulējumu, secināms, ka tie sasvstarpēji dublējas</w:t>
      </w:r>
      <w:r w:rsidRPr="007520AD">
        <w:rPr>
          <w:iCs/>
        </w:rPr>
        <w:t>, līdz ar to</w:t>
      </w:r>
      <w:r w:rsidR="00CD58D9" w:rsidRPr="007520AD">
        <w:rPr>
          <w:iCs/>
        </w:rPr>
        <w:t xml:space="preserve"> </w:t>
      </w:r>
      <w:r w:rsidRPr="007520AD">
        <w:rPr>
          <w:iCs/>
        </w:rPr>
        <w:t>nepieciešams</w:t>
      </w:r>
      <w:r w:rsidR="00884A53" w:rsidRPr="007520AD">
        <w:rPr>
          <w:iCs/>
        </w:rPr>
        <w:t xml:space="preserve"> atkārtoti izvērtēt, kā salāgot Likumprojektā ietveramo regulējumu ar jau šobrīd Likumā esošo tiesību normu, precizējot Likumprojektu</w:t>
      </w:r>
      <w:r w:rsidR="00CD58D9" w:rsidRPr="007520AD">
        <w:rPr>
          <w:iCs/>
        </w:rPr>
        <w:t>.</w:t>
      </w:r>
    </w:p>
    <w:p w14:paraId="085C7764" w14:textId="17D0520F" w:rsidR="00884A53" w:rsidRPr="007520AD" w:rsidRDefault="00884A53" w:rsidP="007520AD">
      <w:pPr>
        <w:pStyle w:val="NormalWeb"/>
        <w:spacing w:before="0" w:after="0"/>
        <w:ind w:firstLine="720"/>
        <w:contextualSpacing/>
        <w:jc w:val="both"/>
        <w:rPr>
          <w:iCs/>
        </w:rPr>
      </w:pPr>
      <w:r w:rsidRPr="007520AD">
        <w:rPr>
          <w:iCs/>
        </w:rPr>
        <w:t>Otrkārt, lūdzam skaidrot (un nepieciešamības gadījumā precizēt Likumprojektu), kas tieši domāts ar Likumprojekta 3. pantā lietotajiem vārdiem "</w:t>
      </w:r>
      <w:bookmarkStart w:id="8" w:name="_Hlk78012341"/>
      <w:r w:rsidRPr="007520AD">
        <w:rPr>
          <w:iCs/>
        </w:rPr>
        <w:t>pret kuru īstenota vai kuru skar negodīga komercprakse</w:t>
      </w:r>
      <w:bookmarkEnd w:id="8"/>
      <w:r w:rsidRPr="007520AD">
        <w:rPr>
          <w:iCs/>
        </w:rPr>
        <w:t xml:space="preserve">", proti, vai tiesības prasīt samazināt preces, pakalpojuma, digitālā pakalpojuma vai digitālā satura cenu, kā arī prasīt līguma atcelšanu, ir pamatojamas tieši ar faktu, ka ir konstatējama negodīga </w:t>
      </w:r>
      <w:proofErr w:type="spellStart"/>
      <w:r w:rsidRPr="007520AD">
        <w:rPr>
          <w:iCs/>
        </w:rPr>
        <w:t>komercprakse</w:t>
      </w:r>
      <w:proofErr w:type="spellEnd"/>
      <w:r w:rsidRPr="007520AD">
        <w:rPr>
          <w:iCs/>
        </w:rPr>
        <w:t xml:space="preserve"> vai arī ir jābūt konstatētam kaitējumam. Tieslietu ministrijas ieskatā</w:t>
      </w:r>
      <w:r w:rsidR="00DF0D64" w:rsidRPr="007520AD">
        <w:rPr>
          <w:iCs/>
        </w:rPr>
        <w:t xml:space="preserve"> šobrīd no Likumprojekta 3. panta redakcijas tas nav viennozīmīgi skaidrs, tādēļ lūdzam izvērtēt nepieciešamību precizēt šo Likumprojekta pantu </w:t>
      </w:r>
      <w:r w:rsidRPr="007520AD">
        <w:rPr>
          <w:iCs/>
        </w:rPr>
        <w:t xml:space="preserve">un ietvert </w:t>
      </w:r>
      <w:r w:rsidR="00DF0D64" w:rsidRPr="007520AD">
        <w:rPr>
          <w:iCs/>
        </w:rPr>
        <w:t xml:space="preserve">par to </w:t>
      </w:r>
      <w:r w:rsidRPr="007520AD">
        <w:rPr>
          <w:iCs/>
        </w:rPr>
        <w:t xml:space="preserve">skaidrojumu </w:t>
      </w:r>
      <w:r w:rsidR="0042781A" w:rsidRPr="007520AD">
        <w:rPr>
          <w:iCs/>
        </w:rPr>
        <w:t>Likumprojekta sākotnējās ietekmes novērtējuma ziņojumā (turpmāk – anotācija)</w:t>
      </w:r>
      <w:r w:rsidRPr="007520AD">
        <w:rPr>
          <w:iCs/>
        </w:rPr>
        <w:t>.</w:t>
      </w:r>
    </w:p>
    <w:p w14:paraId="053904CC" w14:textId="6BDA13EC" w:rsidR="0040380D" w:rsidRPr="007520AD" w:rsidRDefault="0040380D" w:rsidP="007520AD">
      <w:pPr>
        <w:pStyle w:val="NormalWeb"/>
        <w:spacing w:before="0" w:after="0"/>
        <w:ind w:firstLine="720"/>
        <w:contextualSpacing/>
        <w:jc w:val="both"/>
        <w:rPr>
          <w:iCs/>
        </w:rPr>
      </w:pPr>
      <w:r w:rsidRPr="007520AD">
        <w:rPr>
          <w:iCs/>
        </w:rPr>
        <w:t xml:space="preserve">Treškārt, Eiropas Parlamenta un Padomes 2019. gada 27. novembra Direktīvas (ES) Nr. 2019/2161, ar ko groza Padomes Direktīvu 93/13/EEK un Eiropas Parlamenta un Padomes Direktīvas 98/6/EK, 2005/29/EK un 2011/83/ES attiecībā uz Savienības patērētāju tiesību </w:t>
      </w:r>
      <w:r w:rsidRPr="007520AD">
        <w:rPr>
          <w:iCs/>
        </w:rPr>
        <w:lastRenderedPageBreak/>
        <w:t>aizsardzības noteikumu labāku izpildi un modernizēšanu</w:t>
      </w:r>
      <w:r w:rsidR="0042781A" w:rsidRPr="007520AD">
        <w:t xml:space="preserve"> (turpmāk – </w:t>
      </w:r>
      <w:r w:rsidR="0042781A" w:rsidRPr="007520AD">
        <w:rPr>
          <w:iCs/>
        </w:rPr>
        <w:t>Direktīva)</w:t>
      </w:r>
      <w:r w:rsidRPr="007520AD">
        <w:t xml:space="preserve"> </w:t>
      </w:r>
      <w:r w:rsidRPr="007520AD">
        <w:rPr>
          <w:iCs/>
        </w:rPr>
        <w:t>preambul</w:t>
      </w:r>
      <w:r w:rsidR="006E782C" w:rsidRPr="007520AD">
        <w:rPr>
          <w:iCs/>
        </w:rPr>
        <w:t xml:space="preserve">ā norādīts, ka dalībvalstīm </w:t>
      </w:r>
      <w:r w:rsidR="006E782C" w:rsidRPr="007520AD">
        <w:rPr>
          <w:iCs/>
          <w:u w:val="single"/>
        </w:rPr>
        <w:t>samērīgā un efektīvā veidā</w:t>
      </w:r>
      <w:r w:rsidR="006E782C" w:rsidRPr="007520AD">
        <w:rPr>
          <w:iCs/>
        </w:rPr>
        <w:t xml:space="preserve"> būtu jānodrošina, ka patērētāji var saņemt atlīdzību par nodarītajiem zaudējumiem un attiecīgā gadījumā viņiem ir tiesības uz cenas samazinājumu vai līguma izbeigšanu, un, piemērojot tiesiskās aizsardzības līdzekļus, </w:t>
      </w:r>
      <w:r w:rsidR="006E782C" w:rsidRPr="007520AD">
        <w:rPr>
          <w:iCs/>
          <w:u w:val="single"/>
        </w:rPr>
        <w:t>vajadzības gadījumā varētu ņemt vērā negodīgās komercprakses smaguma pakāpi un būtību, patērētājam nodarītos zaudējumus un citus attiecīgos apstākļus.</w:t>
      </w:r>
      <w:r w:rsidR="006E782C" w:rsidRPr="007520AD">
        <w:rPr>
          <w:iCs/>
        </w:rPr>
        <w:t xml:space="preserve"> Lūdzam izvērtēt un skaidrot Likumprojekta 3. pantu šajā aspektā, proti, vai un kādēļ Likumprojektā nav nepieciešams noteikt nekādus izvērtējuma kritērijus atsevišķiem tiesiskās aizsardzības līdzekļu veidiem.</w:t>
      </w:r>
    </w:p>
    <w:p w14:paraId="54A2C893" w14:textId="7D695888" w:rsidR="00396AC2" w:rsidRPr="007520AD" w:rsidRDefault="00B53D0E" w:rsidP="007520AD">
      <w:pPr>
        <w:pStyle w:val="NormalWeb"/>
        <w:spacing w:before="0" w:after="0"/>
        <w:ind w:firstLine="720"/>
        <w:contextualSpacing/>
        <w:jc w:val="both"/>
        <w:rPr>
          <w:iCs/>
        </w:rPr>
      </w:pPr>
      <w:r w:rsidRPr="007520AD">
        <w:rPr>
          <w:iCs/>
        </w:rPr>
        <w:t xml:space="preserve">Ceturtkārt, Tieslietu ministrijas ieskatā nepieciešams izvērtēt Likumprojekta 3. pantā (plānotā </w:t>
      </w:r>
      <w:bookmarkStart w:id="9" w:name="_Hlk78180312"/>
      <w:r w:rsidRPr="007520AD">
        <w:rPr>
          <w:iCs/>
        </w:rPr>
        <w:t>4.</w:t>
      </w:r>
      <w:r w:rsidRPr="007520AD">
        <w:rPr>
          <w:iCs/>
          <w:vertAlign w:val="superscript"/>
        </w:rPr>
        <w:t>2</w:t>
      </w:r>
      <w:r w:rsidRPr="007520AD">
        <w:rPr>
          <w:iCs/>
        </w:rPr>
        <w:t> panta trešā daļa</w:t>
      </w:r>
      <w:bookmarkEnd w:id="9"/>
      <w:r w:rsidRPr="007520AD">
        <w:rPr>
          <w:iCs/>
        </w:rPr>
        <w:t xml:space="preserve">) lietoto vārdu </w:t>
      </w:r>
      <w:r w:rsidR="00396AC2" w:rsidRPr="007520AD">
        <w:rPr>
          <w:iCs/>
        </w:rPr>
        <w:t xml:space="preserve">"likumā noteiktajā kārtībā" </w:t>
      </w:r>
      <w:r w:rsidRPr="007520AD">
        <w:rPr>
          <w:iCs/>
        </w:rPr>
        <w:t>juridisko slodzi</w:t>
      </w:r>
      <w:r w:rsidR="00AE7307" w:rsidRPr="007520AD">
        <w:rPr>
          <w:iCs/>
        </w:rPr>
        <w:t xml:space="preserve"> un skaidrību. Tieslietu ministrijas ieskatā šie vārdi nenes nekādu juridisko slodzi, jo jau no tiesību sistēmas kopumā ir skaidrs, ka personas jebkurā gadījumā tiesā var vērsties tieši normatīvajos aktos noteiktā kārtībā. Tieslietu ministrijas ieskatā </w:t>
      </w:r>
      <w:r w:rsidR="009D61A4" w:rsidRPr="007520AD">
        <w:rPr>
          <w:iCs/>
        </w:rPr>
        <w:t>juridiskā slodze</w:t>
      </w:r>
      <w:r w:rsidR="00AE7307" w:rsidRPr="007520AD">
        <w:rPr>
          <w:iCs/>
        </w:rPr>
        <w:t xml:space="preserve"> šādai </w:t>
      </w:r>
      <w:r w:rsidR="009D61A4" w:rsidRPr="007520AD">
        <w:rPr>
          <w:iCs/>
        </w:rPr>
        <w:t>norādei</w:t>
      </w:r>
      <w:r w:rsidR="00AE7307" w:rsidRPr="007520AD">
        <w:rPr>
          <w:iCs/>
        </w:rPr>
        <w:t xml:space="preserve"> ir tad, ja tā </w:t>
      </w:r>
      <w:r w:rsidR="009D61A4" w:rsidRPr="007520AD">
        <w:rPr>
          <w:iCs/>
        </w:rPr>
        <w:t>ir atsauce uz kādu speciālu kārtību, kas piemērojama konkrētajam tiesību normā minētajam gadījumam, uz kuru normatīvā akta sagatavotājs vēlas norādīt.</w:t>
      </w:r>
    </w:p>
    <w:p w14:paraId="6A2AE385" w14:textId="185A0C17" w:rsidR="009D61A4" w:rsidRPr="007520AD" w:rsidRDefault="009D61A4" w:rsidP="007520AD">
      <w:pPr>
        <w:pStyle w:val="NormalWeb"/>
        <w:spacing w:before="0" w:after="0"/>
        <w:ind w:firstLine="720"/>
        <w:contextualSpacing/>
        <w:jc w:val="both"/>
        <w:rPr>
          <w:iCs/>
        </w:rPr>
      </w:pPr>
      <w:r w:rsidRPr="007520AD">
        <w:rPr>
          <w:iCs/>
        </w:rPr>
        <w:t>Piektkārt, l</w:t>
      </w:r>
      <w:r w:rsidR="007862DF" w:rsidRPr="007520AD">
        <w:rPr>
          <w:iCs/>
        </w:rPr>
        <w:t>ūdzam</w:t>
      </w:r>
      <w:r w:rsidRPr="007520AD">
        <w:rPr>
          <w:iCs/>
        </w:rPr>
        <w:t xml:space="preserve"> </w:t>
      </w:r>
      <w:r w:rsidR="007862DF" w:rsidRPr="007520AD">
        <w:rPr>
          <w:iCs/>
        </w:rPr>
        <w:t>izvērtēt</w:t>
      </w:r>
      <w:r w:rsidRPr="007520AD">
        <w:rPr>
          <w:iCs/>
        </w:rPr>
        <w:t xml:space="preserve"> un skaidrot</w:t>
      </w:r>
      <w:r w:rsidR="007862DF" w:rsidRPr="007520AD">
        <w:rPr>
          <w:iCs/>
        </w:rPr>
        <w:t>, vai Likumprojekta 3. pantā noteiktās tiesības prasīt līguma atcelšanu nav pretrunā ar Likuma 3. panta trešās daļas 3. punktu.</w:t>
      </w:r>
      <w:r w:rsidRPr="007520AD">
        <w:rPr>
          <w:iCs/>
        </w:rPr>
        <w:t xml:space="preserve"> </w:t>
      </w:r>
    </w:p>
    <w:p w14:paraId="6DA6DC5C" w14:textId="3F3E9036" w:rsidR="007862DF" w:rsidRPr="007520AD" w:rsidRDefault="009D61A4" w:rsidP="007520AD">
      <w:pPr>
        <w:pStyle w:val="NormalWeb"/>
        <w:spacing w:before="0" w:after="0"/>
        <w:ind w:firstLine="720"/>
        <w:contextualSpacing/>
        <w:jc w:val="both"/>
        <w:rPr>
          <w:iCs/>
        </w:rPr>
      </w:pPr>
      <w:r w:rsidRPr="007520AD">
        <w:rPr>
          <w:iCs/>
        </w:rPr>
        <w:t xml:space="preserve">Papildus </w:t>
      </w:r>
      <w:r w:rsidR="00DC10F3" w:rsidRPr="007520AD">
        <w:rPr>
          <w:iCs/>
        </w:rPr>
        <w:t>vēlamies norādīt, ka nav skaidra Likumprojekta 3. panta (4.</w:t>
      </w:r>
      <w:r w:rsidR="00DC10F3" w:rsidRPr="007520AD">
        <w:rPr>
          <w:iCs/>
          <w:vertAlign w:val="superscript"/>
        </w:rPr>
        <w:t>2</w:t>
      </w:r>
      <w:r w:rsidR="00DC10F3" w:rsidRPr="007520AD">
        <w:rPr>
          <w:iCs/>
        </w:rPr>
        <w:t> panta pirmās daļas 2. </w:t>
      </w:r>
      <w:r w:rsidR="00DC10F3" w:rsidRPr="007520AD">
        <w:t>punkts) juridiskā konstrukcija, jo no šī brīža redakcijas izriet</w:t>
      </w:r>
      <w:r w:rsidR="000A46DB" w:rsidRPr="007520AD">
        <w:t>, ka patērētājs var prasīt nevis līguma atcelšanu, bet gan,</w:t>
      </w:r>
      <w:r w:rsidR="00DC10F3" w:rsidRPr="007520AD">
        <w:rPr>
          <w:iCs/>
        </w:rPr>
        <w:t xml:space="preserve"> lai </w:t>
      </w:r>
      <w:r w:rsidR="000A46DB" w:rsidRPr="007520AD">
        <w:rPr>
          <w:iCs/>
        </w:rPr>
        <w:t xml:space="preserve">tieši </w:t>
      </w:r>
      <w:r w:rsidR="00DC10F3" w:rsidRPr="007520AD">
        <w:rPr>
          <w:iCs/>
        </w:rPr>
        <w:t>komercprakses īstenotājs</w:t>
      </w:r>
      <w:r w:rsidR="000A46DB" w:rsidRPr="007520AD">
        <w:rPr>
          <w:iCs/>
        </w:rPr>
        <w:t xml:space="preserve"> </w:t>
      </w:r>
      <w:r w:rsidRPr="007520AD">
        <w:rPr>
          <w:iCs/>
        </w:rPr>
        <w:t>atceļ līgumu</w:t>
      </w:r>
      <w:r w:rsidR="000A46DB" w:rsidRPr="007520AD">
        <w:rPr>
          <w:iCs/>
        </w:rPr>
        <w:t>. Norādām, ka, piemēram, Civillikuma  1620. panta otrajā daļā noteikts, ka "ieguvējam ir tiesība tikai prasīt, pēc paša izvēles, vai nu līguma atcelšanu, vai lietas cenas samazināšanu", savukārt, piemēram, Civillikuma 2040. </w:t>
      </w:r>
      <w:r w:rsidR="000A46DB" w:rsidRPr="007520AD">
        <w:t xml:space="preserve">pantā </w:t>
      </w:r>
      <w:r w:rsidR="000A46DB" w:rsidRPr="007520AD">
        <w:rPr>
          <w:iCs/>
        </w:rPr>
        <w:t>noteikts, ka izņēmuma veidā pirkuma līgumu var atcelt vienai pusei prasot.</w:t>
      </w:r>
    </w:p>
    <w:p w14:paraId="7FC8190C" w14:textId="57B55E76" w:rsidR="004975A0" w:rsidRPr="007520AD" w:rsidRDefault="004975A0" w:rsidP="007520AD">
      <w:pPr>
        <w:pStyle w:val="NormalWeb"/>
        <w:spacing w:before="0" w:after="0"/>
        <w:ind w:firstLine="720"/>
        <w:contextualSpacing/>
        <w:jc w:val="both"/>
        <w:rPr>
          <w:color w:val="000000" w:themeColor="text1"/>
          <w:shd w:val="clear" w:color="auto" w:fill="FFFFFF"/>
        </w:rPr>
      </w:pPr>
      <w:r w:rsidRPr="007520AD">
        <w:rPr>
          <w:iCs/>
        </w:rPr>
        <w:t xml:space="preserve">4. Attiecībā uz Likumprojekta 7. pantu lūdzam izvērtēt, vai šajā pantā ietverto tiesību normu nepieciešams ietvert Likumprojektā, proti, vai nav uzskatāms, ka Patērētāju tiesību aizsardzības likuma </w:t>
      </w:r>
      <w:r w:rsidRPr="007520AD">
        <w:rPr>
          <w:color w:val="000000" w:themeColor="text1"/>
          <w:shd w:val="clear" w:color="auto" w:fill="FFFFFF"/>
        </w:rPr>
        <w:t>VI</w:t>
      </w:r>
      <w:r w:rsidRPr="007520AD">
        <w:rPr>
          <w:color w:val="000000" w:themeColor="text1"/>
          <w:shd w:val="clear" w:color="auto" w:fill="FFFFFF"/>
          <w:vertAlign w:val="superscript"/>
        </w:rPr>
        <w:t>4</w:t>
      </w:r>
      <w:r w:rsidRPr="007520AD">
        <w:rPr>
          <w:color w:val="000000" w:themeColor="text1"/>
          <w:shd w:val="clear" w:color="auto" w:fill="FFFFFF"/>
        </w:rPr>
        <w:t xml:space="preserve"> nodaļa "Patērētāju kolektīvo interešu uzraudzība" būtu attiecināma uz patērētāju kolektīvo interešu uzraudzību arī negodīgas komercprakses kontekstā. </w:t>
      </w:r>
      <w:r w:rsidR="003935F9" w:rsidRPr="007520AD">
        <w:rPr>
          <w:color w:val="000000" w:themeColor="text1"/>
          <w:shd w:val="clear" w:color="auto" w:fill="FFFFFF"/>
        </w:rPr>
        <w:t>Tieslietu ministrijas ieskatā tātad nepieciešams izvērtēt, vai Likumprojekta 7. pants paredz jaunas Patērētāju tiesību aizsardzības centra tiesības un pienākumus, vai arī tā ir tikai informatīva atsauce uz cita likuma regulējumu, kas tāpat piemērojams neatkarīgi no Likumprojekta 7. panta</w:t>
      </w:r>
      <w:r w:rsidR="0053424A">
        <w:rPr>
          <w:color w:val="000000" w:themeColor="text1"/>
          <w:shd w:val="clear" w:color="auto" w:fill="FFFFFF"/>
        </w:rPr>
        <w:t>.</w:t>
      </w:r>
      <w:r w:rsidR="003935F9" w:rsidRPr="007520AD">
        <w:rPr>
          <w:color w:val="000000" w:themeColor="text1"/>
          <w:shd w:val="clear" w:color="auto" w:fill="FFFFFF"/>
        </w:rPr>
        <w:t xml:space="preserve"> Ņemot vērā minēto, lūdzam </w:t>
      </w:r>
      <w:r w:rsidR="000E432C" w:rsidRPr="007520AD">
        <w:rPr>
          <w:color w:val="000000" w:themeColor="text1"/>
          <w:shd w:val="clear" w:color="auto" w:fill="FFFFFF"/>
        </w:rPr>
        <w:t xml:space="preserve">attiecīgo pantu no Likumprojekta dzēst vai arī </w:t>
      </w:r>
      <w:r w:rsidR="003935F9" w:rsidRPr="007520AD">
        <w:rPr>
          <w:color w:val="000000" w:themeColor="text1"/>
          <w:shd w:val="clear" w:color="auto" w:fill="FFFFFF"/>
        </w:rPr>
        <w:t>papildināt anotāciju ar atbilstošu skaidrojumu.</w:t>
      </w:r>
    </w:p>
    <w:p w14:paraId="4B163183" w14:textId="1CFF92ED" w:rsidR="00E364F7" w:rsidRPr="00E364F7" w:rsidRDefault="00E364F7" w:rsidP="007520AD">
      <w:pPr>
        <w:ind w:firstLine="720"/>
        <w:rPr>
          <w:szCs w:val="24"/>
        </w:rPr>
      </w:pPr>
      <w:r w:rsidRPr="007520AD">
        <w:rPr>
          <w:szCs w:val="24"/>
        </w:rPr>
        <w:t>5</w:t>
      </w:r>
      <w:r w:rsidRPr="00E364F7">
        <w:rPr>
          <w:szCs w:val="24"/>
        </w:rPr>
        <w:t>.</w:t>
      </w:r>
      <w:r w:rsidRPr="007520AD">
        <w:rPr>
          <w:szCs w:val="24"/>
        </w:rPr>
        <w:t> Likump</w:t>
      </w:r>
      <w:r w:rsidRPr="00E364F7">
        <w:rPr>
          <w:szCs w:val="24"/>
        </w:rPr>
        <w:t xml:space="preserve">rojekta 8. pantā paredzēts, ka "uzraudzības iestāde ir tiesīga par negodīgu komercpraksi uzlikt komercprakses īstenotājam soda naudu līdz 10 procentiem no tā gada vai vairāku gadu vidējā neto apgrozījuma". </w:t>
      </w:r>
      <w:bookmarkStart w:id="10" w:name="_Hlk78181652"/>
      <w:r w:rsidRPr="007520AD">
        <w:rPr>
          <w:szCs w:val="24"/>
        </w:rPr>
        <w:t>Likump</w:t>
      </w:r>
      <w:r w:rsidRPr="00E364F7">
        <w:rPr>
          <w:szCs w:val="24"/>
        </w:rPr>
        <w:t>rojekta anotācij</w:t>
      </w:r>
      <w:bookmarkEnd w:id="10"/>
      <w:r w:rsidR="0042781A" w:rsidRPr="007520AD">
        <w:rPr>
          <w:szCs w:val="24"/>
        </w:rPr>
        <w:t>ā</w:t>
      </w:r>
      <w:r w:rsidRPr="00E364F7">
        <w:rPr>
          <w:szCs w:val="24"/>
        </w:rPr>
        <w:t xml:space="preserve"> skaidrots, ka "Latvijā šobrīd paredzētais sods par negodīgu komercpraksi ir līdz 10% no pēdējā finanšu gada neto apgrozījuma, nebūtu korekti un samērīgi pārrobežu gadījumos (kur radītā ietekme bieži ir pat lielāka) noteikt zemāku maksimālo sodu (proti, 4%). Ņemot vērā, ka </w:t>
      </w:r>
      <w:bookmarkStart w:id="11" w:name="_Hlk78181703"/>
      <w:r w:rsidRPr="00E364F7">
        <w:rPr>
          <w:szCs w:val="24"/>
        </w:rPr>
        <w:t>Direktīvā</w:t>
      </w:r>
      <w:bookmarkEnd w:id="11"/>
      <w:r w:rsidRPr="00E364F7">
        <w:rPr>
          <w:szCs w:val="24"/>
        </w:rPr>
        <w:t xml:space="preserve"> paredzēts, ka maksimālais naudas sods par pārkāpumiem jānodrošina tādā līmenī, kas ir vismaz 4%, dalībvalstis ir tiesīgas noteikt arī augstāku līmeni (proti, Latvijas gadījumā saglābāt jau likumdevēja noteikto 10% apmēru)".</w:t>
      </w:r>
    </w:p>
    <w:p w14:paraId="2D764116" w14:textId="18998DEA" w:rsidR="00E364F7" w:rsidRPr="00E364F7" w:rsidRDefault="00E364F7" w:rsidP="007520AD">
      <w:pPr>
        <w:ind w:firstLine="720"/>
        <w:rPr>
          <w:szCs w:val="24"/>
        </w:rPr>
      </w:pPr>
      <w:r w:rsidRPr="00E364F7">
        <w:rPr>
          <w:szCs w:val="24"/>
        </w:rPr>
        <w:t xml:space="preserve">Šobrīd </w:t>
      </w:r>
      <w:r w:rsidR="0042781A" w:rsidRPr="007520AD">
        <w:rPr>
          <w:szCs w:val="24"/>
        </w:rPr>
        <w:t>L</w:t>
      </w:r>
      <w:r w:rsidRPr="00E364F7">
        <w:rPr>
          <w:szCs w:val="24"/>
        </w:rPr>
        <w:t>ikuma 15.</w:t>
      </w:r>
      <w:r w:rsidRPr="00E364F7">
        <w:rPr>
          <w:szCs w:val="24"/>
          <w:vertAlign w:val="superscript"/>
        </w:rPr>
        <w:t>2</w:t>
      </w:r>
      <w:r w:rsidRPr="00E364F7">
        <w:rPr>
          <w:szCs w:val="24"/>
        </w:rPr>
        <w:t> panta pirmajā daļā ir paredzēts, ka uzraudzības iestāde ir tiesīga par negodīgu komercpraksi uzlikt komercprakses īstenotājam soda naudu līdz 10 procentiem no tā pēdējā finanšu gada neto apgrozījuma, bet ne vairāk kā 100 000 </w:t>
      </w:r>
      <w:r w:rsidRPr="00E364F7">
        <w:rPr>
          <w:i/>
          <w:iCs/>
          <w:szCs w:val="24"/>
        </w:rPr>
        <w:t>euro</w:t>
      </w:r>
      <w:r w:rsidRPr="00E364F7">
        <w:rPr>
          <w:szCs w:val="24"/>
        </w:rPr>
        <w:t xml:space="preserve">. </w:t>
      </w:r>
      <w:r w:rsidR="0042781A" w:rsidRPr="007520AD">
        <w:rPr>
          <w:szCs w:val="24"/>
        </w:rPr>
        <w:t>Likump</w:t>
      </w:r>
      <w:r w:rsidRPr="00E364F7">
        <w:rPr>
          <w:szCs w:val="24"/>
        </w:rPr>
        <w:t xml:space="preserve">rojektā šāds maksimālā apmēra ierobežojums nav paredzēts un, domājams, tādu vairs arī nevar paredzēt. Līdz ar to maksimālais soda naudas apmērs tiek būtiski mainīts un atsaukšanās uz šobrīd paredzēto sodu pati par sevi nav pietiekama. Ja Eiropas Savienībā par iedarbīgu, samērīgu un atturošu sankciju kopumā tiek atzīts naudas sods 4 % apmērā no tirgotāja gada apgrozījuma attiecīgajā dalībvalstī vai dalībvalstīs, tad nepieciešams argumentēts pamatojums, kāpēc Latvijā jāparedz ievērojami lielāka naudas soda maksimālā robeža. Tas, ka dalībvalstīm ir piešķirta rīcības brīvība, nenozīmē, ka soda apmēra izvēle var būt patvaļīga un tā nav pamatojama. </w:t>
      </w:r>
    </w:p>
    <w:p w14:paraId="2CABC24F" w14:textId="2CE43DAB" w:rsidR="00E364F7" w:rsidRPr="00E364F7" w:rsidRDefault="00E364F7" w:rsidP="007520AD">
      <w:pPr>
        <w:ind w:firstLine="720"/>
        <w:rPr>
          <w:szCs w:val="24"/>
        </w:rPr>
      </w:pPr>
      <w:r w:rsidRPr="00E364F7">
        <w:rPr>
          <w:szCs w:val="24"/>
        </w:rPr>
        <w:t xml:space="preserve">Likumam jābūt paredzamam ne tikai attiecībā uz iespējamiem pārkāpumiem, bet arī attiecībā uz sodu. Likumdevējs savu pienākumu noteikt sodu ir izpildījis, ja normas adresāts var </w:t>
      </w:r>
      <w:r w:rsidRPr="00E364F7">
        <w:rPr>
          <w:szCs w:val="24"/>
        </w:rPr>
        <w:lastRenderedPageBreak/>
        <w:t>novērtēt draudošā soda apmēru, bet piemērotājs – noteikt konkrētajiem apstākļiem atbilstošu sodu. Tātad likumdevējam nepieciešams pieņemt lēmumu par iespējamo juridisko seku veidu un apmēru un iespējami precīzi noteikt ietvarus, kuros tiesību normu piemērotājam jārīkojas. Jo smagāks ir draudošais sods, jo vairāk likumdevējam ir pienākums sniegt piemērotājam vadlīnijas, kas padara sodu paredzamu, un informēt normas adresātu par gaidāmo sodu. Likumā jābūt noteiktām soda robežām (</w:t>
      </w:r>
      <w:r w:rsidRPr="00E364F7">
        <w:rPr>
          <w:i/>
          <w:iCs/>
          <w:szCs w:val="24"/>
        </w:rPr>
        <w:t>sal. Leja M. Krimināltiesību aktuālie jautājumi un to risinājumi Latvijā, Austrijā, Šveicē, Vācijā. Noziedzīga nodarījuma uzbūve; cēloņsakarība; vaina; krimināltiesību normu interpretācija un spēks laikā. I daļa. Rīga: Tiesu namu aģentūra, 2019, 104. lpp.</w:t>
      </w:r>
      <w:r w:rsidRPr="00E364F7">
        <w:rPr>
          <w:szCs w:val="24"/>
        </w:rPr>
        <w:t xml:space="preserve">). </w:t>
      </w:r>
    </w:p>
    <w:p w14:paraId="544A17F5" w14:textId="608E6253" w:rsidR="00E364F7" w:rsidRPr="00E364F7" w:rsidRDefault="0042781A" w:rsidP="007520AD">
      <w:pPr>
        <w:ind w:firstLine="720"/>
        <w:rPr>
          <w:szCs w:val="24"/>
        </w:rPr>
      </w:pPr>
      <w:r w:rsidRPr="007520AD">
        <w:rPr>
          <w:szCs w:val="24"/>
        </w:rPr>
        <w:t>Likump</w:t>
      </w:r>
      <w:r w:rsidR="00E364F7" w:rsidRPr="00E364F7">
        <w:rPr>
          <w:szCs w:val="24"/>
        </w:rPr>
        <w:t>rojektā paredzētais regulējums – "no tā gada vai vairāku gadu vidējā neto apgrozījuma" – nenosaka konkrētu soda naudas maksimālo robežu. Ja iestādei ir tiesības vērtēt, vai ir atbilstošāk izmantot jaunākos pieejamos gada apgrozījuma datus (t. i., iepriekšējā biznesa gada) vai, piemēram, gada apgrozījumu (vai vairāku gadu vidējo apgrozījumu), kad notika pārkāpums, tas padara sodu nenoteiktu un neparedzamu.</w:t>
      </w:r>
    </w:p>
    <w:p w14:paraId="3985E1E1" w14:textId="5D4FEDA2" w:rsidR="00E364F7" w:rsidRPr="007520AD" w:rsidRDefault="00E364F7" w:rsidP="007520AD">
      <w:pPr>
        <w:ind w:firstLine="720"/>
        <w:rPr>
          <w:szCs w:val="24"/>
        </w:rPr>
      </w:pPr>
      <w:r w:rsidRPr="00E364F7">
        <w:rPr>
          <w:szCs w:val="24"/>
        </w:rPr>
        <w:t xml:space="preserve">Ievērojot minēto, lūdzam precizēt </w:t>
      </w:r>
      <w:r w:rsidR="0042781A" w:rsidRPr="007520AD">
        <w:rPr>
          <w:szCs w:val="24"/>
        </w:rPr>
        <w:t>Likum</w:t>
      </w:r>
      <w:r w:rsidRPr="00E364F7">
        <w:rPr>
          <w:szCs w:val="24"/>
        </w:rPr>
        <w:t xml:space="preserve">projekta 8. pantā paredzēto </w:t>
      </w:r>
      <w:r w:rsidR="0042781A" w:rsidRPr="007520AD">
        <w:rPr>
          <w:szCs w:val="24"/>
        </w:rPr>
        <w:t>L</w:t>
      </w:r>
      <w:r w:rsidRPr="00E364F7">
        <w:rPr>
          <w:szCs w:val="24"/>
        </w:rPr>
        <w:t>ikuma 15.</w:t>
      </w:r>
      <w:r w:rsidRPr="00E364F7">
        <w:rPr>
          <w:szCs w:val="24"/>
          <w:vertAlign w:val="superscript"/>
        </w:rPr>
        <w:t>2 </w:t>
      </w:r>
      <w:r w:rsidRPr="00E364F7">
        <w:rPr>
          <w:szCs w:val="24"/>
        </w:rPr>
        <w:t>panta pirmās daļas pirmo teikumu.</w:t>
      </w:r>
    </w:p>
    <w:p w14:paraId="4F84A53E" w14:textId="671E60BE" w:rsidR="0042781A" w:rsidRPr="007520AD" w:rsidRDefault="0042781A" w:rsidP="007520AD">
      <w:pPr>
        <w:pStyle w:val="NoSpacing"/>
        <w:ind w:firstLine="720"/>
        <w:rPr>
          <w:szCs w:val="24"/>
        </w:rPr>
      </w:pPr>
      <w:r w:rsidRPr="007520AD">
        <w:rPr>
          <w:szCs w:val="24"/>
        </w:rPr>
        <w:t>6. Likumprojekta 8. pantā paredzētā Likuma 15.</w:t>
      </w:r>
      <w:r w:rsidRPr="007520AD">
        <w:rPr>
          <w:szCs w:val="24"/>
          <w:vertAlign w:val="superscript"/>
        </w:rPr>
        <w:t>2 </w:t>
      </w:r>
      <w:r w:rsidRPr="007520AD">
        <w:rPr>
          <w:szCs w:val="24"/>
        </w:rPr>
        <w:t>panta 1.</w:t>
      </w:r>
      <w:r w:rsidRPr="007520AD">
        <w:rPr>
          <w:szCs w:val="24"/>
          <w:vertAlign w:val="superscript"/>
        </w:rPr>
        <w:t>1</w:t>
      </w:r>
      <w:r w:rsidRPr="007520AD">
        <w:rPr>
          <w:szCs w:val="24"/>
        </w:rPr>
        <w:t xml:space="preserve"> daļa redakcionāli nav saskaņota ar šā panta pirmo daļu. Atšķiras gan rīcības brīvības pakāpe (tās esība – "ir tiesīga" un "piemēro"), gan arī izmantoti dažādi vienas un tās pašas lietas apzīmējumi – "uzlikt" un "piemērot", "soda nauda" un "naudas sods". </w:t>
      </w:r>
    </w:p>
    <w:p w14:paraId="2EC4197C" w14:textId="4257812E" w:rsidR="0042781A" w:rsidRPr="0042781A" w:rsidRDefault="0042781A" w:rsidP="007520AD">
      <w:pPr>
        <w:ind w:firstLine="720"/>
        <w:rPr>
          <w:bCs/>
          <w:iCs/>
          <w:szCs w:val="24"/>
        </w:rPr>
      </w:pPr>
      <w:r w:rsidRPr="007520AD">
        <w:rPr>
          <w:szCs w:val="24"/>
        </w:rPr>
        <w:t>Likump</w:t>
      </w:r>
      <w:r w:rsidRPr="0042781A">
        <w:rPr>
          <w:szCs w:val="24"/>
        </w:rPr>
        <w:t xml:space="preserve">rojektā un </w:t>
      </w:r>
      <w:r w:rsidRPr="007520AD">
        <w:rPr>
          <w:szCs w:val="24"/>
        </w:rPr>
        <w:t>L</w:t>
      </w:r>
      <w:r w:rsidRPr="0042781A">
        <w:rPr>
          <w:szCs w:val="24"/>
        </w:rPr>
        <w:t xml:space="preserve">ikumā kopumā būtu izmantojams </w:t>
      </w:r>
      <w:r w:rsidRPr="0042781A">
        <w:rPr>
          <w:bCs/>
          <w:iCs/>
          <w:szCs w:val="24"/>
        </w:rPr>
        <w:t>sodu tiesībās ierastais termins "naudas sods". Kā norādīts juridiskajā literatūrā, šobrīd vairs nav ne praktiskas, ne teorētiskas nozīmes vienu un to pašu institūtu – valsts institūcijas piemērotu pienākumu maksāt naudu par tiesību normas pārkāpšanu – dēvēt atšķirīgi</w:t>
      </w:r>
      <w:r w:rsidRPr="0042781A">
        <w:rPr>
          <w:bCs/>
          <w:i/>
          <w:szCs w:val="24"/>
        </w:rPr>
        <w:t xml:space="preserve"> (</w:t>
      </w:r>
      <w:proofErr w:type="spellStart"/>
      <w:r w:rsidRPr="0042781A">
        <w:rPr>
          <w:bCs/>
          <w:i/>
          <w:szCs w:val="24"/>
        </w:rPr>
        <w:t>Danovskis</w:t>
      </w:r>
      <w:proofErr w:type="spellEnd"/>
      <w:r w:rsidRPr="0042781A">
        <w:rPr>
          <w:bCs/>
          <w:i/>
          <w:szCs w:val="24"/>
        </w:rPr>
        <w:t xml:space="preserve"> E. Sodu tiesību principu nozīme administratīvajās tiesībās. </w:t>
      </w:r>
      <w:proofErr w:type="spellStart"/>
      <w:r w:rsidRPr="0042781A">
        <w:rPr>
          <w:bCs/>
          <w:i/>
          <w:szCs w:val="24"/>
        </w:rPr>
        <w:t>Grām</w:t>
      </w:r>
      <w:proofErr w:type="spellEnd"/>
      <w:r w:rsidRPr="0042781A">
        <w:rPr>
          <w:bCs/>
          <w:i/>
          <w:szCs w:val="24"/>
        </w:rPr>
        <w:t>.: Juridisko personu publiski tiesiskā atbildība. Rīga: LU Akadēmiskais apgāds, 2018, 134. lpp.</w:t>
      </w:r>
      <w:r w:rsidRPr="0042781A">
        <w:rPr>
          <w:bCs/>
          <w:iCs/>
          <w:szCs w:val="24"/>
        </w:rPr>
        <w:t xml:space="preserve">). </w:t>
      </w:r>
    </w:p>
    <w:p w14:paraId="51D5707E" w14:textId="033C640A" w:rsidR="0042781A" w:rsidRPr="0042781A" w:rsidRDefault="0042781A" w:rsidP="007520AD">
      <w:pPr>
        <w:ind w:firstLine="720"/>
        <w:rPr>
          <w:szCs w:val="24"/>
        </w:rPr>
      </w:pPr>
      <w:r w:rsidRPr="007520AD">
        <w:rPr>
          <w:szCs w:val="24"/>
        </w:rPr>
        <w:t>7</w:t>
      </w:r>
      <w:r w:rsidRPr="0042781A">
        <w:rPr>
          <w:szCs w:val="24"/>
        </w:rPr>
        <w:t>.</w:t>
      </w:r>
      <w:r w:rsidRPr="007520AD">
        <w:rPr>
          <w:szCs w:val="24"/>
        </w:rPr>
        <w:t> </w:t>
      </w:r>
      <w:r w:rsidRPr="0042781A">
        <w:rPr>
          <w:szCs w:val="24"/>
        </w:rPr>
        <w:t xml:space="preserve">Lūdzam izvērtēt </w:t>
      </w:r>
      <w:r w:rsidRPr="007520AD">
        <w:rPr>
          <w:szCs w:val="24"/>
        </w:rPr>
        <w:t>Likum</w:t>
      </w:r>
      <w:r w:rsidRPr="0042781A">
        <w:rPr>
          <w:szCs w:val="24"/>
        </w:rPr>
        <w:t xml:space="preserve">projektā un </w:t>
      </w:r>
      <w:r w:rsidRPr="007520AD">
        <w:rPr>
          <w:szCs w:val="24"/>
        </w:rPr>
        <w:t>L</w:t>
      </w:r>
      <w:r w:rsidRPr="0042781A">
        <w:rPr>
          <w:szCs w:val="24"/>
        </w:rPr>
        <w:t xml:space="preserve">ikumā paredzētos soda noteikšanas kritērijus un attiecīgi precizēt projektu. </w:t>
      </w:r>
    </w:p>
    <w:p w14:paraId="044970A3" w14:textId="53F1E67C" w:rsidR="0042781A" w:rsidRPr="0042781A" w:rsidRDefault="0042781A" w:rsidP="007520AD">
      <w:pPr>
        <w:ind w:firstLine="720"/>
        <w:rPr>
          <w:szCs w:val="24"/>
        </w:rPr>
      </w:pPr>
      <w:r w:rsidRPr="0042781A">
        <w:rPr>
          <w:szCs w:val="24"/>
        </w:rPr>
        <w:t xml:space="preserve">Soda noteikšanas kritēriji ir ietverti gan </w:t>
      </w:r>
      <w:r w:rsidRPr="007520AD">
        <w:rPr>
          <w:szCs w:val="24"/>
        </w:rPr>
        <w:t>L</w:t>
      </w:r>
      <w:r w:rsidRPr="0042781A">
        <w:rPr>
          <w:szCs w:val="24"/>
        </w:rPr>
        <w:t>ikuma 15.</w:t>
      </w:r>
      <w:r w:rsidRPr="0042781A">
        <w:rPr>
          <w:szCs w:val="24"/>
          <w:vertAlign w:val="superscript"/>
        </w:rPr>
        <w:t>2</w:t>
      </w:r>
      <w:r w:rsidRPr="0042781A">
        <w:rPr>
          <w:szCs w:val="24"/>
        </w:rPr>
        <w:t xml:space="preserve"> panta pirmās daļas otrajā teikumā, gan šā panta otrajā daļā. Šādi kritēriji ietverami vienā likuma vienībā. Nav nepieciešams norādīt tādus vispārīgus kritērijus, kas jau pastāv vispārējo tiesību principu līmenī (piemēram, samērīgums). </w:t>
      </w:r>
    </w:p>
    <w:p w14:paraId="1072CF0C" w14:textId="24458F68" w:rsidR="0042781A" w:rsidRPr="0042781A" w:rsidRDefault="0042781A" w:rsidP="007520AD">
      <w:pPr>
        <w:ind w:firstLine="720"/>
        <w:rPr>
          <w:szCs w:val="24"/>
        </w:rPr>
      </w:pPr>
      <w:r w:rsidRPr="007520AD">
        <w:rPr>
          <w:szCs w:val="24"/>
        </w:rPr>
        <w:t>Likump</w:t>
      </w:r>
      <w:r w:rsidRPr="0042781A">
        <w:rPr>
          <w:szCs w:val="24"/>
        </w:rPr>
        <w:t xml:space="preserve">rojekta 8. pantā paredzēts, ka, pieņemot lēmumu par soda naudas uzlikšanu, izvērtē, vai komercprakses īstenotājs iepriekš ir izdarījis negodīgas komercprakses aizlieguma pārkāpumus. Lai arī šādu kritēriju varētu izmantot kā pārkāpēja personību raksturojošu elementu, pastāv jautājums par to, cik ilgi iepriekšēja pārkāpuma esību var izmantot kā sodu ietekmējošu kritēriju. Citiem vārdiem, tas ir jautājums par noilgumu. </w:t>
      </w:r>
    </w:p>
    <w:p w14:paraId="1F7DAAD2" w14:textId="491EB2D5" w:rsidR="0042781A" w:rsidRPr="0042781A" w:rsidRDefault="0042781A" w:rsidP="007520AD">
      <w:pPr>
        <w:ind w:firstLine="720"/>
        <w:rPr>
          <w:bCs/>
          <w:iCs/>
          <w:szCs w:val="24"/>
        </w:rPr>
      </w:pPr>
      <w:r w:rsidRPr="0042781A">
        <w:rPr>
          <w:bCs/>
          <w:iCs/>
          <w:szCs w:val="24"/>
        </w:rPr>
        <w:t>Lai arī šobrīd tiesiskās drošības princips, neskatoties uz likuma regulējumu, ierobežo iestādes tiesības piemērot sankcijas, tomēr tiesiskās noteiktības interesēs ir svarīgi noteikt konkrētu sodoša rakstura administratīvo sankciju piemērošanas noilguma termiņu (</w:t>
      </w:r>
      <w:proofErr w:type="spellStart"/>
      <w:r w:rsidRPr="0042781A">
        <w:rPr>
          <w:bCs/>
          <w:i/>
          <w:szCs w:val="24"/>
        </w:rPr>
        <w:t>Danovskis</w:t>
      </w:r>
      <w:proofErr w:type="spellEnd"/>
      <w:r w:rsidRPr="0042781A">
        <w:rPr>
          <w:bCs/>
          <w:i/>
          <w:szCs w:val="24"/>
        </w:rPr>
        <w:t xml:space="preserve"> E. Sodu tiesību principu nozīme administratīvajās tiesībās. </w:t>
      </w:r>
      <w:proofErr w:type="spellStart"/>
      <w:r w:rsidRPr="0042781A">
        <w:rPr>
          <w:bCs/>
          <w:i/>
          <w:szCs w:val="24"/>
        </w:rPr>
        <w:t>Grām</w:t>
      </w:r>
      <w:proofErr w:type="spellEnd"/>
      <w:r w:rsidRPr="0042781A">
        <w:rPr>
          <w:bCs/>
          <w:i/>
          <w:szCs w:val="24"/>
        </w:rPr>
        <w:t>.: Autoru kolektīvs. Juridisko personu publiski tiesiskā atbildība. Rīga: LU Akadēmiskais apgāds, 2018, 139. lpp.</w:t>
      </w:r>
      <w:r w:rsidRPr="0042781A">
        <w:rPr>
          <w:bCs/>
          <w:iCs/>
          <w:szCs w:val="24"/>
        </w:rPr>
        <w:t xml:space="preserve">). Ievērojot minēto, </w:t>
      </w:r>
      <w:r w:rsidRPr="007520AD">
        <w:rPr>
          <w:bCs/>
          <w:iCs/>
          <w:szCs w:val="24"/>
        </w:rPr>
        <w:t>Likum</w:t>
      </w:r>
      <w:r w:rsidRPr="0042781A">
        <w:rPr>
          <w:bCs/>
          <w:iCs/>
          <w:szCs w:val="24"/>
        </w:rPr>
        <w:t xml:space="preserve">projekts papildināms ar vispārīgu noilguma regulējumu. </w:t>
      </w:r>
    </w:p>
    <w:p w14:paraId="0ADC2127" w14:textId="7F03D57B" w:rsidR="00E364F7" w:rsidRPr="007520AD" w:rsidRDefault="0042781A" w:rsidP="007520AD">
      <w:pPr>
        <w:ind w:firstLine="720"/>
        <w:rPr>
          <w:bCs/>
          <w:iCs/>
          <w:szCs w:val="24"/>
        </w:rPr>
      </w:pPr>
      <w:r w:rsidRPr="0042781A">
        <w:rPr>
          <w:bCs/>
          <w:iCs/>
          <w:szCs w:val="24"/>
        </w:rPr>
        <w:t xml:space="preserve">No </w:t>
      </w:r>
      <w:r w:rsidRPr="007520AD">
        <w:rPr>
          <w:bCs/>
          <w:iCs/>
          <w:szCs w:val="24"/>
        </w:rPr>
        <w:t>Likum</w:t>
      </w:r>
      <w:r w:rsidRPr="0042781A">
        <w:rPr>
          <w:bCs/>
          <w:iCs/>
          <w:szCs w:val="24"/>
        </w:rPr>
        <w:t xml:space="preserve">projekta 8. panta izriet, ka ņemami vērā arī "citi atbildību pastiprinoši vai mīkstinoši faktori, kas attiecināmi uz lietas apstākļiem". Sodu tiesībās atzīts, ka atbildību pastiprinoši apstākļi ir izsmeļoši nosakāmi likumā (sk. Administratīvās atbildības likuma 21. pantu un Krimināllikuma 48. pantu). </w:t>
      </w:r>
    </w:p>
    <w:p w14:paraId="7326AFE4" w14:textId="16BE6568" w:rsidR="00A5613C" w:rsidRPr="007520AD" w:rsidRDefault="0042781A" w:rsidP="007520AD">
      <w:pPr>
        <w:ind w:firstLine="720"/>
        <w:rPr>
          <w:bCs/>
          <w:iCs/>
          <w:szCs w:val="24"/>
        </w:rPr>
      </w:pPr>
      <w:r w:rsidRPr="007520AD">
        <w:rPr>
          <w:bCs/>
          <w:iCs/>
          <w:szCs w:val="24"/>
        </w:rPr>
        <w:t>8</w:t>
      </w:r>
      <w:r w:rsidR="00A5613C" w:rsidRPr="007520AD">
        <w:rPr>
          <w:bCs/>
          <w:iCs/>
          <w:szCs w:val="24"/>
        </w:rPr>
        <w:t>. </w:t>
      </w:r>
      <w:r w:rsidR="00A5613C" w:rsidRPr="007520AD">
        <w:rPr>
          <w:bCs/>
          <w:color w:val="000000" w:themeColor="text1"/>
          <w:szCs w:val="24"/>
        </w:rPr>
        <w:t xml:space="preserve">Ministru kabineta 2009. gada 15. decembra instrukcijas Nr. 19 "Tiesību akta projekta sākotnējās ietekmes izvērtēšanas kārtība" </w:t>
      </w:r>
      <w:r w:rsidR="00A5613C" w:rsidRPr="007520AD">
        <w:rPr>
          <w:bCs/>
          <w:iCs/>
          <w:szCs w:val="24"/>
        </w:rPr>
        <w:t>14. punktā noteikts, ka "anotācijas I sadaļas 2. punktā ("Pašreizējā situācija un problēmas, kuru risināšanai tiesību akta projekts izstrādāts, tiesiskā regulējuma mērķis un būtība") raksturo pašreizējo situāciju jomā, uz ko attiecināms projekts". Attiecībā uz šīs instrukcijas 14. punkta piemērošanu skaidrots, ka, j</w:t>
      </w:r>
      <w:r w:rsidR="00A5613C" w:rsidRPr="00A5613C">
        <w:rPr>
          <w:bCs/>
          <w:iCs/>
          <w:szCs w:val="24"/>
        </w:rPr>
        <w:t>a tiek gatavoti grozījumi normatīvajā aktā, tad anotācijā ir jāapraksta katra grozījumu saturiskā bloka mērķis un būtība</w:t>
      </w:r>
      <w:r w:rsidR="00A5613C" w:rsidRPr="007520AD">
        <w:rPr>
          <w:bCs/>
          <w:iCs/>
          <w:szCs w:val="24"/>
        </w:rPr>
        <w:t>, un t</w:t>
      </w:r>
      <w:r w:rsidR="00A5613C" w:rsidRPr="00A5613C">
        <w:rPr>
          <w:bCs/>
          <w:iCs/>
          <w:szCs w:val="24"/>
        </w:rPr>
        <w:t xml:space="preserve">āpat ir jānorāda, kādi elementi, salīdzinot ar iepriekšējo normatīvo regulējumu, iekļauti no jauna, </w:t>
      </w:r>
      <w:r w:rsidR="00A5613C" w:rsidRPr="00A5613C">
        <w:rPr>
          <w:bCs/>
          <w:iCs/>
          <w:szCs w:val="24"/>
        </w:rPr>
        <w:lastRenderedPageBreak/>
        <w:t>kādas ir galvenās atšķirības, salīdzinot ar iepriekšējo normatīvo regulējumu (</w:t>
      </w:r>
      <w:r w:rsidR="00A5613C" w:rsidRPr="00A5613C">
        <w:rPr>
          <w:bCs/>
          <w:i/>
          <w:iCs/>
          <w:szCs w:val="24"/>
        </w:rPr>
        <w:t xml:space="preserve">Smiltēna A., </w:t>
      </w:r>
      <w:proofErr w:type="spellStart"/>
      <w:r w:rsidR="00A5613C" w:rsidRPr="00A5613C">
        <w:rPr>
          <w:bCs/>
          <w:i/>
          <w:iCs/>
          <w:szCs w:val="24"/>
        </w:rPr>
        <w:t>Bloma</w:t>
      </w:r>
      <w:proofErr w:type="spellEnd"/>
      <w:r w:rsidR="00A5613C" w:rsidRPr="00A5613C">
        <w:rPr>
          <w:bCs/>
          <w:i/>
          <w:iCs/>
          <w:szCs w:val="24"/>
        </w:rPr>
        <w:t xml:space="preserve"> I. Tiesību akta projekta ietekmes sākotnējā izvērtēšana. [</w:t>
      </w:r>
      <w:proofErr w:type="spellStart"/>
      <w:r w:rsidR="00A5613C" w:rsidRPr="00A5613C">
        <w:rPr>
          <w:bCs/>
          <w:i/>
          <w:iCs/>
          <w:szCs w:val="24"/>
        </w:rPr>
        <w:t>B.v</w:t>
      </w:r>
      <w:proofErr w:type="spellEnd"/>
      <w:r w:rsidR="00A5613C" w:rsidRPr="00A5613C">
        <w:rPr>
          <w:bCs/>
          <w:i/>
          <w:iCs/>
          <w:szCs w:val="24"/>
        </w:rPr>
        <w:t>.]: Valsts kanceleja, 2014, 17.</w:t>
      </w:r>
      <w:r w:rsidR="00A5613C" w:rsidRPr="007520AD">
        <w:rPr>
          <w:bCs/>
          <w:i/>
          <w:iCs/>
          <w:szCs w:val="24"/>
        </w:rPr>
        <w:t> </w:t>
      </w:r>
      <w:r w:rsidR="00A5613C" w:rsidRPr="00A5613C">
        <w:rPr>
          <w:bCs/>
          <w:i/>
          <w:iCs/>
          <w:szCs w:val="24"/>
        </w:rPr>
        <w:t>lpp.</w:t>
      </w:r>
      <w:r w:rsidR="00A5613C" w:rsidRPr="00A5613C">
        <w:rPr>
          <w:bCs/>
          <w:iCs/>
          <w:szCs w:val="24"/>
        </w:rPr>
        <w:t xml:space="preserve">). </w:t>
      </w:r>
      <w:r w:rsidR="00A5613C" w:rsidRPr="007520AD">
        <w:rPr>
          <w:bCs/>
          <w:iCs/>
          <w:szCs w:val="24"/>
        </w:rPr>
        <w:t>Tieslietu ministrijas ieskatā šobrīd a</w:t>
      </w:r>
      <w:r w:rsidR="00A5613C" w:rsidRPr="00A5613C">
        <w:rPr>
          <w:bCs/>
          <w:iCs/>
          <w:szCs w:val="24"/>
        </w:rPr>
        <w:t>notācijā ir ietverti tikai fragmentāri skaidrojumi, kā arī nav norādītas atšķirības no pastāvošā regulējuma.</w:t>
      </w:r>
      <w:r w:rsidR="00A5613C" w:rsidRPr="007520AD">
        <w:rPr>
          <w:bCs/>
          <w:iCs/>
          <w:szCs w:val="24"/>
        </w:rPr>
        <w:t xml:space="preserve"> </w:t>
      </w:r>
    </w:p>
    <w:p w14:paraId="460C051B" w14:textId="214510D0" w:rsidR="00A5613C" w:rsidRPr="007520AD" w:rsidRDefault="00A5613C" w:rsidP="007520AD">
      <w:pPr>
        <w:ind w:firstLine="720"/>
        <w:rPr>
          <w:color w:val="000000" w:themeColor="text1"/>
          <w:szCs w:val="24"/>
          <w:shd w:val="clear" w:color="auto" w:fill="FFFFFF"/>
        </w:rPr>
      </w:pPr>
      <w:r w:rsidRPr="007520AD">
        <w:rPr>
          <w:bCs/>
          <w:color w:val="000000" w:themeColor="text1"/>
          <w:szCs w:val="24"/>
        </w:rPr>
        <w:t xml:space="preserve">Vienlaikus atzīmējam, ka saskaņā ar </w:t>
      </w:r>
      <w:bookmarkStart w:id="12" w:name="_Hlk78181153"/>
      <w:bookmarkStart w:id="13" w:name="_Hlk77927173"/>
      <w:r w:rsidRPr="007520AD">
        <w:rPr>
          <w:bCs/>
          <w:color w:val="000000" w:themeColor="text1"/>
          <w:szCs w:val="24"/>
        </w:rPr>
        <w:t>Ministru kabineta 2009. gada 15. decembra instrukcijas Nr. 19 "Tiesību akta projekta sākotnējās ietekmes izvērtēšanas kārtība"</w:t>
      </w:r>
      <w:bookmarkEnd w:id="12"/>
      <w:r w:rsidRPr="007520AD">
        <w:rPr>
          <w:bCs/>
          <w:color w:val="000000" w:themeColor="text1"/>
          <w:szCs w:val="24"/>
        </w:rPr>
        <w:t xml:space="preserve"> </w:t>
      </w:r>
      <w:bookmarkEnd w:id="13"/>
      <w:r w:rsidRPr="007520AD">
        <w:rPr>
          <w:bCs/>
          <w:color w:val="000000" w:themeColor="text1"/>
          <w:szCs w:val="24"/>
          <w:shd w:val="clear" w:color="auto" w:fill="FFFFFF"/>
        </w:rPr>
        <w:t>5.</w:t>
      </w:r>
      <w:r w:rsidRPr="007520AD">
        <w:rPr>
          <w:bCs/>
          <w:color w:val="000000" w:themeColor="text1"/>
          <w:szCs w:val="24"/>
          <w:shd w:val="clear" w:color="auto" w:fill="FFFFFF"/>
          <w:vertAlign w:val="superscript"/>
        </w:rPr>
        <w:t>1</w:t>
      </w:r>
      <w:r w:rsidRPr="007520AD">
        <w:rPr>
          <w:bCs/>
          <w:color w:val="000000" w:themeColor="text1"/>
          <w:szCs w:val="24"/>
          <w:shd w:val="clear" w:color="auto" w:fill="FFFFFF"/>
        </w:rPr>
        <w:t> punktu anotācijas kopsavilkumā norāda projekta mērķi, risinājumu un projekta spēkā stāšanās laiku (</w:t>
      </w:r>
      <w:r w:rsidRPr="007520AD">
        <w:rPr>
          <w:bCs/>
          <w:color w:val="000000" w:themeColor="text1"/>
          <w:szCs w:val="24"/>
          <w:u w:val="single"/>
          <w:shd w:val="clear" w:color="auto" w:fill="FFFFFF"/>
        </w:rPr>
        <w:t>nepārsniedzot 500 zīmes bez atstarpēm</w:t>
      </w:r>
      <w:r w:rsidRPr="007520AD">
        <w:rPr>
          <w:bCs/>
          <w:color w:val="000000" w:themeColor="text1"/>
          <w:szCs w:val="24"/>
          <w:shd w:val="clear" w:color="auto" w:fill="FFFFFF"/>
        </w:rPr>
        <w:t>).</w:t>
      </w:r>
      <w:r w:rsidRPr="007520AD">
        <w:rPr>
          <w:color w:val="000000" w:themeColor="text1"/>
          <w:szCs w:val="24"/>
          <w:shd w:val="clear" w:color="auto" w:fill="FFFFFF"/>
        </w:rPr>
        <w:t> </w:t>
      </w:r>
    </w:p>
    <w:p w14:paraId="2FE1D951" w14:textId="19976A29" w:rsidR="00FC3321" w:rsidRPr="007520AD" w:rsidRDefault="00FC3321" w:rsidP="007520AD">
      <w:pPr>
        <w:pStyle w:val="NormalWeb"/>
        <w:spacing w:before="0" w:after="0"/>
        <w:ind w:firstLine="720"/>
        <w:contextualSpacing/>
        <w:jc w:val="both"/>
        <w:rPr>
          <w:iCs/>
        </w:rPr>
      </w:pPr>
      <w:r w:rsidRPr="007520AD">
        <w:rPr>
          <w:iCs/>
        </w:rPr>
        <w:t>Vienlaikus izsakām šādus priekšlikumus:</w:t>
      </w:r>
    </w:p>
    <w:p w14:paraId="46DFBFE9" w14:textId="306139DC" w:rsidR="00D00603" w:rsidRPr="007520AD" w:rsidRDefault="00D00603" w:rsidP="007520AD">
      <w:pPr>
        <w:pStyle w:val="NormalWeb"/>
        <w:numPr>
          <w:ilvl w:val="0"/>
          <w:numId w:val="19"/>
        </w:numPr>
        <w:spacing w:before="0" w:after="0"/>
        <w:contextualSpacing/>
        <w:jc w:val="both"/>
        <w:rPr>
          <w:iCs/>
        </w:rPr>
      </w:pPr>
      <w:r w:rsidRPr="007520AD">
        <w:rPr>
          <w:iCs/>
        </w:rPr>
        <w:t>Likumprojekta 4. pants skaidrības labad būtu precizējams, jo</w:t>
      </w:r>
      <w:r w:rsidR="0042781A" w:rsidRPr="007520AD">
        <w:rPr>
          <w:iCs/>
        </w:rPr>
        <w:t xml:space="preserve"> Tieslietu ministrijas ieskatā</w:t>
      </w:r>
      <w:r w:rsidRPr="007520AD">
        <w:rPr>
          <w:iCs/>
        </w:rPr>
        <w:t xml:space="preserve">, ja </w:t>
      </w:r>
      <w:r w:rsidR="0042781A" w:rsidRPr="007520AD">
        <w:rPr>
          <w:iCs/>
        </w:rPr>
        <w:t xml:space="preserve">attiecībā uz </w:t>
      </w:r>
      <w:r w:rsidRPr="007520AD">
        <w:rPr>
          <w:iCs/>
        </w:rPr>
        <w:t>prec</w:t>
      </w:r>
      <w:r w:rsidR="0042781A" w:rsidRPr="007520AD">
        <w:rPr>
          <w:iCs/>
        </w:rPr>
        <w:t>i</w:t>
      </w:r>
      <w:r w:rsidRPr="007520AD">
        <w:rPr>
          <w:iCs/>
        </w:rPr>
        <w:t xml:space="preserve"> </w:t>
      </w:r>
      <w:r w:rsidR="0042781A" w:rsidRPr="007520AD">
        <w:rPr>
          <w:iCs/>
        </w:rPr>
        <w:t>lieto vārdu "</w:t>
      </w:r>
      <w:r w:rsidRPr="007520AD">
        <w:rPr>
          <w:iCs/>
        </w:rPr>
        <w:t>identiska</w:t>
      </w:r>
      <w:r w:rsidR="0042781A" w:rsidRPr="007520AD">
        <w:rPr>
          <w:iCs/>
        </w:rPr>
        <w:t>"</w:t>
      </w:r>
      <w:r w:rsidRPr="007520AD">
        <w:rPr>
          <w:iCs/>
        </w:rPr>
        <w:t>, ta</w:t>
      </w:r>
      <w:r w:rsidR="0042781A" w:rsidRPr="007520AD">
        <w:rPr>
          <w:iCs/>
        </w:rPr>
        <w:t>d</w:t>
      </w:r>
      <w:r w:rsidRPr="007520AD">
        <w:rPr>
          <w:iCs/>
        </w:rPr>
        <w:t xml:space="preserve"> </w:t>
      </w:r>
      <w:r w:rsidR="0042781A" w:rsidRPr="007520AD">
        <w:rPr>
          <w:iCs/>
        </w:rPr>
        <w:t xml:space="preserve">tas </w:t>
      </w:r>
      <w:r w:rsidRPr="007520AD">
        <w:rPr>
          <w:iCs/>
        </w:rPr>
        <w:t>ir pretrunā ar to, ka tai</w:t>
      </w:r>
      <w:r w:rsidR="0042781A" w:rsidRPr="007520AD">
        <w:rPr>
          <w:iCs/>
        </w:rPr>
        <w:t xml:space="preserve"> tomēr</w:t>
      </w:r>
      <w:r w:rsidRPr="007520AD">
        <w:rPr>
          <w:iCs/>
        </w:rPr>
        <w:t xml:space="preserve"> ir </w:t>
      </w:r>
      <w:r w:rsidR="0042781A" w:rsidRPr="007520AD">
        <w:rPr>
          <w:iCs/>
        </w:rPr>
        <w:t xml:space="preserve">kādas </w:t>
      </w:r>
      <w:r w:rsidRPr="007520AD">
        <w:rPr>
          <w:iCs/>
        </w:rPr>
        <w:t xml:space="preserve">atšķirīgas īpatnības. Iespējams labāk būtu noteikt, ka prece tiek reklamēta/piedāvāta </w:t>
      </w:r>
      <w:r w:rsidRPr="007520AD">
        <w:rPr>
          <w:iCs/>
          <w:u w:val="single"/>
        </w:rPr>
        <w:t>kā</w:t>
      </w:r>
      <w:r w:rsidRPr="007520AD">
        <w:rPr>
          <w:iCs/>
        </w:rPr>
        <w:t xml:space="preserve"> identiska</w:t>
      </w:r>
      <w:r w:rsidR="007520AD" w:rsidRPr="007520AD">
        <w:rPr>
          <w:iCs/>
        </w:rPr>
        <w:t xml:space="preserve">, līdzīgi kā tas formulēts Direktīvas 6. pantā - "gadījumiem, kad preces tiek tirgotas </w:t>
      </w:r>
      <w:r w:rsidR="007520AD" w:rsidRPr="007520AD">
        <w:rPr>
          <w:iCs/>
          <w:u w:val="single"/>
        </w:rPr>
        <w:t>kā</w:t>
      </w:r>
      <w:r w:rsidR="007520AD" w:rsidRPr="007520AD">
        <w:rPr>
          <w:iCs/>
        </w:rPr>
        <w:t xml:space="preserve"> identiskas, bet tām ir ievērojami atšķirīgs sastāvs vai īpašības".</w:t>
      </w:r>
    </w:p>
    <w:p w14:paraId="0ABFB38B" w14:textId="6DE54CFF" w:rsidR="00F03246" w:rsidRPr="007520AD" w:rsidRDefault="00E50F26" w:rsidP="007520AD">
      <w:pPr>
        <w:pStyle w:val="NormalWeb"/>
        <w:numPr>
          <w:ilvl w:val="0"/>
          <w:numId w:val="19"/>
        </w:numPr>
        <w:spacing w:before="0" w:after="0"/>
        <w:contextualSpacing/>
        <w:jc w:val="both"/>
        <w:rPr>
          <w:iCs/>
        </w:rPr>
      </w:pPr>
      <w:r w:rsidRPr="007520AD">
        <w:rPr>
          <w:iCs/>
        </w:rPr>
        <w:t xml:space="preserve">Likumprojekta 6. pantā citastarp paredzēts papildināt Likuma 11. pantu ar 25. punktu. Lūdzam salāgot šī punkta redakciju ar Likuma 11. panta redakciju, jo šobrīd </w:t>
      </w:r>
      <w:r w:rsidR="007520AD" w:rsidRPr="007520AD">
        <w:rPr>
          <w:iCs/>
        </w:rPr>
        <w:t xml:space="preserve">plānotie </w:t>
      </w:r>
      <w:r w:rsidRPr="007520AD">
        <w:rPr>
          <w:iCs/>
        </w:rPr>
        <w:t xml:space="preserve">grozījumi loģiski un pareizi neiekļaujas </w:t>
      </w:r>
      <w:r w:rsidR="007520AD" w:rsidRPr="007520AD">
        <w:rPr>
          <w:iCs/>
        </w:rPr>
        <w:t>L</w:t>
      </w:r>
      <w:r w:rsidRPr="007520AD">
        <w:rPr>
          <w:iCs/>
        </w:rPr>
        <w:t xml:space="preserve">ikuma tekstā. </w:t>
      </w:r>
    </w:p>
    <w:p w14:paraId="35F17427" w14:textId="79B21F2F" w:rsidR="007520AD" w:rsidRPr="007520AD" w:rsidRDefault="00136CA4" w:rsidP="007520AD">
      <w:pPr>
        <w:pStyle w:val="NormalWeb"/>
        <w:numPr>
          <w:ilvl w:val="0"/>
          <w:numId w:val="19"/>
        </w:numPr>
        <w:spacing w:before="0" w:after="0"/>
        <w:contextualSpacing/>
        <w:jc w:val="both"/>
        <w:rPr>
          <w:iCs/>
        </w:rPr>
      </w:pPr>
      <w:r w:rsidRPr="007520AD">
        <w:rPr>
          <w:iCs/>
        </w:rPr>
        <w:t xml:space="preserve">Lūdzam izvērtēt, vai skaidrības labad Likumprojekta 6. panta (plānotais </w:t>
      </w:r>
      <w:r w:rsidR="007520AD" w:rsidRPr="007520AD">
        <w:rPr>
          <w:iCs/>
        </w:rPr>
        <w:t xml:space="preserve">Likuma </w:t>
      </w:r>
      <w:r w:rsidRPr="007520AD">
        <w:rPr>
          <w:iCs/>
        </w:rPr>
        <w:t xml:space="preserve">11. panta 26. punkts) redakciju nevajadzētu precizēt vārda "attiecīgie" vietā lietojot, piemēram, vārdu "šādi". Tieslietu ministrijas ieskatā Direktīvas 3. pantā (13. pants 23.b punkts) lietotā redakcija ir nedaudz skaidrāka attiecībā uz to, kas tieši komercprakses īstenotājam jāpārbauda, proti, nevis patērētāju identitāte, bet gan tas, vai viņi tiešām preci lietojuši. </w:t>
      </w:r>
    </w:p>
    <w:p w14:paraId="5541A0FE" w14:textId="53B81548" w:rsidR="002507F5" w:rsidRPr="007520AD" w:rsidRDefault="007520AD" w:rsidP="007520AD">
      <w:pPr>
        <w:pStyle w:val="NormalWeb"/>
        <w:numPr>
          <w:ilvl w:val="0"/>
          <w:numId w:val="19"/>
        </w:numPr>
        <w:spacing w:before="0" w:after="0"/>
        <w:contextualSpacing/>
        <w:jc w:val="both"/>
        <w:rPr>
          <w:iCs/>
        </w:rPr>
      </w:pPr>
      <w:r w:rsidRPr="007520AD">
        <w:rPr>
          <w:iCs/>
        </w:rPr>
        <w:t>Lūdzam izvērtēt, vai anotācijas II sadaļas 1. punkts nav papildināms, ņemot vērā, ka Ministru kabineta 2009. gada 15. decembra instrukcijas Nr. 19 "Tiesību akta projekta sākotnējās ietekmes izvērtēšanas kārtība" 20. punktā noteikts, ka anotācijas II sadaļas 1. punktā norāda visas sabiedrības mērķgrupas, uz kurām attiecināms projekta tiesiskais regulējums tiešā un netiešā veidā, t.i., kuru tiesības, pienākumus, finanses vai iespējas projekts ietekmē vai varētu ietekmēt, un ar sabiedrības mērķgrupu saprot jebkuru fizisku vai juridisku personu grupu. Konkrētajā gadījumā būtu nepieciešams izvērtēt, vai skartā sabiedrības mērķgrupa nav arī patērētāji.</w:t>
      </w:r>
    </w:p>
    <w:p w14:paraId="052725FB" w14:textId="41633507" w:rsidR="00267A16" w:rsidRPr="007520AD" w:rsidRDefault="00267A16" w:rsidP="0035054E">
      <w:pPr>
        <w:tabs>
          <w:tab w:val="left" w:pos="9356"/>
        </w:tabs>
        <w:rPr>
          <w:szCs w:val="24"/>
        </w:rPr>
      </w:pPr>
    </w:p>
    <w:p w14:paraId="15F61733" w14:textId="1CE4C836" w:rsidR="007520AD" w:rsidRPr="007520AD" w:rsidRDefault="007520AD" w:rsidP="0035054E">
      <w:pPr>
        <w:tabs>
          <w:tab w:val="left" w:pos="9356"/>
        </w:tabs>
        <w:rPr>
          <w:szCs w:val="24"/>
        </w:rPr>
      </w:pPr>
    </w:p>
    <w:p w14:paraId="0FE17A70" w14:textId="77777777" w:rsidR="007520AD" w:rsidRPr="007520AD" w:rsidRDefault="007520AD" w:rsidP="0035054E">
      <w:pPr>
        <w:tabs>
          <w:tab w:val="left" w:pos="9356"/>
        </w:tabs>
        <w:rPr>
          <w:szCs w:val="24"/>
        </w:rPr>
      </w:pPr>
    </w:p>
    <w:p w14:paraId="51CA1414" w14:textId="4ABB3577" w:rsidR="002507F5" w:rsidRPr="007520AD" w:rsidRDefault="002507F5" w:rsidP="0035054E">
      <w:pPr>
        <w:ind w:right="296"/>
        <w:contextualSpacing/>
        <w:rPr>
          <w:szCs w:val="24"/>
        </w:rPr>
      </w:pPr>
      <w:r w:rsidRPr="007520AD">
        <w:rPr>
          <w:szCs w:val="24"/>
        </w:rPr>
        <w:t>Valsts sekretāra vietnie</w:t>
      </w:r>
      <w:r w:rsidR="00EF72D2" w:rsidRPr="007520AD">
        <w:rPr>
          <w:szCs w:val="24"/>
        </w:rPr>
        <w:t>ce</w:t>
      </w:r>
    </w:p>
    <w:p w14:paraId="50711B02" w14:textId="3F880F19" w:rsidR="002507F5" w:rsidRPr="007520AD" w:rsidRDefault="002507F5" w:rsidP="0035054E">
      <w:pPr>
        <w:pStyle w:val="NoSpacing"/>
        <w:tabs>
          <w:tab w:val="right" w:pos="9072"/>
        </w:tabs>
        <w:ind w:right="12"/>
        <w:contextualSpacing/>
        <w:rPr>
          <w:szCs w:val="24"/>
        </w:rPr>
      </w:pPr>
      <w:r w:rsidRPr="007520AD">
        <w:rPr>
          <w:szCs w:val="24"/>
        </w:rPr>
        <w:t>tiesību politikas jautājumos</w:t>
      </w:r>
      <w:r w:rsidRPr="007520AD">
        <w:rPr>
          <w:szCs w:val="24"/>
        </w:rPr>
        <w:tab/>
      </w:r>
      <w:r w:rsidR="00033D29" w:rsidRPr="007520AD">
        <w:rPr>
          <w:szCs w:val="24"/>
        </w:rPr>
        <w:t xml:space="preserve"> </w:t>
      </w:r>
      <w:r w:rsidR="00EF72D2" w:rsidRPr="007520AD">
        <w:rPr>
          <w:szCs w:val="24"/>
        </w:rPr>
        <w:t>Laila</w:t>
      </w:r>
      <w:r w:rsidR="00FB2F88" w:rsidRPr="007520AD">
        <w:rPr>
          <w:szCs w:val="24"/>
        </w:rPr>
        <w:t xml:space="preserve"> </w:t>
      </w:r>
      <w:r w:rsidR="00EF72D2" w:rsidRPr="007520AD">
        <w:rPr>
          <w:szCs w:val="24"/>
        </w:rPr>
        <w:t>Medina</w:t>
      </w:r>
      <w:r w:rsidRPr="007520AD">
        <w:rPr>
          <w:szCs w:val="24"/>
        </w:rPr>
        <w:t xml:space="preserve"> </w:t>
      </w:r>
    </w:p>
    <w:p w14:paraId="1E25EA1B" w14:textId="77777777" w:rsidR="002507F5" w:rsidRPr="0038674A" w:rsidRDefault="002507F5" w:rsidP="0035054E"/>
    <w:p w14:paraId="2F92C123" w14:textId="77777777" w:rsidR="002507F5" w:rsidRDefault="002507F5" w:rsidP="002507F5">
      <w:pPr>
        <w:pStyle w:val="NoSpacing"/>
        <w:tabs>
          <w:tab w:val="left" w:pos="7675"/>
        </w:tabs>
        <w:rPr>
          <w:sz w:val="20"/>
          <w:szCs w:val="20"/>
        </w:rPr>
      </w:pPr>
    </w:p>
    <w:p w14:paraId="2C081F74" w14:textId="77777777" w:rsidR="002507F5" w:rsidRPr="00081F6F" w:rsidRDefault="007B56E7" w:rsidP="002507F5">
      <w:pPr>
        <w:pStyle w:val="NoSpacing"/>
        <w:tabs>
          <w:tab w:val="left" w:pos="7675"/>
        </w:tabs>
        <w:rPr>
          <w:sz w:val="20"/>
          <w:szCs w:val="20"/>
        </w:rPr>
      </w:pPr>
      <w:r>
        <w:rPr>
          <w:sz w:val="20"/>
          <w:szCs w:val="20"/>
        </w:rPr>
        <w:t>Ieva</w:t>
      </w:r>
      <w:r w:rsidR="002507F5" w:rsidRPr="00081F6F">
        <w:rPr>
          <w:sz w:val="20"/>
          <w:szCs w:val="20"/>
        </w:rPr>
        <w:t xml:space="preserve"> </w:t>
      </w:r>
      <w:r>
        <w:rPr>
          <w:sz w:val="20"/>
          <w:szCs w:val="20"/>
        </w:rPr>
        <w:t>Deksne</w:t>
      </w:r>
      <w:r w:rsidR="002507F5" w:rsidRPr="00081F6F">
        <w:rPr>
          <w:sz w:val="20"/>
          <w:szCs w:val="20"/>
        </w:rPr>
        <w:t>, juriste</w:t>
      </w:r>
    </w:p>
    <w:p w14:paraId="783EE78C" w14:textId="5D2BD7E7" w:rsidR="00833BEF" w:rsidRPr="001C0DDC" w:rsidRDefault="002507F5" w:rsidP="00833BEF">
      <w:bookmarkStart w:id="14" w:name="_Hlk49954785"/>
      <w:r w:rsidRPr="00081F6F">
        <w:rPr>
          <w:sz w:val="20"/>
          <w:szCs w:val="20"/>
        </w:rPr>
        <w:t xml:space="preserve">67036856, </w:t>
      </w:r>
      <w:hyperlink r:id="rId8" w:history="1">
        <w:r w:rsidR="007B56E7" w:rsidRPr="005C4D70">
          <w:rPr>
            <w:rStyle w:val="Hyperlink"/>
            <w:sz w:val="20"/>
            <w:szCs w:val="20"/>
          </w:rPr>
          <w:t>Ieva.Deksne@tm.gov.lv</w:t>
        </w:r>
      </w:hyperlink>
      <w:bookmarkEnd w:id="0"/>
      <w:r w:rsidR="000F6360">
        <w:tab/>
      </w:r>
      <w:bookmarkEnd w:id="1"/>
      <w:bookmarkEnd w:id="14"/>
    </w:p>
    <w:p w14:paraId="331C56A2" w14:textId="7606AE41" w:rsidR="00833BEF" w:rsidRDefault="00833BEF" w:rsidP="00833BEF">
      <w:pPr>
        <w:rPr>
          <w:sz w:val="18"/>
          <w:szCs w:val="18"/>
        </w:rPr>
      </w:pPr>
      <w:r w:rsidRPr="00833BEF">
        <w:rPr>
          <w:sz w:val="18"/>
          <w:szCs w:val="18"/>
        </w:rPr>
        <w:t>Ķupe 67036937</w:t>
      </w:r>
    </w:p>
    <w:p w14:paraId="296D13A2" w14:textId="2045DC2C" w:rsidR="00833BEF" w:rsidRPr="00833BEF" w:rsidRDefault="00833BEF" w:rsidP="00833BEF">
      <w:pPr>
        <w:rPr>
          <w:sz w:val="18"/>
          <w:szCs w:val="18"/>
        </w:rPr>
      </w:pPr>
      <w:r w:rsidRPr="00833BEF">
        <w:rPr>
          <w:sz w:val="18"/>
          <w:szCs w:val="18"/>
        </w:rPr>
        <w:t>Vilcāns 67036901</w:t>
      </w:r>
    </w:p>
    <w:p w14:paraId="0C186921" w14:textId="1F85C8F8" w:rsidR="001A45BB" w:rsidRDefault="001A45BB" w:rsidP="000100AC"/>
    <w:p w14:paraId="490EBDB0" w14:textId="77777777" w:rsidR="00EF72D2" w:rsidRPr="00EF72D2" w:rsidRDefault="00EF72D2" w:rsidP="00EF72D2">
      <w:pPr>
        <w:rPr>
          <w:rStyle w:val="Hyperlink"/>
          <w:sz w:val="20"/>
          <w:szCs w:val="20"/>
        </w:rPr>
      </w:pPr>
    </w:p>
    <w:p w14:paraId="5CB40931" w14:textId="77777777" w:rsidR="00954D7F" w:rsidRPr="00954D7F" w:rsidRDefault="00954D7F" w:rsidP="00D34033">
      <w:pPr>
        <w:rPr>
          <w:sz w:val="20"/>
          <w:szCs w:val="20"/>
        </w:rPr>
      </w:pPr>
    </w:p>
    <w:sectPr w:rsidR="00954D7F" w:rsidRPr="00954D7F" w:rsidSect="00810CE3">
      <w:headerReference w:type="default"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A9FE4" w14:textId="77777777" w:rsidR="00E24FA6" w:rsidRDefault="00E24FA6" w:rsidP="002507F5">
      <w:r>
        <w:separator/>
      </w:r>
    </w:p>
  </w:endnote>
  <w:endnote w:type="continuationSeparator" w:id="0">
    <w:p w14:paraId="49BB87F9" w14:textId="77777777" w:rsidR="00E24FA6" w:rsidRDefault="00E24FA6" w:rsidP="0025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B3E72" w14:textId="37400000" w:rsidR="00810CE3" w:rsidRPr="00A06269" w:rsidRDefault="00810CE3" w:rsidP="00810CE3">
    <w:pPr>
      <w:pStyle w:val="Heading3"/>
      <w:shd w:val="clear" w:color="auto" w:fill="FFFFFF"/>
      <w:jc w:val="both"/>
      <w:rPr>
        <w:b w:val="0"/>
        <w:sz w:val="20"/>
        <w:szCs w:val="20"/>
      </w:rPr>
    </w:pPr>
    <w:r w:rsidRPr="00A06269">
      <w:rPr>
        <w:b w:val="0"/>
        <w:sz w:val="20"/>
        <w:szCs w:val="20"/>
      </w:rPr>
      <w:t>TMAtz_</w:t>
    </w:r>
    <w:r w:rsidR="00BA5333">
      <w:rPr>
        <w:b w:val="0"/>
        <w:sz w:val="20"/>
        <w:szCs w:val="20"/>
      </w:rPr>
      <w:t>2</w:t>
    </w:r>
    <w:r w:rsidR="00833BEF">
      <w:rPr>
        <w:b w:val="0"/>
        <w:sz w:val="20"/>
        <w:szCs w:val="20"/>
      </w:rPr>
      <w:t>6</w:t>
    </w:r>
    <w:r>
      <w:rPr>
        <w:b w:val="0"/>
        <w:sz w:val="20"/>
        <w:szCs w:val="20"/>
      </w:rPr>
      <w:t>0</w:t>
    </w:r>
    <w:r w:rsidR="00BA5333">
      <w:rPr>
        <w:b w:val="0"/>
        <w:sz w:val="20"/>
        <w:szCs w:val="20"/>
      </w:rPr>
      <w:t>7</w:t>
    </w:r>
    <w:r w:rsidRPr="00A06269">
      <w:rPr>
        <w:b w:val="0"/>
        <w:sz w:val="20"/>
        <w:szCs w:val="20"/>
      </w:rPr>
      <w:t>2</w:t>
    </w:r>
    <w:r w:rsidR="00BA5333">
      <w:rPr>
        <w:b w:val="0"/>
        <w:sz w:val="20"/>
        <w:szCs w:val="20"/>
      </w:rPr>
      <w:t>1</w:t>
    </w:r>
    <w:r w:rsidRPr="00A06269">
      <w:rPr>
        <w:b w:val="0"/>
        <w:sz w:val="20"/>
        <w:szCs w:val="20"/>
      </w:rPr>
      <w:t>_</w:t>
    </w:r>
    <w:r w:rsidR="00691AA7">
      <w:rPr>
        <w:b w:val="0"/>
        <w:sz w:val="20"/>
        <w:szCs w:val="20"/>
      </w:rPr>
      <w:t>EM</w:t>
    </w:r>
    <w:r w:rsidRPr="00A06269">
      <w:rPr>
        <w:b w:val="0"/>
        <w:sz w:val="20"/>
        <w:szCs w:val="20"/>
      </w:rPr>
      <w:t>_VSS</w:t>
    </w:r>
    <w:r>
      <w:rPr>
        <w:b w:val="0"/>
        <w:sz w:val="20"/>
        <w:szCs w:val="20"/>
      </w:rPr>
      <w:t>_6</w:t>
    </w:r>
    <w:r w:rsidR="00BA5333">
      <w:rPr>
        <w:b w:val="0"/>
        <w:sz w:val="20"/>
        <w:szCs w:val="20"/>
      </w:rPr>
      <w:t>3</w:t>
    </w:r>
    <w:r>
      <w:rPr>
        <w:b w:val="0"/>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C9C0F" w14:textId="1A2A6EF3" w:rsidR="00810CE3" w:rsidRPr="00A06269" w:rsidRDefault="00810CE3" w:rsidP="00810CE3">
    <w:pPr>
      <w:pStyle w:val="Heading3"/>
      <w:shd w:val="clear" w:color="auto" w:fill="FFFFFF"/>
      <w:jc w:val="both"/>
      <w:rPr>
        <w:b w:val="0"/>
        <w:sz w:val="20"/>
        <w:szCs w:val="20"/>
      </w:rPr>
    </w:pPr>
    <w:r w:rsidRPr="00A06269">
      <w:rPr>
        <w:b w:val="0"/>
        <w:sz w:val="20"/>
        <w:szCs w:val="20"/>
      </w:rPr>
      <w:t>TMAtz_</w:t>
    </w:r>
    <w:r w:rsidR="00BA5333">
      <w:rPr>
        <w:b w:val="0"/>
        <w:sz w:val="20"/>
        <w:szCs w:val="20"/>
      </w:rPr>
      <w:t>2</w:t>
    </w:r>
    <w:r w:rsidR="00833BEF">
      <w:rPr>
        <w:b w:val="0"/>
        <w:sz w:val="20"/>
        <w:szCs w:val="20"/>
      </w:rPr>
      <w:t>6</w:t>
    </w:r>
    <w:r>
      <w:rPr>
        <w:b w:val="0"/>
        <w:sz w:val="20"/>
        <w:szCs w:val="20"/>
      </w:rPr>
      <w:t>0</w:t>
    </w:r>
    <w:r w:rsidR="00BA5333">
      <w:rPr>
        <w:b w:val="0"/>
        <w:sz w:val="20"/>
        <w:szCs w:val="20"/>
      </w:rPr>
      <w:t>7</w:t>
    </w:r>
    <w:r>
      <w:rPr>
        <w:b w:val="0"/>
        <w:sz w:val="20"/>
        <w:szCs w:val="20"/>
      </w:rPr>
      <w:t>2</w:t>
    </w:r>
    <w:r w:rsidR="00BA5333">
      <w:rPr>
        <w:b w:val="0"/>
        <w:sz w:val="20"/>
        <w:szCs w:val="20"/>
      </w:rPr>
      <w:t>1</w:t>
    </w:r>
    <w:r w:rsidRPr="00A06269">
      <w:rPr>
        <w:b w:val="0"/>
        <w:sz w:val="20"/>
        <w:szCs w:val="20"/>
      </w:rPr>
      <w:t>_</w:t>
    </w:r>
    <w:r w:rsidR="00691AA7">
      <w:rPr>
        <w:b w:val="0"/>
        <w:sz w:val="20"/>
        <w:szCs w:val="20"/>
      </w:rPr>
      <w:t>E</w:t>
    </w:r>
    <w:r>
      <w:rPr>
        <w:b w:val="0"/>
        <w:sz w:val="20"/>
        <w:szCs w:val="20"/>
      </w:rPr>
      <w:t>M</w:t>
    </w:r>
    <w:r w:rsidRPr="00A06269">
      <w:rPr>
        <w:b w:val="0"/>
        <w:sz w:val="20"/>
        <w:szCs w:val="20"/>
      </w:rPr>
      <w:t>_VSS_</w:t>
    </w:r>
    <w:r>
      <w:rPr>
        <w:b w:val="0"/>
        <w:sz w:val="20"/>
        <w:szCs w:val="20"/>
      </w:rPr>
      <w:t>6</w:t>
    </w:r>
    <w:r w:rsidR="00BA5333">
      <w:rPr>
        <w:b w:val="0"/>
        <w:sz w:val="20"/>
        <w:szCs w:val="20"/>
      </w:rPr>
      <w:t>3</w:t>
    </w:r>
    <w:r>
      <w:rPr>
        <w:b w:val="0"/>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8493F" w14:textId="77777777" w:rsidR="00E24FA6" w:rsidRDefault="00E24FA6" w:rsidP="002507F5">
      <w:r>
        <w:separator/>
      </w:r>
    </w:p>
  </w:footnote>
  <w:footnote w:type="continuationSeparator" w:id="0">
    <w:p w14:paraId="65C14AD6" w14:textId="77777777" w:rsidR="00E24FA6" w:rsidRDefault="00E24FA6" w:rsidP="00250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14:paraId="4991C697" w14:textId="77777777" w:rsidR="00810CE3" w:rsidRDefault="00810CE3">
        <w:pPr>
          <w:pStyle w:val="Header"/>
          <w:jc w:val="center"/>
        </w:pPr>
        <w:r>
          <w:fldChar w:fldCharType="begin"/>
        </w:r>
        <w:r>
          <w:instrText>PAGE   \* MERGEFORMAT</w:instrText>
        </w:r>
        <w:r>
          <w:fldChar w:fldCharType="separate"/>
        </w:r>
        <w:r>
          <w:rPr>
            <w:noProof/>
          </w:rPr>
          <w:t>2</w:t>
        </w:r>
        <w:r>
          <w:fldChar w:fldCharType="end"/>
        </w:r>
      </w:p>
    </w:sdtContent>
  </w:sdt>
  <w:p w14:paraId="787C7534" w14:textId="77777777" w:rsidR="00810CE3" w:rsidRDefault="00810C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84E87" w14:textId="77777777" w:rsidR="00810CE3" w:rsidRDefault="00810CE3" w:rsidP="00810CE3">
    <w:pPr>
      <w:pStyle w:val="Header"/>
    </w:pPr>
  </w:p>
  <w:p w14:paraId="5E698F5F" w14:textId="77777777" w:rsidR="00810CE3" w:rsidRDefault="00810CE3" w:rsidP="00810CE3">
    <w:pPr>
      <w:pStyle w:val="Header"/>
    </w:pPr>
    <w:r>
      <w:rPr>
        <w:noProof/>
        <w:lang w:eastAsia="lv-LV"/>
      </w:rPr>
      <w:drawing>
        <wp:anchor distT="0" distB="0" distL="114300" distR="114300" simplePos="0" relativeHeight="251661312" behindDoc="1" locked="0" layoutInCell="1" allowOverlap="1" wp14:anchorId="41DB370D" wp14:editId="11DBCB6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E12F2" w14:textId="77777777" w:rsidR="00810CE3" w:rsidRDefault="00810CE3" w:rsidP="00810CE3">
    <w:pPr>
      <w:pStyle w:val="Header"/>
    </w:pPr>
  </w:p>
  <w:p w14:paraId="3B1982D0" w14:textId="77777777" w:rsidR="00810CE3" w:rsidRDefault="00810CE3" w:rsidP="00810CE3">
    <w:pPr>
      <w:pStyle w:val="Header"/>
    </w:pPr>
  </w:p>
  <w:p w14:paraId="5CBC488B" w14:textId="77777777" w:rsidR="00810CE3" w:rsidRDefault="00810CE3" w:rsidP="00810CE3">
    <w:pPr>
      <w:pStyle w:val="Header"/>
    </w:pPr>
  </w:p>
  <w:p w14:paraId="3E37D450" w14:textId="77777777" w:rsidR="00810CE3" w:rsidRDefault="00810CE3" w:rsidP="00810CE3">
    <w:pPr>
      <w:pStyle w:val="Header"/>
    </w:pPr>
  </w:p>
  <w:p w14:paraId="7ED8D667" w14:textId="77777777" w:rsidR="00810CE3" w:rsidRDefault="00810CE3" w:rsidP="00810CE3">
    <w:pPr>
      <w:pStyle w:val="Header"/>
    </w:pPr>
  </w:p>
  <w:p w14:paraId="5FA62959" w14:textId="77777777" w:rsidR="00810CE3" w:rsidRDefault="00810CE3" w:rsidP="00810CE3">
    <w:pPr>
      <w:pStyle w:val="Header"/>
    </w:pPr>
  </w:p>
  <w:p w14:paraId="048D25F5" w14:textId="77777777" w:rsidR="00810CE3" w:rsidRDefault="00810CE3" w:rsidP="00810CE3">
    <w:pPr>
      <w:pStyle w:val="Header"/>
    </w:pPr>
  </w:p>
  <w:p w14:paraId="35F5EDB0" w14:textId="77777777" w:rsidR="00810CE3" w:rsidRDefault="00810CE3" w:rsidP="00810CE3">
    <w:pPr>
      <w:pStyle w:val="Header"/>
    </w:pPr>
  </w:p>
  <w:p w14:paraId="36AC4FEE" w14:textId="77777777" w:rsidR="00810CE3" w:rsidRPr="00815277" w:rsidRDefault="00810CE3" w:rsidP="00810CE3">
    <w:pPr>
      <w:pStyle w:val="Header"/>
    </w:pPr>
    <w:r>
      <w:rPr>
        <w:noProof/>
        <w:lang w:eastAsia="lv-LV"/>
      </w:rPr>
      <mc:AlternateContent>
        <mc:Choice Requires="wps">
          <w:drawing>
            <wp:anchor distT="0" distB="0" distL="114300" distR="114300" simplePos="0" relativeHeight="251660288" behindDoc="1" locked="0" layoutInCell="1" allowOverlap="1" wp14:anchorId="38164A64" wp14:editId="4A30A55C">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C98B" w14:textId="77777777" w:rsidR="00810CE3" w:rsidRPr="006C6018" w:rsidRDefault="00810CE3" w:rsidP="00810CE3">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F60CD2F" w14:textId="77777777" w:rsidR="00810CE3" w:rsidRPr="006C6018" w:rsidRDefault="00810CE3" w:rsidP="00810CE3">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shapetype id="_x0000_t202" coordsize="21600,21600" o:spt="202" path="m,l,21600r21600,l21600,xe" w14:anchorId="38164A64">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810CE3" w:rsidP="00810CE3" w:rsidRDefault="00810CE3" w14:paraId="6CA0C98B"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810CE3" w:rsidP="00810CE3" w:rsidRDefault="00810CE3" w14:paraId="6F60CD2F" w14:textId="77777777">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7449BC1" wp14:editId="2E181315">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513BEAC7">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B8332E2" w14:textId="77777777" w:rsidR="00810CE3" w:rsidRPr="00C836FF" w:rsidRDefault="00810CE3" w:rsidP="00810CE3">
    <w:pPr>
      <w:jc w:val="center"/>
      <w:rPr>
        <w:szCs w:val="24"/>
      </w:rPr>
    </w:pPr>
    <w:r w:rsidRPr="00C836FF">
      <w:rPr>
        <w:szCs w:val="24"/>
      </w:rPr>
      <w:t>Rīgā</w:t>
    </w:r>
  </w:p>
  <w:p w14:paraId="4343BE46" w14:textId="77777777" w:rsidR="00810CE3" w:rsidRPr="00C836FF" w:rsidRDefault="00810CE3" w:rsidP="00810CE3">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810CE3" w14:paraId="563747CF" w14:textId="77777777" w:rsidTr="00810CE3">
      <w:tc>
        <w:tcPr>
          <w:tcW w:w="1810" w:type="dxa"/>
        </w:tcPr>
        <w:p w14:paraId="18E769C9" w14:textId="77777777" w:rsidR="00810CE3" w:rsidRDefault="00810CE3" w:rsidP="00810CE3">
          <w:pPr>
            <w:pStyle w:val="Header"/>
            <w:jc w:val="center"/>
            <w:rPr>
              <w:szCs w:val="24"/>
            </w:rPr>
          </w:pPr>
          <w:r>
            <w:t>26.07.2021</w:t>
          </w:r>
        </w:p>
      </w:tc>
      <w:tc>
        <w:tcPr>
          <w:tcW w:w="420" w:type="dxa"/>
          <w:tcBorders>
            <w:bottom w:val="nil"/>
          </w:tcBorders>
        </w:tcPr>
        <w:p w14:paraId="00D1FC25" w14:textId="77777777" w:rsidR="00810CE3" w:rsidRDefault="00810CE3" w:rsidP="00810CE3">
          <w:pPr>
            <w:pStyle w:val="Header"/>
            <w:rPr>
              <w:szCs w:val="24"/>
            </w:rPr>
          </w:pPr>
          <w:r>
            <w:rPr>
              <w:szCs w:val="24"/>
            </w:rPr>
            <w:t xml:space="preserve"> Nr.</w:t>
          </w:r>
        </w:p>
      </w:tc>
      <w:tc>
        <w:tcPr>
          <w:tcW w:w="1890" w:type="dxa"/>
        </w:tcPr>
        <w:p w14:paraId="12C2CCCB" w14:textId="77777777" w:rsidR="00810CE3" w:rsidRDefault="00810CE3" w:rsidP="00810CE3">
          <w:pPr>
            <w:pStyle w:val="Header"/>
            <w:jc w:val="center"/>
            <w:rPr>
              <w:szCs w:val="24"/>
            </w:rPr>
          </w:pPr>
          <w:r>
            <w:t>1-9.1/845</w:t>
          </w:r>
        </w:p>
      </w:tc>
    </w:tr>
  </w:tbl>
  <w:p w14:paraId="21CAC128" w14:textId="77777777" w:rsidR="00810CE3" w:rsidRPr="000B1FEC" w:rsidRDefault="00810CE3" w:rsidP="00810CE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F31D4"/>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7C36818"/>
    <w:multiLevelType w:val="hybridMultilevel"/>
    <w:tmpl w:val="C00C3FDC"/>
    <w:lvl w:ilvl="0" w:tplc="B1CA1958">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E9556C"/>
    <w:multiLevelType w:val="hybridMultilevel"/>
    <w:tmpl w:val="C852862A"/>
    <w:lvl w:ilvl="0" w:tplc="8502465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67F46E7"/>
    <w:multiLevelType w:val="hybridMultilevel"/>
    <w:tmpl w:val="69F42210"/>
    <w:lvl w:ilvl="0" w:tplc="AB64977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B028AA"/>
    <w:multiLevelType w:val="hybridMultilevel"/>
    <w:tmpl w:val="F7DA113E"/>
    <w:lvl w:ilvl="0" w:tplc="4A0C43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ED5D29"/>
    <w:multiLevelType w:val="hybridMultilevel"/>
    <w:tmpl w:val="144AC2E2"/>
    <w:lvl w:ilvl="0" w:tplc="72324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A382EA5"/>
    <w:multiLevelType w:val="hybridMultilevel"/>
    <w:tmpl w:val="D7821EC0"/>
    <w:lvl w:ilvl="0" w:tplc="9F3AFCC8">
      <w:start w:val="4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8CE5218"/>
    <w:multiLevelType w:val="hybridMultilevel"/>
    <w:tmpl w:val="A0B239FE"/>
    <w:lvl w:ilvl="0" w:tplc="76D0AF0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C5C3801"/>
    <w:multiLevelType w:val="hybridMultilevel"/>
    <w:tmpl w:val="9BCEC2C4"/>
    <w:lvl w:ilvl="0" w:tplc="6A72F6A4">
      <w:start w:val="1"/>
      <w:numFmt w:val="decimal"/>
      <w:suff w:val="space"/>
      <w:lvlText w:val="%1."/>
      <w:lvlJc w:val="left"/>
      <w:pPr>
        <w:ind w:left="0" w:firstLine="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549350F3"/>
    <w:multiLevelType w:val="hybridMultilevel"/>
    <w:tmpl w:val="59243572"/>
    <w:lvl w:ilvl="0" w:tplc="7A8CE2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8516F3D"/>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628F5D8B"/>
    <w:multiLevelType w:val="hybridMultilevel"/>
    <w:tmpl w:val="00BA5700"/>
    <w:lvl w:ilvl="0" w:tplc="F0B28A9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59A1116"/>
    <w:multiLevelType w:val="hybridMultilevel"/>
    <w:tmpl w:val="348E7D9A"/>
    <w:lvl w:ilvl="0" w:tplc="F1726C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6157670"/>
    <w:multiLevelType w:val="hybridMultilevel"/>
    <w:tmpl w:val="8C2AC04A"/>
    <w:lvl w:ilvl="0" w:tplc="CD0025E8">
      <w:start w:val="1"/>
      <w:numFmt w:val="decimal"/>
      <w:suff w:val="space"/>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C1D6BA2"/>
    <w:multiLevelType w:val="hybridMultilevel"/>
    <w:tmpl w:val="4EFC8C52"/>
    <w:lvl w:ilvl="0" w:tplc="D40EAE6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6FB46DF"/>
    <w:multiLevelType w:val="hybridMultilevel"/>
    <w:tmpl w:val="7D5EEF5E"/>
    <w:lvl w:ilvl="0" w:tplc="6B5ADD4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8C919B6"/>
    <w:multiLevelType w:val="hybridMultilevel"/>
    <w:tmpl w:val="C524AF2C"/>
    <w:lvl w:ilvl="0" w:tplc="0F36E09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1"/>
  </w:num>
  <w:num w:numId="8">
    <w:abstractNumId w:val="12"/>
  </w:num>
  <w:num w:numId="9">
    <w:abstractNumId w:val="15"/>
  </w:num>
  <w:num w:numId="10">
    <w:abstractNumId w:val="13"/>
  </w:num>
  <w:num w:numId="11">
    <w:abstractNumId w:val="9"/>
  </w:num>
  <w:num w:numId="12">
    <w:abstractNumId w:val="1"/>
  </w:num>
  <w:num w:numId="13">
    <w:abstractNumId w:val="7"/>
  </w:num>
  <w:num w:numId="14">
    <w:abstractNumId w:val="15"/>
    <w:lvlOverride w:ilvl="0">
      <w:lvl w:ilvl="0" w:tplc="6B5ADD40">
        <w:start w:val="1"/>
        <w:numFmt w:val="decimal"/>
        <w:suff w:val="space"/>
        <w:lvlText w:val="%1."/>
        <w:lvlJc w:val="left"/>
        <w:pPr>
          <w:ind w:left="0" w:firstLine="72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15">
    <w:abstractNumId w:val="8"/>
  </w:num>
  <w:num w:numId="16">
    <w:abstractNumId w:val="3"/>
  </w:num>
  <w:num w:numId="17">
    <w:abstractNumId w:val="16"/>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7F5"/>
    <w:rsid w:val="00003C70"/>
    <w:rsid w:val="00007362"/>
    <w:rsid w:val="000100AC"/>
    <w:rsid w:val="0001426C"/>
    <w:rsid w:val="0001458C"/>
    <w:rsid w:val="000233D7"/>
    <w:rsid w:val="0002421B"/>
    <w:rsid w:val="00024391"/>
    <w:rsid w:val="00033D29"/>
    <w:rsid w:val="00040060"/>
    <w:rsid w:val="00040B32"/>
    <w:rsid w:val="00045D58"/>
    <w:rsid w:val="00047CC8"/>
    <w:rsid w:val="00052828"/>
    <w:rsid w:val="00053B99"/>
    <w:rsid w:val="00055CD7"/>
    <w:rsid w:val="00061BF7"/>
    <w:rsid w:val="000629AC"/>
    <w:rsid w:val="00063633"/>
    <w:rsid w:val="00065046"/>
    <w:rsid w:val="00073239"/>
    <w:rsid w:val="00094E69"/>
    <w:rsid w:val="00095152"/>
    <w:rsid w:val="00095B50"/>
    <w:rsid w:val="000A46DB"/>
    <w:rsid w:val="000A4CDD"/>
    <w:rsid w:val="000A5648"/>
    <w:rsid w:val="000A5FEC"/>
    <w:rsid w:val="000A74D0"/>
    <w:rsid w:val="000A7973"/>
    <w:rsid w:val="000B26AE"/>
    <w:rsid w:val="000B6EE0"/>
    <w:rsid w:val="000C32CE"/>
    <w:rsid w:val="000D0315"/>
    <w:rsid w:val="000D331A"/>
    <w:rsid w:val="000D561E"/>
    <w:rsid w:val="000D7DBB"/>
    <w:rsid w:val="000E0F16"/>
    <w:rsid w:val="000E1974"/>
    <w:rsid w:val="000E2EE0"/>
    <w:rsid w:val="000E432C"/>
    <w:rsid w:val="000F1320"/>
    <w:rsid w:val="000F5031"/>
    <w:rsid w:val="000F6360"/>
    <w:rsid w:val="000F67DB"/>
    <w:rsid w:val="000F73A1"/>
    <w:rsid w:val="00122B0A"/>
    <w:rsid w:val="00123C21"/>
    <w:rsid w:val="00130122"/>
    <w:rsid w:val="00131778"/>
    <w:rsid w:val="00131D78"/>
    <w:rsid w:val="001351DD"/>
    <w:rsid w:val="00136CA4"/>
    <w:rsid w:val="00141DF7"/>
    <w:rsid w:val="00150048"/>
    <w:rsid w:val="0015499C"/>
    <w:rsid w:val="00161DDB"/>
    <w:rsid w:val="00162EB6"/>
    <w:rsid w:val="001667E8"/>
    <w:rsid w:val="001672A9"/>
    <w:rsid w:val="0017294E"/>
    <w:rsid w:val="00176AFB"/>
    <w:rsid w:val="001777FA"/>
    <w:rsid w:val="0018248C"/>
    <w:rsid w:val="001841C1"/>
    <w:rsid w:val="00190AD2"/>
    <w:rsid w:val="00193591"/>
    <w:rsid w:val="00196FBA"/>
    <w:rsid w:val="001A0228"/>
    <w:rsid w:val="001A02E4"/>
    <w:rsid w:val="001A3E57"/>
    <w:rsid w:val="001A3F68"/>
    <w:rsid w:val="001A45BB"/>
    <w:rsid w:val="001A68F8"/>
    <w:rsid w:val="001B2286"/>
    <w:rsid w:val="001B6924"/>
    <w:rsid w:val="001C0DDC"/>
    <w:rsid w:val="001C3A63"/>
    <w:rsid w:val="001C6021"/>
    <w:rsid w:val="001D06B6"/>
    <w:rsid w:val="001D32E9"/>
    <w:rsid w:val="001D4E85"/>
    <w:rsid w:val="001E0DCF"/>
    <w:rsid w:val="001E5C37"/>
    <w:rsid w:val="001F43AA"/>
    <w:rsid w:val="001F484C"/>
    <w:rsid w:val="00201514"/>
    <w:rsid w:val="00210CB9"/>
    <w:rsid w:val="002153A5"/>
    <w:rsid w:val="002154EF"/>
    <w:rsid w:val="00216169"/>
    <w:rsid w:val="0021617A"/>
    <w:rsid w:val="00226F11"/>
    <w:rsid w:val="0023261D"/>
    <w:rsid w:val="00232D73"/>
    <w:rsid w:val="00236E3A"/>
    <w:rsid w:val="002507F5"/>
    <w:rsid w:val="002602E1"/>
    <w:rsid w:val="00264D81"/>
    <w:rsid w:val="00267A16"/>
    <w:rsid w:val="00267F35"/>
    <w:rsid w:val="00276652"/>
    <w:rsid w:val="00281BCF"/>
    <w:rsid w:val="002870CD"/>
    <w:rsid w:val="00287CB1"/>
    <w:rsid w:val="00293B59"/>
    <w:rsid w:val="00295AE7"/>
    <w:rsid w:val="00297097"/>
    <w:rsid w:val="002A5E0C"/>
    <w:rsid w:val="002A6DC9"/>
    <w:rsid w:val="002B408B"/>
    <w:rsid w:val="002C052B"/>
    <w:rsid w:val="002C43EE"/>
    <w:rsid w:val="002C4B90"/>
    <w:rsid w:val="002C6528"/>
    <w:rsid w:val="002D76DC"/>
    <w:rsid w:val="002E03B0"/>
    <w:rsid w:val="002E212E"/>
    <w:rsid w:val="002E268D"/>
    <w:rsid w:val="002E2C03"/>
    <w:rsid w:val="002E49D4"/>
    <w:rsid w:val="002E591E"/>
    <w:rsid w:val="002E7168"/>
    <w:rsid w:val="002F5014"/>
    <w:rsid w:val="00304D9E"/>
    <w:rsid w:val="00307F7D"/>
    <w:rsid w:val="00324EC9"/>
    <w:rsid w:val="003265F0"/>
    <w:rsid w:val="00327168"/>
    <w:rsid w:val="003272DB"/>
    <w:rsid w:val="003274AD"/>
    <w:rsid w:val="00341108"/>
    <w:rsid w:val="0035054E"/>
    <w:rsid w:val="00354381"/>
    <w:rsid w:val="0035520B"/>
    <w:rsid w:val="003600DA"/>
    <w:rsid w:val="00360BFA"/>
    <w:rsid w:val="00360FDD"/>
    <w:rsid w:val="00361AE1"/>
    <w:rsid w:val="00364485"/>
    <w:rsid w:val="00370164"/>
    <w:rsid w:val="0037523E"/>
    <w:rsid w:val="0039077F"/>
    <w:rsid w:val="003935F9"/>
    <w:rsid w:val="003964A8"/>
    <w:rsid w:val="00396AC2"/>
    <w:rsid w:val="003A1B4B"/>
    <w:rsid w:val="003B1635"/>
    <w:rsid w:val="003B2B44"/>
    <w:rsid w:val="003C1B2A"/>
    <w:rsid w:val="003E0951"/>
    <w:rsid w:val="003F0464"/>
    <w:rsid w:val="003F63C9"/>
    <w:rsid w:val="00401408"/>
    <w:rsid w:val="004025A2"/>
    <w:rsid w:val="0040380D"/>
    <w:rsid w:val="00403B39"/>
    <w:rsid w:val="00404F85"/>
    <w:rsid w:val="00405977"/>
    <w:rsid w:val="0040647B"/>
    <w:rsid w:val="00406BE8"/>
    <w:rsid w:val="004153B4"/>
    <w:rsid w:val="0041762F"/>
    <w:rsid w:val="00420089"/>
    <w:rsid w:val="00420B15"/>
    <w:rsid w:val="00426A58"/>
    <w:rsid w:val="0042781A"/>
    <w:rsid w:val="00430CED"/>
    <w:rsid w:val="00444BDD"/>
    <w:rsid w:val="00447628"/>
    <w:rsid w:val="00452589"/>
    <w:rsid w:val="00465660"/>
    <w:rsid w:val="004735DF"/>
    <w:rsid w:val="00474710"/>
    <w:rsid w:val="004860DD"/>
    <w:rsid w:val="00486BD2"/>
    <w:rsid w:val="004975A0"/>
    <w:rsid w:val="004A0352"/>
    <w:rsid w:val="004A638F"/>
    <w:rsid w:val="004B77F7"/>
    <w:rsid w:val="004B79D1"/>
    <w:rsid w:val="004C067E"/>
    <w:rsid w:val="004D043D"/>
    <w:rsid w:val="004D1C3A"/>
    <w:rsid w:val="004D370E"/>
    <w:rsid w:val="004E2CA8"/>
    <w:rsid w:val="004F412F"/>
    <w:rsid w:val="004F6C43"/>
    <w:rsid w:val="00504CF5"/>
    <w:rsid w:val="00507A30"/>
    <w:rsid w:val="00515E1F"/>
    <w:rsid w:val="00520596"/>
    <w:rsid w:val="00523C50"/>
    <w:rsid w:val="0053424A"/>
    <w:rsid w:val="00536241"/>
    <w:rsid w:val="00544959"/>
    <w:rsid w:val="00563730"/>
    <w:rsid w:val="005731AC"/>
    <w:rsid w:val="00581012"/>
    <w:rsid w:val="00587FDF"/>
    <w:rsid w:val="00596560"/>
    <w:rsid w:val="005A3731"/>
    <w:rsid w:val="005A7B3F"/>
    <w:rsid w:val="005B1FD7"/>
    <w:rsid w:val="005B2459"/>
    <w:rsid w:val="005D0368"/>
    <w:rsid w:val="005D1FCD"/>
    <w:rsid w:val="005D75E0"/>
    <w:rsid w:val="005E1776"/>
    <w:rsid w:val="005E1911"/>
    <w:rsid w:val="005E7C30"/>
    <w:rsid w:val="005F0055"/>
    <w:rsid w:val="005F2B44"/>
    <w:rsid w:val="005F7B4A"/>
    <w:rsid w:val="00601ACF"/>
    <w:rsid w:val="006025FF"/>
    <w:rsid w:val="0060472D"/>
    <w:rsid w:val="00604836"/>
    <w:rsid w:val="006118DD"/>
    <w:rsid w:val="006131B7"/>
    <w:rsid w:val="00624851"/>
    <w:rsid w:val="00624E97"/>
    <w:rsid w:val="00626B1C"/>
    <w:rsid w:val="006366E5"/>
    <w:rsid w:val="00644652"/>
    <w:rsid w:val="006478B0"/>
    <w:rsid w:val="00651E65"/>
    <w:rsid w:val="006520F3"/>
    <w:rsid w:val="006608C9"/>
    <w:rsid w:val="00663EA1"/>
    <w:rsid w:val="00672E9B"/>
    <w:rsid w:val="0067333C"/>
    <w:rsid w:val="006762A5"/>
    <w:rsid w:val="00676B25"/>
    <w:rsid w:val="00680EA9"/>
    <w:rsid w:val="0068552B"/>
    <w:rsid w:val="00691AA7"/>
    <w:rsid w:val="006A5237"/>
    <w:rsid w:val="006B070B"/>
    <w:rsid w:val="006B0B24"/>
    <w:rsid w:val="006B70C2"/>
    <w:rsid w:val="006C2C79"/>
    <w:rsid w:val="006C2F5A"/>
    <w:rsid w:val="006C65AE"/>
    <w:rsid w:val="006D2F55"/>
    <w:rsid w:val="006E23A2"/>
    <w:rsid w:val="006E2DE4"/>
    <w:rsid w:val="006E562A"/>
    <w:rsid w:val="006E782C"/>
    <w:rsid w:val="006F0C05"/>
    <w:rsid w:val="006F118C"/>
    <w:rsid w:val="006F12D8"/>
    <w:rsid w:val="006F241B"/>
    <w:rsid w:val="006F28CA"/>
    <w:rsid w:val="006F5436"/>
    <w:rsid w:val="006F5595"/>
    <w:rsid w:val="007142FD"/>
    <w:rsid w:val="007275FB"/>
    <w:rsid w:val="00727C0F"/>
    <w:rsid w:val="00736B73"/>
    <w:rsid w:val="00746760"/>
    <w:rsid w:val="00746F82"/>
    <w:rsid w:val="0075186D"/>
    <w:rsid w:val="007520AD"/>
    <w:rsid w:val="00755E99"/>
    <w:rsid w:val="00755F7A"/>
    <w:rsid w:val="00757DDA"/>
    <w:rsid w:val="007648F8"/>
    <w:rsid w:val="00770F71"/>
    <w:rsid w:val="0077125D"/>
    <w:rsid w:val="00782D50"/>
    <w:rsid w:val="007862DF"/>
    <w:rsid w:val="00792083"/>
    <w:rsid w:val="007929CA"/>
    <w:rsid w:val="007A2B3A"/>
    <w:rsid w:val="007A5D4B"/>
    <w:rsid w:val="007B5252"/>
    <w:rsid w:val="007B56E7"/>
    <w:rsid w:val="007C33E5"/>
    <w:rsid w:val="007C35AA"/>
    <w:rsid w:val="007C55F7"/>
    <w:rsid w:val="007E4152"/>
    <w:rsid w:val="007E47C4"/>
    <w:rsid w:val="007E541D"/>
    <w:rsid w:val="007F08F2"/>
    <w:rsid w:val="007F4F3C"/>
    <w:rsid w:val="00800CAC"/>
    <w:rsid w:val="008037F1"/>
    <w:rsid w:val="00810CB4"/>
    <w:rsid w:val="00810CE3"/>
    <w:rsid w:val="0081109A"/>
    <w:rsid w:val="00813B48"/>
    <w:rsid w:val="00817AA0"/>
    <w:rsid w:val="00831FB0"/>
    <w:rsid w:val="00833BEF"/>
    <w:rsid w:val="008508B4"/>
    <w:rsid w:val="00851E61"/>
    <w:rsid w:val="008523FE"/>
    <w:rsid w:val="008539AA"/>
    <w:rsid w:val="00857B69"/>
    <w:rsid w:val="00865971"/>
    <w:rsid w:val="00872BDB"/>
    <w:rsid w:val="00877B60"/>
    <w:rsid w:val="00883237"/>
    <w:rsid w:val="00884A53"/>
    <w:rsid w:val="008919D8"/>
    <w:rsid w:val="0089676A"/>
    <w:rsid w:val="008A1C3E"/>
    <w:rsid w:val="008B586C"/>
    <w:rsid w:val="008C03B6"/>
    <w:rsid w:val="008C2714"/>
    <w:rsid w:val="008D2D3A"/>
    <w:rsid w:val="008E1DC9"/>
    <w:rsid w:val="008E1EC0"/>
    <w:rsid w:val="008E2E34"/>
    <w:rsid w:val="008E58DA"/>
    <w:rsid w:val="008E73EF"/>
    <w:rsid w:val="008F1287"/>
    <w:rsid w:val="008F66ED"/>
    <w:rsid w:val="00910906"/>
    <w:rsid w:val="00911D84"/>
    <w:rsid w:val="00917EA9"/>
    <w:rsid w:val="00922F4A"/>
    <w:rsid w:val="009264B7"/>
    <w:rsid w:val="00937675"/>
    <w:rsid w:val="00942421"/>
    <w:rsid w:val="0094304D"/>
    <w:rsid w:val="009518CA"/>
    <w:rsid w:val="00954D7F"/>
    <w:rsid w:val="00961FB7"/>
    <w:rsid w:val="00964A17"/>
    <w:rsid w:val="00965BC3"/>
    <w:rsid w:val="00970799"/>
    <w:rsid w:val="00971E1B"/>
    <w:rsid w:val="009751BA"/>
    <w:rsid w:val="009763F2"/>
    <w:rsid w:val="009846A8"/>
    <w:rsid w:val="00984792"/>
    <w:rsid w:val="009940F7"/>
    <w:rsid w:val="009A251B"/>
    <w:rsid w:val="009A4097"/>
    <w:rsid w:val="009A61CB"/>
    <w:rsid w:val="009B244C"/>
    <w:rsid w:val="009B53D2"/>
    <w:rsid w:val="009B785E"/>
    <w:rsid w:val="009C2963"/>
    <w:rsid w:val="009C527F"/>
    <w:rsid w:val="009D61A4"/>
    <w:rsid w:val="009F1CB0"/>
    <w:rsid w:val="00A06CD9"/>
    <w:rsid w:val="00A12725"/>
    <w:rsid w:val="00A1525F"/>
    <w:rsid w:val="00A20450"/>
    <w:rsid w:val="00A240C3"/>
    <w:rsid w:val="00A3636B"/>
    <w:rsid w:val="00A40FA7"/>
    <w:rsid w:val="00A41BBF"/>
    <w:rsid w:val="00A44A53"/>
    <w:rsid w:val="00A46CF8"/>
    <w:rsid w:val="00A54F72"/>
    <w:rsid w:val="00A5613C"/>
    <w:rsid w:val="00A604FB"/>
    <w:rsid w:val="00A63090"/>
    <w:rsid w:val="00A64477"/>
    <w:rsid w:val="00A71C03"/>
    <w:rsid w:val="00A72535"/>
    <w:rsid w:val="00A734CF"/>
    <w:rsid w:val="00A75CF9"/>
    <w:rsid w:val="00A80CD3"/>
    <w:rsid w:val="00A81428"/>
    <w:rsid w:val="00A81FAD"/>
    <w:rsid w:val="00A951A9"/>
    <w:rsid w:val="00AA5127"/>
    <w:rsid w:val="00AC7B01"/>
    <w:rsid w:val="00AD1B8C"/>
    <w:rsid w:val="00AD3555"/>
    <w:rsid w:val="00AD3D9E"/>
    <w:rsid w:val="00AD635D"/>
    <w:rsid w:val="00AD6D0D"/>
    <w:rsid w:val="00AD773D"/>
    <w:rsid w:val="00AE0B72"/>
    <w:rsid w:val="00AE1962"/>
    <w:rsid w:val="00AE1A8E"/>
    <w:rsid w:val="00AE7307"/>
    <w:rsid w:val="00AF33E9"/>
    <w:rsid w:val="00AF6C19"/>
    <w:rsid w:val="00AF6E21"/>
    <w:rsid w:val="00B06DE1"/>
    <w:rsid w:val="00B114DB"/>
    <w:rsid w:val="00B12A81"/>
    <w:rsid w:val="00B15775"/>
    <w:rsid w:val="00B16C38"/>
    <w:rsid w:val="00B20F37"/>
    <w:rsid w:val="00B32908"/>
    <w:rsid w:val="00B35915"/>
    <w:rsid w:val="00B3751D"/>
    <w:rsid w:val="00B451D6"/>
    <w:rsid w:val="00B46B77"/>
    <w:rsid w:val="00B47CF3"/>
    <w:rsid w:val="00B5045E"/>
    <w:rsid w:val="00B53AF8"/>
    <w:rsid w:val="00B53D0E"/>
    <w:rsid w:val="00B56200"/>
    <w:rsid w:val="00B57007"/>
    <w:rsid w:val="00B7414D"/>
    <w:rsid w:val="00B81DA9"/>
    <w:rsid w:val="00B83673"/>
    <w:rsid w:val="00B85973"/>
    <w:rsid w:val="00B90E5D"/>
    <w:rsid w:val="00B94FB3"/>
    <w:rsid w:val="00BA1FBE"/>
    <w:rsid w:val="00BA42CB"/>
    <w:rsid w:val="00BA43EB"/>
    <w:rsid w:val="00BA5333"/>
    <w:rsid w:val="00BA6CF8"/>
    <w:rsid w:val="00BB64C0"/>
    <w:rsid w:val="00BC1525"/>
    <w:rsid w:val="00BC1696"/>
    <w:rsid w:val="00BC5DA0"/>
    <w:rsid w:val="00BE1316"/>
    <w:rsid w:val="00BE5CD4"/>
    <w:rsid w:val="00BF0424"/>
    <w:rsid w:val="00BF1ABB"/>
    <w:rsid w:val="00C05E46"/>
    <w:rsid w:val="00C104DB"/>
    <w:rsid w:val="00C1279F"/>
    <w:rsid w:val="00C203D6"/>
    <w:rsid w:val="00C20432"/>
    <w:rsid w:val="00C23C81"/>
    <w:rsid w:val="00C33358"/>
    <w:rsid w:val="00C35E5F"/>
    <w:rsid w:val="00C36909"/>
    <w:rsid w:val="00C37B8F"/>
    <w:rsid w:val="00C40D5B"/>
    <w:rsid w:val="00C41FE2"/>
    <w:rsid w:val="00C437AC"/>
    <w:rsid w:val="00C46495"/>
    <w:rsid w:val="00C476D6"/>
    <w:rsid w:val="00C543C8"/>
    <w:rsid w:val="00C5452A"/>
    <w:rsid w:val="00C63F5A"/>
    <w:rsid w:val="00C66A0D"/>
    <w:rsid w:val="00C76710"/>
    <w:rsid w:val="00C85675"/>
    <w:rsid w:val="00C90A2E"/>
    <w:rsid w:val="00C90CEB"/>
    <w:rsid w:val="00C93AC1"/>
    <w:rsid w:val="00C93B09"/>
    <w:rsid w:val="00C9623B"/>
    <w:rsid w:val="00C96332"/>
    <w:rsid w:val="00CB0437"/>
    <w:rsid w:val="00CB111D"/>
    <w:rsid w:val="00CB3D18"/>
    <w:rsid w:val="00CB4066"/>
    <w:rsid w:val="00CB742A"/>
    <w:rsid w:val="00CC012D"/>
    <w:rsid w:val="00CC481A"/>
    <w:rsid w:val="00CC60E7"/>
    <w:rsid w:val="00CD07F0"/>
    <w:rsid w:val="00CD2E12"/>
    <w:rsid w:val="00CD58D9"/>
    <w:rsid w:val="00CE1B4A"/>
    <w:rsid w:val="00CE4CD6"/>
    <w:rsid w:val="00CF2A12"/>
    <w:rsid w:val="00CF4119"/>
    <w:rsid w:val="00D00603"/>
    <w:rsid w:val="00D02E62"/>
    <w:rsid w:val="00D12CC9"/>
    <w:rsid w:val="00D2528F"/>
    <w:rsid w:val="00D2678F"/>
    <w:rsid w:val="00D338A5"/>
    <w:rsid w:val="00D34033"/>
    <w:rsid w:val="00D3417A"/>
    <w:rsid w:val="00D34DE8"/>
    <w:rsid w:val="00D40DE1"/>
    <w:rsid w:val="00D418AA"/>
    <w:rsid w:val="00D516A9"/>
    <w:rsid w:val="00D52C95"/>
    <w:rsid w:val="00D540B8"/>
    <w:rsid w:val="00D61DC7"/>
    <w:rsid w:val="00D650D1"/>
    <w:rsid w:val="00D65F80"/>
    <w:rsid w:val="00D66642"/>
    <w:rsid w:val="00D66CCD"/>
    <w:rsid w:val="00D66E3D"/>
    <w:rsid w:val="00D7196A"/>
    <w:rsid w:val="00D72AF4"/>
    <w:rsid w:val="00D73FA5"/>
    <w:rsid w:val="00D743CF"/>
    <w:rsid w:val="00D745E7"/>
    <w:rsid w:val="00D755FE"/>
    <w:rsid w:val="00D759B3"/>
    <w:rsid w:val="00D80934"/>
    <w:rsid w:val="00D90DA4"/>
    <w:rsid w:val="00D91C91"/>
    <w:rsid w:val="00D92AE1"/>
    <w:rsid w:val="00D951C3"/>
    <w:rsid w:val="00D9616A"/>
    <w:rsid w:val="00D965B2"/>
    <w:rsid w:val="00D96C22"/>
    <w:rsid w:val="00D97FAD"/>
    <w:rsid w:val="00DA1780"/>
    <w:rsid w:val="00DB2A5D"/>
    <w:rsid w:val="00DB55BF"/>
    <w:rsid w:val="00DC10F3"/>
    <w:rsid w:val="00DC1437"/>
    <w:rsid w:val="00DC483F"/>
    <w:rsid w:val="00DC6CF5"/>
    <w:rsid w:val="00DD318B"/>
    <w:rsid w:val="00DD69F0"/>
    <w:rsid w:val="00DE4562"/>
    <w:rsid w:val="00DE791C"/>
    <w:rsid w:val="00DE7E84"/>
    <w:rsid w:val="00DF0D64"/>
    <w:rsid w:val="00DF3663"/>
    <w:rsid w:val="00DF4A7C"/>
    <w:rsid w:val="00E00842"/>
    <w:rsid w:val="00E05265"/>
    <w:rsid w:val="00E219F9"/>
    <w:rsid w:val="00E2245D"/>
    <w:rsid w:val="00E24FA6"/>
    <w:rsid w:val="00E30D16"/>
    <w:rsid w:val="00E33509"/>
    <w:rsid w:val="00E3499F"/>
    <w:rsid w:val="00E34A6E"/>
    <w:rsid w:val="00E364F7"/>
    <w:rsid w:val="00E3797B"/>
    <w:rsid w:val="00E41C0A"/>
    <w:rsid w:val="00E45112"/>
    <w:rsid w:val="00E46C3E"/>
    <w:rsid w:val="00E50F26"/>
    <w:rsid w:val="00E53123"/>
    <w:rsid w:val="00E6054F"/>
    <w:rsid w:val="00E61D22"/>
    <w:rsid w:val="00E67004"/>
    <w:rsid w:val="00E7262B"/>
    <w:rsid w:val="00E72ADB"/>
    <w:rsid w:val="00E833D2"/>
    <w:rsid w:val="00E934C0"/>
    <w:rsid w:val="00EA090F"/>
    <w:rsid w:val="00EA102D"/>
    <w:rsid w:val="00EA3B64"/>
    <w:rsid w:val="00EA782A"/>
    <w:rsid w:val="00EA796D"/>
    <w:rsid w:val="00EA7A30"/>
    <w:rsid w:val="00EA7C36"/>
    <w:rsid w:val="00EB28DB"/>
    <w:rsid w:val="00EC32A4"/>
    <w:rsid w:val="00EE1454"/>
    <w:rsid w:val="00EE263F"/>
    <w:rsid w:val="00EF72D2"/>
    <w:rsid w:val="00F02BB1"/>
    <w:rsid w:val="00F03246"/>
    <w:rsid w:val="00F10FA8"/>
    <w:rsid w:val="00F11403"/>
    <w:rsid w:val="00F204BE"/>
    <w:rsid w:val="00F2117C"/>
    <w:rsid w:val="00F2474D"/>
    <w:rsid w:val="00F262EC"/>
    <w:rsid w:val="00F3711D"/>
    <w:rsid w:val="00F37B07"/>
    <w:rsid w:val="00F43BCF"/>
    <w:rsid w:val="00F44CC3"/>
    <w:rsid w:val="00F524B3"/>
    <w:rsid w:val="00F61699"/>
    <w:rsid w:val="00F667E1"/>
    <w:rsid w:val="00F7759F"/>
    <w:rsid w:val="00F80B9E"/>
    <w:rsid w:val="00F87251"/>
    <w:rsid w:val="00F87463"/>
    <w:rsid w:val="00F90144"/>
    <w:rsid w:val="00F94010"/>
    <w:rsid w:val="00F94736"/>
    <w:rsid w:val="00F9523F"/>
    <w:rsid w:val="00F97E5B"/>
    <w:rsid w:val="00FA0E3E"/>
    <w:rsid w:val="00FA2BC3"/>
    <w:rsid w:val="00FA6425"/>
    <w:rsid w:val="00FB2F88"/>
    <w:rsid w:val="00FC3321"/>
    <w:rsid w:val="00FC61B3"/>
    <w:rsid w:val="00FD06C9"/>
    <w:rsid w:val="00FD6A40"/>
    <w:rsid w:val="00FD7827"/>
    <w:rsid w:val="00FE1E5B"/>
    <w:rsid w:val="00FE23E3"/>
    <w:rsid w:val="00FE4226"/>
    <w:rsid w:val="00FE68A7"/>
    <w:rsid w:val="00FF3693"/>
    <w:rsid w:val="00FF4B8F"/>
    <w:rsid w:val="00FF7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D9F8"/>
  <w15:chartTrackingRefBased/>
  <w15:docId w15:val="{3BCB51DA-B0CF-4DCE-BFD5-8BEF5ED2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F5"/>
    <w:pPr>
      <w:widowControl w:val="0"/>
      <w:spacing w:after="0" w:line="240" w:lineRule="auto"/>
      <w:jc w:val="both"/>
    </w:pPr>
    <w:rPr>
      <w:rFonts w:ascii="Times New Roman" w:eastAsia="Calibri" w:hAnsi="Times New Roman" w:cs="Times New Roman"/>
      <w:sz w:val="24"/>
    </w:rPr>
  </w:style>
  <w:style w:type="paragraph" w:styleId="Heading3">
    <w:name w:val="heading 3"/>
    <w:basedOn w:val="Normal"/>
    <w:link w:val="Heading3Char"/>
    <w:uiPriority w:val="99"/>
    <w:unhideWhenUsed/>
    <w:qFormat/>
    <w:rsid w:val="002507F5"/>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507F5"/>
    <w:rPr>
      <w:rFonts w:ascii="Times New Roman" w:eastAsia="Times New Roman" w:hAnsi="Times New Roman" w:cs="Times New Roman"/>
      <w:b/>
      <w:bCs/>
      <w:sz w:val="27"/>
      <w:szCs w:val="27"/>
      <w:lang w:eastAsia="lv-LV"/>
    </w:rPr>
  </w:style>
  <w:style w:type="paragraph" w:styleId="Header">
    <w:name w:val="header"/>
    <w:basedOn w:val="Normal"/>
    <w:link w:val="HeaderChar"/>
    <w:unhideWhenUsed/>
    <w:rsid w:val="002507F5"/>
    <w:pPr>
      <w:tabs>
        <w:tab w:val="center" w:pos="4320"/>
        <w:tab w:val="right" w:pos="8640"/>
      </w:tabs>
    </w:pPr>
  </w:style>
  <w:style w:type="character" w:customStyle="1" w:styleId="HeaderChar">
    <w:name w:val="Header Char"/>
    <w:basedOn w:val="DefaultParagraphFont"/>
    <w:link w:val="Header"/>
    <w:rsid w:val="002507F5"/>
    <w:rPr>
      <w:rFonts w:ascii="Times New Roman" w:eastAsia="Calibri" w:hAnsi="Times New Roman" w:cs="Times New Roman"/>
      <w:sz w:val="24"/>
    </w:rPr>
  </w:style>
  <w:style w:type="table" w:styleId="TableGrid">
    <w:name w:val="Table Grid"/>
    <w:basedOn w:val="TableNormal"/>
    <w:uiPriority w:val="59"/>
    <w:rsid w:val="002507F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7F5"/>
    <w:rPr>
      <w:color w:val="0000FF"/>
      <w:u w:val="single"/>
    </w:rPr>
  </w:style>
  <w:style w:type="paragraph" w:styleId="NoSpacing">
    <w:name w:val="No Spacing"/>
    <w:basedOn w:val="Normal"/>
    <w:next w:val="Normal"/>
    <w:uiPriority w:val="1"/>
    <w:qFormat/>
    <w:rsid w:val="002507F5"/>
  </w:style>
  <w:style w:type="paragraph" w:styleId="NormalWeb">
    <w:name w:val="Normal (Web)"/>
    <w:basedOn w:val="Normal"/>
    <w:uiPriority w:val="99"/>
    <w:unhideWhenUsed/>
    <w:rsid w:val="002507F5"/>
    <w:pPr>
      <w:widowControl/>
      <w:spacing w:before="75" w:after="75"/>
      <w:jc w:val="left"/>
    </w:pPr>
    <w:rPr>
      <w:rFonts w:eastAsia="Times New Roman"/>
      <w:szCs w:val="24"/>
      <w:lang w:eastAsia="lv-LV"/>
    </w:rPr>
  </w:style>
  <w:style w:type="paragraph" w:styleId="ListParagraph">
    <w:name w:val="List Paragraph"/>
    <w:basedOn w:val="Normal"/>
    <w:uiPriority w:val="34"/>
    <w:qFormat/>
    <w:rsid w:val="002507F5"/>
    <w:pPr>
      <w:ind w:left="720"/>
      <w:contextualSpacing/>
    </w:pPr>
  </w:style>
  <w:style w:type="paragraph" w:styleId="Footer">
    <w:name w:val="footer"/>
    <w:basedOn w:val="Normal"/>
    <w:link w:val="FooterChar"/>
    <w:uiPriority w:val="99"/>
    <w:unhideWhenUsed/>
    <w:rsid w:val="002507F5"/>
    <w:pPr>
      <w:tabs>
        <w:tab w:val="center" w:pos="4153"/>
        <w:tab w:val="right" w:pos="8306"/>
      </w:tabs>
    </w:pPr>
  </w:style>
  <w:style w:type="character" w:customStyle="1" w:styleId="FooterChar">
    <w:name w:val="Footer Char"/>
    <w:basedOn w:val="DefaultParagraphFont"/>
    <w:link w:val="Footer"/>
    <w:uiPriority w:val="99"/>
    <w:rsid w:val="002507F5"/>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7B56E7"/>
    <w:rPr>
      <w:color w:val="605E5C"/>
      <w:shd w:val="clear" w:color="auto" w:fill="E1DFDD"/>
    </w:rPr>
  </w:style>
  <w:style w:type="paragraph" w:styleId="FootnoteText">
    <w:name w:val="footnote text"/>
    <w:basedOn w:val="Normal"/>
    <w:link w:val="FootnoteTextChar"/>
    <w:uiPriority w:val="99"/>
    <w:semiHidden/>
    <w:unhideWhenUsed/>
    <w:rsid w:val="004C067E"/>
    <w:rPr>
      <w:sz w:val="20"/>
      <w:szCs w:val="20"/>
    </w:rPr>
  </w:style>
  <w:style w:type="character" w:customStyle="1" w:styleId="FootnoteTextChar">
    <w:name w:val="Footnote Text Char"/>
    <w:basedOn w:val="DefaultParagraphFont"/>
    <w:link w:val="FootnoteText"/>
    <w:uiPriority w:val="99"/>
    <w:semiHidden/>
    <w:rsid w:val="004C067E"/>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4C06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770268">
      <w:bodyDiv w:val="1"/>
      <w:marLeft w:val="0"/>
      <w:marRight w:val="0"/>
      <w:marTop w:val="0"/>
      <w:marBottom w:val="0"/>
      <w:divBdr>
        <w:top w:val="none" w:sz="0" w:space="0" w:color="auto"/>
        <w:left w:val="none" w:sz="0" w:space="0" w:color="auto"/>
        <w:bottom w:val="none" w:sz="0" w:space="0" w:color="auto"/>
        <w:right w:val="none" w:sz="0" w:space="0" w:color="auto"/>
      </w:divBdr>
      <w:divsChild>
        <w:div w:id="771052760">
          <w:marLeft w:val="0"/>
          <w:marRight w:val="0"/>
          <w:marTop w:val="0"/>
          <w:marBottom w:val="0"/>
          <w:divBdr>
            <w:top w:val="none" w:sz="0" w:space="0" w:color="auto"/>
            <w:left w:val="none" w:sz="0" w:space="0" w:color="auto"/>
            <w:bottom w:val="none" w:sz="0" w:space="0" w:color="auto"/>
            <w:right w:val="none" w:sz="0" w:space="0" w:color="auto"/>
          </w:divBdr>
          <w:divsChild>
            <w:div w:id="1433669104">
              <w:marLeft w:val="0"/>
              <w:marRight w:val="0"/>
              <w:marTop w:val="0"/>
              <w:marBottom w:val="0"/>
              <w:divBdr>
                <w:top w:val="none" w:sz="0" w:space="0" w:color="auto"/>
                <w:left w:val="none" w:sz="0" w:space="0" w:color="auto"/>
                <w:bottom w:val="none" w:sz="0" w:space="0" w:color="auto"/>
                <w:right w:val="none" w:sz="0" w:space="0" w:color="auto"/>
              </w:divBdr>
              <w:divsChild>
                <w:div w:id="1069428111">
                  <w:marLeft w:val="0"/>
                  <w:marRight w:val="0"/>
                  <w:marTop w:val="0"/>
                  <w:marBottom w:val="0"/>
                  <w:divBdr>
                    <w:top w:val="none" w:sz="0" w:space="0" w:color="auto"/>
                    <w:left w:val="none" w:sz="0" w:space="0" w:color="auto"/>
                    <w:bottom w:val="none" w:sz="0" w:space="0" w:color="auto"/>
                    <w:right w:val="none" w:sz="0" w:space="0" w:color="auto"/>
                  </w:divBdr>
                  <w:divsChild>
                    <w:div w:id="1163083832">
                      <w:marLeft w:val="0"/>
                      <w:marRight w:val="0"/>
                      <w:marTop w:val="0"/>
                      <w:marBottom w:val="0"/>
                      <w:divBdr>
                        <w:top w:val="none" w:sz="0" w:space="0" w:color="auto"/>
                        <w:left w:val="none" w:sz="0" w:space="0" w:color="auto"/>
                        <w:bottom w:val="none" w:sz="0" w:space="0" w:color="auto"/>
                        <w:right w:val="none" w:sz="0" w:space="0" w:color="auto"/>
                      </w:divBdr>
                      <w:divsChild>
                        <w:div w:id="1193691546">
                          <w:marLeft w:val="0"/>
                          <w:marRight w:val="0"/>
                          <w:marTop w:val="0"/>
                          <w:marBottom w:val="0"/>
                          <w:divBdr>
                            <w:top w:val="none" w:sz="0" w:space="0" w:color="auto"/>
                            <w:left w:val="none" w:sz="0" w:space="0" w:color="auto"/>
                            <w:bottom w:val="none" w:sz="0" w:space="0" w:color="auto"/>
                            <w:right w:val="none" w:sz="0" w:space="0" w:color="auto"/>
                          </w:divBdr>
                          <w:divsChild>
                            <w:div w:id="13185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79519">
      <w:bodyDiv w:val="1"/>
      <w:marLeft w:val="0"/>
      <w:marRight w:val="0"/>
      <w:marTop w:val="0"/>
      <w:marBottom w:val="0"/>
      <w:divBdr>
        <w:top w:val="none" w:sz="0" w:space="0" w:color="auto"/>
        <w:left w:val="none" w:sz="0" w:space="0" w:color="auto"/>
        <w:bottom w:val="none" w:sz="0" w:space="0" w:color="auto"/>
        <w:right w:val="none" w:sz="0" w:space="0" w:color="auto"/>
      </w:divBdr>
    </w:div>
    <w:div w:id="820119562">
      <w:bodyDiv w:val="1"/>
      <w:marLeft w:val="0"/>
      <w:marRight w:val="0"/>
      <w:marTop w:val="0"/>
      <w:marBottom w:val="0"/>
      <w:divBdr>
        <w:top w:val="none" w:sz="0" w:space="0" w:color="auto"/>
        <w:left w:val="none" w:sz="0" w:space="0" w:color="auto"/>
        <w:bottom w:val="none" w:sz="0" w:space="0" w:color="auto"/>
        <w:right w:val="none" w:sz="0" w:space="0" w:color="auto"/>
      </w:divBdr>
    </w:div>
    <w:div w:id="836771215">
      <w:bodyDiv w:val="1"/>
      <w:marLeft w:val="0"/>
      <w:marRight w:val="0"/>
      <w:marTop w:val="0"/>
      <w:marBottom w:val="0"/>
      <w:divBdr>
        <w:top w:val="none" w:sz="0" w:space="0" w:color="auto"/>
        <w:left w:val="none" w:sz="0" w:space="0" w:color="auto"/>
        <w:bottom w:val="none" w:sz="0" w:space="0" w:color="auto"/>
        <w:right w:val="none" w:sz="0" w:space="0" w:color="auto"/>
      </w:divBdr>
    </w:div>
    <w:div w:id="1168981023">
      <w:bodyDiv w:val="1"/>
      <w:marLeft w:val="0"/>
      <w:marRight w:val="0"/>
      <w:marTop w:val="0"/>
      <w:marBottom w:val="0"/>
      <w:divBdr>
        <w:top w:val="none" w:sz="0" w:space="0" w:color="auto"/>
        <w:left w:val="none" w:sz="0" w:space="0" w:color="auto"/>
        <w:bottom w:val="none" w:sz="0" w:space="0" w:color="auto"/>
        <w:right w:val="none" w:sz="0" w:space="0" w:color="auto"/>
      </w:divBdr>
    </w:div>
    <w:div w:id="1172406081">
      <w:bodyDiv w:val="1"/>
      <w:marLeft w:val="0"/>
      <w:marRight w:val="0"/>
      <w:marTop w:val="0"/>
      <w:marBottom w:val="0"/>
      <w:divBdr>
        <w:top w:val="none" w:sz="0" w:space="0" w:color="auto"/>
        <w:left w:val="none" w:sz="0" w:space="0" w:color="auto"/>
        <w:bottom w:val="none" w:sz="0" w:space="0" w:color="auto"/>
        <w:right w:val="none" w:sz="0" w:space="0" w:color="auto"/>
      </w:divBdr>
    </w:div>
    <w:div w:id="1279605478">
      <w:bodyDiv w:val="1"/>
      <w:marLeft w:val="0"/>
      <w:marRight w:val="0"/>
      <w:marTop w:val="0"/>
      <w:marBottom w:val="0"/>
      <w:divBdr>
        <w:top w:val="none" w:sz="0" w:space="0" w:color="auto"/>
        <w:left w:val="none" w:sz="0" w:space="0" w:color="auto"/>
        <w:bottom w:val="none" w:sz="0" w:space="0" w:color="auto"/>
        <w:right w:val="none" w:sz="0" w:space="0" w:color="auto"/>
      </w:divBdr>
    </w:div>
    <w:div w:id="1612587888">
      <w:bodyDiv w:val="1"/>
      <w:marLeft w:val="0"/>
      <w:marRight w:val="0"/>
      <w:marTop w:val="0"/>
      <w:marBottom w:val="0"/>
      <w:divBdr>
        <w:top w:val="none" w:sz="0" w:space="0" w:color="auto"/>
        <w:left w:val="none" w:sz="0" w:space="0" w:color="auto"/>
        <w:bottom w:val="none" w:sz="0" w:space="0" w:color="auto"/>
        <w:right w:val="none" w:sz="0" w:space="0" w:color="auto"/>
      </w:divBdr>
    </w:div>
    <w:div w:id="1915628779">
      <w:bodyDiv w:val="1"/>
      <w:marLeft w:val="0"/>
      <w:marRight w:val="0"/>
      <w:marTop w:val="0"/>
      <w:marBottom w:val="0"/>
      <w:divBdr>
        <w:top w:val="none" w:sz="0" w:space="0" w:color="auto"/>
        <w:left w:val="none" w:sz="0" w:space="0" w:color="auto"/>
        <w:bottom w:val="none" w:sz="0" w:space="0" w:color="auto"/>
        <w:right w:val="none" w:sz="0" w:space="0" w:color="auto"/>
      </w:divBdr>
    </w:div>
    <w:div w:id="1926449379">
      <w:bodyDiv w:val="1"/>
      <w:marLeft w:val="0"/>
      <w:marRight w:val="0"/>
      <w:marTop w:val="0"/>
      <w:marBottom w:val="0"/>
      <w:divBdr>
        <w:top w:val="none" w:sz="0" w:space="0" w:color="auto"/>
        <w:left w:val="none" w:sz="0" w:space="0" w:color="auto"/>
        <w:bottom w:val="none" w:sz="0" w:space="0" w:color="auto"/>
        <w:right w:val="none" w:sz="0" w:space="0" w:color="auto"/>
      </w:divBdr>
    </w:div>
    <w:div w:id="20084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Deksn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D6108-CB5C-4F0A-9392-4B76D4F9B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9238</Words>
  <Characters>5266</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likumprojektu "Grozījumi Negodīgas komercprakses aizlieguma likumā" </vt:lpstr>
      <vt:lpstr>Atzinums par likumprojektu "Grozījumi Negodīgas komercprakses aizlieguma likumā" </vt:lpstr>
    </vt:vector>
  </TitlesOfParts>
  <Company>Tieslietu ministrija</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likumprojektu "Grozījumi Negodīgas komercprakses aizlieguma likumā"</dc:title>
  <dc:subject>Atzinums</dc:subject>
  <dc:creator>Ieva Deksne</dc:creator>
  <cp:keywords/>
  <dc:description/>
  <cp:lastModifiedBy>Arta Šmukste</cp:lastModifiedBy>
  <cp:revision>2</cp:revision>
  <cp:lastPrinted>2019-09-05T06:37:00Z</cp:lastPrinted>
  <dcterms:created xsi:type="dcterms:W3CDTF">2021-11-16T18:29:00Z</dcterms:created>
  <dcterms:modified xsi:type="dcterms:W3CDTF">2021-11-16T18:29:00Z</dcterms:modified>
</cp:coreProperties>
</file>