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26-TA-724: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6. jūnija noteikumos Nr. 291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5.1.1.3. pasākuma "Publiskās ārtelpas attīstība"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(07.06.2024.)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15.04.2026. 15:49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izmaiņām intervences kodos (t.sk. vai finansējuma samazinājumam ir ietekme uz Makroreģionālā un jūras baseinu stratēģijas intervences kodu 03 - Baltijas jūras reģiona stratēģija).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ietvaros ietvert skaidrojumu par izstrādāto grozījumu (saistībā ar finansējuma pārdali) ietekmi uz īstenošanā esošajiem projektiem un šo projektu mērķu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samazināt  5.1.1.3. pasākuma "Publiskās ārtelpas attīstība" ietvaros plānoto un pieejamo finansējuma apmēru, lūdzam aizpildīt anotācijas 3.sadaļas apakšsadaļu “Cita informācija”, norādot finansējuma apmēra izmaiņas pašvaldību budžetos un ERAF finansējumā.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projekta iesnieguma pamatojošās dokumentācijas sagatavošanas izmaksas, būvuzraudzības, autoruzraudzības, būvprojekta tehniskā projekta vai skiču projekta stadijā izmaksas, energosertifikācijas un energoaudita izmaksas,  vides pieejamības ekspertu un ainavu arhitektu konsultāciju izmaksas. Minētās izmaksas kopā nepārsniedz 10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esošajā Ministru kabineta noteikumu redakcijā izdevumu pozīcijās ar noteiktu procentuālo ierobežojumu (piemēram, 26.1. un 26.2.16. punktā) nav noteikts, vai procentuālais ierobežojums aprēķināms no projekta plānotajām vai faktiskajām attiecināmajām izmaksām, kas atbilst Vadošās iestādes Vadlīniju attiecināmo izmaksu noteikšanai Eiropas Savienības kohēzijas politikas programmas 2021.-2027.gada plānošanas periodā (turpmāk- vadlīnijas) 19.punktam, tomēr, ņemot vērā atsevišķus Revīzijas iestādes konstatējumus attiecībā uz situācijām, kad projekta īstenošanas gaitā rodas neatbilstoši veiktie izdevumi vai ietaupījums, kas var novest pie procentuālā ierobežojuma pārsnieguma konstatēšanas, pat ja izdevumi atbilst apstiprinātajam projekta budžetam, vadlīnijās paredzēts veikt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iespēju un nepieciešamību precizēt procentuālā ierobežojuma piemērošanas nosacījumus, nodrošinot, lai tie būtu viennozīmīgi, saprotami un praksē vienādi piemērojami visām iesaistītajām pusēm, nosakot, ka procentuālais ierobežojums tiek aprēķināts attiecībā pret projekta </w:t>
            </w:r>
            <w:r w:rsidR="00000000" w:rsidRPr="00000000" w:rsidDel="00000000">
              <w:rPr>
                <w:b w:val="1"/>
                <w:u w:val="single"/>
                <w:rtl w:val="0"/>
              </w:rPr>
              <w:t xml:space="preserve">plānotajām</w:t>
            </w:r>
            <w:r w:rsidR="00000000" w:rsidRPr="00000000" w:rsidDel="00000000">
              <w:rPr>
                <w:rtl w:val="0"/>
              </w:rPr>
              <w:t xml:space="preserve"> kopējām tiešajām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projekta iesnieguma pamatojošās dokumentācijas sagatavošanas izmaksas, būvuzraudzības, autoruzraudzības, būvprojekta tehniskā projekta vai skiču projekta stadijā izmaksas, energosertifikācijas un energoaudita izmaksas,  vides pieejamības ekspertu un ainavu arhitektu konsultāciju izmaksas. Minētās izmaksas kopā nepārsniedz 10 procentus no projekta </w:t>
            </w:r>
            <w:r w:rsidR="00000000" w:rsidRPr="00000000" w:rsidDel="00000000">
              <w:rPr>
                <w:b w:val="1"/>
                <w:u w:val="single"/>
                <w:rtl w:val="0"/>
              </w:rPr>
              <w:t xml:space="preserve">plānotajām</w:t>
            </w:r>
            <w:r w:rsidR="00000000" w:rsidRPr="00000000" w:rsidDel="00000000">
              <w:rPr>
                <w:rtl w:val="0"/>
              </w:rPr>
              <w:t xml:space="preserve">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projekta iesnieguma pamatojošās dokumentācijas sagatavošanas izmaksas, būvuzraudzības, autoruzraudzības, būvprojekta tehniskā projekta vai skiču projekta stadijā izmaksas, energosertifikācijas un energoaudita izmaksas,  vides pieejamības ekspertu un ainavu arhitektu konsultāciju izmaksas. Minētās izmaksas kopā nepārsniedz 10 procentus no projekta plānotajām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26.2.16. teritorijas labiekārtošanas ietvaros paredzētās vizuālās mākslas un dizaina objektu iegādes un uzstādīšanas izmaksas ir attiecināmas līdz 10 procentiem no projekta kopējām attiecināmajām izmaksām, ja tie vienlaikus ir arī funkcionāli izmantojami;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esošajā Ministru kabineta noteikumu redakcijā izdevumu pozīcijās ar noteiktu procentuālo ierobežojumu (piemēram, 26.1. un 26.2.16. punktā) nav noteikts, vai procentuālais ierobežojums aprēķināms no projekta plānotajām vai faktiskajām attiecināmajām izmaksām, kas atbilst Vadošās iestādes Vadlīniju attiecināmo izmaksu noteikšanai Eiropas Savienības kohēzijas politikas programmas 2021.-2027.gada plānošanas periodā (turpmāk- vadlīnijas) 19.punktam, tomēr, ņemot vērā atsevišķus Revīzijas iestādes konstatējumus attiecībā uz situācijām, kad projekta īstenošanas gaitā rodas neatbilstoši veiktie izdevumi vai ietaupījums, kas var novest pie procentuālā ierobežojuma pārsnieguma konstatēšanas, pat ja izdevumi atbilst apstiprinātajam projekta budžetam, vadlīnijās paredzēts veikt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iespēju un nepieciešamību precizēt procentuālā ierobežojuma piemērošanas nosacījumus, nodrošinot, lai tie būtu viennozīmīgi, saprotami un praksē vienādi piemērojami visām iesaistītajām pusēm, nosakot, ka procentuālais ierobežojums tiek aprēķināts attiecībā pret projekta</w:t>
            </w:r>
            <w:r w:rsidR="00000000" w:rsidRPr="00000000" w:rsidDel="00000000">
              <w:rPr>
                <w:b w:val="1"/>
                <w:u w:val="single"/>
                <w:rtl w:val="0"/>
              </w:rPr>
              <w:t xml:space="preserve"> plānotajām</w:t>
            </w:r>
            <w:r w:rsidR="00000000" w:rsidRPr="00000000" w:rsidDel="00000000">
              <w:rPr>
                <w:rtl w:val="0"/>
              </w:rPr>
              <w:t xml:space="preserve"> kopējām tiešajām 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26.2.16. teritorijas labiekārtošanas ietvaros paredzētās vizuālās mākslas un dizaina objektu iegādes un uzstādīšanas izmaksas ir attiecināmas līdz 10 procentiem no projekta </w:t>
            </w:r>
            <w:r w:rsidR="00000000" w:rsidRPr="00000000" w:rsidDel="00000000">
              <w:rPr>
                <w:b w:val="1"/>
                <w:u w:val="single"/>
                <w:rtl w:val="0"/>
              </w:rPr>
              <w:t xml:space="preserve">plānotajām</w:t>
            </w:r>
            <w:r w:rsidR="00000000" w:rsidRPr="00000000" w:rsidDel="00000000">
              <w:rPr>
                <w:rtl w:val="0"/>
              </w:rPr>
              <w:t xml:space="preserve"> kopējām attiecināmajām izmaksām, ja tie vienlaikus ir arī funkcionāli izmantojami;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26.2.16. teritorijas labiekārtošanas ietvaros paredzētās vizuālās mākslas un dizaina objektu iegādes un uzstādīšanas izmaksas ir attiecināmas līdz 10 procentiem no projekta plānotajām kopējām attiecināmajām izmaksām, ja tie vienlaikus ir arī funkcionāli izmantojami;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projekta ietvaros tiek plānotas apgaismojuma izmaksas, notekūdeņu attīrīšanas un dzeramā ūdens ieguves un sagatavošanas infrastruktūras izmaksas, projekta iesniedzējs projekta iesniegumā norāda enerģijas patēriņu (megavatstundas) pirms projekta īstenošanas. Finansējuma saņēmējam ir pienākums informēt sadarbības iestādi par enerģijas patēriņu (megavatstundas) trīs gadus pēc projekta īstenošanas.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11.11.2025. sēdes protokollēmuma Nr. 47 [1] par informatīvo ziņojumu "Par Finanšu ministrijas pārziņā esošo Eiropas Savienības fondu un ārvalstu finanšu palīdzības aktualitātēm līdz 2025. gada oktobrim" 5.3. punktu, </w:t>
            </w:r>
            <w:r w:rsidR="00000000" w:rsidRPr="00000000" w:rsidDel="00000000">
              <w:rPr>
                <w:b w:val="1"/>
                <w:u w:val="single"/>
                <w:rtl w:val="0"/>
              </w:rPr>
              <w:t xml:space="preserve">atcelta</w:t>
            </w:r>
            <w:r w:rsidR="00000000" w:rsidRPr="00000000" w:rsidDel="00000000">
              <w:rPr>
                <w:rtl w:val="0"/>
              </w:rPr>
              <w:t xml:space="preserve"> prasība finansējuma saņēmējam pēc projekta pabeigšanas turpmākos </w:t>
            </w:r>
            <w:r w:rsidR="00000000" w:rsidRPr="00000000" w:rsidDel="00000000">
              <w:rPr>
                <w:b w:val="1"/>
                <w:u w:val="single"/>
                <w:rtl w:val="0"/>
              </w:rPr>
              <w:t xml:space="preserve">trīs gadus ik gadu</w:t>
            </w:r>
            <w:r w:rsidR="00000000" w:rsidRPr="00000000" w:rsidDel="00000000">
              <w:rPr>
                <w:rtl w:val="0"/>
              </w:rPr>
              <w:t xml:space="preserve"> sniegt informāciju par attiecīgā objekta enerģijas patēriņu pirms un pēc projekta īstenošanas atbilstoši enerģijas ietaupījuma ziņošanas pārskatam. </w:t>
            </w:r>
            <w:r w:rsidR="00000000" w:rsidRPr="00000000" w:rsidDel="00000000">
              <w:rPr>
                <w:u w:val="single"/>
                <w:rtl w:val="0"/>
              </w:rPr>
              <w:t xml:space="preserve">Pārskats ir jāiesniedz vienu reizi par pilno kalendāro gadu pēc projekta beigām</w:t>
            </w:r>
            <w:r w:rsidR="00000000" w:rsidRPr="00000000" w:rsidDel="00000000">
              <w:rPr>
                <w:rtl w:val="0"/>
              </w:rPr>
              <w:t xml:space="preserve">, nevis katru gadu trīs gadu periodā pēc projekta beigām, kā tas bija noteikts līdz šim līguma ar finansējuma saņēmēju par Eiropas Savienības fonda projekta īstenošanu nosacījumos. Prasība par enerģijas patēriņa ziņošanu noteikta atbilstoši Energoefektivitātes likuma 15. panta ceturtajai daļai, kur cita starpā norādīts izņēmums, paredzot, ka finansējuma saņēmēja un iestādes, kura ir atbildīga par finansējuma piešķiršanu, līgumā var būt noteikts cits ziņošanas periods.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ietvaros tiek plānotas apgaismojuma izmaksas, notekūdeņu attīrīšanas un dzeramā ūdens ieguves un sagatavošanas infrastruktūras izmaksas, projekta iesniedzējs projekta iesniegumā norāda enerģijas patēriņu (megavatstundas) pirms projekta īstenošanas. Finansējuma saņēmējam ir pienākums otrajā kalendāra gadā pēc projekta īstenošanas informēt sadarbības iestādi par enerģijas patēriņu (megavatstundas) pirmajā kalendāra gadā pēc projekta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projekta ietvaros tiek plānotas apgaismojuma izmaksas, notekūdeņu attīrīšanas un dzeramā ūdens ieguves un sagatavošanas infrastruktūras izmaksas, projekta iesniedzējs projekta iesniegumā norāda enerģijas patēriņu (megavatstundas) pirms projekta īstenošanas. Finansējuma saņēmējam ir pienākums otrajā kalendāra gadā pēc projekta īstenošanas informēt sadarbības iestādi par enerģijas patēriņu (megavatstundas) pirmajā kalendāra gadā pēc projekta īstenošanas.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Finansējuma saņēmējs projektu īsteno termiņā, ko nosaka civiltiesiskais līgums vai vienošanās par projekta īstenošanu, bet ne ilgāk kā līdz 2026. gada 31. decembrim. Finansējuma saņēmējs, pamatojot objektīvu nepieciešamību, var ierosināt sadarbības iestādei veikt grozījumus civiltiesiskā līgumā vai vienošanās par projekta īstenošanu, pagarinot projekta īstenošanas termiņu, bet ne ilgāk kā līdz 2029.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noteikumu Nr. 408 "Kārtība, kādā Eiropas Savienības fondu vadībā iesaistītās institūcijas nodrošina šo fondu ieviešanu 2021.–2027. gada plānošanas periodā" (turpmāk - MK noteikumi Nr. 408) 36.2.apakšpunktu sadarbības iestādei pēc grozījumu priekšlikuma saņemšanas jebkurā gadījumā ir jāpārbauda iesniegto grozījumu lietderību, pamatotību un nepieciešamību projekta sākotnējā mērķa sasniegšanai un attiecīgi vai nu jāapstiprina līguma vai vienošanās grozījumus, vai jānoraida grozījumu priekšlikumu. Ņemot vērā, ka sadarbības iestādes pienākums izvērtēt  termiņa pagarināšanas pamatojumu jau ir noteikts MK noteikumos Nr. 408, aicinām noteikumu projekta 37.punktā uzreiz noteikt projekta īstenošanas termiņu līdz 2029.gada 31.decembrim un svītrot otro teikumu, skaidrojumu par pamatojuma nepieciešamību nodrošinot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projektu īsteno termiņā, ko nosaka civiltiesiskais līgums vai vienošanās par projekta īstenošanu, bet ne ilgāk kā līdz 2029.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5.1.1.3.pasākuma ietvaros finansējums tika paredzēts projektiem ar augstu gatavības pakāpi, kas būtu ātri īstenojami – viena līdz divu gadu laikā, tādējādi veicinot VARAM mērķa sasniegšanu attiecībā uz Eiropas Komisijai ikgadēji pieprasāmo minimālo izdevumu apjomu (n+3 princips). Attiecīgi, ievērojot iepriekš norādīto, lai veicinātu n+3 mērķu izpildi un ieguldījumu straujāku ienākšanu tautsaimniecībā, MK noteikumu 37.punktā ir būtiski noteikt, ka finansējuma saņēmējs, pamatojot objektīvu nepieciešamību, var ierosināt sadarbības iestādei veikt grozījumus civiltiesiskā līgumā vai vienošanās par projekta īstenošanu, pagarinot projekta īstenošanas termiņu, bet ne ilgāk kā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Finansējuma saņēmējs projektu īsteno termiņā, ko nosaka civiltiesiskais līgums vai vienošanās par projekta īstenošanu, bet ne ilgāk kā līdz 2026. gada 31. decembrim. Finansējuma saņēmējs, pamatojot objektīvu nepieciešamību, var ierosināt sadarbības iestādei veikt grozījumus civiltiesiskā līgumā vai vienošanās par projekta īstenošanu, pagarinot projekta īstenošanas termiņu, bet ne ilgāk kā līdz 2029. gada 31.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38.6. novērš interešu konflikta risku saskaņā ar Eiropas Parlamenta un Padomes 2018. gada 18. jūlija Regulas (ES, Euratom) </w:t>
            </w:r>
            <w:r w:rsidR="00000000" w:rsidRPr="00000000" w:rsidDel="00000000">
              <w:rPr>
                <w:rtl w:val="0"/>
              </w:rPr>
              <w:t xml:space="preserve">Nr. 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svītrot noteikumu 38.6. apakšpunktā atsauci uz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pantu, ņemot vērā to, ka minētās regulas 61.pants, kā arī šobrīd spēkā esošās Eiropas Parlamenta un Padomes 2024. gada 23. septembra Regulas (ES, Euratom) 2024/2509 par finanšu noteikumiem, ko piemēro Savienības vispārējam budžetam (pārstrādātā redakcija) (turpmāk - Finanšu regula) 61.panta prasības ir tieši piemērojamas tādiem projektiem, kas saistīti ar Eiropas Savienības (ES) fondu atbalsta saņemšanu un vienlaikus kuros atbilstoši specifiskā atbalsta mērķim finansējuma saņēmējs atlases kārtībā ES fondu dalībniekiem, gala saņēmējiem vai sadarbības partneriem sniedz finansiālu atbalstu (t.s. daudzpakāpju projekti). Ņemot vērā, ka konkrētajā gadījumā atbilstoši specifiskajam atbalsta mērķim netiek īstenots daudzpakāpju projekts un tādējādi Finanšu regulas 61.panta prasības netiek tieši attiecinātas uz finansējuma saņēmēju, lūdzam izvērtēt iespēju noteikumu 38.6.punktā neiekļaut atsauci uz Finanšu regulas 61.pantu.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novērš interešu konflikta risku.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38.6. novērš interešu konflikta risku saskaņā ar Eiropas Parlamenta un Padomes 2018. gada 18. jūlija Regulas (ES, Euratom) </w:t>
            </w:r>
            <w:r w:rsidR="00000000" w:rsidRPr="00000000" w:rsidDel="00000000">
              <w:rPr>
                <w:rtl w:val="0"/>
              </w:rPr>
              <w:t xml:space="preserve">Nr. 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Ja projektā tiek iekļautas darbības, kas ir saistītas ar ūdenssaimniecības un (vai) siltumapgādes sabiedriskā pakalpojuma sniegšanu, projekta iesniedzējs iesniedz sadarbības iestādē vispārējas tautsaimnieciskas nozīmes pakalpojuma pilnvarojuma uzlicēja apliecinājumu par šo noteikumu </w:t>
            </w:r>
            <w:r w:rsidR="00000000" w:rsidRPr="00000000" w:rsidDel="00000000">
              <w:rPr>
                <w:rtl w:val="0"/>
              </w:rPr>
              <w:t xml:space="preserve">21.6.</w:t>
            </w:r>
            <w:r w:rsidR="00000000" w:rsidRPr="00000000" w:rsidDel="00000000">
              <w:rPr>
                <w:rtl w:val="0"/>
              </w:rPr>
              <w:t xml:space="preserve"> vai </w:t>
            </w:r>
            <w:r w:rsidR="00000000" w:rsidRPr="00000000" w:rsidDel="00000000">
              <w:rPr>
                <w:rtl w:val="0"/>
              </w:rPr>
              <w:t xml:space="preserve">22.7.</w:t>
            </w:r>
            <w:r w:rsidR="00000000" w:rsidRPr="00000000" w:rsidDel="00000000">
              <w:rPr>
                <w:rtl w:val="0"/>
              </w:rPr>
              <w:t xml:space="preserve"> apakšpunktā</w:t>
            </w:r>
            <w:r w:rsidR="00000000" w:rsidRPr="00000000" w:rsidDel="00000000">
              <w:rPr>
                <w:rtl w:val="0"/>
              </w:rPr>
              <w:t xml:space="preserve"> minētās atlīdzības (kompensācijas) maksājumu kontroli un pārskatīšanu, kā arī minēto atlīdzības (kompensācijas) maksājumu pārmaksas novēršanu un atgūšanu, ievērojot Eiropas Savienības līmenī noteikto pārbaužu regularitāti, bet ne retāk kā reizi trijos gados un pilnvarojuma akta darbības perioda beigās, vai arī apliecinājumu par sabiedriskajiem pakalpojumiem paredzēto kopējo maksājumu kontroli un pārskatīšanu, kā arī atlīdzības (kompensācijas) maksājumu pārmaksas novēršanu un atgūšanu, ievērojot Eiropas Savienības līmenī noteikto pārbaužu regularitāti, bet ne retāk kā reizi trijos gados un pilnvarojuma akta darbības perioda beigās.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mazināšanas ietvaros turpmāk nav paredzēts pieprasīt projekta iesniedzējam iesniegt sadarbības iestādē vispārējas tautsaimnieciskas nozīmes pakalpojuma pilnvarojuma uzlicēja apliecinājumu par atlīdzības (kompensācijas) maksājumu kontroli un pārskatīšanu, lūdzam dzēst noteikumu projekta 48.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Ja projektā tiek iekļautas darbības, kas ir saistītas ar ūdenssaimniecības un (vai) siltumapgādes sabiedriskā pakalpojuma sniegšanu, projekta iesniedzējs iesniedz sadarbības iestādē vispārējas tautsaimnieciskas nozīmes pakalpojuma pilnvarojuma uzlicēja apliecinājumu par šo noteikumu </w:t>
            </w:r>
            <w:r w:rsidR="00000000" w:rsidRPr="00000000" w:rsidDel="00000000">
              <w:rPr>
                <w:rtl w:val="0"/>
              </w:rPr>
              <w:t xml:space="preserve">21.6.</w:t>
            </w:r>
            <w:r w:rsidR="00000000" w:rsidRPr="00000000" w:rsidDel="00000000">
              <w:rPr>
                <w:rtl w:val="0"/>
              </w:rPr>
              <w:t xml:space="preserve"> vai </w:t>
            </w:r>
            <w:r w:rsidR="00000000" w:rsidRPr="00000000" w:rsidDel="00000000">
              <w:rPr>
                <w:rtl w:val="0"/>
              </w:rPr>
              <w:t xml:space="preserve">22.7.</w:t>
            </w:r>
            <w:r w:rsidR="00000000" w:rsidRPr="00000000" w:rsidDel="00000000">
              <w:rPr>
                <w:rtl w:val="0"/>
              </w:rPr>
              <w:t xml:space="preserve"> apakšpunktā</w:t>
            </w:r>
            <w:r w:rsidR="00000000" w:rsidRPr="00000000" w:rsidDel="00000000">
              <w:rPr>
                <w:rtl w:val="0"/>
              </w:rPr>
              <w:t xml:space="preserve"> minētās atlīdzības (kompensācijas) maksājumu kontroli un pārskatīšanu, kā arī minēto atlīdzības (kompensācijas) maksājumu pārmaksas novēršanu un atgūšanu, ievērojot Eiropas Savienības līmenī noteikto pārbaužu regularitāti, bet ne retāk kā reizi trijos gados un pilnvarojuma akta darbības perioda beigās, vai arī apliecinājumu par sabiedriskajiem pakalpojumiem paredzēto kopējo maksājumu kontroli un pārskatīšanu, kā arī atlīdzības (kompensācijas) maksājumu pārmaksas novēršanu un atgūšanu, ievērojot Eiropas Savienības līmenī noteikto pārbaužu regularitāti, bet ne retāk kā reizi trijos gados un pilnvarojuma akta darbības perioda beigās.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Finansējuma saņēmējs nodrošina, ka projektā tiek paredzēts zaļais publiskais iepirkums vismaz vienai būvdarbu vai preču vai pakalpojumu grupai papildu tām preču un pakalpojumu grupām, kurām obligāti piemērojams zaļais publiskais iepirkums saskaņā ar nacionālajiem normatīvajiem aktiem par prasībām zaļajam publiskajam iepirkumam un to piemērošanas kārtību, un veic sociāli atbildīgu iepirkumu.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mazināšanas nolūkos lūdzam izvērtēt iespēju sociāli atbildīga iepirkuma veikšanu nenoteikt kā obligātu prasību, bet gan kā izvēles iespēju.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Finansējuma saņēmējs nodrošina, ka projektā tiek paredzēts zaļais publiskais iepirkums vismaz vienai būvdarbu vai preču vai pakalpojumu grupai papildu tām preču un pakalpojumu grupām, kurām obligāti piemērojams zaļais publiskais iepirkums saskaņā ar nacionālajiem normatīvajiem aktiem par prasībām zaļajam publiskajam iepirkumam un to piemērošanas kārtību, un veic sociāli atbildīgu iepirkumu, kur tas ir attiecināms un atbilst ieguldījumu specifikai.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26-TA-724</w:t>
    </w:r>
    <w:r>
      <w:br/>
    </w:r>
    <w:r w:rsidR="00000000" w:rsidRPr="00000000" w:rsidDel="00000000">
      <w:rPr>
        <w:rtl w:val="0"/>
      </w:rPr>
      <w:t xml:space="preserve">25.05.2026. 10.36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26-TA-724</w:t>
    </w:r>
    <w:r>
      <w:br/>
    </w:r>
    <w:r w:rsidR="00000000" w:rsidRPr="00000000" w:rsidDel="00000000">
      <w:rPr>
        <w:rtl w:val="0"/>
      </w:rPr>
      <w:t xml:space="preserve">25.05.2026. 10.36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Izziņa_26-TA-724.docx</dc:title>
</cp:coreProperties>
</file>

<file path=docProps/custom.xml><?xml version="1.0" encoding="utf-8"?>
<Properties xmlns="http://schemas.openxmlformats.org/officeDocument/2006/custom-properties" xmlns:vt="http://schemas.openxmlformats.org/officeDocument/2006/docPropsVTypes"/>
</file>