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0BF" w:firstRow="1" w:lastRow="0" w:firstColumn="1" w:lastColumn="0" w:noHBand="0" w:noVBand="0"/>
      </w:tblPr>
      <w:tblGrid>
        <w:gridCol w:w="5669"/>
        <w:gridCol w:w="3402"/>
      </w:tblGrid>
      <w:tr w:rsidR="00E35A4A" w14:paraId="55054548" w14:textId="77777777" w:rsidTr="00E35A4A">
        <w:tc>
          <w:tcPr>
            <w:tcW w:w="3125" w:type="pct"/>
          </w:tcPr>
          <w:p w14:paraId="3C0C7246" w14:textId="77777777" w:rsidR="00E35A4A" w:rsidRDefault="00E35A4A" w:rsidP="00E35A4A">
            <w:pPr>
              <w:keepLines/>
              <w:autoSpaceDE w:val="0"/>
              <w:autoSpaceDN w:val="0"/>
              <w:adjustRightInd w:val="0"/>
              <w:spacing w:after="0" w:line="40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Rīgā</w:t>
            </w:r>
          </w:p>
          <w:p w14:paraId="4488BDBF" w14:textId="77777777" w:rsidR="00E35A4A" w:rsidRDefault="00E35A4A" w:rsidP="00E35A4A">
            <w:pPr>
              <w:keepLines/>
              <w:autoSpaceDE w:val="0"/>
              <w:autoSpaceDN w:val="0"/>
              <w:adjustRightInd w:val="0"/>
              <w:spacing w:after="0" w:line="24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Datumu skatīt dokumenta paraksta laika zīmogā.</w:t>
            </w:r>
          </w:p>
          <w:p w14:paraId="4CE42BD1" w14:textId="77777777" w:rsidR="00E35A4A" w:rsidRDefault="00E35A4A" w:rsidP="00E35A4A">
            <w:pPr>
              <w:keepLines/>
              <w:autoSpaceDE w:val="0"/>
              <w:autoSpaceDN w:val="0"/>
              <w:adjustRightInd w:val="0"/>
              <w:spacing w:after="0" w:line="24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Nr. 01VD00-11/1968</w:t>
            </w:r>
          </w:p>
          <w:p w14:paraId="6871CC30" w14:textId="77777777" w:rsidR="00E35A4A" w:rsidRDefault="00E35A4A" w:rsidP="00E35A4A">
            <w:pPr>
              <w:keepLines/>
              <w:autoSpaceDE w:val="0"/>
              <w:autoSpaceDN w:val="0"/>
              <w:adjustRightInd w:val="0"/>
              <w:spacing w:after="0" w:line="240" w:lineRule="auto"/>
              <w:ind w:right="113"/>
              <w:rPr>
                <w:rFonts w:ascii="Times New Roman" w:hAnsi="Times New Roman" w:cs="Times New Roman"/>
                <w:color w:val="000000"/>
                <w:sz w:val="24"/>
                <w:szCs w:val="24"/>
              </w:rPr>
            </w:pPr>
            <w:r>
              <w:rPr>
                <w:rFonts w:ascii="Times New Roman" w:hAnsi="Times New Roman" w:cs="Times New Roman"/>
                <w:color w:val="000000"/>
                <w:sz w:val="24"/>
                <w:szCs w:val="24"/>
              </w:rPr>
              <w:t>Uz 24.09.2021. Nr. 3.3-8/2021/6953N</w:t>
            </w:r>
          </w:p>
        </w:tc>
        <w:tc>
          <w:tcPr>
            <w:tcW w:w="1875" w:type="pct"/>
          </w:tcPr>
          <w:p w14:paraId="70B3306A" w14:textId="77777777" w:rsidR="00E35A4A" w:rsidRDefault="00E35A4A" w:rsidP="00E35A4A">
            <w:pPr>
              <w:keepLines/>
              <w:autoSpaceDE w:val="0"/>
              <w:autoSpaceDN w:val="0"/>
              <w:adjustRightInd w:val="0"/>
              <w:spacing w:after="0" w:line="240" w:lineRule="auto"/>
              <w:jc w:val="right"/>
              <w:rPr>
                <w:rFonts w:ascii="Times New Roman" w:hAnsi="Times New Roman" w:cs="Times New Roman"/>
                <w:color w:val="000000"/>
                <w:sz w:val="24"/>
                <w:szCs w:val="24"/>
              </w:rPr>
            </w:pPr>
          </w:p>
          <w:p w14:paraId="255550B0" w14:textId="77777777" w:rsidR="00E35A4A" w:rsidRDefault="00E35A4A" w:rsidP="00E35A4A">
            <w:pPr>
              <w:keepLines/>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Ekonomikas ministrija</w:t>
            </w:r>
            <w:r>
              <w:rPr>
                <w:rFonts w:ascii="Times New Roman" w:hAnsi="Times New Roman" w:cs="Times New Roman"/>
                <w:color w:val="000000"/>
                <w:sz w:val="24"/>
                <w:szCs w:val="24"/>
              </w:rPr>
              <w:br/>
              <w:t>Brīvības iela 55</w:t>
            </w:r>
            <w:r>
              <w:rPr>
                <w:rFonts w:ascii="Times New Roman" w:hAnsi="Times New Roman" w:cs="Times New Roman"/>
                <w:color w:val="000000"/>
                <w:sz w:val="24"/>
                <w:szCs w:val="24"/>
              </w:rPr>
              <w:br/>
              <w:t>Rīga, LV-1519</w:t>
            </w:r>
            <w:r>
              <w:rPr>
                <w:rFonts w:ascii="Times New Roman" w:hAnsi="Times New Roman" w:cs="Times New Roman"/>
                <w:color w:val="000000"/>
                <w:sz w:val="24"/>
                <w:szCs w:val="24"/>
              </w:rPr>
              <w:br/>
              <w:t>Latvija</w:t>
            </w:r>
          </w:p>
        </w:tc>
      </w:tr>
    </w:tbl>
    <w:p w14:paraId="463FB0B9" w14:textId="77777777" w:rsidR="00E35A4A" w:rsidRDefault="00E35A4A" w:rsidP="00E35A4A">
      <w:pPr>
        <w:autoSpaceDE w:val="0"/>
        <w:autoSpaceDN w:val="0"/>
        <w:adjustRightInd w:val="0"/>
        <w:spacing w:after="0" w:line="240" w:lineRule="auto"/>
        <w:rPr>
          <w:rFonts w:ascii="Times New Roman" w:hAnsi="Times New Roman" w:cs="Times New Roman"/>
          <w:color w:val="000000"/>
          <w:sz w:val="24"/>
          <w:szCs w:val="24"/>
        </w:rPr>
      </w:pPr>
    </w:p>
    <w:tbl>
      <w:tblPr>
        <w:tblW w:w="5000" w:type="pct"/>
        <w:tblCellMar>
          <w:left w:w="0" w:type="dxa"/>
          <w:right w:w="0" w:type="dxa"/>
        </w:tblCellMar>
        <w:tblLook w:val="00BF" w:firstRow="1" w:lastRow="0" w:firstColumn="1" w:lastColumn="0" w:noHBand="0" w:noVBand="0"/>
      </w:tblPr>
      <w:tblGrid>
        <w:gridCol w:w="9071"/>
      </w:tblGrid>
      <w:tr w:rsidR="00E35A4A" w14:paraId="7E0D5851" w14:textId="77777777" w:rsidTr="00E35A4A">
        <w:tc>
          <w:tcPr>
            <w:tcW w:w="5000" w:type="pct"/>
          </w:tcPr>
          <w:p w14:paraId="146B93AF" w14:textId="77777777" w:rsidR="00E35A4A" w:rsidRDefault="00E35A4A" w:rsidP="00E35A4A">
            <w:pPr>
              <w:keepLine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Par likumprojekta "Grozījumi Energoefektivitātes likumā" saskaņošanu</w:t>
            </w:r>
          </w:p>
        </w:tc>
      </w:tr>
    </w:tbl>
    <w:p w14:paraId="61022105" w14:textId="77777777" w:rsidR="00E35A4A" w:rsidRDefault="00E35A4A" w:rsidP="00E35A4A">
      <w:pPr>
        <w:autoSpaceDE w:val="0"/>
        <w:autoSpaceDN w:val="0"/>
        <w:adjustRightInd w:val="0"/>
        <w:spacing w:after="0" w:line="240" w:lineRule="auto"/>
        <w:jc w:val="both"/>
        <w:rPr>
          <w:rFonts w:ascii="Times New Roman" w:hAnsi="Times New Roman" w:cs="Times New Roman"/>
          <w:color w:val="000000"/>
          <w:sz w:val="24"/>
          <w:szCs w:val="24"/>
        </w:rPr>
      </w:pPr>
    </w:p>
    <w:tbl>
      <w:tblPr>
        <w:tblW w:w="5000" w:type="pct"/>
        <w:tblCellMar>
          <w:left w:w="0" w:type="dxa"/>
          <w:right w:w="0" w:type="dxa"/>
        </w:tblCellMar>
        <w:tblLook w:val="00BF" w:firstRow="1" w:lastRow="0" w:firstColumn="1" w:lastColumn="0" w:noHBand="0" w:noVBand="0"/>
      </w:tblPr>
      <w:tblGrid>
        <w:gridCol w:w="9071"/>
      </w:tblGrid>
      <w:tr w:rsidR="00E35A4A" w14:paraId="76D74B0B" w14:textId="77777777" w:rsidTr="00E35A4A">
        <w:tc>
          <w:tcPr>
            <w:tcW w:w="5000" w:type="pct"/>
          </w:tcPr>
          <w:p w14:paraId="29B9B7ED" w14:textId="77777777" w:rsidR="00E35A4A" w:rsidRDefault="00E35A4A" w:rsidP="00E35A4A">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AS "Latvenergo" ir saņēmusi Ekonomikas ministrijas 2021.gada 24.septembra vēstuli Nr.3.3-8/2021/6953N "</w:t>
            </w:r>
            <w:r>
              <w:rPr>
                <w:rFonts w:ascii="Times New Roman" w:hAnsi="Times New Roman" w:cs="Times New Roman"/>
                <w:i/>
                <w:iCs/>
                <w:color w:val="000000"/>
                <w:sz w:val="24"/>
                <w:szCs w:val="24"/>
              </w:rPr>
              <w:t>Par likumprojekta "Grozījumi Energoefektivitātes likumā" saskaņošanu</w:t>
            </w:r>
            <w:r>
              <w:rPr>
                <w:rFonts w:ascii="Times New Roman" w:hAnsi="Times New Roman" w:cs="Times New Roman"/>
                <w:color w:val="000000"/>
                <w:sz w:val="24"/>
                <w:szCs w:val="24"/>
              </w:rPr>
              <w:t>", ar kuru Ekonomikas ministrija nosūta saskaņošanai precizēto likumprojektu "Grozījumi Energoefektivitātes likumā" (VSS-923), turpmāk - Likumprojekts. AS "Latvenergo" izsaka gatavību Likumprojekta saskaņošanai.</w:t>
            </w:r>
          </w:p>
          <w:p w14:paraId="54D1C348" w14:textId="77777777" w:rsidR="00E35A4A" w:rsidRDefault="00E35A4A" w:rsidP="00E35A4A">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Kaut arī AS "Latvenergo" pirmajā saistību periodā kā energoefektivitātes pienākuma shēmas atbildīgā puse ir sekmīgi īstenojusi energoefektivitātes pasākumus, sniedzot būtisku ieguldījumu Latvijas energoefektivitātes mērķu sasniegšanā, tomēr, lai padarītu enerģētikas komersantu līdzdalību un tās uzraudzību energoefektivitātes mērķu sasniegšanā iespējami vienkāršu, atkārtoti aicinām izvērtēt energoefektivitātes pienākuma shēmas esošo risinājumu un </w:t>
            </w:r>
            <w:r>
              <w:rPr>
                <w:rFonts w:ascii="Times New Roman" w:hAnsi="Times New Roman" w:cs="Times New Roman"/>
                <w:b/>
                <w:bCs/>
                <w:color w:val="000000"/>
                <w:sz w:val="24"/>
                <w:szCs w:val="24"/>
              </w:rPr>
              <w:t>noteikt energoefektivitātes pienākuma shēmas atbildīgajām pusēm saistošus pienākumus attiecībā uz to veicamajām darbībām, nevis sasniedzamo enerģijas ietaupījumu</w:t>
            </w:r>
            <w:r>
              <w:rPr>
                <w:rFonts w:ascii="Times New Roman" w:hAnsi="Times New Roman" w:cs="Times New Roman"/>
                <w:color w:val="000000"/>
                <w:sz w:val="24"/>
                <w:szCs w:val="24"/>
              </w:rPr>
              <w:t>. Piemēram, nosakot ar regulējumu pienākumu komunikācijā ar saviem klientiem, interneta vietnē vai rēķinos nodrošināt informāciju par energoefektivitātes risinājumiem un ietaupījumu iespējām. Šāds risinājums būtiski atvieglotu pienākuma shēmas izpildes uzraudzību, mazinātu tirgus barjeras un nodrošinātu to pašu energoefektivitātes potenciāla apgūšanu, ko esošā energoefektivitātes pienākumu sistēma. Vienlaicīgi vēršam uzmanību uz to, ka atbildīgajai pusei nav nosakāms tāds pienākuma apjoms, ko ir iespējams izpildīt tikai papildus īstenojot energoefektivitātes uzlabošanas pasākumus pie citiem komersantiem, valsts un pašvaldību iestādēm. Jebkurš lēmums par energoefektivitātes uzlabošanu ir cieši saistīts ar katra komersanta komercdarbību vai budžeta iestādes finansējumu, kas enerģijas tirgotājam nav jāietekmē. Komersanti un budžeta iestādes sasniedz enerģijas ietaupījumu ar energoauditu un energopārvaldības sistēmu ieviešanu. Atbildīgā puse var veicināt energoefektivitātes paaugstināšanu, komunicējot ar patērētājiem, kas atbildīgajai pusei ir sasniedzami un kuru lēmumi par energoefektivitātes uzlabošanu nav saistīti ar to komercdarbību un budžeta plānu.</w:t>
            </w:r>
          </w:p>
          <w:p w14:paraId="0E3D863D" w14:textId="77777777" w:rsidR="00E35A4A" w:rsidRDefault="00E35A4A" w:rsidP="00E35A4A">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Ja Ekonomikas ministrijas ieskatā Likumprojekts ir virzāms saskaņošanai esošajā redakcijā, atkārtoti aicinām  precizēt Likumprojekta 9.punktu un ietvert AS "Latvenergo" priekšlikumu likumprojekta izziņā.</w:t>
            </w:r>
          </w:p>
          <w:p w14:paraId="695386E8" w14:textId="77777777" w:rsidR="00E35A4A" w:rsidRDefault="00E35A4A" w:rsidP="00E35A4A">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Lai nodrošinātu visas ar energoefektivitātes pienākuma shēmas izpildi saistītās informācijas savlaicīgu iesniegšanu atbildīgajai iestādei, aicinām noteikt, ka atbildīgā iestāde publicē savā tīmekļa vietnē lielo uzņēmuma sarakstu nevis līdz 31.martam, kā tas ir paredzēts Likumprojektā un kas sakrīt ar atbildīgās puses energoefektivitātes uzlabošanas plāna iesniegšanas atbildīgajai iestādei termiņu, bet gan līdz 31.janvārim. Savlaicīgs informācijas publicēšanas termiņš ir būtisks nosacījums energoefektivitātes pienākuma shēmas noteikumu izpildei.</w:t>
            </w:r>
          </w:p>
          <w:p w14:paraId="446B6DB0" w14:textId="77777777" w:rsidR="00E35A4A" w:rsidRDefault="00E35A4A" w:rsidP="00E35A4A">
            <w:pPr>
              <w:keepLines/>
              <w:autoSpaceDE w:val="0"/>
              <w:autoSpaceDN w:val="0"/>
              <w:adjustRightInd w:val="0"/>
              <w:spacing w:after="120" w:line="240" w:lineRule="auto"/>
              <w:ind w:firstLine="720"/>
              <w:jc w:val="both"/>
              <w:rPr>
                <w:rFonts w:ascii="Times New Roman" w:hAnsi="Times New Roman" w:cs="Times New Roman"/>
                <w:b/>
                <w:bCs/>
                <w:color w:val="000000"/>
                <w:sz w:val="24"/>
                <w:szCs w:val="24"/>
              </w:rPr>
            </w:pPr>
            <w:r>
              <w:rPr>
                <w:rFonts w:ascii="Times New Roman" w:hAnsi="Times New Roman" w:cs="Times New Roman"/>
                <w:color w:val="000000"/>
                <w:sz w:val="24"/>
                <w:szCs w:val="24"/>
              </w:rPr>
              <w:t>Saskaņā ar 2017.gada 25.aprīļa Ministru kabineta noteikumu Nr.226 "</w:t>
            </w:r>
            <w:r>
              <w:rPr>
                <w:rFonts w:ascii="Times New Roman" w:hAnsi="Times New Roman" w:cs="Times New Roman"/>
                <w:i/>
                <w:iCs/>
                <w:color w:val="000000"/>
                <w:sz w:val="24"/>
                <w:szCs w:val="24"/>
              </w:rPr>
              <w:t>Energoefektivitātes pienākuma shēmas noteikumi</w:t>
            </w:r>
            <w:r>
              <w:rPr>
                <w:rFonts w:ascii="Times New Roman" w:hAnsi="Times New Roman" w:cs="Times New Roman"/>
                <w:color w:val="000000"/>
                <w:sz w:val="24"/>
                <w:szCs w:val="24"/>
              </w:rPr>
              <w:t xml:space="preserve">" (turpmāk – Noteikumi) 19.1.apakšpunktu un 21.punktu energoefektivitātes pienākuma shēmas atbildīgajai pusei katru gadu </w:t>
            </w:r>
            <w:r>
              <w:rPr>
                <w:rFonts w:ascii="Times New Roman" w:hAnsi="Times New Roman" w:cs="Times New Roman"/>
                <w:color w:val="000000"/>
                <w:sz w:val="24"/>
                <w:szCs w:val="24"/>
                <w:u w:val="single"/>
              </w:rPr>
              <w:t>līdz 31.martam</w:t>
            </w:r>
            <w:r>
              <w:rPr>
                <w:rFonts w:ascii="Times New Roman" w:hAnsi="Times New Roman" w:cs="Times New Roman"/>
                <w:color w:val="000000"/>
                <w:sz w:val="24"/>
                <w:szCs w:val="24"/>
              </w:rPr>
              <w:t xml:space="preserve"> jāiesniedz atbildīgajai iestādei aprēķinātā pienākuma apjoms indikatīvi saistību periodam un </w:t>
            </w:r>
            <w:r>
              <w:rPr>
                <w:rFonts w:ascii="Times New Roman" w:hAnsi="Times New Roman" w:cs="Times New Roman"/>
                <w:color w:val="000000"/>
                <w:sz w:val="24"/>
                <w:szCs w:val="24"/>
                <w:u w:val="single"/>
              </w:rPr>
              <w:t>faktiski</w:t>
            </w:r>
            <w:r>
              <w:rPr>
                <w:rFonts w:ascii="Times New Roman" w:hAnsi="Times New Roman" w:cs="Times New Roman"/>
                <w:color w:val="000000"/>
                <w:sz w:val="24"/>
                <w:szCs w:val="24"/>
              </w:rPr>
              <w:t xml:space="preserve">, kas aprēķināts katru gadu. Lai aprēķinātu faktisko pienākuma apjomu, atbildīgajai pusei ir jāaprēķina lielajiem uzņēmumiem un lielajiem elektroenerģijas patērētājiem mazumtirdzniecībā pārdoto enerģijas apjomu, jo saskaņā ar Noteikumu 11.punktu energoefektivitātes pienākuma shēmas atbildīgajai pusei ietaupījuma mērķi samazina atbilstoši lielajiem uzņēmumiem un lielajiem elektroenerģijas patērētājiem pārdotajam elektroenerģijas apjomam. </w:t>
            </w:r>
            <w:r>
              <w:rPr>
                <w:rFonts w:ascii="Times New Roman" w:hAnsi="Times New Roman" w:cs="Times New Roman"/>
                <w:b/>
                <w:bCs/>
                <w:color w:val="000000"/>
                <w:sz w:val="24"/>
                <w:szCs w:val="24"/>
              </w:rPr>
              <w:t>Nenodrošinot savlaicīgu piekļuvi aktuālajam lielo uzņēmumu sarakstam, energoefektivitātes pienākuma shēmas atbildīgās puses nespēs izpildīt Noteikumu 19.1.apakšpunktu, t.i. informēt atbildīgo iestādi par faktisko pienākuma apjomu līdz 31.martam.</w:t>
            </w:r>
          </w:p>
          <w:p w14:paraId="685BD8FE" w14:textId="77777777" w:rsidR="00E35A4A" w:rsidRDefault="00E35A4A" w:rsidP="00E35A4A">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Priekšlikums Energoefektivitātes likuma 10.panta otrā punkta trešā teikuma redakcijai: "</w:t>
            </w:r>
            <w:r>
              <w:rPr>
                <w:rFonts w:ascii="Times New Roman" w:hAnsi="Times New Roman" w:cs="Times New Roman"/>
                <w:i/>
                <w:iCs/>
                <w:color w:val="000000"/>
                <w:sz w:val="24"/>
                <w:szCs w:val="24"/>
              </w:rPr>
              <w:t xml:space="preserve">Atbildīgā iestāde katru gadu līdz 31. </w:t>
            </w:r>
            <w:r>
              <w:rPr>
                <w:rFonts w:ascii="Times New Roman" w:hAnsi="Times New Roman" w:cs="Times New Roman"/>
                <w:i/>
                <w:iCs/>
                <w:color w:val="000000"/>
                <w:sz w:val="24"/>
                <w:szCs w:val="24"/>
                <w:u w:val="single"/>
              </w:rPr>
              <w:t>janvārim</w:t>
            </w:r>
            <w:r>
              <w:rPr>
                <w:rFonts w:ascii="Times New Roman" w:hAnsi="Times New Roman" w:cs="Times New Roman"/>
                <w:i/>
                <w:iCs/>
                <w:color w:val="000000"/>
                <w:sz w:val="24"/>
                <w:szCs w:val="24"/>
              </w:rPr>
              <w:t xml:space="preserve">  publicē savā tīmekļa vietnē lielo uzņēmuma sarakstu </w:t>
            </w:r>
            <w:r>
              <w:rPr>
                <w:rFonts w:ascii="Times New Roman" w:hAnsi="Times New Roman" w:cs="Times New Roman"/>
                <w:color w:val="000000"/>
                <w:sz w:val="24"/>
                <w:szCs w:val="24"/>
              </w:rPr>
              <w:t>".</w:t>
            </w:r>
          </w:p>
          <w:p w14:paraId="26A0833C" w14:textId="77777777" w:rsidR="00E35A4A" w:rsidRDefault="00E35A4A" w:rsidP="00E35A4A">
            <w:pPr>
              <w:keepLines/>
              <w:autoSpaceDE w:val="0"/>
              <w:autoSpaceDN w:val="0"/>
              <w:adjustRightInd w:val="0"/>
              <w:spacing w:after="12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Papildus vēršam uzmanību uz Likumprojekta izziņā attiecībā uz Energoefektivitātes likuma 6.pantu ietverto norādi par to, ka "</w:t>
            </w:r>
            <w:r>
              <w:rPr>
                <w:rFonts w:ascii="Times New Roman" w:hAnsi="Times New Roman" w:cs="Times New Roman"/>
                <w:i/>
                <w:iCs/>
                <w:color w:val="000000"/>
                <w:sz w:val="24"/>
                <w:szCs w:val="24"/>
              </w:rPr>
              <w:t>valsts iestādēm un pašvaldībām likuma izpratnē nav pienākums īstenot energoefektivitātes uzlabošanas pasākumus"</w:t>
            </w:r>
            <w:r>
              <w:rPr>
                <w:rFonts w:ascii="Times New Roman" w:hAnsi="Times New Roman" w:cs="Times New Roman"/>
                <w:color w:val="000000"/>
                <w:sz w:val="24"/>
                <w:szCs w:val="24"/>
              </w:rPr>
              <w:t>. Kaut arī valsts iestādēm  un pašvaldībām nav pienākuma īstenot energoefektivitātes pienākuma shēmu, tām Energoefektivitātes likuma 5.pantā ir noteikti pienākumi energoefektivitātes uzlabošanai. Tādējādi, atbildīgajai pusei īstenojot energoefektivitātes uzlabošanas pasākumus pie valsts iestādēm un pašvaldībām, ir iespējama energoefektivitātes uzlabošanas pasākumu pārklāšanās un, kā jau minējām iepriekš, komersantam nebūtu jāietekmē budžeta iestāžu lēmumi. Tā kā valsts iestādēm un pašvaldībām ir noteikti no atbildīgajām pusēm atsevišķi pienākumi energoefektivitātes uzlabošanai, tad valsts iestādēm un pašvaldībām pārdotās enerģijas apjoms nav ieskaitāms, nosakot atbildīgo pušu pienākumu apjomu. Aicinām šo regulējumu ietvert Ministru kabineta 2017.gada 25.aprīļa noteikumu Nr.226 "Energoefektivitātes pienākuma shēmas noteikumi" grozījumos.</w:t>
            </w:r>
          </w:p>
        </w:tc>
      </w:tr>
    </w:tbl>
    <w:p w14:paraId="3C66D251" w14:textId="77777777" w:rsidR="00E35A4A" w:rsidRDefault="00E35A4A" w:rsidP="00E35A4A">
      <w:pPr>
        <w:autoSpaceDE w:val="0"/>
        <w:autoSpaceDN w:val="0"/>
        <w:adjustRightInd w:val="0"/>
        <w:spacing w:after="0" w:line="240" w:lineRule="auto"/>
        <w:rPr>
          <w:rFonts w:ascii="Times New Roman" w:hAnsi="Times New Roman" w:cs="Times New Roman"/>
          <w:color w:val="000000"/>
          <w:sz w:val="24"/>
          <w:szCs w:val="24"/>
        </w:rPr>
      </w:pPr>
    </w:p>
    <w:p w14:paraId="4F9F47DD" w14:textId="77777777" w:rsidR="00E35A4A" w:rsidRDefault="00E35A4A" w:rsidP="00E35A4A">
      <w:pPr>
        <w:autoSpaceDE w:val="0"/>
        <w:autoSpaceDN w:val="0"/>
        <w:adjustRightInd w:val="0"/>
        <w:spacing w:after="0" w:line="240" w:lineRule="auto"/>
        <w:rPr>
          <w:rFonts w:ascii="Times New Roman" w:hAnsi="Times New Roman" w:cs="Times New Roman"/>
          <w:color w:val="000000"/>
          <w:sz w:val="24"/>
          <w:szCs w:val="24"/>
        </w:rPr>
      </w:pPr>
    </w:p>
    <w:p w14:paraId="2C94CC58" w14:textId="77777777" w:rsidR="00E35A4A" w:rsidRDefault="00E35A4A" w:rsidP="00E35A4A">
      <w:pPr>
        <w:autoSpaceDE w:val="0"/>
        <w:autoSpaceDN w:val="0"/>
        <w:adjustRightInd w:val="0"/>
        <w:spacing w:after="0" w:line="240" w:lineRule="auto"/>
        <w:rPr>
          <w:rFonts w:ascii="Times New Roman" w:hAnsi="Times New Roman" w:cs="Times New Roman"/>
          <w:i/>
          <w:iCs/>
          <w:color w:val="000000"/>
          <w:sz w:val="20"/>
          <w:szCs w:val="20"/>
        </w:rPr>
      </w:pPr>
      <w:r>
        <w:rPr>
          <w:rFonts w:ascii="Times New Roman" w:hAnsi="Times New Roman" w:cs="Times New Roman"/>
          <w:i/>
          <w:iCs/>
          <w:color w:val="000000"/>
          <w:sz w:val="20"/>
          <w:szCs w:val="20"/>
        </w:rPr>
        <w:t>Šis dokuments ir parakstīts ar drošu elektronisko parakstu un satur laika zīmogu.</w:t>
      </w:r>
    </w:p>
    <w:p w14:paraId="63700463" w14:textId="77777777" w:rsidR="00E35A4A" w:rsidRDefault="00E35A4A" w:rsidP="00E35A4A">
      <w:pPr>
        <w:autoSpaceDE w:val="0"/>
        <w:autoSpaceDN w:val="0"/>
        <w:adjustRightInd w:val="0"/>
        <w:spacing w:after="0" w:line="240" w:lineRule="auto"/>
        <w:rPr>
          <w:rFonts w:ascii="Times New Roman" w:hAnsi="Times New Roman" w:cs="Times New Roman"/>
          <w:i/>
          <w:iCs/>
          <w:color w:val="000000"/>
          <w:sz w:val="20"/>
          <w:szCs w:val="20"/>
        </w:rPr>
      </w:pPr>
    </w:p>
    <w:tbl>
      <w:tblPr>
        <w:tblW w:w="5000" w:type="pct"/>
        <w:tblCellMar>
          <w:left w:w="0" w:type="dxa"/>
          <w:right w:w="0" w:type="dxa"/>
        </w:tblCellMar>
        <w:tblLook w:val="00BF" w:firstRow="1" w:lastRow="0" w:firstColumn="1" w:lastColumn="0" w:noHBand="0" w:noVBand="0"/>
      </w:tblPr>
      <w:tblGrid>
        <w:gridCol w:w="4386"/>
        <w:gridCol w:w="276"/>
        <w:gridCol w:w="4409"/>
      </w:tblGrid>
      <w:tr w:rsidR="00E35A4A" w14:paraId="6B423F1F" w14:textId="77777777" w:rsidTr="00E35A4A">
        <w:tc>
          <w:tcPr>
            <w:tcW w:w="2418" w:type="pct"/>
          </w:tcPr>
          <w:p w14:paraId="5B65418D" w14:textId="77777777" w:rsidR="00E35A4A" w:rsidRDefault="00E35A4A" w:rsidP="00E35A4A">
            <w:pPr>
              <w:keepLines/>
              <w:autoSpaceDE w:val="0"/>
              <w:autoSpaceDN w:val="0"/>
              <w:adjustRightInd w:val="0"/>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Komercdirektors</w:t>
            </w:r>
          </w:p>
        </w:tc>
        <w:tc>
          <w:tcPr>
            <w:tcW w:w="152" w:type="pct"/>
          </w:tcPr>
          <w:p w14:paraId="5690942A" w14:textId="77777777" w:rsidR="00E35A4A" w:rsidRDefault="00E35A4A" w:rsidP="00E35A4A">
            <w:pPr>
              <w:keepLines/>
              <w:autoSpaceDE w:val="0"/>
              <w:autoSpaceDN w:val="0"/>
              <w:adjustRightInd w:val="0"/>
              <w:spacing w:after="0" w:line="360" w:lineRule="auto"/>
              <w:ind w:left="15"/>
              <w:rPr>
                <w:rFonts w:ascii="Times New Roman" w:hAnsi="Times New Roman" w:cs="Times New Roman"/>
                <w:color w:val="000000"/>
                <w:sz w:val="24"/>
                <w:szCs w:val="24"/>
              </w:rPr>
            </w:pPr>
          </w:p>
        </w:tc>
        <w:tc>
          <w:tcPr>
            <w:tcW w:w="2430" w:type="pct"/>
          </w:tcPr>
          <w:p w14:paraId="0390F637" w14:textId="77777777" w:rsidR="00E35A4A" w:rsidRDefault="00E35A4A" w:rsidP="00E35A4A">
            <w:pPr>
              <w:keepLines/>
              <w:autoSpaceDE w:val="0"/>
              <w:autoSpaceDN w:val="0"/>
              <w:adjustRightInd w:val="0"/>
              <w:spacing w:after="0" w:line="360" w:lineRule="auto"/>
              <w:ind w:left="15" w:right="283"/>
              <w:jc w:val="right"/>
              <w:rPr>
                <w:rFonts w:ascii="Times New Roman" w:hAnsi="Times New Roman" w:cs="Times New Roman"/>
                <w:color w:val="000000"/>
                <w:sz w:val="24"/>
                <w:szCs w:val="24"/>
              </w:rPr>
            </w:pPr>
            <w:r>
              <w:rPr>
                <w:rFonts w:ascii="Times New Roman" w:hAnsi="Times New Roman" w:cs="Times New Roman"/>
                <w:color w:val="000000"/>
                <w:sz w:val="24"/>
                <w:szCs w:val="24"/>
              </w:rPr>
              <w:t>Uldis Mucinieks</w:t>
            </w:r>
          </w:p>
        </w:tc>
      </w:tr>
    </w:tbl>
    <w:p w14:paraId="677C695E" w14:textId="77777777" w:rsidR="00E35A4A" w:rsidRDefault="00E35A4A" w:rsidP="00E35A4A">
      <w:pPr>
        <w:autoSpaceDE w:val="0"/>
        <w:autoSpaceDN w:val="0"/>
        <w:adjustRightInd w:val="0"/>
        <w:spacing w:after="0" w:line="240" w:lineRule="auto"/>
        <w:rPr>
          <w:rFonts w:ascii="Times New Roman" w:hAnsi="Times New Roman" w:cs="Times New Roman"/>
          <w:color w:val="000000"/>
          <w:sz w:val="24"/>
          <w:szCs w:val="24"/>
        </w:rPr>
      </w:pPr>
    </w:p>
    <w:p w14:paraId="2AE32493" w14:textId="77777777" w:rsidR="00E35A4A" w:rsidRDefault="00E35A4A" w:rsidP="00E35A4A">
      <w:pPr>
        <w:autoSpaceDE w:val="0"/>
        <w:autoSpaceDN w:val="0"/>
        <w:adjustRightInd w:val="0"/>
        <w:spacing w:after="0" w:line="240" w:lineRule="auto"/>
        <w:rPr>
          <w:rFonts w:ascii="Times New Roman" w:hAnsi="Times New Roman" w:cs="Times New Roman"/>
          <w:color w:val="000000"/>
          <w:sz w:val="24"/>
          <w:szCs w:val="24"/>
        </w:rPr>
      </w:pPr>
    </w:p>
    <w:tbl>
      <w:tblPr>
        <w:tblW w:w="5000" w:type="pct"/>
        <w:tblCellMar>
          <w:left w:w="0" w:type="dxa"/>
          <w:right w:w="0" w:type="dxa"/>
        </w:tblCellMar>
        <w:tblLook w:val="00BF" w:firstRow="1" w:lastRow="0" w:firstColumn="1" w:lastColumn="0" w:noHBand="0" w:noVBand="0"/>
      </w:tblPr>
      <w:tblGrid>
        <w:gridCol w:w="9071"/>
      </w:tblGrid>
      <w:tr w:rsidR="00E35A4A" w14:paraId="5B97D9C6" w14:textId="77777777" w:rsidTr="00E35A4A">
        <w:tc>
          <w:tcPr>
            <w:tcW w:w="5000" w:type="pct"/>
          </w:tcPr>
          <w:p w14:paraId="66FEE4AE" w14:textId="77777777" w:rsidR="00E35A4A" w:rsidRDefault="00E35A4A" w:rsidP="00E35A4A">
            <w:pPr>
              <w:keepLines/>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Elena Vilsone-Bērziņa 67728370, 28355000</w:t>
            </w:r>
          </w:p>
        </w:tc>
      </w:tr>
    </w:tbl>
    <w:p w14:paraId="6B8A76B7" w14:textId="77777777" w:rsidR="005766AC" w:rsidRPr="00424932" w:rsidRDefault="005766AC" w:rsidP="00E35A4A"/>
    <w:sectPr w:rsidR="005766AC" w:rsidRPr="00424932" w:rsidSect="007F566F">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D2EF9" w14:textId="77777777" w:rsidR="00E35A4A" w:rsidRDefault="00E35A4A" w:rsidP="00117405">
      <w:pPr>
        <w:spacing w:after="0" w:line="240" w:lineRule="auto"/>
      </w:pPr>
      <w:r>
        <w:separator/>
      </w:r>
    </w:p>
  </w:endnote>
  <w:endnote w:type="continuationSeparator" w:id="0">
    <w:p w14:paraId="583B6075" w14:textId="77777777" w:rsidR="00E35A4A" w:rsidRDefault="00E35A4A" w:rsidP="00117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A076" w14:textId="77777777" w:rsidR="00E35A4A" w:rsidRDefault="00E35A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EA65F" w14:textId="77777777" w:rsidR="00E35A4A" w:rsidRDefault="00E35A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6670" w14:textId="77777777" w:rsidR="00E35A4A" w:rsidRDefault="00E35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5145" w14:textId="77777777" w:rsidR="00E35A4A" w:rsidRDefault="00E35A4A" w:rsidP="00117405">
      <w:pPr>
        <w:spacing w:after="0" w:line="240" w:lineRule="auto"/>
      </w:pPr>
      <w:r>
        <w:separator/>
      </w:r>
    </w:p>
  </w:footnote>
  <w:footnote w:type="continuationSeparator" w:id="0">
    <w:p w14:paraId="263047C4" w14:textId="77777777" w:rsidR="00E35A4A" w:rsidRDefault="00E35A4A" w:rsidP="001174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C05F" w14:textId="77777777" w:rsidR="00E35A4A" w:rsidRDefault="00E35A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66AF" w14:textId="77777777" w:rsidR="00E35A4A" w:rsidRDefault="00E35A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71"/>
    </w:tblGrid>
    <w:tr w:rsidR="007F566F" w:rsidRPr="007F566F" w14:paraId="3D06DD32" w14:textId="77777777" w:rsidTr="007F566F">
      <w:trPr>
        <w:cantSplit/>
        <w:trHeight w:val="3515"/>
        <w:jc w:val="center"/>
      </w:trPr>
      <w:tc>
        <w:tcPr>
          <w:tcW w:w="9061" w:type="dxa"/>
        </w:tcPr>
        <w:p w14:paraId="382D4D9A" w14:textId="77777777" w:rsidR="007F566F" w:rsidRPr="007F566F" w:rsidRDefault="00B90832">
          <w:pPr>
            <w:pStyle w:val="Header"/>
            <w:rPr>
              <w:rFonts w:ascii="Times New Roman" w:hAnsi="Times New Roman" w:cs="Times New Roman"/>
              <w:b/>
              <w:sz w:val="24"/>
              <w:szCs w:val="24"/>
            </w:rPr>
          </w:pPr>
          <w:r>
            <w:rPr>
              <w:rFonts w:ascii="Times New Roman" w:hAnsi="Times New Roman" w:cs="Times New Roman"/>
              <w:b/>
              <w:noProof/>
              <w:sz w:val="24"/>
              <w:szCs w:val="24"/>
              <w:lang w:eastAsia="lv-LV"/>
            </w:rPr>
            <w:drawing>
              <wp:anchor distT="0" distB="0" distL="114300" distR="114300" simplePos="0" relativeHeight="251658240" behindDoc="1" locked="0" layoutInCell="1" allowOverlap="1" wp14:anchorId="7F05E88F" wp14:editId="20B7C511">
                <wp:simplePos x="0" y="0"/>
                <wp:positionH relativeFrom="column">
                  <wp:posOffset>-1072184</wp:posOffset>
                </wp:positionH>
                <wp:positionV relativeFrom="paragraph">
                  <wp:posOffset>111318</wp:posOffset>
                </wp:positionV>
                <wp:extent cx="7566025" cy="2145665"/>
                <wp:effectExtent l="0" t="0" r="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6025" cy="2145665"/>
                        </a:xfrm>
                        <a:prstGeom prst="rect">
                          <a:avLst/>
                        </a:prstGeom>
                        <a:noFill/>
                      </pic:spPr>
                    </pic:pic>
                  </a:graphicData>
                </a:graphic>
                <wp14:sizeRelH relativeFrom="page">
                  <wp14:pctWidth>0</wp14:pctWidth>
                </wp14:sizeRelH>
                <wp14:sizeRelV relativeFrom="page">
                  <wp14:pctHeight>0</wp14:pctHeight>
                </wp14:sizeRelV>
              </wp:anchor>
            </w:drawing>
          </w:r>
        </w:p>
      </w:tc>
    </w:tr>
  </w:tbl>
  <w:p w14:paraId="4B608F3F" w14:textId="0E9B96AE" w:rsidR="00526744" w:rsidRDefault="00526744">
    <w:pPr>
      <w:pStyle w:val="Header"/>
    </w:pPr>
  </w:p>
  <w:p w14:paraId="01F04956" w14:textId="77777777" w:rsidR="00E35A4A" w:rsidRPr="00E35A4A" w:rsidRDefault="00E35A4A">
    <w:pPr>
      <w:pStyle w:val="Header"/>
      <w:rPr>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A4A"/>
    <w:rsid w:val="00046C5E"/>
    <w:rsid w:val="00117405"/>
    <w:rsid w:val="001D1AD2"/>
    <w:rsid w:val="002302EC"/>
    <w:rsid w:val="00254E99"/>
    <w:rsid w:val="003E571F"/>
    <w:rsid w:val="003F7941"/>
    <w:rsid w:val="00406EFB"/>
    <w:rsid w:val="00424932"/>
    <w:rsid w:val="00454313"/>
    <w:rsid w:val="00476996"/>
    <w:rsid w:val="00526744"/>
    <w:rsid w:val="00561709"/>
    <w:rsid w:val="005766AC"/>
    <w:rsid w:val="006232BF"/>
    <w:rsid w:val="00627FAE"/>
    <w:rsid w:val="006512F4"/>
    <w:rsid w:val="006D2C65"/>
    <w:rsid w:val="00707C55"/>
    <w:rsid w:val="00717B9A"/>
    <w:rsid w:val="007F566F"/>
    <w:rsid w:val="0083724C"/>
    <w:rsid w:val="008B458C"/>
    <w:rsid w:val="00974D29"/>
    <w:rsid w:val="009B414B"/>
    <w:rsid w:val="009C5EBC"/>
    <w:rsid w:val="00A32671"/>
    <w:rsid w:val="00B90832"/>
    <w:rsid w:val="00B95B3B"/>
    <w:rsid w:val="00BF2CBA"/>
    <w:rsid w:val="00CF07FA"/>
    <w:rsid w:val="00D12EA2"/>
    <w:rsid w:val="00D9691A"/>
    <w:rsid w:val="00DA5174"/>
    <w:rsid w:val="00E35A4A"/>
    <w:rsid w:val="00E41C97"/>
    <w:rsid w:val="00E77323"/>
    <w:rsid w:val="00EF2E06"/>
    <w:rsid w:val="00FF488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6C7B"/>
  <w15:docId w15:val="{AA1D86FF-72D4-4FD6-834A-E4BF1826E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3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2BF"/>
    <w:rPr>
      <w:rFonts w:ascii="Tahoma" w:hAnsi="Tahoma" w:cs="Tahoma"/>
      <w:sz w:val="16"/>
      <w:szCs w:val="16"/>
    </w:rPr>
  </w:style>
  <w:style w:type="paragraph" w:styleId="Header">
    <w:name w:val="header"/>
    <w:basedOn w:val="Normal"/>
    <w:link w:val="HeaderChar"/>
    <w:uiPriority w:val="99"/>
    <w:unhideWhenUsed/>
    <w:rsid w:val="00117405"/>
    <w:pPr>
      <w:tabs>
        <w:tab w:val="center" w:pos="4320"/>
        <w:tab w:val="right" w:pos="8640"/>
      </w:tabs>
      <w:spacing w:after="0" w:line="240" w:lineRule="auto"/>
    </w:pPr>
  </w:style>
  <w:style w:type="character" w:customStyle="1" w:styleId="HeaderChar">
    <w:name w:val="Header Char"/>
    <w:basedOn w:val="DefaultParagraphFont"/>
    <w:link w:val="Header"/>
    <w:uiPriority w:val="99"/>
    <w:rsid w:val="00117405"/>
  </w:style>
  <w:style w:type="paragraph" w:styleId="Footer">
    <w:name w:val="footer"/>
    <w:basedOn w:val="Normal"/>
    <w:link w:val="FooterChar"/>
    <w:uiPriority w:val="99"/>
    <w:unhideWhenUsed/>
    <w:rsid w:val="00117405"/>
    <w:pPr>
      <w:tabs>
        <w:tab w:val="center" w:pos="4320"/>
        <w:tab w:val="right" w:pos="8640"/>
      </w:tabs>
      <w:spacing w:after="0" w:line="240" w:lineRule="auto"/>
    </w:pPr>
  </w:style>
  <w:style w:type="character" w:customStyle="1" w:styleId="FooterChar">
    <w:name w:val="Footer Char"/>
    <w:basedOn w:val="DefaultParagraphFont"/>
    <w:link w:val="Footer"/>
    <w:uiPriority w:val="99"/>
    <w:rsid w:val="00117405"/>
  </w:style>
  <w:style w:type="table" w:styleId="TableGrid">
    <w:name w:val="Table Grid"/>
    <w:basedOn w:val="TableNormal"/>
    <w:uiPriority w:val="59"/>
    <w:rsid w:val="007F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C:/Users/imedveds/AppData/Local/Temp/LE_veidlapa_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LE_veidlapa_2021</Template>
  <TotalTime>0</TotalTime>
  <Pages>1</Pages>
  <Words>3591</Words>
  <Characters>2047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Latvenergo</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Ilze Medvedska</dc:creator>
  <cp:lastModifiedBy>Ilze Medvedska</cp:lastModifiedBy>
  <cp:revision>1</cp:revision>
  <dcterms:created xsi:type="dcterms:W3CDTF">2021-09-29T12:56:00Z</dcterms:created>
  <dcterms:modified xsi:type="dcterms:W3CDTF">2021-09-29T12:56:00Z</dcterms:modified>
</cp:coreProperties>
</file>