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F5" w:rsidRPr="00AA21AE" w:rsidRDefault="00AA21AE" w:rsidP="003732A2">
      <w:pPr>
        <w:shd w:val="clear" w:color="auto" w:fill="FFFFFF"/>
        <w:jc w:val="center"/>
        <w:rPr>
          <w:sz w:val="28"/>
          <w:szCs w:val="28"/>
          <w:lang w:val="lv-LV"/>
        </w:rPr>
      </w:pPr>
      <w:bookmarkStart w:id="0" w:name="_GoBack"/>
      <w:bookmarkEnd w:id="0"/>
      <w:r w:rsidRPr="00AA21AE">
        <w:rPr>
          <w:b/>
          <w:sz w:val="28"/>
          <w:szCs w:val="28"/>
          <w:lang w:val="lv-LV"/>
        </w:rPr>
        <w:t>Latvijas Lielo pilsētu asociācijas i</w:t>
      </w:r>
      <w:r w:rsidR="00015248" w:rsidRPr="00AA21AE">
        <w:rPr>
          <w:b/>
          <w:sz w:val="28"/>
          <w:szCs w:val="28"/>
          <w:lang w:val="lv-LV"/>
        </w:rPr>
        <w:t xml:space="preserve">zziņa iebildumiem/ priekšlikumiem par </w:t>
      </w:r>
      <w:r w:rsidR="003732A2" w:rsidRPr="00AA21AE">
        <w:rPr>
          <w:b/>
          <w:sz w:val="28"/>
          <w:szCs w:val="28"/>
          <w:lang w:val="lv-LV" w:eastAsia="lv-LV"/>
        </w:rPr>
        <w:t>Grozījumiem Ministru kabineta 2017. gada 13.jūnija noteikumos Nr.338 “Prasības sociālo pakalpojumu sniedzējiem”</w:t>
      </w:r>
    </w:p>
    <w:p w:rsidR="00EE60F5" w:rsidRPr="00AA21AE" w:rsidRDefault="00EE60F5" w:rsidP="0064241C">
      <w:pPr>
        <w:spacing w:line="276" w:lineRule="auto"/>
        <w:jc w:val="both"/>
        <w:rPr>
          <w:lang w:val="lv-LV"/>
        </w:rPr>
      </w:pPr>
    </w:p>
    <w:tbl>
      <w:tblPr>
        <w:tblW w:w="139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5580"/>
        <w:gridCol w:w="7412"/>
      </w:tblGrid>
      <w:tr w:rsidR="00491DAD" w:rsidRPr="00AA21AE" w:rsidTr="00491DAD">
        <w:trPr>
          <w:trHeight w:val="557"/>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7071E5">
            <w:pPr>
              <w:spacing w:line="276" w:lineRule="auto"/>
              <w:jc w:val="center"/>
              <w:rPr>
                <w:b/>
                <w:bCs/>
                <w:lang w:val="lv-LV"/>
              </w:rPr>
            </w:pPr>
            <w:r w:rsidRPr="00AA21AE">
              <w:rPr>
                <w:b/>
                <w:bCs/>
                <w:lang w:val="lv-LV"/>
              </w:rPr>
              <w:t>Nr. p.k.</w:t>
            </w:r>
          </w:p>
        </w:tc>
        <w:tc>
          <w:tcPr>
            <w:tcW w:w="5580"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7071E5">
            <w:pPr>
              <w:spacing w:line="276" w:lineRule="auto"/>
              <w:jc w:val="center"/>
              <w:rPr>
                <w:b/>
                <w:bCs/>
                <w:lang w:val="lv-LV"/>
              </w:rPr>
            </w:pPr>
            <w:r w:rsidRPr="00AA21AE">
              <w:rPr>
                <w:b/>
                <w:bCs/>
                <w:lang w:val="lv-LV"/>
              </w:rPr>
              <w:t>Esošā redakcija</w:t>
            </w:r>
          </w:p>
        </w:tc>
        <w:tc>
          <w:tcPr>
            <w:tcW w:w="7412"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7071E5">
            <w:pPr>
              <w:spacing w:line="276" w:lineRule="auto"/>
              <w:jc w:val="center"/>
              <w:rPr>
                <w:b/>
                <w:bCs/>
                <w:lang w:val="lv-LV"/>
              </w:rPr>
            </w:pPr>
            <w:r w:rsidRPr="00AA21AE">
              <w:rPr>
                <w:b/>
                <w:bCs/>
                <w:lang w:val="lv-LV"/>
              </w:rPr>
              <w:t>Iebildumi/ priekšlikumi</w:t>
            </w:r>
          </w:p>
        </w:tc>
      </w:tr>
      <w:tr w:rsidR="00491DAD" w:rsidRPr="00AA21AE" w:rsidTr="00491DAD">
        <w:trPr>
          <w:trHeight w:val="1462"/>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961C81">
            <w:pPr>
              <w:numPr>
                <w:ilvl w:val="0"/>
                <w:numId w:val="1"/>
              </w:numPr>
              <w:spacing w:line="276" w:lineRule="auto"/>
              <w:jc w:val="both"/>
              <w:rPr>
                <w:bCs/>
                <w:lang w:val="lv-LV"/>
              </w:rPr>
            </w:pPr>
            <w:bookmarkStart w:id="1" w:name="_Hlk93332307"/>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ListParagraph"/>
              <w:numPr>
                <w:ilvl w:val="1"/>
                <w:numId w:val="10"/>
              </w:numPr>
              <w:shd w:val="clear" w:color="auto" w:fill="FFFFFF"/>
              <w:ind w:left="0" w:firstLine="0"/>
              <w:jc w:val="both"/>
              <w:rPr>
                <w:szCs w:val="24"/>
              </w:rPr>
            </w:pPr>
            <w:r w:rsidRPr="00AA21AE">
              <w:rPr>
                <w:szCs w:val="24"/>
              </w:rPr>
              <w:t>papildināt noteikumus ar 2.8. apakšpunktu šādā redakcijā:</w:t>
            </w:r>
          </w:p>
          <w:p w:rsidR="00491DAD" w:rsidRPr="00AA21AE" w:rsidRDefault="00491DAD" w:rsidP="00D634B8">
            <w:pPr>
              <w:pStyle w:val="ListParagraph"/>
              <w:shd w:val="clear" w:color="auto" w:fill="FFFFFF"/>
              <w:ind w:left="0"/>
              <w:jc w:val="both"/>
              <w:rPr>
                <w:szCs w:val="24"/>
              </w:rPr>
            </w:pPr>
            <w:r w:rsidRPr="00AA21AE">
              <w:rPr>
                <w:szCs w:val="24"/>
              </w:rPr>
              <w:t>“2.8. ir reģistrēts ārstniecības iestāžu reģistrā, ja sociālā pakalpojuma ietvaros tiek veikta ārstniecība, izņemot gadījumu, kad sociālo pakalpojumu sniedzējam ir līgums ar ārstniecības iestādi par minēto ārstniecības pakalpojumu sniegšanu.”</w:t>
            </w:r>
          </w:p>
          <w:p w:rsidR="00491DAD" w:rsidRPr="00AA21AE" w:rsidRDefault="00491DAD" w:rsidP="00D634B8">
            <w:pPr>
              <w:pStyle w:val="CommentText"/>
              <w:spacing w:after="0"/>
              <w:jc w:val="both"/>
              <w:rPr>
                <w:rFonts w:ascii="Times New Roman" w:hAnsi="Times New Roman"/>
                <w:sz w:val="24"/>
                <w:szCs w:val="24"/>
              </w:rPr>
            </w:pPr>
          </w:p>
        </w:tc>
        <w:tc>
          <w:tcPr>
            <w:tcW w:w="7412" w:type="dxa"/>
            <w:tcBorders>
              <w:top w:val="single" w:sz="4" w:space="0" w:color="auto"/>
              <w:left w:val="single" w:sz="4" w:space="0" w:color="auto"/>
              <w:bottom w:val="single" w:sz="4" w:space="0" w:color="auto"/>
              <w:right w:val="single" w:sz="4" w:space="0" w:color="auto"/>
            </w:tcBorders>
          </w:tcPr>
          <w:p w:rsidR="007F0E0C" w:rsidRPr="00AA21AE" w:rsidRDefault="00491DAD" w:rsidP="00D634B8">
            <w:pPr>
              <w:pStyle w:val="CommentText"/>
              <w:spacing w:after="0"/>
              <w:jc w:val="both"/>
              <w:rPr>
                <w:rFonts w:ascii="Times New Roman" w:hAnsi="Times New Roman"/>
                <w:sz w:val="24"/>
                <w:szCs w:val="24"/>
              </w:rPr>
            </w:pPr>
            <w:r w:rsidRPr="00AA21AE">
              <w:rPr>
                <w:rFonts w:ascii="Times New Roman" w:hAnsi="Times New Roman"/>
                <w:b/>
                <w:sz w:val="24"/>
                <w:szCs w:val="24"/>
                <w:u w:val="single"/>
              </w:rPr>
              <w:t>Iebilstam</w:t>
            </w:r>
            <w:r w:rsidRPr="00AA21AE">
              <w:rPr>
                <w:rFonts w:ascii="Times New Roman" w:hAnsi="Times New Roman"/>
                <w:sz w:val="24"/>
                <w:szCs w:val="24"/>
              </w:rPr>
              <w:t xml:space="preserve"> pret šāda punkta iekļaušana prasībās sociālo pakalpojumu sniedzējiem pirms plašākas diskusijas par šo jautājumu. </w:t>
            </w:r>
          </w:p>
          <w:p w:rsidR="00491DAD" w:rsidRPr="00AA21AE" w:rsidRDefault="00491DAD" w:rsidP="00D634B8">
            <w:pPr>
              <w:pStyle w:val="CommentText"/>
              <w:spacing w:after="0"/>
              <w:jc w:val="both"/>
              <w:rPr>
                <w:rFonts w:ascii="Times New Roman" w:hAnsi="Times New Roman"/>
                <w:sz w:val="24"/>
                <w:szCs w:val="24"/>
              </w:rPr>
            </w:pPr>
            <w:r w:rsidRPr="00AA21AE">
              <w:rPr>
                <w:rFonts w:ascii="Times New Roman" w:hAnsi="Times New Roman"/>
                <w:sz w:val="24"/>
                <w:szCs w:val="24"/>
              </w:rPr>
              <w:t xml:space="preserve">Mūsuprāt jautājums būtu jāskata kopskatā ar pašreiz virzītajiem grozījumiem Sociālo pakalpojumu un sociālās palīdzības likumā (SPSPL) par ilgstošas sociālās aprūpes un sociālās rehabilitācijas pilngadīgām personām institūciju </w:t>
            </w:r>
            <w:r w:rsidR="007F0E0C">
              <w:rPr>
                <w:rFonts w:ascii="Times New Roman" w:hAnsi="Times New Roman"/>
                <w:sz w:val="24"/>
                <w:szCs w:val="24"/>
              </w:rPr>
              <w:t xml:space="preserve">veselības punktu </w:t>
            </w:r>
            <w:r w:rsidRPr="00AA21AE">
              <w:rPr>
                <w:rFonts w:ascii="Times New Roman" w:hAnsi="Times New Roman"/>
                <w:sz w:val="24"/>
                <w:szCs w:val="24"/>
              </w:rPr>
              <w:t>reģistrāciju ārstniecības iestāžu reģistrā, ja klientu skaits ir 49 vai vairāk.</w:t>
            </w:r>
          </w:p>
          <w:p w:rsidR="00491DAD" w:rsidRPr="00AA21AE" w:rsidRDefault="00491DAD" w:rsidP="003706F3">
            <w:pPr>
              <w:pStyle w:val="CommentText"/>
              <w:spacing w:after="0"/>
              <w:jc w:val="both"/>
              <w:rPr>
                <w:rFonts w:ascii="Times New Roman" w:hAnsi="Times New Roman"/>
                <w:sz w:val="24"/>
                <w:szCs w:val="24"/>
              </w:rPr>
            </w:pPr>
            <w:r w:rsidRPr="00AA21AE">
              <w:rPr>
                <w:rFonts w:ascii="Times New Roman" w:hAnsi="Times New Roman"/>
                <w:sz w:val="24"/>
                <w:szCs w:val="24"/>
              </w:rPr>
              <w:t xml:space="preserve">Sākotnēji SPSPL </w:t>
            </w:r>
            <w:r w:rsidR="007F0E0C">
              <w:rPr>
                <w:rFonts w:ascii="Times New Roman" w:hAnsi="Times New Roman"/>
                <w:sz w:val="24"/>
                <w:szCs w:val="24"/>
              </w:rPr>
              <w:t xml:space="preserve">vai citos normatīvajos aktos </w:t>
            </w:r>
            <w:r w:rsidRPr="00AA21AE">
              <w:rPr>
                <w:rFonts w:ascii="Times New Roman" w:hAnsi="Times New Roman"/>
                <w:sz w:val="24"/>
                <w:szCs w:val="24"/>
              </w:rPr>
              <w:t xml:space="preserve">būtu </w:t>
            </w:r>
            <w:r w:rsidR="007F0E0C">
              <w:rPr>
                <w:rFonts w:ascii="Times New Roman" w:hAnsi="Times New Roman"/>
                <w:sz w:val="24"/>
                <w:szCs w:val="24"/>
              </w:rPr>
              <w:t>jānosaka</w:t>
            </w:r>
            <w:r w:rsidRPr="00AA21AE">
              <w:rPr>
                <w:rFonts w:ascii="Times New Roman" w:hAnsi="Times New Roman"/>
                <w:sz w:val="24"/>
                <w:szCs w:val="24"/>
              </w:rPr>
              <w:t>, uz kuriem sociālajiem pakalpojumiem attiecināma ne tikai sociālo, bet arī ārstniecības pakalpojumu sniegšana</w:t>
            </w:r>
            <w:r w:rsidR="007F0E0C">
              <w:rPr>
                <w:rFonts w:ascii="Times New Roman" w:hAnsi="Times New Roman"/>
                <w:sz w:val="24"/>
                <w:szCs w:val="24"/>
              </w:rPr>
              <w:t>,</w:t>
            </w:r>
            <w:r w:rsidRPr="00AA21AE">
              <w:rPr>
                <w:rFonts w:ascii="Times New Roman" w:hAnsi="Times New Roman"/>
                <w:sz w:val="24"/>
                <w:szCs w:val="24"/>
              </w:rPr>
              <w:t xml:space="preserve"> </w:t>
            </w:r>
            <w:r w:rsidR="007F0E0C">
              <w:rPr>
                <w:rFonts w:ascii="Times New Roman" w:hAnsi="Times New Roman"/>
                <w:sz w:val="24"/>
                <w:szCs w:val="24"/>
              </w:rPr>
              <w:t xml:space="preserve">t.sk. valsts finansētu veselības aprūpes pakalpojumu sniegšana, </w:t>
            </w:r>
            <w:r w:rsidRPr="00AA21AE">
              <w:rPr>
                <w:rFonts w:ascii="Times New Roman" w:hAnsi="Times New Roman"/>
                <w:sz w:val="24"/>
                <w:szCs w:val="24"/>
              </w:rPr>
              <w:t>un tikai uz šiem pakalpojumiem tad varētu attiecināt plānoto normu</w:t>
            </w:r>
            <w:r w:rsidR="007F0E0C">
              <w:rPr>
                <w:rFonts w:ascii="Times New Roman" w:hAnsi="Times New Roman"/>
                <w:sz w:val="24"/>
                <w:szCs w:val="24"/>
              </w:rPr>
              <w:t xml:space="preserve">, nosakot arī valsts finansējumu ārstniecības veikšanai. </w:t>
            </w:r>
            <w:r w:rsidRPr="00AA21AE">
              <w:rPr>
                <w:rFonts w:ascii="Times New Roman" w:hAnsi="Times New Roman"/>
                <w:sz w:val="24"/>
                <w:szCs w:val="24"/>
              </w:rPr>
              <w:t>Piemēram, nav saprotams, vai fizioterapeita sniegtais pakalpojums dienas aprūpes centrā uzskatāms par ārstniecības pakalpojumu vai pakalpojumu klientu fizisko aktivitāšu veicināšanai.</w:t>
            </w:r>
            <w:r w:rsidR="007F0E0C">
              <w:rPr>
                <w:rFonts w:ascii="Times New Roman" w:hAnsi="Times New Roman"/>
                <w:sz w:val="24"/>
                <w:szCs w:val="24"/>
              </w:rPr>
              <w:t xml:space="preserve"> Tā kā sociālo pakalpojumu nodrošināšana ir publiska funkcija, tad sociālo pakalpojumu nodrošināšanas ietvaros veiktai ārstniecībai būtu jānotiek par valsts budžeta līdzekļiem.</w:t>
            </w:r>
          </w:p>
        </w:tc>
      </w:tr>
      <w:bookmarkEnd w:id="1"/>
      <w:tr w:rsidR="00491DAD" w:rsidRPr="00AA21AE" w:rsidTr="00491DAD">
        <w:trPr>
          <w:trHeight w:val="2687"/>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BF290C">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CommentText"/>
              <w:spacing w:after="0"/>
              <w:jc w:val="both"/>
              <w:rPr>
                <w:rFonts w:ascii="Times New Roman" w:hAnsi="Times New Roman"/>
                <w:bCs/>
                <w:sz w:val="24"/>
                <w:szCs w:val="24"/>
              </w:rPr>
            </w:pPr>
            <w:r w:rsidRPr="00AA21AE">
              <w:rPr>
                <w:rFonts w:ascii="Times New Roman" w:hAnsi="Times New Roman"/>
                <w:sz w:val="24"/>
                <w:szCs w:val="24"/>
              </w:rPr>
              <w:t>1.8. aizstāt 9.2.1. apakšpunktā vārdus un skaitli “ne mazāk par 21 stundu gadā” ar vārdiem un skaitli “ne mazāk par 10 supervīzijas sesijām gadā”;</w:t>
            </w:r>
          </w:p>
        </w:tc>
        <w:tc>
          <w:tcPr>
            <w:tcW w:w="7412"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jc w:val="both"/>
              <w:rPr>
                <w:iCs/>
                <w:lang w:val="lv-LV" w:eastAsia="lv-LV"/>
              </w:rPr>
            </w:pPr>
            <w:r w:rsidRPr="00AA21AE">
              <w:rPr>
                <w:b/>
                <w:iCs/>
                <w:u w:val="single"/>
                <w:lang w:val="lv-LV" w:eastAsia="lv-LV"/>
              </w:rPr>
              <w:t>Priekšlikums:</w:t>
            </w:r>
            <w:r w:rsidRPr="00AA21AE">
              <w:rPr>
                <w:iCs/>
                <w:lang w:val="lv-LV" w:eastAsia="lv-LV"/>
              </w:rPr>
              <w:t xml:space="preserve"> atstāt iepriekšējās ne mazāk par 7 supervīzijas sesijām gadā.</w:t>
            </w:r>
          </w:p>
          <w:p w:rsidR="00491DAD" w:rsidRPr="00AA21AE" w:rsidRDefault="00491DAD" w:rsidP="007F2434">
            <w:pPr>
              <w:jc w:val="both"/>
              <w:rPr>
                <w:bCs/>
                <w:i/>
              </w:rPr>
            </w:pPr>
            <w:r w:rsidRPr="00AA21AE">
              <w:rPr>
                <w:iCs/>
                <w:lang w:val="lv-LV" w:eastAsia="lv-LV"/>
              </w:rPr>
              <w:t>No anotācijas nav saprotams kādēļ 7 supervīzijas sesijas gadā ir nepietiekošs apjoms. Īpaši tad, ja supervīziju sesijas ir iespējams kombinēt ar individuālajām supervīzijām. Parasti grupu suprvīzijas tiek organizētas 3 stundu ilgumā, jo grupas darbam 2 stundas sesija ir nepietiekoša. Kopējais stundu skaits tiek sasniegts ar 7 supervīziju sesijām gadā. Ja nepieciešams, sesiju skaitu gadā var palielināt.</w:t>
            </w:r>
          </w:p>
        </w:tc>
      </w:tr>
      <w:tr w:rsidR="00491DAD" w:rsidRPr="00AA21AE" w:rsidTr="00491DAD">
        <w:trPr>
          <w:trHeight w:val="1565"/>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BF290C">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ListParagraph"/>
              <w:ind w:left="0"/>
              <w:jc w:val="both"/>
              <w:rPr>
                <w:szCs w:val="24"/>
              </w:rPr>
            </w:pPr>
            <w:r w:rsidRPr="00AA21AE">
              <w:rPr>
                <w:szCs w:val="24"/>
              </w:rPr>
              <w:t>1.14. izteikt 20. punktu šādā redakcijā:</w:t>
            </w:r>
          </w:p>
          <w:p w:rsidR="00491DAD" w:rsidRPr="00AA21AE" w:rsidRDefault="00491DAD" w:rsidP="00D634B8">
            <w:pPr>
              <w:pStyle w:val="ListParagraph"/>
              <w:ind w:left="0"/>
              <w:jc w:val="both"/>
              <w:rPr>
                <w:szCs w:val="24"/>
              </w:rPr>
            </w:pPr>
            <w:r w:rsidRPr="00AA21AE">
              <w:rPr>
                <w:szCs w:val="24"/>
              </w:rPr>
              <w:t>“20. Ja klienta personīgās higiēnas nodrošināšanai ir nepieciešams speciāls tehniskais nodrošinājums, individuālie aizsardzības līdzekļi un dezinfekcijas līdzekļi vai aprūpes mājās pakalpojuma veikšanai piesaistāms īpaši apmācīts personāls, pakalpojuma sniedzējs nodrošina attiecīgos tehniskos līdzekļus, individuālos aizsardzības līdzekļus un dezinfekcijas līdzekļus vai cilvēkresursus.”;</w:t>
            </w:r>
          </w:p>
          <w:p w:rsidR="00491DAD" w:rsidRPr="00AA21AE" w:rsidRDefault="00491DAD" w:rsidP="00D634B8">
            <w:pPr>
              <w:pStyle w:val="CommentText"/>
              <w:spacing w:after="0"/>
              <w:jc w:val="both"/>
              <w:rPr>
                <w:rFonts w:ascii="Times New Roman" w:hAnsi="Times New Roman"/>
                <w:sz w:val="24"/>
                <w:szCs w:val="24"/>
              </w:rPr>
            </w:pPr>
          </w:p>
        </w:tc>
        <w:tc>
          <w:tcPr>
            <w:tcW w:w="7412"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jc w:val="both"/>
              <w:rPr>
                <w:lang w:val="lv-LV"/>
              </w:rPr>
            </w:pPr>
            <w:r w:rsidRPr="00AA21AE">
              <w:rPr>
                <w:b/>
                <w:u w:val="single"/>
                <w:lang w:val="lv-LV"/>
              </w:rPr>
              <w:t>Priekšlikums redakcionālam labojumam</w:t>
            </w:r>
            <w:r w:rsidRPr="00AA21AE">
              <w:rPr>
                <w:lang w:val="lv-LV"/>
              </w:rPr>
              <w:t>, jo aprūpes nodrošināšanā vienlaicīgi var būt nepieciešami tehniskie līdzekļi, individuālie aizsardzības līdzekļi, dezinfekcijas līdzekļi un cilvēkresursi:</w:t>
            </w:r>
          </w:p>
          <w:p w:rsidR="00491DAD" w:rsidRPr="00AA21AE" w:rsidRDefault="00491DAD" w:rsidP="00D634B8">
            <w:pPr>
              <w:jc w:val="both"/>
              <w:rPr>
                <w:lang w:val="lv-LV"/>
              </w:rPr>
            </w:pPr>
            <w:r w:rsidRPr="00AA21AE">
              <w:rPr>
                <w:lang w:val="lv-LV"/>
              </w:rPr>
              <w:t>“20. ………., pakalpojuma sniedzējs nodrošina attiecīgos tehniskos līdzekļus, individuālos aizsardzības līdzekļus</w:t>
            </w:r>
            <w:r w:rsidRPr="00AA21AE">
              <w:rPr>
                <w:b/>
                <w:bCs/>
                <w:lang w:val="lv-LV"/>
              </w:rPr>
              <w:t>, dezinfekcijas līdzekļus un cilvēkresursus</w:t>
            </w:r>
            <w:r w:rsidRPr="00AA21AE">
              <w:rPr>
                <w:lang w:val="lv-LV"/>
              </w:rPr>
              <w:t>.”;</w:t>
            </w:r>
          </w:p>
        </w:tc>
      </w:tr>
      <w:tr w:rsidR="00491DAD" w:rsidRPr="00AA21AE"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BF290C">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ListParagraph"/>
              <w:numPr>
                <w:ilvl w:val="1"/>
                <w:numId w:val="11"/>
              </w:numPr>
              <w:ind w:left="0" w:firstLine="0"/>
              <w:jc w:val="both"/>
              <w:rPr>
                <w:szCs w:val="24"/>
              </w:rPr>
            </w:pPr>
            <w:r w:rsidRPr="00AA21AE">
              <w:rPr>
                <w:szCs w:val="24"/>
              </w:rPr>
              <w:t xml:space="preserve">izteikt 77.12. apakšpunkta pirmo teikumu šādā redakcijā: </w:t>
            </w:r>
          </w:p>
          <w:p w:rsidR="00491DAD" w:rsidRPr="00AA21AE" w:rsidRDefault="00491DAD" w:rsidP="00D634B8">
            <w:pPr>
              <w:pStyle w:val="ListParagraph"/>
              <w:ind w:left="0"/>
              <w:jc w:val="both"/>
              <w:rPr>
                <w:szCs w:val="24"/>
              </w:rPr>
            </w:pPr>
            <w:r w:rsidRPr="00AA21AE">
              <w:rPr>
                <w:szCs w:val="24"/>
              </w:rPr>
              <w:t>“77.12. izmitināšanu klienta vajadzībām pielāgotās telpās vai pakalpojuma sniegšanu klienta mājoklī.”;</w:t>
            </w:r>
          </w:p>
          <w:p w:rsidR="00491DAD" w:rsidRPr="00AA21AE" w:rsidRDefault="00491DAD" w:rsidP="00D634B8">
            <w:pPr>
              <w:pStyle w:val="CommentText"/>
              <w:spacing w:after="0"/>
              <w:jc w:val="both"/>
              <w:rPr>
                <w:rFonts w:ascii="Times New Roman" w:hAnsi="Times New Roman"/>
                <w:bCs/>
                <w:sz w:val="24"/>
                <w:szCs w:val="24"/>
              </w:rPr>
            </w:pPr>
          </w:p>
        </w:tc>
        <w:tc>
          <w:tcPr>
            <w:tcW w:w="7412"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CommentText"/>
              <w:spacing w:after="0"/>
              <w:jc w:val="both"/>
              <w:rPr>
                <w:rFonts w:ascii="Times New Roman" w:hAnsi="Times New Roman"/>
                <w:sz w:val="24"/>
                <w:szCs w:val="24"/>
              </w:rPr>
            </w:pPr>
            <w:r w:rsidRPr="00AA21AE">
              <w:rPr>
                <w:rFonts w:ascii="Times New Roman" w:hAnsi="Times New Roman"/>
                <w:sz w:val="24"/>
                <w:szCs w:val="24"/>
                <w:u w:val="single"/>
              </w:rPr>
              <w:t xml:space="preserve">Lai nodrošinātu vienotu praksi, </w:t>
            </w:r>
            <w:r w:rsidRPr="00AA21AE">
              <w:rPr>
                <w:rFonts w:ascii="Times New Roman" w:hAnsi="Times New Roman"/>
                <w:b/>
                <w:sz w:val="24"/>
                <w:szCs w:val="24"/>
                <w:u w:val="single"/>
              </w:rPr>
              <w:t>ierosinām</w:t>
            </w:r>
            <w:r w:rsidRPr="00AA21AE">
              <w:rPr>
                <w:rFonts w:ascii="Times New Roman" w:hAnsi="Times New Roman"/>
                <w:sz w:val="24"/>
                <w:szCs w:val="24"/>
                <w:u w:val="single"/>
              </w:rPr>
              <w:t xml:space="preserve"> atlikt </w:t>
            </w:r>
            <w:r w:rsidRPr="00AA21AE">
              <w:rPr>
                <w:rFonts w:ascii="Times New Roman" w:hAnsi="Times New Roman"/>
                <w:sz w:val="24"/>
                <w:szCs w:val="24"/>
              </w:rPr>
              <w:t>atelpas brīža pakalpojuma sniegšanas veida papildināšanu ar pakalpojuma sniegšanu klienta mājoklī līdz brīdim, kamēr tiks izstrādāts pakalpojuma mājoklī apraksts (standarts)  un noteiktas konkrētas prasības atelpas brīža pakalpojuma mājoklī sniedzējam.</w:t>
            </w:r>
          </w:p>
        </w:tc>
      </w:tr>
      <w:tr w:rsidR="00491DAD" w:rsidRPr="00AA21AE"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BF290C">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ListParagraph"/>
              <w:numPr>
                <w:ilvl w:val="1"/>
                <w:numId w:val="12"/>
              </w:numPr>
              <w:ind w:left="0" w:firstLine="14"/>
              <w:jc w:val="both"/>
              <w:rPr>
                <w:szCs w:val="24"/>
              </w:rPr>
            </w:pPr>
            <w:r w:rsidRPr="00AA21AE">
              <w:rPr>
                <w:szCs w:val="24"/>
              </w:rPr>
              <w:t>izteikt 128.punktu šādā redakcijā:</w:t>
            </w:r>
          </w:p>
          <w:p w:rsidR="00491DAD" w:rsidRPr="00AA21AE" w:rsidRDefault="00491DAD" w:rsidP="00D634B8">
            <w:pPr>
              <w:ind w:firstLine="14"/>
              <w:contextualSpacing/>
              <w:jc w:val="both"/>
              <w:rPr>
                <w:rFonts w:eastAsia="Calibri"/>
                <w:lang w:val="lv-LV"/>
              </w:rPr>
            </w:pPr>
            <w:r w:rsidRPr="00AA21AE">
              <w:rPr>
                <w:rFonts w:eastAsia="Calibri"/>
                <w:lang w:val="lv-LV"/>
              </w:rPr>
              <w:t>“128.Sociālās rehabilitācijas pakalpojumu kompleksu par valsts budžeta līdzekļiem personām ar redzes invaliditāti pakalpojuma sniedzējs nodrošina:</w:t>
            </w:r>
          </w:p>
          <w:p w:rsidR="00491DAD" w:rsidRPr="00AA21AE" w:rsidRDefault="00491DAD" w:rsidP="00D634B8">
            <w:pPr>
              <w:contextualSpacing/>
              <w:jc w:val="both"/>
              <w:rPr>
                <w:rFonts w:eastAsia="Calibri"/>
              </w:rPr>
            </w:pPr>
            <w:r w:rsidRPr="00AA21AE">
              <w:rPr>
                <w:rFonts w:eastAsia="Calibri"/>
              </w:rPr>
              <w:t>128.1. klientiem, kuriem pirmreizēji noteikta invaliditāte, kas saistīta ar redzes pasliktināšanos;</w:t>
            </w:r>
          </w:p>
          <w:p w:rsidR="00491DAD" w:rsidRPr="00AA21AE" w:rsidRDefault="00491DAD" w:rsidP="00D634B8">
            <w:pPr>
              <w:contextualSpacing/>
              <w:jc w:val="both"/>
              <w:rPr>
                <w:rFonts w:eastAsia="Calibri"/>
              </w:rPr>
            </w:pPr>
            <w:r w:rsidRPr="00AA21AE">
              <w:rPr>
                <w:rFonts w:eastAsia="Calibri"/>
              </w:rPr>
              <w:t xml:space="preserve">128.2. </w:t>
            </w:r>
            <w:r w:rsidRPr="00AA21AE">
              <w:t>klientiem, kuriem Veselības un darbspēju ekspertīzes ārstu valsts komisija noteikusi smagāku invaliditātes grupu sakarā ar redzes pasliktināšanos, vai ārsts oftalmologs izsniedzis atzinumu, ka personai ar 1. grupas redzes invaliditāti redze pilnībā zaudēta</w:t>
            </w:r>
            <w:r w:rsidRPr="00AA21AE">
              <w:rPr>
                <w:rFonts w:eastAsia="Calibri"/>
              </w:rPr>
              <w:t>;</w:t>
            </w:r>
          </w:p>
          <w:p w:rsidR="00491DAD" w:rsidRPr="00AA21AE" w:rsidRDefault="00491DAD" w:rsidP="00D634B8">
            <w:pPr>
              <w:pStyle w:val="ListParagraph"/>
              <w:ind w:left="0"/>
              <w:jc w:val="both"/>
              <w:rPr>
                <w:szCs w:val="24"/>
              </w:rPr>
            </w:pPr>
            <w:r w:rsidRPr="00AA21AE">
              <w:rPr>
                <w:szCs w:val="24"/>
              </w:rPr>
              <w:t>128.3. klientiem, kuriem vienlaikus ir arī  garīga rakstura traucējumi.</w:t>
            </w:r>
          </w:p>
        </w:tc>
        <w:tc>
          <w:tcPr>
            <w:tcW w:w="7412"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CommentText"/>
              <w:spacing w:after="0"/>
              <w:jc w:val="both"/>
              <w:rPr>
                <w:rFonts w:ascii="Times New Roman" w:hAnsi="Times New Roman"/>
                <w:sz w:val="24"/>
                <w:szCs w:val="24"/>
                <w:u w:val="single"/>
              </w:rPr>
            </w:pPr>
            <w:r w:rsidRPr="00AA21AE">
              <w:rPr>
                <w:rFonts w:ascii="Times New Roman" w:hAnsi="Times New Roman"/>
                <w:b/>
                <w:sz w:val="24"/>
                <w:szCs w:val="24"/>
                <w:u w:val="single"/>
              </w:rPr>
              <w:t>Priekšlikums</w:t>
            </w:r>
            <w:r w:rsidRPr="00AA21AE">
              <w:rPr>
                <w:rFonts w:ascii="Times New Roman" w:hAnsi="Times New Roman"/>
                <w:sz w:val="24"/>
                <w:szCs w:val="24"/>
                <w:u w:val="single"/>
              </w:rPr>
              <w:t xml:space="preserve"> precizēt 128.3. punktu, izsakot to šādā redakcijā:</w:t>
            </w:r>
          </w:p>
          <w:p w:rsidR="00491DAD" w:rsidRPr="00AA21AE" w:rsidRDefault="00491DAD" w:rsidP="00D634B8">
            <w:pPr>
              <w:pStyle w:val="CommentText"/>
              <w:spacing w:after="0"/>
              <w:jc w:val="both"/>
              <w:rPr>
                <w:rFonts w:ascii="Times New Roman" w:hAnsi="Times New Roman"/>
                <w:sz w:val="24"/>
                <w:szCs w:val="24"/>
              </w:rPr>
            </w:pPr>
            <w:r w:rsidRPr="00AA21AE">
              <w:rPr>
                <w:rFonts w:ascii="Times New Roman" w:hAnsi="Times New Roman"/>
                <w:sz w:val="24"/>
                <w:szCs w:val="24"/>
              </w:rPr>
              <w:t xml:space="preserve">“128.3. klientiem, kuriem </w:t>
            </w:r>
            <w:r w:rsidRPr="00AA21AE">
              <w:rPr>
                <w:rFonts w:ascii="Times New Roman" w:hAnsi="Times New Roman"/>
                <w:b/>
                <w:bCs/>
                <w:sz w:val="24"/>
                <w:szCs w:val="24"/>
              </w:rPr>
              <w:t>vienlaikus ar redzes invaliditāti</w:t>
            </w:r>
            <w:r w:rsidRPr="00AA21AE">
              <w:rPr>
                <w:rFonts w:ascii="Times New Roman" w:hAnsi="Times New Roman"/>
                <w:sz w:val="24"/>
                <w:szCs w:val="24"/>
              </w:rPr>
              <w:t xml:space="preserve"> ir arī  garīga rakstura traucējumi.” </w:t>
            </w:r>
          </w:p>
        </w:tc>
      </w:tr>
      <w:tr w:rsidR="00491DAD" w:rsidRPr="00B87299"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BF290C">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D634B8">
            <w:pPr>
              <w:pStyle w:val="ListParagraph"/>
              <w:numPr>
                <w:ilvl w:val="1"/>
                <w:numId w:val="13"/>
              </w:numPr>
              <w:ind w:left="0" w:firstLine="0"/>
              <w:jc w:val="both"/>
              <w:rPr>
                <w:szCs w:val="24"/>
              </w:rPr>
            </w:pPr>
            <w:r w:rsidRPr="00AA21AE">
              <w:rPr>
                <w:szCs w:val="24"/>
              </w:rPr>
              <w:t>papildināt noteikumus ar 189</w:t>
            </w:r>
            <w:r w:rsidRPr="00AA21AE">
              <w:rPr>
                <w:szCs w:val="24"/>
                <w:vertAlign w:val="superscript"/>
              </w:rPr>
              <w:t>2</w:t>
            </w:r>
            <w:r w:rsidRPr="00AA21AE">
              <w:rPr>
                <w:szCs w:val="24"/>
              </w:rPr>
              <w:t xml:space="preserve">. punktu šādā redakcijā: </w:t>
            </w:r>
          </w:p>
          <w:p w:rsidR="00491DAD" w:rsidRPr="00AA21AE" w:rsidRDefault="00491DAD" w:rsidP="007F2434">
            <w:pPr>
              <w:pStyle w:val="ListParagraph"/>
              <w:ind w:left="0"/>
              <w:jc w:val="both"/>
              <w:rPr>
                <w:szCs w:val="24"/>
              </w:rPr>
            </w:pPr>
            <w:r w:rsidRPr="00AA21AE">
              <w:rPr>
                <w:szCs w:val="24"/>
              </w:rPr>
              <w:t>“189</w:t>
            </w:r>
            <w:r w:rsidRPr="00AA21AE">
              <w:rPr>
                <w:szCs w:val="24"/>
                <w:vertAlign w:val="superscript"/>
              </w:rPr>
              <w:t>2</w:t>
            </w:r>
            <w:r w:rsidRPr="00AA21AE">
              <w:rPr>
                <w:szCs w:val="24"/>
              </w:rPr>
              <w:t>. šo noteikumu 1.5., 1.6., 1.7. apakšpunkti stājas spēkā 2022.gada 1.februārī.”</w:t>
            </w:r>
          </w:p>
        </w:tc>
        <w:tc>
          <w:tcPr>
            <w:tcW w:w="7412" w:type="dxa"/>
            <w:tcBorders>
              <w:top w:val="single" w:sz="4" w:space="0" w:color="auto"/>
              <w:left w:val="single" w:sz="4" w:space="0" w:color="auto"/>
              <w:bottom w:val="single" w:sz="4" w:space="0" w:color="auto"/>
              <w:right w:val="single" w:sz="4" w:space="0" w:color="auto"/>
            </w:tcBorders>
          </w:tcPr>
          <w:p w:rsidR="00491DAD" w:rsidRPr="00AA21AE" w:rsidRDefault="00491DAD" w:rsidP="00AA21AE">
            <w:pPr>
              <w:pStyle w:val="CommentText"/>
              <w:spacing w:after="0"/>
              <w:ind w:left="720" w:hanging="720"/>
              <w:jc w:val="both"/>
              <w:rPr>
                <w:rFonts w:ascii="Times New Roman" w:hAnsi="Times New Roman"/>
                <w:sz w:val="24"/>
                <w:szCs w:val="24"/>
              </w:rPr>
            </w:pPr>
            <w:r w:rsidRPr="00AA21AE">
              <w:rPr>
                <w:rFonts w:ascii="Times New Roman" w:hAnsi="Times New Roman"/>
                <w:b/>
                <w:sz w:val="24"/>
                <w:szCs w:val="24"/>
              </w:rPr>
              <w:t xml:space="preserve">Nepieciešams skaidrojums: </w:t>
            </w:r>
            <w:r w:rsidRPr="00AA21AE">
              <w:rPr>
                <w:rFonts w:ascii="Times New Roman" w:hAnsi="Times New Roman"/>
                <w:sz w:val="24"/>
                <w:szCs w:val="24"/>
              </w:rPr>
              <w:t>Nav skaidrs, par kuriem apakšpunktiem ir runa, kas stājas spēkā 2022.gada 1.februārī, jo MK noteikumos Nr.338 šādu punktu nav ne pašreizējā redakcijā, ne šajā grozījumu redakcijā.</w:t>
            </w:r>
          </w:p>
        </w:tc>
      </w:tr>
      <w:tr w:rsidR="00491DAD" w:rsidRPr="00B87299"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AA21AE">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AA21AE">
            <w:pPr>
              <w:pStyle w:val="CommentText"/>
              <w:spacing w:after="0" w:line="276" w:lineRule="auto"/>
              <w:jc w:val="both"/>
              <w:rPr>
                <w:rFonts w:ascii="Times New Roman" w:hAnsi="Times New Roman"/>
                <w:sz w:val="24"/>
                <w:szCs w:val="24"/>
              </w:rPr>
            </w:pPr>
            <w:r w:rsidRPr="00AA21AE">
              <w:rPr>
                <w:rFonts w:ascii="Times New Roman" w:hAnsi="Times New Roman"/>
                <w:sz w:val="24"/>
                <w:szCs w:val="24"/>
                <w:shd w:val="clear" w:color="auto" w:fill="FFFFFF"/>
              </w:rPr>
              <w:t>9.1.2. sociālajam aprūpētājam, sociālajam rehabilitētājam un sociālās palīdzības organizatoram – ne mazāk par 16 akadēmiskajām stundām gadā;</w:t>
            </w:r>
          </w:p>
        </w:tc>
        <w:tc>
          <w:tcPr>
            <w:tcW w:w="7412" w:type="dxa"/>
            <w:tcBorders>
              <w:top w:val="single" w:sz="4" w:space="0" w:color="auto"/>
              <w:left w:val="single" w:sz="4" w:space="0" w:color="auto"/>
              <w:bottom w:val="single" w:sz="4" w:space="0" w:color="auto"/>
              <w:right w:val="single" w:sz="4" w:space="0" w:color="auto"/>
            </w:tcBorders>
          </w:tcPr>
          <w:p w:rsidR="00491DAD" w:rsidRPr="00AA21AE" w:rsidRDefault="00491DAD" w:rsidP="00AA21AE">
            <w:pPr>
              <w:pStyle w:val="CommentText"/>
              <w:spacing w:after="0" w:line="276" w:lineRule="auto"/>
              <w:jc w:val="both"/>
              <w:rPr>
                <w:rFonts w:ascii="Times New Roman" w:hAnsi="Times New Roman"/>
                <w:sz w:val="24"/>
                <w:szCs w:val="24"/>
              </w:rPr>
            </w:pPr>
            <w:r w:rsidRPr="00AA21AE">
              <w:rPr>
                <w:rFonts w:ascii="Times New Roman" w:hAnsi="Times New Roman"/>
                <w:b/>
                <w:sz w:val="24"/>
                <w:szCs w:val="24"/>
                <w:u w:val="single"/>
              </w:rPr>
              <w:t>Priekšlikums:</w:t>
            </w:r>
            <w:r w:rsidRPr="00AA21AE">
              <w:rPr>
                <w:rFonts w:ascii="Times New Roman" w:hAnsi="Times New Roman"/>
                <w:sz w:val="24"/>
                <w:szCs w:val="24"/>
              </w:rPr>
              <w:t xml:space="preserve"> Lūdzu papildināt 9.1.2. apakšpunktu šādā redakcijā: sociālajam aprūpētājam, sociālajam rehabilitētājam, </w:t>
            </w:r>
            <w:r w:rsidRPr="00AA21AE">
              <w:rPr>
                <w:rFonts w:ascii="Times New Roman" w:hAnsi="Times New Roman"/>
                <w:i/>
                <w:sz w:val="24"/>
                <w:szCs w:val="24"/>
                <w:u w:val="single"/>
              </w:rPr>
              <w:t>sociālajam audzinātājam</w:t>
            </w:r>
            <w:r w:rsidRPr="00AA21AE">
              <w:rPr>
                <w:rFonts w:ascii="Times New Roman" w:hAnsi="Times New Roman"/>
                <w:sz w:val="24"/>
                <w:szCs w:val="24"/>
              </w:rPr>
              <w:t xml:space="preserve"> un sociālās palīdzības organizatoram – ne mazāk par 16 akadēmiskajām stundām gadā.</w:t>
            </w:r>
          </w:p>
        </w:tc>
      </w:tr>
      <w:tr w:rsidR="00491DAD" w:rsidRPr="00B87299"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AA21AE">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AA21AE">
            <w:pPr>
              <w:pStyle w:val="CommentText"/>
              <w:spacing w:after="0" w:line="276" w:lineRule="auto"/>
              <w:jc w:val="both"/>
              <w:rPr>
                <w:rFonts w:ascii="Times New Roman" w:hAnsi="Times New Roman"/>
                <w:bCs/>
                <w:sz w:val="24"/>
                <w:szCs w:val="24"/>
              </w:rPr>
            </w:pPr>
            <w:r w:rsidRPr="00AA21AE">
              <w:rPr>
                <w:rFonts w:ascii="Times New Roman" w:hAnsi="Times New Roman"/>
                <w:sz w:val="24"/>
                <w:szCs w:val="24"/>
                <w:shd w:val="clear" w:color="auto" w:fill="FFFFFF"/>
              </w:rPr>
              <w:t>9.2.1. sociālā darba speciālistam, institūcijas vadītājam un struktūrvienības vadītājam, kurš ir tieši iesaistīts sociālā pakalpojuma sniegšanā un organizēšanā, – ne mazāk par 21 stundu gadā;</w:t>
            </w:r>
          </w:p>
        </w:tc>
        <w:tc>
          <w:tcPr>
            <w:tcW w:w="7412" w:type="dxa"/>
            <w:tcBorders>
              <w:top w:val="single" w:sz="4" w:space="0" w:color="auto"/>
              <w:left w:val="single" w:sz="4" w:space="0" w:color="auto"/>
              <w:bottom w:val="single" w:sz="4" w:space="0" w:color="auto"/>
              <w:right w:val="single" w:sz="4" w:space="0" w:color="auto"/>
            </w:tcBorders>
          </w:tcPr>
          <w:p w:rsidR="00491DAD" w:rsidRPr="009D08AC" w:rsidRDefault="00491DAD" w:rsidP="00AA21AE">
            <w:pPr>
              <w:pStyle w:val="CommentText"/>
              <w:spacing w:after="0" w:line="276" w:lineRule="auto"/>
              <w:jc w:val="both"/>
              <w:rPr>
                <w:rFonts w:ascii="Times New Roman" w:hAnsi="Times New Roman"/>
                <w:bCs/>
                <w:sz w:val="24"/>
                <w:szCs w:val="24"/>
              </w:rPr>
            </w:pPr>
            <w:r w:rsidRPr="00AA21AE">
              <w:rPr>
                <w:rFonts w:ascii="Times New Roman" w:hAnsi="Times New Roman"/>
                <w:b/>
                <w:bCs/>
                <w:sz w:val="24"/>
                <w:szCs w:val="24"/>
                <w:u w:val="single"/>
              </w:rPr>
              <w:t>Priekšlikums:</w:t>
            </w:r>
            <w:r>
              <w:rPr>
                <w:rFonts w:ascii="Times New Roman" w:hAnsi="Times New Roman"/>
                <w:bCs/>
                <w:sz w:val="24"/>
                <w:szCs w:val="24"/>
              </w:rPr>
              <w:t xml:space="preserve"> Lūdzu papildināt 9.2.1. apakšpunktu šādā redakcijā: sociālā darba speciālistam, </w:t>
            </w:r>
            <w:r w:rsidRPr="009D08AC">
              <w:rPr>
                <w:rFonts w:ascii="Times New Roman" w:hAnsi="Times New Roman"/>
                <w:bCs/>
                <w:i/>
                <w:sz w:val="24"/>
                <w:szCs w:val="24"/>
                <w:u w:val="single"/>
              </w:rPr>
              <w:t>sociālajam audzinātājam, aprūpētājam</w:t>
            </w:r>
            <w:r>
              <w:rPr>
                <w:rFonts w:ascii="Times New Roman" w:hAnsi="Times New Roman"/>
                <w:bCs/>
                <w:sz w:val="24"/>
                <w:szCs w:val="24"/>
              </w:rPr>
              <w:t>, institūcijas vadītājam un struktūrvienības vadītājam, kurš tieši iesaistīts sociālā pakalpojuma sniegšanā un organizēšanā, - ne mazāk par 21 stundu gadā.</w:t>
            </w:r>
          </w:p>
        </w:tc>
      </w:tr>
      <w:tr w:rsidR="00491DAD" w:rsidRPr="00B87299"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AA21AE">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AA21AE">
            <w:pPr>
              <w:pStyle w:val="CommentText"/>
              <w:spacing w:after="0" w:line="276" w:lineRule="auto"/>
              <w:jc w:val="both"/>
              <w:rPr>
                <w:rFonts w:ascii="Times New Roman" w:hAnsi="Times New Roman"/>
                <w:sz w:val="24"/>
                <w:szCs w:val="24"/>
              </w:rPr>
            </w:pPr>
            <w:r w:rsidRPr="00AA21AE">
              <w:rPr>
                <w:rFonts w:ascii="Times New Roman" w:hAnsi="Times New Roman"/>
                <w:sz w:val="24"/>
                <w:szCs w:val="24"/>
                <w:shd w:val="clear" w:color="auto" w:fill="FFFFFF"/>
              </w:rPr>
              <w:t>32. Bērnu aprūpes institūcija nodrošina aprūpē esošam bērnam iespēju apgūt un šo noteikumu 5.4. apakšpunktā minētajā plānā iekļauj šādu iemaņu un zināšanu apgūšanu:</w:t>
            </w:r>
          </w:p>
        </w:tc>
        <w:tc>
          <w:tcPr>
            <w:tcW w:w="7412" w:type="dxa"/>
            <w:tcBorders>
              <w:top w:val="single" w:sz="4" w:space="0" w:color="auto"/>
              <w:left w:val="single" w:sz="4" w:space="0" w:color="auto"/>
              <w:bottom w:val="single" w:sz="4" w:space="0" w:color="auto"/>
              <w:right w:val="single" w:sz="4" w:space="0" w:color="auto"/>
            </w:tcBorders>
          </w:tcPr>
          <w:p w:rsidR="00491DAD" w:rsidRPr="007071E5" w:rsidRDefault="00491DAD" w:rsidP="00AA21AE">
            <w:pPr>
              <w:spacing w:line="276" w:lineRule="auto"/>
              <w:jc w:val="both"/>
              <w:rPr>
                <w:lang w:val="lv-LV"/>
              </w:rPr>
            </w:pPr>
            <w:r w:rsidRPr="00B87299">
              <w:rPr>
                <w:b/>
                <w:bCs/>
                <w:u w:val="single"/>
                <w:lang w:val="lv-LV"/>
              </w:rPr>
              <w:t>Priekšlikums:</w:t>
            </w:r>
            <w:r w:rsidRPr="00B87299">
              <w:rPr>
                <w:bCs/>
                <w:lang w:val="lv-LV"/>
              </w:rPr>
              <w:t xml:space="preserve"> </w:t>
            </w:r>
            <w:r>
              <w:rPr>
                <w:lang w:val="lv-LV"/>
              </w:rPr>
              <w:t xml:space="preserve">Lūdzu papildināt ar 32.1.6. apakšpunktu šādā redakcijā: </w:t>
            </w:r>
            <w:r w:rsidRPr="00987F39">
              <w:rPr>
                <w:i/>
                <w:u w:val="single"/>
                <w:lang w:val="lv-LV"/>
              </w:rPr>
              <w:t>mīkstā inventāra iegādē (apavi, apģērbs, gultas veļa, dvieļi, u.c.) un uzturēšanā.</w:t>
            </w:r>
          </w:p>
        </w:tc>
      </w:tr>
      <w:tr w:rsidR="00491DAD" w:rsidRPr="00B87299"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AA21AE">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AA21AE" w:rsidRDefault="00491DAD" w:rsidP="00AA21AE">
            <w:pPr>
              <w:pStyle w:val="CommentText"/>
              <w:spacing w:after="0" w:line="276" w:lineRule="auto"/>
              <w:jc w:val="both"/>
              <w:rPr>
                <w:rFonts w:ascii="Times New Roman" w:hAnsi="Times New Roman"/>
                <w:bCs/>
                <w:sz w:val="24"/>
                <w:szCs w:val="24"/>
              </w:rPr>
            </w:pPr>
            <w:r w:rsidRPr="00AA21AE">
              <w:rPr>
                <w:rFonts w:ascii="Times New Roman" w:hAnsi="Times New Roman"/>
                <w:sz w:val="24"/>
                <w:szCs w:val="24"/>
                <w:shd w:val="clear" w:color="auto" w:fill="FFFFFF"/>
              </w:rPr>
              <w:t xml:space="preserve">134. Dienas aprūpes centra pakalpojuma sniedzējs sniedz sociālās aprūpes un sociālās rehabilitācijas pakalpojumus personām ar garīga rakstura traucējumiem, personām ar invaliditāti, pensijas vecumu sasniegušām personām, bērniem no trūcīgām ģimenēm un ģimenēm, kurās ir bērna attīstībai nelabvēlīgi apstākļi, kā arī personu grupām, kurām ir </w:t>
            </w:r>
            <w:r w:rsidRPr="00AA21AE">
              <w:rPr>
                <w:rFonts w:ascii="Times New Roman" w:hAnsi="Times New Roman"/>
                <w:sz w:val="24"/>
                <w:szCs w:val="24"/>
                <w:shd w:val="clear" w:color="auto" w:fill="FFFFFF"/>
              </w:rPr>
              <w:lastRenderedPageBreak/>
              <w:t>izteiktas socializācijas grūtības.</w:t>
            </w:r>
          </w:p>
        </w:tc>
        <w:tc>
          <w:tcPr>
            <w:tcW w:w="7412" w:type="dxa"/>
            <w:tcBorders>
              <w:top w:val="single" w:sz="4" w:space="0" w:color="auto"/>
              <w:left w:val="single" w:sz="4" w:space="0" w:color="auto"/>
              <w:bottom w:val="single" w:sz="4" w:space="0" w:color="auto"/>
              <w:right w:val="single" w:sz="4" w:space="0" w:color="auto"/>
            </w:tcBorders>
          </w:tcPr>
          <w:p w:rsidR="00491DAD" w:rsidRPr="007071E5" w:rsidRDefault="00491DAD" w:rsidP="00AA21AE">
            <w:pPr>
              <w:pStyle w:val="CommentText"/>
              <w:spacing w:after="0" w:line="276" w:lineRule="auto"/>
              <w:jc w:val="both"/>
              <w:rPr>
                <w:rFonts w:ascii="Times New Roman" w:hAnsi="Times New Roman"/>
                <w:sz w:val="24"/>
                <w:szCs w:val="24"/>
              </w:rPr>
            </w:pPr>
            <w:r w:rsidRPr="00AA21AE">
              <w:rPr>
                <w:rFonts w:ascii="Times New Roman" w:hAnsi="Times New Roman"/>
                <w:b/>
                <w:bCs/>
                <w:sz w:val="24"/>
                <w:szCs w:val="24"/>
                <w:u w:val="single"/>
              </w:rPr>
              <w:lastRenderedPageBreak/>
              <w:t>Priekšlikums:</w:t>
            </w:r>
            <w:r>
              <w:rPr>
                <w:rFonts w:ascii="Times New Roman" w:hAnsi="Times New Roman"/>
                <w:sz w:val="24"/>
                <w:szCs w:val="24"/>
              </w:rPr>
              <w:t xml:space="preserve"> Lūdzu mainīt definējumu: “bērniem no trūcīgām ģimenēm un ģimenēm, kurās ir bērna attīstībai nelabvēlīgi apstākļi” uz šādu:” </w:t>
            </w:r>
            <w:r w:rsidRPr="00987F39">
              <w:rPr>
                <w:rFonts w:ascii="Times New Roman" w:hAnsi="Times New Roman"/>
                <w:i/>
                <w:sz w:val="24"/>
                <w:szCs w:val="24"/>
                <w:u w:val="single"/>
              </w:rPr>
              <w:t>bērniem no sociālā riska ģimenēm</w:t>
            </w:r>
            <w:r>
              <w:rPr>
                <w:rFonts w:ascii="Times New Roman" w:hAnsi="Times New Roman"/>
                <w:sz w:val="24"/>
                <w:szCs w:val="24"/>
              </w:rPr>
              <w:t>”</w:t>
            </w:r>
          </w:p>
        </w:tc>
      </w:tr>
      <w:tr w:rsidR="00491DAD" w:rsidRPr="00B87299" w:rsidTr="00491DAD">
        <w:trPr>
          <w:trHeight w:val="1910"/>
        </w:trPr>
        <w:tc>
          <w:tcPr>
            <w:tcW w:w="1004" w:type="dxa"/>
            <w:tcBorders>
              <w:top w:val="single" w:sz="4" w:space="0" w:color="auto"/>
              <w:left w:val="single" w:sz="4" w:space="0" w:color="auto"/>
              <w:bottom w:val="single" w:sz="4" w:space="0" w:color="auto"/>
              <w:right w:val="single" w:sz="4" w:space="0" w:color="auto"/>
            </w:tcBorders>
            <w:vAlign w:val="center"/>
          </w:tcPr>
          <w:p w:rsidR="00491DAD" w:rsidRPr="00AA21AE" w:rsidRDefault="00491DAD" w:rsidP="00AA21AE">
            <w:pPr>
              <w:numPr>
                <w:ilvl w:val="0"/>
                <w:numId w:val="1"/>
              </w:numPr>
              <w:spacing w:line="276" w:lineRule="auto"/>
              <w:jc w:val="both"/>
              <w:rPr>
                <w:bCs/>
                <w:lang w:val="lv-LV"/>
              </w:rPr>
            </w:pPr>
          </w:p>
        </w:tc>
        <w:tc>
          <w:tcPr>
            <w:tcW w:w="5580" w:type="dxa"/>
            <w:tcBorders>
              <w:top w:val="single" w:sz="4" w:space="0" w:color="auto"/>
              <w:left w:val="single" w:sz="4" w:space="0" w:color="auto"/>
              <w:bottom w:val="single" w:sz="4" w:space="0" w:color="auto"/>
              <w:right w:val="single" w:sz="4" w:space="0" w:color="auto"/>
            </w:tcBorders>
          </w:tcPr>
          <w:p w:rsidR="00491DAD" w:rsidRPr="00C151E3" w:rsidRDefault="00491DAD" w:rsidP="00AA21AE">
            <w:pPr>
              <w:pStyle w:val="CommentText"/>
              <w:spacing w:after="0" w:line="276" w:lineRule="auto"/>
              <w:jc w:val="both"/>
              <w:rPr>
                <w:rFonts w:ascii="Times New Roman" w:hAnsi="Times New Roman"/>
                <w:sz w:val="24"/>
                <w:szCs w:val="24"/>
                <w:shd w:val="clear" w:color="auto" w:fill="FFFFFF"/>
              </w:rPr>
            </w:pPr>
            <w:r w:rsidRPr="00C151E3">
              <w:rPr>
                <w:rFonts w:ascii="Times New Roman" w:hAnsi="Times New Roman"/>
                <w:sz w:val="24"/>
                <w:szCs w:val="24"/>
                <w:shd w:val="clear" w:color="auto" w:fill="FFFFFF"/>
              </w:rPr>
              <w:t>Ministru kabineta noteikumu 27. un 187. punktos ir noteikts:</w:t>
            </w:r>
          </w:p>
          <w:p w:rsidR="00491DAD" w:rsidRPr="00C151E3" w:rsidRDefault="00491DAD" w:rsidP="00AA21AE">
            <w:pPr>
              <w:pStyle w:val="CommentText"/>
              <w:spacing w:after="0" w:line="276" w:lineRule="auto"/>
              <w:jc w:val="both"/>
              <w:rPr>
                <w:rFonts w:ascii="Times New Roman" w:hAnsi="Times New Roman"/>
                <w:sz w:val="24"/>
                <w:szCs w:val="24"/>
                <w:shd w:val="clear" w:color="auto" w:fill="FFFFFF"/>
              </w:rPr>
            </w:pPr>
            <w:r w:rsidRPr="00C151E3">
              <w:rPr>
                <w:rFonts w:ascii="Times New Roman" w:hAnsi="Times New Roman"/>
                <w:sz w:val="24"/>
                <w:szCs w:val="24"/>
                <w:shd w:val="clear" w:color="auto" w:fill="FFFFFF"/>
              </w:rPr>
              <w:t>“27. Bērnu aprūpes institūcija ģimeniskai videi pietuvinātu sociālo pakalpojumu veido atsevišķās dzīvokļa tipa sociālā pakalpojuma sniegšanas vietās, tai skaitā dzīvojamās mājās vai dzīvokļos.</w:t>
            </w:r>
          </w:p>
          <w:p w:rsidR="00491DAD" w:rsidRPr="003E51B2" w:rsidRDefault="00491DAD" w:rsidP="00AA21AE">
            <w:pPr>
              <w:pStyle w:val="CommentText"/>
              <w:spacing w:after="0" w:line="276" w:lineRule="auto"/>
              <w:jc w:val="both"/>
              <w:rPr>
                <w:rFonts w:ascii="Times New Roman" w:hAnsi="Times New Roman"/>
                <w:color w:val="414142"/>
                <w:sz w:val="24"/>
                <w:szCs w:val="24"/>
                <w:shd w:val="clear" w:color="auto" w:fill="FFFFFF"/>
              </w:rPr>
            </w:pPr>
            <w:r>
              <w:rPr>
                <w:rFonts w:ascii="Times New Roman" w:hAnsi="Times New Roman"/>
                <w:color w:val="414142"/>
                <w:sz w:val="24"/>
                <w:szCs w:val="24"/>
                <w:shd w:val="clear" w:color="auto" w:fill="FFFFFF"/>
              </w:rPr>
              <w:t>[..]</w:t>
            </w:r>
          </w:p>
          <w:p w:rsidR="00491DAD" w:rsidRPr="007071E5" w:rsidRDefault="00491DAD" w:rsidP="00AA21AE">
            <w:pPr>
              <w:pStyle w:val="CommentText"/>
              <w:spacing w:after="0" w:line="276" w:lineRule="auto"/>
              <w:jc w:val="both"/>
              <w:rPr>
                <w:rFonts w:ascii="Times New Roman" w:hAnsi="Times New Roman"/>
                <w:sz w:val="24"/>
                <w:szCs w:val="24"/>
              </w:rPr>
            </w:pPr>
            <w:r>
              <w:rPr>
                <w:rFonts w:ascii="Times New Roman" w:hAnsi="Times New Roman"/>
                <w:b/>
                <w:bCs/>
                <w:color w:val="414142"/>
                <w:sz w:val="24"/>
                <w:szCs w:val="24"/>
                <w:shd w:val="clear" w:color="auto" w:fill="FFFFFF"/>
              </w:rPr>
              <w:t xml:space="preserve">187. </w:t>
            </w:r>
            <w:r w:rsidRPr="003E51B2">
              <w:rPr>
                <w:rFonts w:ascii="Times New Roman" w:hAnsi="Times New Roman"/>
                <w:b/>
                <w:bCs/>
                <w:color w:val="414142"/>
                <w:sz w:val="24"/>
                <w:szCs w:val="24"/>
                <w:shd w:val="clear" w:color="auto" w:fill="FFFFFF"/>
              </w:rPr>
              <w:t>Šo</w:t>
            </w:r>
            <w:r>
              <w:rPr>
                <w:rFonts w:ascii="Times New Roman" w:hAnsi="Times New Roman"/>
                <w:b/>
                <w:bCs/>
                <w:color w:val="414142"/>
                <w:sz w:val="24"/>
                <w:szCs w:val="24"/>
                <w:shd w:val="clear" w:color="auto" w:fill="FFFFFF"/>
              </w:rPr>
              <w:t xml:space="preserve"> </w:t>
            </w:r>
            <w:r w:rsidRPr="003E51B2">
              <w:rPr>
                <w:rFonts w:ascii="Times New Roman" w:hAnsi="Times New Roman"/>
                <w:b/>
                <w:bCs/>
                <w:color w:val="414142"/>
                <w:sz w:val="24"/>
                <w:szCs w:val="24"/>
                <w:shd w:val="clear" w:color="auto" w:fill="FFFFFF"/>
              </w:rPr>
              <w:t>noteikumu</w:t>
            </w:r>
            <w:r w:rsidRPr="003E51B2">
              <w:rPr>
                <w:rFonts w:ascii="Times New Roman" w:hAnsi="Times New Roman"/>
                <w:color w:val="414142"/>
                <w:sz w:val="24"/>
                <w:szCs w:val="24"/>
                <w:shd w:val="clear" w:color="auto" w:fill="FFFFFF"/>
              </w:rPr>
              <w:t> </w:t>
            </w:r>
            <w:r w:rsidRPr="003E51B2">
              <w:rPr>
                <w:rFonts w:ascii="Times New Roman" w:hAnsi="Times New Roman"/>
                <w:b/>
                <w:bCs/>
                <w:sz w:val="24"/>
                <w:szCs w:val="24"/>
                <w:shd w:val="clear" w:color="auto" w:fill="FFFFFF"/>
              </w:rPr>
              <w:t>27</w:t>
            </w:r>
            <w:r w:rsidRPr="003E51B2">
              <w:rPr>
                <w:rFonts w:ascii="Times New Roman" w:hAnsi="Times New Roman"/>
                <w:sz w:val="24"/>
                <w:szCs w:val="24"/>
                <w:shd w:val="clear" w:color="auto" w:fill="FFFFFF"/>
              </w:rPr>
              <w:t>.</w:t>
            </w:r>
            <w:r w:rsidRPr="003E51B2">
              <w:rPr>
                <w:rFonts w:ascii="Times New Roman" w:hAnsi="Times New Roman"/>
                <w:color w:val="414142"/>
                <w:sz w:val="24"/>
                <w:szCs w:val="24"/>
                <w:shd w:val="clear" w:color="auto" w:fill="FFFFFF"/>
              </w:rPr>
              <w:t>, </w:t>
            </w:r>
            <w:r w:rsidRPr="003E51B2">
              <w:rPr>
                <w:rFonts w:ascii="Times New Roman" w:hAnsi="Times New Roman"/>
                <w:sz w:val="24"/>
                <w:szCs w:val="24"/>
                <w:shd w:val="clear" w:color="auto" w:fill="FFFFFF"/>
              </w:rPr>
              <w:t>39.</w:t>
            </w:r>
            <w:r w:rsidRPr="003E51B2">
              <w:rPr>
                <w:rFonts w:ascii="Times New Roman" w:hAnsi="Times New Roman"/>
                <w:color w:val="414142"/>
                <w:sz w:val="24"/>
                <w:szCs w:val="24"/>
                <w:shd w:val="clear" w:color="auto" w:fill="FFFFFF"/>
              </w:rPr>
              <w:t>, </w:t>
            </w:r>
            <w:r w:rsidRPr="003E51B2">
              <w:rPr>
                <w:rFonts w:ascii="Times New Roman" w:hAnsi="Times New Roman"/>
                <w:sz w:val="24"/>
                <w:szCs w:val="24"/>
                <w:shd w:val="clear" w:color="auto" w:fill="FFFFFF"/>
              </w:rPr>
              <w:t>40.</w:t>
            </w:r>
            <w:r w:rsidRPr="003E51B2">
              <w:rPr>
                <w:rFonts w:ascii="Times New Roman" w:hAnsi="Times New Roman"/>
                <w:color w:val="414142"/>
                <w:sz w:val="24"/>
                <w:szCs w:val="24"/>
                <w:shd w:val="clear" w:color="auto" w:fill="FFFFFF"/>
              </w:rPr>
              <w:t>, </w:t>
            </w:r>
            <w:r w:rsidRPr="003E51B2">
              <w:rPr>
                <w:rFonts w:ascii="Times New Roman" w:hAnsi="Times New Roman"/>
                <w:sz w:val="24"/>
                <w:szCs w:val="24"/>
                <w:shd w:val="clear" w:color="auto" w:fill="FFFFFF"/>
              </w:rPr>
              <w:t>42. </w:t>
            </w:r>
            <w:r w:rsidRPr="003E51B2">
              <w:rPr>
                <w:rFonts w:ascii="Times New Roman" w:hAnsi="Times New Roman"/>
                <w:color w:val="414142"/>
                <w:sz w:val="24"/>
                <w:szCs w:val="24"/>
                <w:shd w:val="clear" w:color="auto" w:fill="FFFFFF"/>
              </w:rPr>
              <w:t>un </w:t>
            </w:r>
            <w:r w:rsidRPr="003E51B2">
              <w:rPr>
                <w:rFonts w:ascii="Times New Roman" w:hAnsi="Times New Roman"/>
                <w:sz w:val="24"/>
                <w:szCs w:val="24"/>
                <w:shd w:val="clear" w:color="auto" w:fill="FFFFFF"/>
              </w:rPr>
              <w:t xml:space="preserve">44. </w:t>
            </w:r>
            <w:r w:rsidRPr="003E51B2">
              <w:rPr>
                <w:rFonts w:ascii="Times New Roman" w:hAnsi="Times New Roman"/>
                <w:b/>
                <w:bCs/>
                <w:sz w:val="24"/>
                <w:szCs w:val="24"/>
                <w:shd w:val="clear" w:color="auto" w:fill="FFFFFF"/>
              </w:rPr>
              <w:t>punkta</w:t>
            </w:r>
            <w:r w:rsidRPr="003E51B2">
              <w:rPr>
                <w:rFonts w:ascii="Times New Roman" w:hAnsi="Times New Roman"/>
                <w:b/>
                <w:bCs/>
                <w:color w:val="414142"/>
                <w:sz w:val="24"/>
                <w:szCs w:val="24"/>
                <w:shd w:val="clear" w:color="auto" w:fill="FFFFFF"/>
              </w:rPr>
              <w:t> pilnīga ieviešana sociālo pakalpojumu sniedzējiem jānodrošina līdz 2023. gada 1. janvārim.</w:t>
            </w:r>
            <w:r w:rsidRPr="003E51B2">
              <w:rPr>
                <w:rFonts w:ascii="Times New Roman" w:hAnsi="Times New Roman"/>
                <w:color w:val="414142"/>
                <w:sz w:val="24"/>
                <w:szCs w:val="24"/>
                <w:shd w:val="clear" w:color="auto" w:fill="FFFFFF"/>
              </w:rPr>
              <w:t>”</w:t>
            </w:r>
          </w:p>
        </w:tc>
        <w:tc>
          <w:tcPr>
            <w:tcW w:w="7412" w:type="dxa"/>
            <w:tcBorders>
              <w:top w:val="single" w:sz="4" w:space="0" w:color="auto"/>
              <w:left w:val="single" w:sz="4" w:space="0" w:color="auto"/>
              <w:bottom w:val="single" w:sz="4" w:space="0" w:color="auto"/>
              <w:right w:val="single" w:sz="4" w:space="0" w:color="auto"/>
            </w:tcBorders>
          </w:tcPr>
          <w:p w:rsidR="00491DAD" w:rsidRDefault="00491DAD" w:rsidP="00AA21AE">
            <w:pPr>
              <w:pStyle w:val="CommentText"/>
              <w:spacing w:after="120"/>
              <w:jc w:val="both"/>
              <w:rPr>
                <w:rFonts w:ascii="Times New Roman" w:hAnsi="Times New Roman"/>
                <w:sz w:val="24"/>
                <w:szCs w:val="24"/>
              </w:rPr>
            </w:pPr>
            <w:r w:rsidRPr="00AA21AE">
              <w:rPr>
                <w:rFonts w:ascii="Times New Roman" w:hAnsi="Times New Roman"/>
                <w:b/>
                <w:sz w:val="24"/>
                <w:szCs w:val="24"/>
                <w:u w:val="single"/>
              </w:rPr>
              <w:t>Iebildums:</w:t>
            </w:r>
            <w:r>
              <w:rPr>
                <w:rFonts w:ascii="Times New Roman" w:hAnsi="Times New Roman"/>
                <w:sz w:val="24"/>
                <w:szCs w:val="24"/>
              </w:rPr>
              <w:t xml:space="preserve"> </w:t>
            </w:r>
            <w:r w:rsidRPr="001A6E33">
              <w:rPr>
                <w:rFonts w:ascii="Times New Roman" w:hAnsi="Times New Roman"/>
                <w:sz w:val="24"/>
                <w:szCs w:val="24"/>
              </w:rPr>
              <w:t>Apzinoties nozīmīgumu nodrošināt ģimeniskai videi pietuvinātu bērnu aprūpes institūciju, diemžēl šobrīd pašvaldības saskaras ar izaicinājumu realizēt deinstitucionalizācijas projektus sākotnēji plānotajā termiņā, jo būvniecības nozarē izmaksas ir strauji pieaugušas un turpina pieaugt, kā arī būvdarbu procesu būtiski ietekmē pandēmijas Covid-19 ietekme uz ar būvniecību saistītu piegāžu ķēžu darbība.</w:t>
            </w:r>
            <w:r>
              <w:rPr>
                <w:rFonts w:ascii="Times New Roman" w:hAnsi="Times New Roman"/>
                <w:sz w:val="24"/>
                <w:szCs w:val="24"/>
              </w:rPr>
              <w:t xml:space="preserve"> </w:t>
            </w:r>
          </w:p>
          <w:p w:rsidR="00491DAD" w:rsidRPr="001A6E33" w:rsidRDefault="00491DAD" w:rsidP="00AA21AE">
            <w:pPr>
              <w:pStyle w:val="CommentText"/>
              <w:spacing w:after="120"/>
              <w:jc w:val="both"/>
              <w:rPr>
                <w:rFonts w:ascii="Times New Roman" w:hAnsi="Times New Roman"/>
                <w:sz w:val="24"/>
                <w:szCs w:val="24"/>
              </w:rPr>
            </w:pPr>
            <w:r w:rsidRPr="001A6E33">
              <w:rPr>
                <w:rFonts w:ascii="Times New Roman" w:hAnsi="Times New Roman"/>
                <w:sz w:val="24"/>
                <w:szCs w:val="24"/>
              </w:rPr>
              <w:t xml:space="preserve">Vienlaikus </w:t>
            </w:r>
            <w:r w:rsidRPr="00B87299">
              <w:rPr>
                <w:rFonts w:ascii="Times New Roman" w:hAnsi="Times New Roman"/>
                <w:sz w:val="24"/>
                <w:szCs w:val="24"/>
              </w:rPr>
              <w:t>MK noteikumi Nr. 871</w:t>
            </w:r>
            <w:r w:rsidRPr="001A6E33">
              <w:rPr>
                <w:rFonts w:ascii="Times New Roman" w:hAnsi="Times New Roman"/>
                <w:sz w:val="24"/>
                <w:szCs w:val="24"/>
                <w:vertAlign w:val="superscript"/>
                <w:lang w:val="en-US"/>
              </w:rPr>
              <w:footnoteReference w:id="1"/>
            </w:r>
            <w:r w:rsidRPr="00B87299">
              <w:rPr>
                <w:rFonts w:ascii="Times New Roman" w:hAnsi="Times New Roman"/>
                <w:sz w:val="24"/>
                <w:szCs w:val="24"/>
              </w:rPr>
              <w:t xml:space="preserve"> paredz iespēju pagarināt Projekta īstenošanas termiņu līdz 2023. gada 31. decembrim,</w:t>
            </w:r>
          </w:p>
          <w:p w:rsidR="00491DAD" w:rsidRPr="001A6E33" w:rsidRDefault="00491DAD" w:rsidP="00AA21AE">
            <w:pPr>
              <w:pStyle w:val="CommentText"/>
              <w:spacing w:after="120"/>
              <w:jc w:val="both"/>
              <w:rPr>
                <w:rFonts w:ascii="Times New Roman" w:hAnsi="Times New Roman"/>
                <w:sz w:val="24"/>
                <w:szCs w:val="24"/>
              </w:rPr>
            </w:pPr>
            <w:r w:rsidRPr="001A6E33">
              <w:rPr>
                <w:rFonts w:ascii="Times New Roman" w:hAnsi="Times New Roman"/>
                <w:sz w:val="24"/>
                <w:szCs w:val="24"/>
              </w:rPr>
              <w:t xml:space="preserve">Ņemot vērā minēto, </w:t>
            </w:r>
            <w:r w:rsidRPr="001A6E33">
              <w:rPr>
                <w:rFonts w:ascii="Times New Roman" w:hAnsi="Times New Roman"/>
                <w:b/>
                <w:bCs/>
                <w:sz w:val="24"/>
                <w:szCs w:val="24"/>
              </w:rPr>
              <w:t>iebilstam pret MK noteikumu Nr. 338 187. punktā ietverto termiņu, ar kuru noteikts, ka no 2023. gada 1. janvāra ir jānodrošina ģimeniskai videi pietuvināta pakalpojuma pilnīga ieviešana pašvaldībā.</w:t>
            </w:r>
            <w:r w:rsidRPr="001A6E33">
              <w:rPr>
                <w:rFonts w:ascii="Times New Roman" w:hAnsi="Times New Roman"/>
                <w:sz w:val="24"/>
                <w:szCs w:val="24"/>
              </w:rPr>
              <w:t xml:space="preserve"> </w:t>
            </w:r>
          </w:p>
          <w:p w:rsidR="00491DAD" w:rsidRPr="001A6E33" w:rsidRDefault="00491DAD" w:rsidP="00AA21AE">
            <w:pPr>
              <w:pStyle w:val="CommentText"/>
              <w:spacing w:after="120"/>
              <w:jc w:val="both"/>
              <w:rPr>
                <w:rFonts w:ascii="Times New Roman" w:hAnsi="Times New Roman"/>
                <w:sz w:val="24"/>
                <w:szCs w:val="24"/>
              </w:rPr>
            </w:pPr>
            <w:r w:rsidRPr="001A6E33">
              <w:rPr>
                <w:rFonts w:ascii="Times New Roman" w:hAnsi="Times New Roman"/>
                <w:sz w:val="24"/>
                <w:szCs w:val="24"/>
              </w:rPr>
              <w:t>Izvērtējot iepriekš minētos argumentus un identificēto risku neiekļauties MK noteikumos Nr. 338 noteiktajā termiņā,</w:t>
            </w:r>
            <w:r>
              <w:rPr>
                <w:rFonts w:ascii="Times New Roman" w:hAnsi="Times New Roman"/>
                <w:sz w:val="24"/>
                <w:szCs w:val="24"/>
              </w:rPr>
              <w:t xml:space="preserve"> kā arī, </w:t>
            </w:r>
            <w:r w:rsidRPr="001A6E33">
              <w:rPr>
                <w:rFonts w:ascii="Times New Roman" w:hAnsi="Times New Roman"/>
                <w:sz w:val="24"/>
                <w:szCs w:val="24"/>
              </w:rPr>
              <w:t>lai nodrošinātu normatīvu savstarpēju salāgotību,</w:t>
            </w:r>
            <w:r w:rsidRPr="001A6E33">
              <w:rPr>
                <w:rFonts w:ascii="Times New Roman" w:hAnsi="Times New Roman"/>
                <w:color w:val="FF0000"/>
                <w:sz w:val="24"/>
                <w:szCs w:val="24"/>
              </w:rPr>
              <w:t xml:space="preserve"> </w:t>
            </w:r>
            <w:r w:rsidRPr="001A6E33">
              <w:rPr>
                <w:rFonts w:ascii="Times New Roman" w:hAnsi="Times New Roman"/>
                <w:sz w:val="24"/>
                <w:szCs w:val="24"/>
              </w:rPr>
              <w:t>piedāvājam MK noteikumu Nr. 338 187. punktu izteikt šādā redakcijā:</w:t>
            </w:r>
          </w:p>
          <w:p w:rsidR="00491DAD" w:rsidRPr="001A6E33" w:rsidRDefault="00491DAD" w:rsidP="00AA21AE">
            <w:pPr>
              <w:pStyle w:val="naisnod"/>
              <w:spacing w:before="0" w:after="120"/>
              <w:ind w:firstLine="720"/>
              <w:jc w:val="both"/>
              <w:rPr>
                <w:rFonts w:eastAsia="Calibri"/>
                <w:b w:val="0"/>
                <w:bCs w:val="0"/>
                <w:i/>
                <w:iCs/>
                <w:lang w:eastAsia="en-US"/>
              </w:rPr>
            </w:pPr>
            <w:r w:rsidRPr="001A6E33">
              <w:rPr>
                <w:rFonts w:eastAsia="Calibri"/>
                <w:b w:val="0"/>
                <w:bCs w:val="0"/>
                <w:lang w:eastAsia="en-US"/>
              </w:rPr>
              <w:t>“</w:t>
            </w:r>
            <w:r w:rsidRPr="001A6E33">
              <w:rPr>
                <w:rFonts w:eastAsia="Calibri"/>
                <w:b w:val="0"/>
                <w:bCs w:val="0"/>
                <w:i/>
                <w:iCs/>
                <w:lang w:eastAsia="en-US"/>
              </w:rPr>
              <w:t>187. Šo noteikumu </w:t>
            </w:r>
            <w:hyperlink r:id="rId8" w:anchor="p39" w:history="1">
              <w:r w:rsidRPr="001A6E33">
                <w:rPr>
                  <w:rFonts w:eastAsia="Calibri"/>
                  <w:b w:val="0"/>
                  <w:bCs w:val="0"/>
                  <w:i/>
                  <w:iCs/>
                  <w:lang w:eastAsia="en-US"/>
                </w:rPr>
                <w:t>39.</w:t>
              </w:r>
            </w:hyperlink>
            <w:r w:rsidRPr="001A6E33">
              <w:rPr>
                <w:rFonts w:eastAsia="Calibri"/>
                <w:b w:val="0"/>
                <w:bCs w:val="0"/>
                <w:i/>
                <w:iCs/>
                <w:lang w:eastAsia="en-US"/>
              </w:rPr>
              <w:t>, </w:t>
            </w:r>
            <w:hyperlink r:id="rId9" w:anchor="p40" w:history="1">
              <w:r w:rsidRPr="001A6E33">
                <w:rPr>
                  <w:rFonts w:eastAsia="Calibri"/>
                  <w:b w:val="0"/>
                  <w:bCs w:val="0"/>
                  <w:i/>
                  <w:iCs/>
                  <w:lang w:eastAsia="en-US"/>
                </w:rPr>
                <w:t>40.</w:t>
              </w:r>
            </w:hyperlink>
            <w:r w:rsidRPr="001A6E33">
              <w:rPr>
                <w:rFonts w:eastAsia="Calibri"/>
                <w:b w:val="0"/>
                <w:bCs w:val="0"/>
                <w:i/>
                <w:iCs/>
                <w:lang w:eastAsia="en-US"/>
              </w:rPr>
              <w:t>, </w:t>
            </w:r>
            <w:hyperlink r:id="rId10" w:anchor="p42" w:history="1">
              <w:r w:rsidRPr="001A6E33">
                <w:rPr>
                  <w:rFonts w:eastAsia="Calibri"/>
                  <w:b w:val="0"/>
                  <w:bCs w:val="0"/>
                  <w:i/>
                  <w:iCs/>
                  <w:lang w:eastAsia="en-US"/>
                </w:rPr>
                <w:t>42. </w:t>
              </w:r>
            </w:hyperlink>
            <w:r w:rsidRPr="001A6E33">
              <w:rPr>
                <w:rFonts w:eastAsia="Calibri"/>
                <w:b w:val="0"/>
                <w:bCs w:val="0"/>
                <w:i/>
                <w:iCs/>
                <w:lang w:eastAsia="en-US"/>
              </w:rPr>
              <w:t>un </w:t>
            </w:r>
            <w:hyperlink r:id="rId11" w:anchor="p44" w:history="1">
              <w:r w:rsidRPr="001A6E33">
                <w:rPr>
                  <w:rFonts w:eastAsia="Calibri"/>
                  <w:b w:val="0"/>
                  <w:bCs w:val="0"/>
                  <w:i/>
                  <w:iCs/>
                  <w:lang w:eastAsia="en-US"/>
                </w:rPr>
                <w:t>44. punkta</w:t>
              </w:r>
            </w:hyperlink>
            <w:r w:rsidRPr="001A6E33">
              <w:rPr>
                <w:rFonts w:eastAsia="Calibri"/>
                <w:b w:val="0"/>
                <w:bCs w:val="0"/>
                <w:i/>
                <w:iCs/>
                <w:lang w:eastAsia="en-US"/>
              </w:rPr>
              <w:t> pilnīga ieviešana sociālo pakalpojumu sniedzējiem jānodrošina līdz 2023. gada 1. janvārim.</w:t>
            </w:r>
          </w:p>
          <w:p w:rsidR="00491DAD" w:rsidRPr="001A6E33" w:rsidRDefault="00491DAD" w:rsidP="00AA21AE">
            <w:pPr>
              <w:pStyle w:val="CommentText"/>
              <w:spacing w:after="120"/>
              <w:jc w:val="both"/>
              <w:rPr>
                <w:rFonts w:ascii="Times New Roman" w:hAnsi="Times New Roman"/>
                <w:sz w:val="24"/>
                <w:szCs w:val="24"/>
              </w:rPr>
            </w:pPr>
            <w:r w:rsidRPr="001A6E33">
              <w:rPr>
                <w:rFonts w:ascii="Times New Roman" w:hAnsi="Times New Roman"/>
                <w:i/>
                <w:iCs/>
                <w:sz w:val="24"/>
                <w:szCs w:val="24"/>
                <w:u w:val="single"/>
              </w:rPr>
              <w:t>187.</w:t>
            </w:r>
            <w:r w:rsidRPr="001A6E33">
              <w:rPr>
                <w:rFonts w:ascii="Times New Roman" w:hAnsi="Times New Roman"/>
                <w:i/>
                <w:iCs/>
                <w:sz w:val="24"/>
                <w:szCs w:val="24"/>
                <w:u w:val="single"/>
                <w:vertAlign w:val="superscript"/>
              </w:rPr>
              <w:t>1</w:t>
            </w:r>
            <w:r w:rsidRPr="001A6E33">
              <w:rPr>
                <w:rFonts w:ascii="Times New Roman" w:hAnsi="Times New Roman"/>
                <w:i/>
                <w:iCs/>
                <w:sz w:val="24"/>
                <w:szCs w:val="24"/>
                <w:u w:val="single"/>
              </w:rPr>
              <w:t xml:space="preserve"> šo noteikumu 27. punkta pilnīga ieviešana sociālo pakalpojumu sniedzējiem jānodrošina līdz 2023. gada 31. decembrim</w:t>
            </w:r>
            <w:r w:rsidRPr="001A6E33">
              <w:rPr>
                <w:rFonts w:ascii="Times New Roman" w:hAnsi="Times New Roman"/>
                <w:b/>
                <w:bCs/>
                <w:i/>
                <w:iCs/>
                <w:sz w:val="24"/>
                <w:szCs w:val="24"/>
              </w:rPr>
              <w:t>.</w:t>
            </w:r>
            <w:r w:rsidRPr="001A6E33">
              <w:rPr>
                <w:rFonts w:ascii="Times New Roman" w:hAnsi="Times New Roman"/>
                <w:b/>
                <w:bCs/>
                <w:sz w:val="24"/>
                <w:szCs w:val="24"/>
              </w:rPr>
              <w:t>”</w:t>
            </w:r>
          </w:p>
          <w:p w:rsidR="00491DAD" w:rsidRPr="006810CE" w:rsidRDefault="00491DAD" w:rsidP="00AA21AE">
            <w:pPr>
              <w:pStyle w:val="naisnod"/>
              <w:spacing w:before="0" w:after="120"/>
              <w:jc w:val="both"/>
              <w:rPr>
                <w:rFonts w:eastAsia="Calibri"/>
                <w:b w:val="0"/>
                <w:bCs w:val="0"/>
                <w:lang w:eastAsia="en-US"/>
              </w:rPr>
            </w:pPr>
          </w:p>
        </w:tc>
      </w:tr>
    </w:tbl>
    <w:p w:rsidR="00B40F4A" w:rsidRPr="00AA21AE" w:rsidRDefault="00B40F4A" w:rsidP="0064241C">
      <w:pPr>
        <w:spacing w:line="276" w:lineRule="auto"/>
        <w:jc w:val="both"/>
        <w:rPr>
          <w:lang w:val="lv-LV"/>
        </w:rPr>
      </w:pPr>
    </w:p>
    <w:sectPr w:rsidR="00B40F4A" w:rsidRPr="00AA21AE" w:rsidSect="000253CD">
      <w:footerReference w:type="default" r:id="rId12"/>
      <w:pgSz w:w="16838" w:h="11906" w:orient="landscape"/>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145" w:rsidRDefault="00BD2145" w:rsidP="00EE60F5">
      <w:r>
        <w:separator/>
      </w:r>
    </w:p>
  </w:endnote>
  <w:endnote w:type="continuationSeparator" w:id="0">
    <w:p w:rsidR="00BD2145" w:rsidRDefault="00BD2145" w:rsidP="00E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F5" w:rsidRDefault="00EE60F5">
    <w:pPr>
      <w:pStyle w:val="Footer"/>
      <w:jc w:val="center"/>
    </w:pPr>
    <w:r>
      <w:fldChar w:fldCharType="begin"/>
    </w:r>
    <w:r>
      <w:instrText>PAGE   \* MERGEFORMAT</w:instrText>
    </w:r>
    <w:r>
      <w:fldChar w:fldCharType="separate"/>
    </w:r>
    <w:r w:rsidR="00C151E3" w:rsidRPr="00C151E3">
      <w:rPr>
        <w:noProof/>
        <w:lang w:val="lv-LV"/>
      </w:rPr>
      <w:t>4</w:t>
    </w:r>
    <w:r>
      <w:fldChar w:fldCharType="end"/>
    </w:r>
  </w:p>
  <w:p w:rsidR="00EE60F5" w:rsidRDefault="00EE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145" w:rsidRDefault="00BD2145" w:rsidP="00EE60F5">
      <w:r>
        <w:separator/>
      </w:r>
    </w:p>
  </w:footnote>
  <w:footnote w:type="continuationSeparator" w:id="0">
    <w:p w:rsidR="00BD2145" w:rsidRDefault="00BD2145" w:rsidP="00EE60F5">
      <w:r>
        <w:continuationSeparator/>
      </w:r>
    </w:p>
  </w:footnote>
  <w:footnote w:id="1">
    <w:p w:rsidR="00491DAD" w:rsidRDefault="00491DAD" w:rsidP="00004051">
      <w:pPr>
        <w:pStyle w:val="FootnoteText"/>
        <w:jc w:val="both"/>
      </w:pPr>
      <w:r>
        <w:rPr>
          <w:rStyle w:val="FootnoteReference"/>
        </w:rPr>
        <w:footnoteRef/>
      </w:r>
      <w:r>
        <w:t xml:space="preserve"> </w:t>
      </w:r>
      <w:r w:rsidRPr="003E51B2">
        <w:rPr>
          <w:rFonts w:ascii="Times New Roman" w:hAnsi="Times New Roman"/>
          <w:bCs/>
          <w:color w:val="000000"/>
          <w:sz w:val="18"/>
          <w:szCs w:val="18"/>
          <w:shd w:val="clear" w:color="auto" w:fill="FFFFFF"/>
        </w:rPr>
        <w:t>Ministru kabineta 20.12.2016.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(tekstā – MK noteikumi Nr. 871)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25C"/>
    <w:multiLevelType w:val="hybridMultilevel"/>
    <w:tmpl w:val="97FE7F94"/>
    <w:lvl w:ilvl="0" w:tplc="04260011">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 w15:restartNumberingAfterBreak="0">
    <w:nsid w:val="1CDC54EB"/>
    <w:multiLevelType w:val="multilevel"/>
    <w:tmpl w:val="295C21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FC431D"/>
    <w:multiLevelType w:val="multilevel"/>
    <w:tmpl w:val="CE2878D0"/>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36407F34"/>
    <w:multiLevelType w:val="multilevel"/>
    <w:tmpl w:val="28D6EC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8921E3"/>
    <w:multiLevelType w:val="multilevel"/>
    <w:tmpl w:val="55C269A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11B3C28"/>
    <w:multiLevelType w:val="multilevel"/>
    <w:tmpl w:val="177065A0"/>
    <w:lvl w:ilvl="0">
      <w:start w:val="43"/>
      <w:numFmt w:val="decimal"/>
      <w:lvlText w:val="%1."/>
      <w:lvlJc w:val="left"/>
      <w:pPr>
        <w:ind w:left="600" w:hanging="60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FAE502D"/>
    <w:multiLevelType w:val="multilevel"/>
    <w:tmpl w:val="4CAEFFB4"/>
    <w:lvl w:ilvl="0">
      <w:start w:val="1"/>
      <w:numFmt w:val="decimal"/>
      <w:lvlText w:val="%1."/>
      <w:lvlJc w:val="left"/>
      <w:pPr>
        <w:ind w:left="480" w:hanging="480"/>
      </w:pPr>
      <w:rPr>
        <w:rFonts w:hint="default"/>
      </w:rPr>
    </w:lvl>
    <w:lvl w:ilvl="1">
      <w:start w:val="2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69CC0FE5"/>
    <w:multiLevelType w:val="multilevel"/>
    <w:tmpl w:val="F9F0F0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88257F"/>
    <w:multiLevelType w:val="multilevel"/>
    <w:tmpl w:val="51D82E46"/>
    <w:lvl w:ilvl="0">
      <w:start w:val="1"/>
      <w:numFmt w:val="decimal"/>
      <w:lvlText w:val="%1."/>
      <w:lvlJc w:val="left"/>
      <w:pPr>
        <w:ind w:left="480" w:hanging="480"/>
      </w:pPr>
      <w:rPr>
        <w:rFonts w:hint="default"/>
      </w:rPr>
    </w:lvl>
    <w:lvl w:ilvl="1">
      <w:start w:val="1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D243C7A"/>
    <w:multiLevelType w:val="multilevel"/>
    <w:tmpl w:val="C58AFCF0"/>
    <w:lvl w:ilvl="0">
      <w:start w:val="1"/>
      <w:numFmt w:val="decimal"/>
      <w:lvlText w:val="%1."/>
      <w:lvlJc w:val="left"/>
      <w:pPr>
        <w:ind w:left="480" w:hanging="480"/>
      </w:pPr>
      <w:rPr>
        <w:rFonts w:hint="default"/>
      </w:rPr>
    </w:lvl>
    <w:lvl w:ilvl="1">
      <w:start w:val="2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D7"/>
    <w:rsid w:val="00004051"/>
    <w:rsid w:val="00015248"/>
    <w:rsid w:val="00017A29"/>
    <w:rsid w:val="000215A7"/>
    <w:rsid w:val="000253CD"/>
    <w:rsid w:val="000647F2"/>
    <w:rsid w:val="00065E8F"/>
    <w:rsid w:val="00095719"/>
    <w:rsid w:val="000C4570"/>
    <w:rsid w:val="000D3678"/>
    <w:rsid w:val="00102D80"/>
    <w:rsid w:val="0011030C"/>
    <w:rsid w:val="001165B7"/>
    <w:rsid w:val="001237FF"/>
    <w:rsid w:val="00125515"/>
    <w:rsid w:val="00145B51"/>
    <w:rsid w:val="0015266A"/>
    <w:rsid w:val="00157E7D"/>
    <w:rsid w:val="001A4EF4"/>
    <w:rsid w:val="001C097E"/>
    <w:rsid w:val="001C7B2B"/>
    <w:rsid w:val="00203B3F"/>
    <w:rsid w:val="00281B67"/>
    <w:rsid w:val="002832DB"/>
    <w:rsid w:val="00295E71"/>
    <w:rsid w:val="002971E8"/>
    <w:rsid w:val="002A6B65"/>
    <w:rsid w:val="002D74BB"/>
    <w:rsid w:val="002F5C93"/>
    <w:rsid w:val="003170A2"/>
    <w:rsid w:val="00333C0D"/>
    <w:rsid w:val="003706F3"/>
    <w:rsid w:val="003732A2"/>
    <w:rsid w:val="00392C9A"/>
    <w:rsid w:val="00393E78"/>
    <w:rsid w:val="003D4AFF"/>
    <w:rsid w:val="003F1476"/>
    <w:rsid w:val="004205AF"/>
    <w:rsid w:val="004365F8"/>
    <w:rsid w:val="00442884"/>
    <w:rsid w:val="00452360"/>
    <w:rsid w:val="00475753"/>
    <w:rsid w:val="004861DC"/>
    <w:rsid w:val="004906F2"/>
    <w:rsid w:val="00491DAD"/>
    <w:rsid w:val="004A26EF"/>
    <w:rsid w:val="004A2974"/>
    <w:rsid w:val="004E000F"/>
    <w:rsid w:val="004E2AD6"/>
    <w:rsid w:val="004E3536"/>
    <w:rsid w:val="004E3ED7"/>
    <w:rsid w:val="004F034E"/>
    <w:rsid w:val="004F6854"/>
    <w:rsid w:val="004F7788"/>
    <w:rsid w:val="005300D6"/>
    <w:rsid w:val="00550BBE"/>
    <w:rsid w:val="005543D8"/>
    <w:rsid w:val="0056437E"/>
    <w:rsid w:val="0057036D"/>
    <w:rsid w:val="00576D22"/>
    <w:rsid w:val="005B59A2"/>
    <w:rsid w:val="005D6833"/>
    <w:rsid w:val="005F34BD"/>
    <w:rsid w:val="00602334"/>
    <w:rsid w:val="006308AF"/>
    <w:rsid w:val="0064241C"/>
    <w:rsid w:val="0068493D"/>
    <w:rsid w:val="006F08A1"/>
    <w:rsid w:val="006F70B4"/>
    <w:rsid w:val="007071E5"/>
    <w:rsid w:val="007169CC"/>
    <w:rsid w:val="007177E7"/>
    <w:rsid w:val="00721E14"/>
    <w:rsid w:val="007375B9"/>
    <w:rsid w:val="00744119"/>
    <w:rsid w:val="007C3313"/>
    <w:rsid w:val="007F0E0C"/>
    <w:rsid w:val="007F2434"/>
    <w:rsid w:val="0080735C"/>
    <w:rsid w:val="008314B4"/>
    <w:rsid w:val="008C3004"/>
    <w:rsid w:val="008C5900"/>
    <w:rsid w:val="008E45B7"/>
    <w:rsid w:val="008F3325"/>
    <w:rsid w:val="009006E0"/>
    <w:rsid w:val="00906999"/>
    <w:rsid w:val="00907B6C"/>
    <w:rsid w:val="00936C34"/>
    <w:rsid w:val="009375D3"/>
    <w:rsid w:val="00961C81"/>
    <w:rsid w:val="00975E9F"/>
    <w:rsid w:val="00A018FF"/>
    <w:rsid w:val="00A82029"/>
    <w:rsid w:val="00AA21AE"/>
    <w:rsid w:val="00AA6B2E"/>
    <w:rsid w:val="00AC7588"/>
    <w:rsid w:val="00AD35A7"/>
    <w:rsid w:val="00AE1033"/>
    <w:rsid w:val="00B40BED"/>
    <w:rsid w:val="00B40F4A"/>
    <w:rsid w:val="00B44C19"/>
    <w:rsid w:val="00B66B62"/>
    <w:rsid w:val="00B82AB2"/>
    <w:rsid w:val="00B841EF"/>
    <w:rsid w:val="00B87299"/>
    <w:rsid w:val="00BB093D"/>
    <w:rsid w:val="00BB5F4F"/>
    <w:rsid w:val="00BD2145"/>
    <w:rsid w:val="00BF290C"/>
    <w:rsid w:val="00BF7F6C"/>
    <w:rsid w:val="00C05A5F"/>
    <w:rsid w:val="00C151E3"/>
    <w:rsid w:val="00C2254C"/>
    <w:rsid w:val="00C54390"/>
    <w:rsid w:val="00C5580A"/>
    <w:rsid w:val="00C90203"/>
    <w:rsid w:val="00CE322A"/>
    <w:rsid w:val="00D0585F"/>
    <w:rsid w:val="00D13C63"/>
    <w:rsid w:val="00D24E12"/>
    <w:rsid w:val="00D634B8"/>
    <w:rsid w:val="00D77F9F"/>
    <w:rsid w:val="00D96677"/>
    <w:rsid w:val="00DE17D8"/>
    <w:rsid w:val="00DF6640"/>
    <w:rsid w:val="00DF6E4C"/>
    <w:rsid w:val="00E000FB"/>
    <w:rsid w:val="00E430FF"/>
    <w:rsid w:val="00E83616"/>
    <w:rsid w:val="00E87256"/>
    <w:rsid w:val="00EA242A"/>
    <w:rsid w:val="00EA7162"/>
    <w:rsid w:val="00EE60F5"/>
    <w:rsid w:val="00EF14E1"/>
    <w:rsid w:val="00F218D4"/>
    <w:rsid w:val="00F332D9"/>
    <w:rsid w:val="00F37147"/>
    <w:rsid w:val="00FA6CA6"/>
    <w:rsid w:val="00FB50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653FEC-A498-48BE-B0CF-BBE6BE34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ED7"/>
    <w:rPr>
      <w:sz w:val="24"/>
      <w:szCs w:val="24"/>
      <w:lang w:val="en-US" w:eastAsia="en-US"/>
    </w:rPr>
  </w:style>
  <w:style w:type="paragraph" w:styleId="Heading1">
    <w:name w:val="heading 1"/>
    <w:basedOn w:val="Normal"/>
    <w:next w:val="Normal"/>
    <w:link w:val="Heading1Char"/>
    <w:qFormat/>
    <w:rsid w:val="004E3ED7"/>
    <w:pPr>
      <w:keepNext/>
      <w:jc w:val="both"/>
      <w:outlineLvl w:val="0"/>
    </w:pPr>
    <w:rPr>
      <w:b/>
      <w:bCs/>
      <w:sz w:val="28"/>
      <w:szCs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E3ED7"/>
    <w:rPr>
      <w:b/>
      <w:bCs/>
      <w:sz w:val="28"/>
      <w:szCs w:val="28"/>
      <w:lang w:val="lv-LV" w:eastAsia="en-US" w:bidi="ar-SA"/>
    </w:rPr>
  </w:style>
  <w:style w:type="paragraph" w:customStyle="1" w:styleId="1">
    <w:name w:val="1"/>
    <w:basedOn w:val="Normal"/>
    <w:rsid w:val="004E3ED7"/>
    <w:pPr>
      <w:spacing w:after="160" w:line="240" w:lineRule="exact"/>
    </w:pPr>
    <w:rPr>
      <w:rFonts w:ascii="Tahoma" w:hAnsi="Tahoma"/>
      <w:sz w:val="20"/>
      <w:szCs w:val="20"/>
    </w:rPr>
  </w:style>
  <w:style w:type="paragraph" w:styleId="BalloonText">
    <w:name w:val="Balloon Text"/>
    <w:basedOn w:val="Normal"/>
    <w:semiHidden/>
    <w:rsid w:val="003F1476"/>
    <w:rPr>
      <w:rFonts w:ascii="Tahoma" w:hAnsi="Tahoma" w:cs="Tahoma"/>
      <w:sz w:val="16"/>
      <w:szCs w:val="16"/>
    </w:rPr>
  </w:style>
  <w:style w:type="paragraph" w:customStyle="1" w:styleId="tv2131">
    <w:name w:val="tv2131"/>
    <w:basedOn w:val="Normal"/>
    <w:rsid w:val="00B44C19"/>
    <w:pPr>
      <w:spacing w:line="360" w:lineRule="auto"/>
      <w:ind w:firstLine="300"/>
    </w:pPr>
    <w:rPr>
      <w:color w:val="414142"/>
      <w:sz w:val="20"/>
      <w:szCs w:val="20"/>
      <w:lang w:val="lv-LV" w:eastAsia="lv-LV"/>
    </w:rPr>
  </w:style>
  <w:style w:type="paragraph" w:customStyle="1" w:styleId="tv213">
    <w:name w:val="tv213"/>
    <w:basedOn w:val="Normal"/>
    <w:rsid w:val="0068493D"/>
    <w:pPr>
      <w:spacing w:before="100" w:beforeAutospacing="1" w:after="100" w:afterAutospacing="1"/>
    </w:pPr>
    <w:rPr>
      <w:lang w:val="lv-LV" w:eastAsia="lv-LV"/>
    </w:rPr>
  </w:style>
  <w:style w:type="paragraph" w:styleId="ListParagraph">
    <w:name w:val="List Paragraph"/>
    <w:basedOn w:val="Normal"/>
    <w:link w:val="ListParagraphChar"/>
    <w:uiPriority w:val="34"/>
    <w:qFormat/>
    <w:rsid w:val="00DF6640"/>
    <w:pPr>
      <w:ind w:left="720"/>
      <w:contextualSpacing/>
    </w:pPr>
    <w:rPr>
      <w:rFonts w:eastAsia="Calibri"/>
      <w:szCs w:val="22"/>
      <w:lang w:val="lv-LV"/>
    </w:rPr>
  </w:style>
  <w:style w:type="character" w:customStyle="1" w:styleId="ListParagraphChar">
    <w:name w:val="List Paragraph Char"/>
    <w:link w:val="ListParagraph"/>
    <w:rsid w:val="00DF6640"/>
    <w:rPr>
      <w:rFonts w:eastAsia="Calibri"/>
      <w:sz w:val="24"/>
      <w:szCs w:val="22"/>
      <w:lang w:val="lv-LV"/>
    </w:rPr>
  </w:style>
  <w:style w:type="paragraph" w:styleId="Header">
    <w:name w:val="header"/>
    <w:basedOn w:val="Normal"/>
    <w:link w:val="HeaderChar"/>
    <w:rsid w:val="00EE60F5"/>
    <w:pPr>
      <w:tabs>
        <w:tab w:val="center" w:pos="4153"/>
        <w:tab w:val="right" w:pos="8306"/>
      </w:tabs>
    </w:pPr>
  </w:style>
  <w:style w:type="character" w:customStyle="1" w:styleId="HeaderChar">
    <w:name w:val="Header Char"/>
    <w:link w:val="Header"/>
    <w:rsid w:val="00EE60F5"/>
    <w:rPr>
      <w:sz w:val="24"/>
      <w:szCs w:val="24"/>
      <w:lang w:val="en-US" w:eastAsia="en-US"/>
    </w:rPr>
  </w:style>
  <w:style w:type="paragraph" w:styleId="Footer">
    <w:name w:val="footer"/>
    <w:basedOn w:val="Normal"/>
    <w:link w:val="FooterChar"/>
    <w:uiPriority w:val="99"/>
    <w:rsid w:val="00EE60F5"/>
    <w:pPr>
      <w:tabs>
        <w:tab w:val="center" w:pos="4153"/>
        <w:tab w:val="right" w:pos="8306"/>
      </w:tabs>
    </w:pPr>
  </w:style>
  <w:style w:type="character" w:customStyle="1" w:styleId="FooterChar">
    <w:name w:val="Footer Char"/>
    <w:link w:val="Footer"/>
    <w:uiPriority w:val="99"/>
    <w:rsid w:val="00EE60F5"/>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7177E7"/>
    <w:rPr>
      <w:rFonts w:ascii="Calibri" w:eastAsia="Calibri" w:hAnsi="Calibri"/>
      <w:sz w:val="20"/>
      <w:szCs w:val="20"/>
      <w:lang w:val="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link w:val="FootnoteText"/>
    <w:uiPriority w:val="99"/>
    <w:rsid w:val="007177E7"/>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rsid w:val="007177E7"/>
    <w:rPr>
      <w:vertAlign w:val="superscript"/>
    </w:rPr>
  </w:style>
  <w:style w:type="character" w:styleId="CommentReference">
    <w:name w:val="annotation reference"/>
    <w:unhideWhenUsed/>
    <w:rsid w:val="007177E7"/>
    <w:rPr>
      <w:sz w:val="16"/>
      <w:szCs w:val="16"/>
    </w:rPr>
  </w:style>
  <w:style w:type="paragraph" w:styleId="CommentText">
    <w:name w:val="annotation text"/>
    <w:basedOn w:val="Normal"/>
    <w:link w:val="CommentTextChar"/>
    <w:unhideWhenUsed/>
    <w:rsid w:val="007177E7"/>
    <w:pPr>
      <w:spacing w:after="160"/>
    </w:pPr>
    <w:rPr>
      <w:rFonts w:ascii="Calibri" w:eastAsia="Calibri" w:hAnsi="Calibri"/>
      <w:sz w:val="20"/>
      <w:szCs w:val="20"/>
      <w:lang w:val="lv-LV"/>
    </w:rPr>
  </w:style>
  <w:style w:type="character" w:customStyle="1" w:styleId="CommentTextChar">
    <w:name w:val="Comment Text Char"/>
    <w:link w:val="CommentText"/>
    <w:rsid w:val="007177E7"/>
    <w:rPr>
      <w:rFonts w:ascii="Calibri" w:eastAsia="Calibri" w:hAnsi="Calibri"/>
      <w:lang w:eastAsia="en-US"/>
    </w:rPr>
  </w:style>
  <w:style w:type="paragraph" w:customStyle="1" w:styleId="CharCharCharChar">
    <w:name w:val="Char Char Char Char"/>
    <w:aliases w:val="Char2"/>
    <w:basedOn w:val="Normal"/>
    <w:next w:val="Normal"/>
    <w:link w:val="FootnoteReference"/>
    <w:uiPriority w:val="99"/>
    <w:semiHidden/>
    <w:rsid w:val="007177E7"/>
    <w:pPr>
      <w:keepNext/>
      <w:keepLines/>
      <w:spacing w:before="120" w:after="160" w:line="240" w:lineRule="exact"/>
      <w:jc w:val="both"/>
      <w:outlineLvl w:val="0"/>
    </w:pPr>
    <w:rPr>
      <w:sz w:val="20"/>
      <w:szCs w:val="20"/>
      <w:vertAlign w:val="superscript"/>
      <w:lang w:val="lv-LV" w:eastAsia="lv-LV"/>
    </w:rPr>
  </w:style>
  <w:style w:type="character" w:styleId="Hyperlink">
    <w:name w:val="Hyperlink"/>
    <w:uiPriority w:val="99"/>
    <w:unhideWhenUsed/>
    <w:rsid w:val="00AC7588"/>
    <w:rPr>
      <w:color w:val="0000FF"/>
      <w:u w:val="single"/>
    </w:rPr>
  </w:style>
  <w:style w:type="paragraph" w:customStyle="1" w:styleId="naisnod">
    <w:name w:val="naisnod"/>
    <w:basedOn w:val="Normal"/>
    <w:uiPriority w:val="99"/>
    <w:rsid w:val="00AA21AE"/>
    <w:pPr>
      <w:spacing w:before="150" w:after="150"/>
      <w:jc w:val="center"/>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0683">
      <w:bodyDiv w:val="1"/>
      <w:marLeft w:val="0"/>
      <w:marRight w:val="0"/>
      <w:marTop w:val="0"/>
      <w:marBottom w:val="0"/>
      <w:divBdr>
        <w:top w:val="none" w:sz="0" w:space="0" w:color="auto"/>
        <w:left w:val="none" w:sz="0" w:space="0" w:color="auto"/>
        <w:bottom w:val="none" w:sz="0" w:space="0" w:color="auto"/>
        <w:right w:val="none" w:sz="0" w:space="0" w:color="auto"/>
      </w:divBdr>
    </w:div>
    <w:div w:id="328991462">
      <w:bodyDiv w:val="1"/>
      <w:marLeft w:val="0"/>
      <w:marRight w:val="0"/>
      <w:marTop w:val="0"/>
      <w:marBottom w:val="0"/>
      <w:divBdr>
        <w:top w:val="none" w:sz="0" w:space="0" w:color="auto"/>
        <w:left w:val="none" w:sz="0" w:space="0" w:color="auto"/>
        <w:bottom w:val="none" w:sz="0" w:space="0" w:color="auto"/>
        <w:right w:val="none" w:sz="0" w:space="0" w:color="auto"/>
      </w:divBdr>
    </w:div>
    <w:div w:id="545601243">
      <w:bodyDiv w:val="1"/>
      <w:marLeft w:val="0"/>
      <w:marRight w:val="0"/>
      <w:marTop w:val="0"/>
      <w:marBottom w:val="0"/>
      <w:divBdr>
        <w:top w:val="none" w:sz="0" w:space="0" w:color="auto"/>
        <w:left w:val="none" w:sz="0" w:space="0" w:color="auto"/>
        <w:bottom w:val="none" w:sz="0" w:space="0" w:color="auto"/>
        <w:right w:val="none" w:sz="0" w:space="0" w:color="auto"/>
      </w:divBdr>
    </w:div>
    <w:div w:id="745104705">
      <w:bodyDiv w:val="1"/>
      <w:marLeft w:val="0"/>
      <w:marRight w:val="0"/>
      <w:marTop w:val="0"/>
      <w:marBottom w:val="0"/>
      <w:divBdr>
        <w:top w:val="none" w:sz="0" w:space="0" w:color="auto"/>
        <w:left w:val="none" w:sz="0" w:space="0" w:color="auto"/>
        <w:bottom w:val="none" w:sz="0" w:space="0" w:color="auto"/>
        <w:right w:val="none" w:sz="0" w:space="0" w:color="auto"/>
      </w:divBdr>
    </w:div>
    <w:div w:id="883640564">
      <w:bodyDiv w:val="1"/>
      <w:marLeft w:val="0"/>
      <w:marRight w:val="0"/>
      <w:marTop w:val="0"/>
      <w:marBottom w:val="0"/>
      <w:divBdr>
        <w:top w:val="none" w:sz="0" w:space="0" w:color="auto"/>
        <w:left w:val="none" w:sz="0" w:space="0" w:color="auto"/>
        <w:bottom w:val="none" w:sz="0" w:space="0" w:color="auto"/>
        <w:right w:val="none" w:sz="0" w:space="0" w:color="auto"/>
      </w:divBdr>
    </w:div>
    <w:div w:id="1076168984">
      <w:bodyDiv w:val="1"/>
      <w:marLeft w:val="0"/>
      <w:marRight w:val="0"/>
      <w:marTop w:val="0"/>
      <w:marBottom w:val="0"/>
      <w:divBdr>
        <w:top w:val="none" w:sz="0" w:space="0" w:color="auto"/>
        <w:left w:val="none" w:sz="0" w:space="0" w:color="auto"/>
        <w:bottom w:val="none" w:sz="0" w:space="0" w:color="auto"/>
        <w:right w:val="none" w:sz="0" w:space="0" w:color="auto"/>
      </w:divBdr>
    </w:div>
    <w:div w:id="1466385870">
      <w:bodyDiv w:val="1"/>
      <w:marLeft w:val="0"/>
      <w:marRight w:val="0"/>
      <w:marTop w:val="0"/>
      <w:marBottom w:val="0"/>
      <w:divBdr>
        <w:top w:val="none" w:sz="0" w:space="0" w:color="auto"/>
        <w:left w:val="none" w:sz="0" w:space="0" w:color="auto"/>
        <w:bottom w:val="none" w:sz="0" w:space="0" w:color="auto"/>
        <w:right w:val="none" w:sz="0" w:space="0" w:color="auto"/>
      </w:divBdr>
    </w:div>
    <w:div w:id="1486628347">
      <w:bodyDiv w:val="1"/>
      <w:marLeft w:val="0"/>
      <w:marRight w:val="0"/>
      <w:marTop w:val="0"/>
      <w:marBottom w:val="0"/>
      <w:divBdr>
        <w:top w:val="none" w:sz="0" w:space="0" w:color="auto"/>
        <w:left w:val="none" w:sz="0" w:space="0" w:color="auto"/>
        <w:bottom w:val="none" w:sz="0" w:space="0" w:color="auto"/>
        <w:right w:val="none" w:sz="0" w:space="0" w:color="auto"/>
      </w:divBdr>
    </w:div>
    <w:div w:id="1503008932">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9066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7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1788" TargetMode="External"/><Relationship Id="rId5" Type="http://schemas.openxmlformats.org/officeDocument/2006/relationships/webSettings" Target="webSettings.xml"/><Relationship Id="rId10" Type="http://schemas.openxmlformats.org/officeDocument/2006/relationships/hyperlink" Target="https://likumi.lv/ta/id/291788" TargetMode="External"/><Relationship Id="rId4" Type="http://schemas.openxmlformats.org/officeDocument/2006/relationships/settings" Target="settings.xml"/><Relationship Id="rId9" Type="http://schemas.openxmlformats.org/officeDocument/2006/relationships/hyperlink" Target="https://likumi.lv/ta/id/2917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37E4-B349-4E7C-B021-AA26A549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5298</Words>
  <Characters>3020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iebildumiem vai priekšlikumiem</vt:lpstr>
      <vt:lpstr>Izziņa iebildumiem vai priekšlikumiem</vt:lpstr>
    </vt:vector>
  </TitlesOfParts>
  <Company>dome</Company>
  <LinksUpToDate>false</LinksUpToDate>
  <CharactersWithSpaces>8302</CharactersWithSpaces>
  <SharedDoc>false</SharedDoc>
  <HLinks>
    <vt:vector size="24" baseType="variant">
      <vt:variant>
        <vt:i4>131078</vt:i4>
      </vt:variant>
      <vt:variant>
        <vt:i4>9</vt:i4>
      </vt:variant>
      <vt:variant>
        <vt:i4>0</vt:i4>
      </vt:variant>
      <vt:variant>
        <vt:i4>5</vt:i4>
      </vt:variant>
      <vt:variant>
        <vt:lpwstr>https://likumi.lv/ta/id/291788</vt:lpwstr>
      </vt:variant>
      <vt:variant>
        <vt:lpwstr>p44</vt:lpwstr>
      </vt:variant>
      <vt:variant>
        <vt:i4>131078</vt:i4>
      </vt:variant>
      <vt:variant>
        <vt:i4>6</vt:i4>
      </vt:variant>
      <vt:variant>
        <vt:i4>0</vt:i4>
      </vt:variant>
      <vt:variant>
        <vt:i4>5</vt:i4>
      </vt:variant>
      <vt:variant>
        <vt:lpwstr>https://likumi.lv/ta/id/291788</vt:lpwstr>
      </vt:variant>
      <vt:variant>
        <vt:lpwstr>p42</vt:lpwstr>
      </vt:variant>
      <vt:variant>
        <vt:i4>131078</vt:i4>
      </vt:variant>
      <vt:variant>
        <vt:i4>3</vt:i4>
      </vt:variant>
      <vt:variant>
        <vt:i4>0</vt:i4>
      </vt:variant>
      <vt:variant>
        <vt:i4>5</vt:i4>
      </vt:variant>
      <vt:variant>
        <vt:lpwstr>https://likumi.lv/ta/id/291788</vt:lpwstr>
      </vt:variant>
      <vt:variant>
        <vt:lpwstr>p40</vt:lpwstr>
      </vt:variant>
      <vt:variant>
        <vt:i4>327686</vt:i4>
      </vt:variant>
      <vt:variant>
        <vt:i4>0</vt:i4>
      </vt:variant>
      <vt:variant>
        <vt:i4>0</vt:i4>
      </vt:variant>
      <vt:variant>
        <vt:i4>5</vt:i4>
      </vt:variant>
      <vt:variant>
        <vt:lpwstr>https://likumi.lv/ta/id/291788</vt:lpwstr>
      </vt:variant>
      <vt:variant>
        <vt:lpwstr>p39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iebildumiem vai priekšlikumiem</dc:title>
  <dc:subject/>
  <dc:creator>Administrators</dc:creator>
  <cp:keywords/>
  <cp:lastModifiedBy>Inga Martinsone</cp:lastModifiedBy>
  <cp:revision>2</cp:revision>
  <cp:lastPrinted>2010-03-04T15:09:00Z</cp:lastPrinted>
  <dcterms:created xsi:type="dcterms:W3CDTF">2022-01-26T13:39:00Z</dcterms:created>
  <dcterms:modified xsi:type="dcterms:W3CDTF">2022-01-26T13:39:00Z</dcterms:modified>
</cp:coreProperties>
</file>