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26-TA-1141: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ieguldījumu veikšanu AS "Augstsprieguma tīkls" piederošas apakšstacijas "Iecava RB" ("Iecava II") izbūvē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11:57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Finanšu ministrija ar savu 2026. gada 6. marta vēstuli Nr. 7-4/18/677 nav sniegusi izvērtējumu pēc būtības, bet sniegusi skaidrojumus, kas ir būtiski izvērtējuma veikšanai atbilstoši Komercdarbības atbalsta kontroles likuma (turpmāk – KAKL) 5.pantā noteiktajām komercdarbības atbalsta raksturojošās pazīmēm, kas būtu jāveic par nozari atbildīgajai ministrijai, tas ir, Satiksmes ministrijai sadarbībā ar Klimata un enerģētikas ministriju, lūdzam precizēt informatīvā ziņojuma sadaļu “Komercdarbības atbalsta neesamība”, skaidri norādot informāciju, vai Satiksmes ministrija sadarbībā ar  Klimata un enerģētikas ministriju ir izvērtējusi plānoto publisko līdzekļu piešķiršanas akciju sabiedrībai “Augstsprieguma tīkls” atbilstību KAKL 5.panta noteiktajām komercdarbības atbalsta raksturojošās pazīmēm, iekļaujot attiecīgo secinājumu par minētā pasākuma ne-/kvalificēšanos kā komercdarbības atbalstu, tostarp, apstiprinot, vai, tā kā AST ir vienīgais elektroenerģijas pārvades sistēmas operators Latvijā un ir dabīgi izveidojies monopols, kas savu darbību veic saskaņā ar minētajiem kopīgiem noteikumiem attiecībā uz elektroenerģijas iekšējo tirgu, atbalsts AST nekvalificējas kā komercdarbības atbalsts. Vienlaikus aicinām svītrot tekstā vārdus “pirmšķietami no Finanšu ministrijas puses secināts,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Koriģēta un papildināta informatīvā ziņojuma sadaļa "Komercdarbības atbalsta neesamība".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veiktos precizējumus protokollēmuma projekta 3.punktā, aicinām precizēt arī ziņojuma sadaļas “Turpmākā rīcība” pēdējo rindkopu (aicinām izmantot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grozījumi Rail Baltica projekta īstenošanas likumā vēl nav stājušies spēkā un nav izstrādāti grozījumos paredzētie Ministru kabineta noteikumi, plānots CEF 10C līguma ietvaros piešķirtos finanšu līdzekļus 3 378 349,76 EUR, no kuriem Eiropas infrastruktūras savienošanas instrumenta finansējums 2 871 597,30 EUR (85%) un valsts budžeta finansējums 506 752,46 EUR (15%), izlietot AS “Augstsprieguma tīkls” jauna pieslēguma izbūvē, lai sasniegtu Rail Baltica projekta funkcionālos mērķus un tehniskos risinājumus nākotnē. Finansējuma faktiskā izmantošana iespējama pēc grozījumu Eiropas infrastruktūras savienošanas instrumenta 2024. gada 18. oktobra finansēšanas līgumā Nr. 101175270-23-EU-TC-RBGP Part IX C (CEF 10C)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Informatīvā ziņojuma teksts precizēts atbilstoši sākotnēji izteiktajam priekšlikumam, koriģējot tekstu par Rail Baltica likuma grozījumu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sadaļu “Apbūves tiesību institūts”. Ņemot vērā, šajā nodaļā minēto – “</w:t>
            </w:r>
            <w:r w:rsidR="00000000" w:rsidRPr="00000000" w:rsidDel="00000000">
              <w:rPr>
                <w:i w:val="1"/>
                <w:rtl w:val="0"/>
              </w:rPr>
              <w:t xml:space="preserve">atbilstoši apbūves tiesību regulējumam uz Satiksmes ministrijai piederošas Zemes vienības uzcelta AST piederoša Apakšstacija (inženierbūve) pēc apbūves tiesības termiņa notecējuma nonāks zemes gabala īpašnieka - Satiksmes ministrijas - īpašumā, nevis AST īpašumā</w:t>
            </w:r>
            <w:r w:rsidR="00000000" w:rsidRPr="00000000" w:rsidDel="00000000">
              <w:rPr>
                <w:rtl w:val="0"/>
              </w:rPr>
              <w:t xml:space="preserve">”, lūdzam informatīvajā ziņojumā papildus skaidrot, kā minētajā situācijā plānots izpildīt Elektroenerģijas tirgus likuma 10.pantā un 13.pantā noteikto. Atkārtoti uzsveram savā 2026. gada 16. aprīļa vēstulē Nr. 1-13/986  minēto, ka, lai mazinātu potenciālos riskus, ieteicams apbūves tiesību līgumā starp akciju sabiedrību “Augstsprieguma tīkls” un Satiksmes ministriju skaidri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pušu tiesības un pienākumus visā apakšstacijas ekspluatācijas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apakšstacija un ar to saistītās infrastruktūras uzturēšanas un atjaunošanas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rīcību gadījumos, ja mainās Rail Baltica projekta izmantošanas nosacījumi vai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attiecībā uz apbūves tiesības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formulētie apsvērumi tiks izvērtēti slēdzot apbūves tiesību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09:25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aktualizēt informatīvo ziņojumu ņemot vērā, ka Grozījumi </w:t>
            </w:r>
            <w:r w:rsidR="00000000" w:rsidRPr="00000000" w:rsidDel="00000000">
              <w:rPr>
                <w:i w:val="1"/>
                <w:rtl w:val="0"/>
              </w:rPr>
              <w:t xml:space="preserve">Rail Baltica </w:t>
            </w:r>
            <w:r w:rsidR="00000000" w:rsidRPr="00000000" w:rsidDel="00000000">
              <w:rPr>
                <w:rtl w:val="0"/>
              </w:rPr>
              <w:t xml:space="preserve">projekta īstenošanas likumā ir pieņemti 2026. gada 21. maijā un stāsies spēkā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 4.lpp., ietverot informāciju par likuma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informatīvā ziņojuma un Ministru kabineta sēdes protokollēmuma projekta tālāku virzību un no tā izrietošo lēmumu īstenošanu pirms grozījumu </w:t>
            </w:r>
            <w:r w:rsidR="00000000" w:rsidRPr="00000000" w:rsidDel="00000000">
              <w:rPr>
                <w:i w:val="1"/>
                <w:rtl w:val="0"/>
              </w:rPr>
              <w:t xml:space="preserve">Rail Baltica</w:t>
            </w:r>
            <w:r w:rsidR="00000000" w:rsidRPr="00000000" w:rsidDel="00000000">
              <w:rPr>
                <w:rtl w:val="0"/>
              </w:rPr>
              <w:t xml:space="preserve"> projekta īstenošanas likumā spēkā stāšanās un nepieciešamo Ministru kabineta noteikumu pieņemšanas, pirms grozījumu veikšanas Eiropas infrastruktūras savienošanas instrumenta 2024. gada 18. oktobra finansēšanas līgumā Nr. 101175270-23-EU-TC-RBGP Part IX C (CEF 10C).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izstrādāta sistēma rīcībai konkrētā situācijā, nav skaidrs kādos gadījumos un kādā kārtībā var tikt veikti ieguldījumi citai personai piederošā īpašumā, kas un kā jādara, lai izvairītos no nelabvēlīgām tiesiskām sekām. Iesakām izvērtēt arī to, vai nepastāv risks, ka nepieciešamos grozījumus Eiropas Klimata, infrastruktūras un vides izpildaģentūra nesaskaņo vai maina grozījumu redakciju, tādā veidā ietekmējot šobrīd plānoto risinājumu. Gadījumā, ja informatīvajā ziņojumā plānotā rīcība tiks īstenota, iesakām skaidrot, kā to nākotnē ietekmēs grozījumi </w:t>
            </w:r>
            <w:r w:rsidR="00000000" w:rsidRPr="00000000" w:rsidDel="00000000">
              <w:rPr>
                <w:i w:val="1"/>
                <w:rtl w:val="0"/>
              </w:rPr>
              <w:t xml:space="preserve">Rail Baltica</w:t>
            </w:r>
            <w:r w:rsidR="00000000" w:rsidRPr="00000000" w:rsidDel="00000000">
              <w:rPr>
                <w:rtl w:val="0"/>
              </w:rPr>
              <w:t xml:space="preserve"> projekta īstenošanas likumā un ar tiem saistītie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un protokollēmuma projekta teksts, paredzot, ka Eiropas infrastruktūras savienošanas instrumenta 2024. gada 18. oktobra finansēšanas līguma 101175270-23-EU-TC-RBGP Part IX C (CEF 10C) ietvaros piešķirtie finanšu līdzekļi attiecināmi pēc finansēšanas līguma grozījumu apstiprināšanas.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Sistēmu ieguldījumiem trešo personu īpašumā risinās grozījumi Rail Baltica projekta īstenošanas likumā, ar kuriem tiks noteikts, kādos gadījumos un kādā kārtībā var tikt veikti ieguldījumi citai personai piederošā īpašumā. Konkrēto situāciju attiecībā uz AS “Augstsprieguma tīkls” piederošas apakšstacijas “Iecava RB” (“Iecava II”) izbūvi risina šis informatīvais ziņojums  - līdzekļi varēs tikt attiecināti pēc tam, kad tiks apstiprināti grozījumi Eiropas infrastruktūras savienošanas instrumenta 2024. gada 18. oktobra finansēšanas līgumā 101175270-23-EU-TC-RBGP Part IX C (CEF 10C).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Risks minētā līguma grozījumu apstiprināšanai pastāv, tomēr Satiksmes ministrija darīs visu iespējamo, lai šāds risks neiestātos.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informatīvajā ziņojumā plānotā rīcība tiks īstenota, grozījumi Rail Baltica projekta īstenošanas likumā un ar tiem saistītie Ministru kabineta noteikumi to neietekmēs, jo minēto tiesību aktu regulējums pieļaus ieguldīt trešo personu īpašumos.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tekstu formulēt tieši un korekti, izvairoties no tādiem formulējumiem kā "un/vai" un konkrēti definēt plānoto un lietot saikli „un” vai saikli „vai”,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arī uz simbolu „/”, kas saprotams gan kā saiklis „un”, gan kā saiklis „vai”. Attiecīgi, lietojot simbolu "/" nav skaidrs, kurš saiklis ar to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sadaļu </w:t>
            </w:r>
            <w:r w:rsidR="00000000" w:rsidRPr="00000000" w:rsidDel="00000000">
              <w:rPr>
                <w:b w:val="1"/>
                <w:i w:val="1"/>
                <w:rtl w:val="0"/>
              </w:rPr>
              <w:t xml:space="preserve">“Apbūves tiesību institūts”</w:t>
            </w:r>
            <w:r w:rsidR="00000000" w:rsidRPr="00000000" w:rsidDel="00000000">
              <w:rPr>
                <w:rtl w:val="0"/>
              </w:rPr>
              <w:t xml:space="preserve"> attiecībā uz Tieslietu ministrijas 2026. gada 14. aprīļa vēstulē Nr. 1-13.9/1253 sniegtā viedokļa atspoguļojumu un no tā izdarītos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vēstulē sniegtais viedoklis attiecās uz Civillikuma regulējuma ietvaros paredzētajām apbūves tiesības tiesiskajām sekām, proti, uz apbūves tiesības pamata uzceltas inženierbūves tiesisko piederību apbūves tiesības spēkā esības laikā un pēc tās izbeigšanās atbilstoši Civillikuma 1129.</w:t>
            </w:r>
            <w:r w:rsidR="00000000" w:rsidRPr="00000000" w:rsidDel="00000000">
              <w:rPr>
                <w:vertAlign w:val="superscript"/>
                <w:rtl w:val="0"/>
              </w:rPr>
              <w:t xml:space="preserve">9</w:t>
            </w:r>
            <w:r w:rsidR="00000000" w:rsidRPr="00000000" w:rsidDel="00000000">
              <w:rPr>
                <w:rtl w:val="0"/>
              </w:rPr>
              <w:t xml:space="preserve"> pantam. Vienlaikus Tieslietu ministrijas vēstulē netika vērtēta konkrēta apbūves tiesību līguma slēgšanas pieļaujamība vai sniegts vērtējums par konkrētā projekta īstenošanas risinājuma atbilstību tiesību normām kopumā. Līdz ar to aicinām izvērtēt un precizēt formulējumu, ka “</w:t>
            </w:r>
            <w:r w:rsidR="00000000" w:rsidRPr="00000000" w:rsidDel="00000000">
              <w:rPr>
                <w:i w:val="1"/>
                <w:rtl w:val="0"/>
              </w:rPr>
              <w:t xml:space="preserve">Tieslietu ministrija neredz tiesiskus šķēršļus apbūves tiesību līguma slēgšanai ar akciju sabiedrību “Augstsprieguma tīkls”</w:t>
            </w:r>
            <w:r w:rsidR="00000000" w:rsidRPr="00000000" w:rsidDel="00000000">
              <w:rPr>
                <w:rtl w:val="0"/>
              </w:rPr>
              <w:t xml:space="preserve"> </w:t>
            </w:r>
            <w:r w:rsidR="00000000" w:rsidRPr="00000000" w:rsidDel="00000000">
              <w:rPr>
                <w:i w:val="1"/>
                <w:rtl w:val="0"/>
              </w:rPr>
              <w:t xml:space="preserve">par Apakšstacijas izbūvi"</w:t>
            </w:r>
            <w:r w:rsidR="00000000" w:rsidRPr="00000000" w:rsidDel="00000000">
              <w:rPr>
                <w:rtl w:val="0"/>
              </w:rPr>
              <w:t xml:space="preserve">, jo šāds secinājums pārsniedz Tieslietu ministrijas sniegtā viedokļa priekšmetu un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atbilstoši priekšlikumam, izslēdzot Tieslietu ministrijas atzinumam neatbilstošo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likums “Grozījumi Rail Baltica projekta īstenošanas likumā” (Nr: 1149/Lp14) ir Saeimā pieņemts 21.05.2026., kā arī tas ir izsludināts 03.06.2026. un tas stāsies spēkā 01.07.2026., aicinām precizēt ziņojuma sadaļā “Ieguldījumi trešo personu īpašumā”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informatīvā ziņojuma teksts, ietverot informāciju par grozījumu likumā “Grozījumi Rail Baltica projekta īstenošanas likumā”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CEF 10C līguma ietvaros piešķirtos valsts budžeta finanšu līdzekļus (līguma summa 3 378 349,76 EUR, no kuriem CEF finansējums (85%) 2 871 597,30 EUR, valsts budžeta finansējums 506 752,46 EUR) izlietot akciju sabiedrības “Augstsprieguma tīkls” jauna pieslēguma punkta izbūvē, nosakot būves piederību atbilstoši </w:t>
            </w:r>
            <w:r w:rsidR="00000000" w:rsidRPr="00000000" w:rsidDel="00000000">
              <w:rPr>
                <w:rtl w:val="0"/>
              </w:rPr>
              <w:t xml:space="preserve">Elektroenerģijas tirgus likuma 10. pantam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Sabiedrisko pakalpojumu regulēšanas komisijas 2026. gada 23. aprīļa lēmuma Nr. 1/7 "Sistēmas pieslēguma noteikumi elektroenerģijas pārvades sistēmai" 2.7. un 2.8. apakšpunktu pieslēgumpunkts ir pieslēguma punkts sistēmā, no kura atbilstoši tehniskajām prasībām un par ekonomiski pamatotām izmaksām iespējams atbilstošā kvalitātē nodrošināt sistēmas pakalpojumu, savukārt pieslēgums ir sistēmas operatora elektrotīkla daļa no pieslēgumpunkta līdz elektroietaišu piederības robežai.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finansējums paredzēts publiskās lietošanas dzelzceļa infrastruktūras Rail Baltica izveidei nepieciešamās  apakšstacijas un ar to saistītā inženiertīklu kopuma ierīkošanai, protokollēmuma 3. punktā būtu norādāma jauna pieslēguma, nevis jauna pieslēguma punkta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šā protokollēmuma 2. punktā minētā CEF 10C līguma ietvaros piešķirtos valsts budžeta finanšu līdzekļus (līguma summa 3 378 349,76 EUR, no kuriem CEF finansējums (85%) 2 871 597,30 EUR, valsts budžeta finansējums 506 752,46 EUR) izlietot akciju sabiedrības “Augstsprieguma tīkls” jauna pieslēguma izbūvē, nosakot būves piederību atbilstoši Elektroenerģijas tirgus likuma 10.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CEF 10C līguma ietvaros piešķirtos finanšu līdzekļus 3 378 349,76 EUR, no kuriem Eiropas infrastruktūras savienošanas instrumenta finansējums 2 871 597,30 EUR (85%) un valsts budžeta finansējums 506 752,46 EUR (15%), plānots izlietot akciju sabiedrības “Augstsprieguma tīkls” jauna pieslēguma izbūvē, nosakot būves piederību atbilstoši </w:t>
            </w:r>
            <w:r w:rsidR="00000000" w:rsidRPr="00000000" w:rsidDel="00000000">
              <w:rPr>
                <w:rtl w:val="0"/>
              </w:rPr>
              <w:t xml:space="preserve">Elektroenerģijas tirgus likuma 10. pantam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CEF 10C līguma ietvaros piešķirtos valsts budžeta finanšu līdzekļus (līguma summa 3 378 349,76 EUR, no kuriem CEF finansējums (85%) 2 871 597,30 EUR, valsts budžeta finansējums 506 752,46 EUR) izlietot akciju sabiedrības “Augstsprieguma tīkls” jauna pieslēguma punkta izbūvē, nosakot būves piederību atbilstoši </w:t>
            </w:r>
            <w:r w:rsidR="00000000" w:rsidRPr="00000000" w:rsidDel="00000000">
              <w:rPr>
                <w:rtl w:val="0"/>
              </w:rPr>
              <w:t xml:space="preserve">Elektroenerģijas tirgus likuma 10. pantam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ziņojumā sniegto informāciju, ka aktivitātes izdevumu attiecināmībai CEF 10C līguma ietvaros ir nepieciešami līguma grozījumi, kurus apstiprina Eiropas Klimata, infrastruktūras un vides izpildaģentūra (CINEA), tad uzskatām, ka CEF 10C līguma ietvaros paredzēto Eiropas infrastruktūras savienošanas instrumenta finansējuma izmantošanu var atļaut CINEA, apstiprinot attiecīgos līguma grozījumus, tāpēc lūdzam protokollēmuma projekta 3.punktu izteikt piedāvātajā redakcijā. Attiecīgus precizējumus lūdzam veikt arī ziņojuma sadaļā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šā protokollēmuma 2. punktā minētā CEF 10C līguma ietvaros piešķirtos finanšu līdzekļus 3 378 349,76 EUR, no kuriem Eiropas infrastruktūras savienošanas instrumenta finansējums 2 871 597,30 EUR (85%) un valsts budžeta finansējums 506 752,46 EUR (15%), plānots izlietot akciju sabiedrības “Augstsprieguma tīkls” jauna pieslēguma izbūvē, nosakot būves piederību atbilstoši Elektroenerģijas tirgus likuma 10. pantam. Finansējuma faktiskā izmantošana iespējama pēc šā protokollēmuma 2.punktā minēto grozījumu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un protokollēmuma projekta teksts ietverot informāciju attiecībā uz grozījumu Eiropas infrastruktūras savienošanas instrumenta 2024. gada 18. oktobra finansēšanas līgumā Nr. 101175270-23-EU-TC-RBGP Part IX C (CEF 10C)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CEF 10C līguma ietvaros piešķirtos finanšu līdzekļus 3 378 349,76 EUR, no kuriem Eiropas infrastruktūras savienošanas instrumenta finansējums 2 871 597,30 EUR (85%) un valsts budžeta finansējums 506 752,46 EUR (15%), plānots izlietot akciju sabiedrības “Augstsprieguma tīkls” jauna pieslēguma izbūvē, nosakot būves piederību atbilstoši </w:t>
            </w:r>
            <w:r w:rsidR="00000000" w:rsidRPr="00000000" w:rsidDel="00000000">
              <w:rPr>
                <w:rtl w:val="0"/>
              </w:rPr>
              <w:t xml:space="preserve">Elektroenerģijas tirgus likuma 10. pantam</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26-TA-1141</w:t>
    </w:r>
    <w:r>
      <w:br/>
    </w:r>
    <w:r w:rsidR="00000000" w:rsidRPr="00000000" w:rsidDel="00000000">
      <w:rPr>
        <w:rtl w:val="0"/>
      </w:rPr>
      <w:t xml:space="preserve">07.07.2026. 11.47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26-TA-1141</w:t>
    </w:r>
    <w:r>
      <w:br/>
    </w:r>
    <w:r w:rsidR="00000000" w:rsidRPr="00000000" w:rsidDel="00000000">
      <w:rPr>
        <w:rtl w:val="0"/>
      </w:rPr>
      <w:t xml:space="preserve">07.07.2026. 11.47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Izziņa_26-TA-1141.docx</dc:title>
</cp:coreProperties>
</file>

<file path=docProps/custom.xml><?xml version="1.0" encoding="utf-8"?>
<Properties xmlns="http://schemas.openxmlformats.org/officeDocument/2006/custom-properties" xmlns:vt="http://schemas.openxmlformats.org/officeDocument/2006/docPropsVTypes"/>
</file>