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A379E" w14:textId="77777777" w:rsidR="00810F87" w:rsidRPr="00603F8B" w:rsidRDefault="00810F87" w:rsidP="00810F87">
      <w:pPr>
        <w:rPr>
          <w:rFonts w:ascii="Calibri" w:hAnsi="Calibri" w:cs="Calibri"/>
          <w:sz w:val="22"/>
          <w:szCs w:val="22"/>
        </w:rPr>
      </w:pPr>
      <w:r w:rsidRPr="00603F8B">
        <w:rPr>
          <w:rFonts w:ascii="Calibri" w:hAnsi="Calibri" w:cs="Calibri"/>
          <w:b/>
          <w:bCs/>
          <w:sz w:val="22"/>
          <w:szCs w:val="22"/>
        </w:rPr>
        <w:t>From:</w:t>
      </w:r>
      <w:r w:rsidRPr="00603F8B">
        <w:rPr>
          <w:rFonts w:ascii="Calibri" w:hAnsi="Calibri" w:cs="Calibri"/>
          <w:sz w:val="22"/>
          <w:szCs w:val="22"/>
        </w:rPr>
        <w:t xml:space="preserve"> Uldis Rudziks &lt;Uldis.Rudziks@TM.GOV.LV&gt; </w:t>
      </w:r>
      <w:r w:rsidRPr="00603F8B">
        <w:rPr>
          <w:rFonts w:ascii="Calibri" w:hAnsi="Calibri" w:cs="Calibri"/>
          <w:sz w:val="22"/>
          <w:szCs w:val="22"/>
        </w:rPr>
        <w:br/>
      </w:r>
      <w:r w:rsidRPr="00603F8B">
        <w:rPr>
          <w:rFonts w:ascii="Calibri" w:hAnsi="Calibri" w:cs="Calibri"/>
          <w:b/>
          <w:bCs/>
          <w:sz w:val="22"/>
          <w:szCs w:val="22"/>
        </w:rPr>
        <w:t>Sent:</w:t>
      </w:r>
      <w:r w:rsidRPr="00603F8B">
        <w:rPr>
          <w:rFonts w:ascii="Calibri" w:hAnsi="Calibri" w:cs="Calibri"/>
          <w:sz w:val="22"/>
          <w:szCs w:val="22"/>
        </w:rPr>
        <w:t xml:space="preserve"> Friday, December 3, 2021 3:53 PM</w:t>
      </w:r>
      <w:r w:rsidRPr="00603F8B">
        <w:rPr>
          <w:rFonts w:ascii="Calibri" w:hAnsi="Calibri" w:cs="Calibri"/>
          <w:sz w:val="22"/>
          <w:szCs w:val="22"/>
        </w:rPr>
        <w:br/>
      </w:r>
      <w:r w:rsidRPr="00603F8B">
        <w:rPr>
          <w:rFonts w:ascii="Calibri" w:hAnsi="Calibri" w:cs="Calibri"/>
          <w:b/>
          <w:bCs/>
          <w:sz w:val="22"/>
          <w:szCs w:val="22"/>
        </w:rPr>
        <w:t>To:</w:t>
      </w:r>
      <w:r w:rsidRPr="00603F8B">
        <w:rPr>
          <w:rFonts w:ascii="Calibri" w:hAnsi="Calibri" w:cs="Calibri"/>
          <w:sz w:val="22"/>
          <w:szCs w:val="22"/>
        </w:rPr>
        <w:t xml:space="preserve"> ZM &lt;pasts@zm.gov.lv&gt;; TM KANCELEJA &lt;pasts@tm.gov.lv&gt;; Pasts &lt;Pasts@fm.gov.lv&gt;; pasts@mk.gov.lv; pasts@iem.gov.lv; 'VARAM' &lt;pasts@varam.gov.lv&gt;</w:t>
      </w:r>
      <w:r w:rsidRPr="00603F8B">
        <w:rPr>
          <w:rFonts w:ascii="Calibri" w:hAnsi="Calibri" w:cs="Calibri"/>
          <w:sz w:val="22"/>
          <w:szCs w:val="22"/>
        </w:rPr>
        <w:br/>
      </w:r>
      <w:r w:rsidRPr="00603F8B">
        <w:rPr>
          <w:rFonts w:ascii="Calibri" w:hAnsi="Calibri" w:cs="Calibri"/>
          <w:b/>
          <w:bCs/>
          <w:sz w:val="22"/>
          <w:szCs w:val="22"/>
        </w:rPr>
        <w:t>Cc:</w:t>
      </w:r>
      <w:r w:rsidRPr="00603F8B">
        <w:rPr>
          <w:rFonts w:ascii="Calibri" w:hAnsi="Calibri" w:cs="Calibri"/>
          <w:sz w:val="22"/>
          <w:szCs w:val="22"/>
        </w:rPr>
        <w:t xml:space="preserve"> Ilga.Jermacane@fm.gov.lv; Vairis Šantars &lt;Vairis.Santars@fm.gov.lv&gt;; aleksandra.kosjaka@mk.gov.lv; ronalds.petrovskis@iem.gov.lv; sandis.blumbergs@iem.gov.lv; Sandra.Reza@varam.gov.lv; Inese.Zemnicka@varam.gov.lv; Adris Bumbuls &lt;Adris.Bumbuls@zm.gov.lv&gt;</w:t>
      </w:r>
      <w:r w:rsidRPr="00603F8B">
        <w:rPr>
          <w:rFonts w:ascii="Calibri" w:hAnsi="Calibri" w:cs="Calibri"/>
          <w:sz w:val="22"/>
          <w:szCs w:val="22"/>
        </w:rPr>
        <w:br/>
      </w:r>
      <w:r w:rsidRPr="00603F8B">
        <w:rPr>
          <w:rFonts w:ascii="Calibri" w:hAnsi="Calibri" w:cs="Calibri"/>
          <w:b/>
          <w:bCs/>
          <w:sz w:val="22"/>
          <w:szCs w:val="22"/>
        </w:rPr>
        <w:t>Subject:</w:t>
      </w:r>
      <w:r w:rsidRPr="00603F8B">
        <w:rPr>
          <w:rFonts w:ascii="Calibri" w:hAnsi="Calibri" w:cs="Calibri"/>
          <w:sz w:val="22"/>
          <w:szCs w:val="22"/>
        </w:rPr>
        <w:t xml:space="preserve"> Atb.: Elektroniskā saskaņošana (VSS-399)</w:t>
      </w:r>
    </w:p>
    <w:p w14:paraId="3F246025" w14:textId="77777777" w:rsidR="00810F87" w:rsidRPr="00603F8B" w:rsidRDefault="00810F87" w:rsidP="00810F87">
      <w:pPr>
        <w:rPr>
          <w:rFonts w:ascii="Calibri" w:eastAsia="Calibri" w:hAnsi="Calibri" w:cs="Calibri"/>
          <w:sz w:val="22"/>
          <w:szCs w:val="22"/>
        </w:rPr>
      </w:pPr>
    </w:p>
    <w:p w14:paraId="71894AAC" w14:textId="77777777" w:rsidR="00810F87" w:rsidRPr="00603F8B" w:rsidRDefault="00810F87" w:rsidP="00810F87">
      <w:pPr>
        <w:shd w:val="clear" w:color="auto" w:fill="FFFFFF"/>
        <w:ind w:firstLine="709"/>
        <w:rPr>
          <w:rFonts w:ascii="Calibri" w:eastAsia="Calibri" w:hAnsi="Calibri" w:cs="Calibri"/>
          <w:color w:val="000000"/>
          <w:sz w:val="22"/>
          <w:szCs w:val="22"/>
        </w:rPr>
      </w:pPr>
      <w:r w:rsidRPr="00603F8B">
        <w:rPr>
          <w:color w:val="000000"/>
        </w:rPr>
        <w:t>Labdien. </w:t>
      </w:r>
    </w:p>
    <w:p w14:paraId="3B02A384" w14:textId="77777777" w:rsidR="00810F87" w:rsidRPr="00603F8B" w:rsidRDefault="00810F87" w:rsidP="00810F87">
      <w:pPr>
        <w:shd w:val="clear" w:color="auto" w:fill="FFFFFF"/>
        <w:ind w:firstLine="709"/>
        <w:jc w:val="both"/>
        <w:rPr>
          <w:rFonts w:ascii="Calibri" w:eastAsia="Calibri" w:hAnsi="Calibri" w:cs="Calibri"/>
          <w:color w:val="000000"/>
          <w:sz w:val="22"/>
          <w:szCs w:val="22"/>
        </w:rPr>
      </w:pPr>
      <w:r w:rsidRPr="00603F8B">
        <w:rPr>
          <w:color w:val="000000"/>
        </w:rPr>
        <w:t> </w:t>
      </w:r>
    </w:p>
    <w:p w14:paraId="6F47E2AE" w14:textId="77777777" w:rsidR="00810F87" w:rsidRPr="00603F8B" w:rsidRDefault="00810F87" w:rsidP="00810F87">
      <w:pPr>
        <w:shd w:val="clear" w:color="auto" w:fill="FFFFFF"/>
        <w:ind w:firstLine="709"/>
        <w:jc w:val="both"/>
        <w:rPr>
          <w:rFonts w:ascii="Calibri" w:eastAsia="Calibri" w:hAnsi="Calibri" w:cs="Calibri"/>
          <w:color w:val="000000"/>
          <w:sz w:val="22"/>
          <w:szCs w:val="22"/>
        </w:rPr>
      </w:pPr>
      <w:r w:rsidRPr="00603F8B">
        <w:rPr>
          <w:color w:val="000000"/>
          <w:bdr w:val="none" w:sz="0" w:space="0" w:color="auto" w:frame="1"/>
          <w:shd w:val="clear" w:color="auto" w:fill="FFFFFF"/>
        </w:rPr>
        <w:t xml:space="preserve">Tieslietu ministrijā saskaņā ar Ministru kabineta 2021. gada 7. septembra noteikumu Nr.606 “Ministru kabineta kārtības rullis” 235. punktu ir izskatīts Zemkopības </w:t>
      </w:r>
      <w:r w:rsidRPr="00603F8B">
        <w:rPr>
          <w:color w:val="000000"/>
        </w:rPr>
        <w:t>ministrijas precizētais Ministru kabineta noteikumu projekts ,,Noteikumi par traktortehnikas un tās piekabju valsts tehnisko apskati un tehnisko kontroli uz ceļiem” (turpmāk – projekts), tā sākotnējās ietekmes novērtējuma ziņojums (anotācija), izziņa par atzinumos sniegtajiem iebildumiem un par projektu izsakām šādus iebildumus. </w:t>
      </w:r>
    </w:p>
    <w:p w14:paraId="33D02459" w14:textId="77777777" w:rsidR="00810F87" w:rsidRPr="00603F8B" w:rsidRDefault="00810F87" w:rsidP="00810F87">
      <w:pPr>
        <w:shd w:val="clear" w:color="auto" w:fill="FFFFFF"/>
        <w:ind w:firstLine="709"/>
        <w:jc w:val="both"/>
        <w:rPr>
          <w:rFonts w:ascii="Calibri" w:eastAsia="Calibri" w:hAnsi="Calibri" w:cs="Calibri"/>
          <w:color w:val="000000"/>
          <w:sz w:val="22"/>
          <w:szCs w:val="22"/>
        </w:rPr>
      </w:pPr>
      <w:r w:rsidRPr="00603F8B">
        <w:rPr>
          <w:rFonts w:eastAsia="Calibri" w:cs="Times New Roman (Body CS)"/>
        </w:rPr>
        <w:t>1. Projekta 17. punktu nepieciešams precizēt, svītrojot tajā noteikto prasību pirms tehniskās apskates uzrādīt traktortehnikas vadītāja apliecību, jo šāda prasība neatbilst Ceļu satiksmes likuma (turpmāk – likums) 16. pantā noteiktajam regulējumam un septītajā daļā noteiktajam pilnvarojumam. Vēršam uzmanību, ka dažādas traktortehnikas īpašniekam (zemniekam vai komersantam, kuram kā fiziskai personai ir reģistrēta tehnika) var arī nebūt traktortehnikas vadītāja apliecība. Vienlaikus aģentūras maksas pakalpojumu cenrādis paredz “izbraukuma tehniskās apskates” pakalpojumu. Tādējādi šāda prasība projektā nav pamatota. Savukārt projekta izziņā par atzinumos sniegtajiem iebildumiem sniegtais skaidrojums par “dokumenta bojājumiem” neatbilst izveidotajai tiesību sistēmai, jo personas dokumentu stāvokli nevar saistīt ar traktortehnikas tehnisko apskati. Traktortehnikas vadītāja apliecības uzrādīšanas pienākums var būt tikai kad notiek traktortehnikas tehniskā kontrole uz ceļa.  </w:t>
      </w:r>
    </w:p>
    <w:p w14:paraId="530F3CFA" w14:textId="77777777" w:rsidR="00810F87" w:rsidRPr="00603F8B" w:rsidRDefault="00810F87" w:rsidP="00810F87">
      <w:pPr>
        <w:shd w:val="clear" w:color="auto" w:fill="FFFFFF"/>
        <w:ind w:firstLine="709"/>
        <w:jc w:val="both"/>
        <w:rPr>
          <w:rFonts w:ascii="Calibri" w:eastAsia="Calibri" w:hAnsi="Calibri" w:cs="Calibri"/>
          <w:color w:val="000000"/>
          <w:sz w:val="22"/>
          <w:szCs w:val="22"/>
        </w:rPr>
      </w:pPr>
      <w:r w:rsidRPr="00603F8B">
        <w:rPr>
          <w:rFonts w:eastAsia="Calibri" w:cs="Times New Roman (Body CS)"/>
        </w:rPr>
        <w:t xml:space="preserve">2. Projekta 49., 50. un 51. punktā nepieciešams izvērtēt vārdus “atkārtotā novērtēšana”. Vēršam uzmanību, ka projekta 12.2. apakšpunktā ir definēts termins “atkārtotā pārbaude”, kas tiek veikta neatkarīgi no tā vai persona ir iesniegusi apstrīdēšanas iesniegumu vai ne. Likuma pilnvarojuma normā vārdi “novērtēšanas kritēriji” norāda uz tehnisko nosacījumu kopumu, nevis veicamajām darbībām (procedūrām). Tādejādi nebūtu pamatoti izmantot atšķirīgu apzīmējumu </w:t>
      </w:r>
      <w:r w:rsidRPr="00603F8B">
        <w:rPr>
          <w:rFonts w:eastAsia="Calibri" w:cs="Times New Roman (Body CS)"/>
          <w:color w:val="FF0000"/>
        </w:rPr>
        <w:t>privātpersonas</w:t>
      </w:r>
      <w:r w:rsidRPr="00603F8B">
        <w:rPr>
          <w:rFonts w:eastAsia="Calibri" w:cs="Times New Roman (Body CS)"/>
        </w:rPr>
        <w:t xml:space="preserve"> un iestādes rīcībai strīdu gadījumā.  </w:t>
      </w:r>
    </w:p>
    <w:p w14:paraId="0AA32A13" w14:textId="77777777" w:rsidR="00810F87" w:rsidRPr="00603F8B" w:rsidRDefault="00810F87" w:rsidP="00810F87">
      <w:pPr>
        <w:shd w:val="clear" w:color="auto" w:fill="FFFFFF"/>
        <w:ind w:firstLine="709"/>
        <w:jc w:val="both"/>
        <w:rPr>
          <w:rFonts w:ascii="Calibri" w:eastAsia="Calibri" w:hAnsi="Calibri" w:cs="Calibri"/>
          <w:color w:val="000000"/>
          <w:sz w:val="22"/>
          <w:szCs w:val="22"/>
        </w:rPr>
      </w:pPr>
      <w:r w:rsidRPr="00603F8B">
        <w:rPr>
          <w:rFonts w:eastAsia="Calibri" w:cs="Times New Roman (Body CS)"/>
        </w:rPr>
        <w:t xml:space="preserve">3. Tieslietu ministrija atkārtoti norāda, ka projekta 51. un 52. punktā esošais regulējums par aizliegumu veikt traktortehnikas un tās piekabes remontdarbus negatīva novērtējuma gadījumā ir pretrunā ar Administratīvā procesa likuma (turpmāk – APL) mērķiem un principiem, kas paredz privātpersonas tiesību un tiesisko interešu aizsardzību, kā arī daudzus citus principus. Šāda veida normas ar administratīvo procesu saistītajā projekta VI nodaļā var interpretēt kā tīšu privātpersonai nelabvēlīgu apstākļu radīšanu gadījumā, ja tā apstrīd vai pārsūdz iestādes lēmumu. Šāda veida ar administratīvo procesu saistīts regulējums nav pieļaujams, pat ja ir strīds par traktortehnikas un tās piekabes tehnisko novērtējumu un normas ir paredzētas kā pierādījumu saglabāšanas nosacījumi administratīvajā procesā. Projektā paredzētais regulējuma mērķis tehniskās apskates gadījumā no administratīvā procesa viedokļa ir izdot privātpersonai labvēlīgu administratīvo aktu, kas atļauj piedalīties ceļu satiksmē. Šī mērķa īstenošanai projektā dažādās normās ir paredzēti traktortehnikas un tās piekabes īpašnieka (administratīvā akta adresāta) pienākumi novērst tehniskajā apskatē un arī kontroles laikā uz ceļiem konstatētos trūkumus. Tādējādi nav saprotams, kādā veidā ir iespējams novērst tehniska rakstura nepilnības (trūkumus), ja projekta 51. un 52. punktā ir paredzēts aizliegums veikti atbilstošus remontdarbus vai komplektācijas (detaļu, ierīču, agregātu) maiņu. Tieslietu ministrijas ieskatā nepilnību vai bojājumu novēršana iekļauj sevī </w:t>
      </w:r>
      <w:r w:rsidRPr="00603F8B">
        <w:rPr>
          <w:rFonts w:eastAsia="Calibri" w:cs="Times New Roman (Body CS)"/>
        </w:rPr>
        <w:lastRenderedPageBreak/>
        <w:t>gan remontdarbus, gan arī komplektācijas maiņu. Ievērojot minēto, piedāvājam projekta 51. un 52. punktu precizēt, nosakot privātpersonas tiesības sagatavot traktortehniku atkārtotai apskatei, vai svītrot.  </w:t>
      </w:r>
    </w:p>
    <w:p w14:paraId="3091D9EB" w14:textId="77777777" w:rsidR="00810F87" w:rsidRPr="00603F8B" w:rsidRDefault="00810F87" w:rsidP="00810F87">
      <w:pPr>
        <w:shd w:val="clear" w:color="auto" w:fill="FFFFFF"/>
        <w:ind w:firstLine="709"/>
        <w:jc w:val="both"/>
        <w:rPr>
          <w:rFonts w:ascii="Calibri" w:eastAsia="Calibri" w:hAnsi="Calibri" w:cs="Calibri"/>
          <w:color w:val="000000"/>
          <w:sz w:val="22"/>
          <w:szCs w:val="22"/>
        </w:rPr>
      </w:pPr>
      <w:r w:rsidRPr="00603F8B">
        <w:rPr>
          <w:rFonts w:eastAsia="Calibri" w:cs="Times New Roman (Body CS)"/>
        </w:rPr>
        <w:t>4. Projekta 53. punktu nepieciešams svītrot, jo administratīvo aktu pārsūdzēšanu parastajā kārtībā nosaka APL. Papildus norādām, ka APL 3. pants pieļauj atšķirīgu kārtību noteikt ar likumu, nevis Ministru kabineta noteikumiem un šāds regulējums projektā ir pretrunā ar tiesību normu hierarhiju. Tādējādi šādai normai projektā nav juridiskās slodzes. Papildus norādām, ka šādi izteiktu normu var dažādi interpretēt, jo gan inspektors, kurš pieņem sākotnējo lēmumu, gan arī iestādes vadītājs, kurš pieņem lēmumu kā augstāka iestāde, to veic kā “aģentūra”.  </w:t>
      </w:r>
    </w:p>
    <w:p w14:paraId="6661DCFE" w14:textId="77777777" w:rsidR="00810F87" w:rsidRPr="00603F8B" w:rsidRDefault="00810F87" w:rsidP="00810F87">
      <w:pPr>
        <w:rPr>
          <w:rFonts w:ascii="Calibri" w:hAnsi="Calibri" w:cs="Calibri"/>
          <w:color w:val="000000"/>
        </w:rPr>
      </w:pPr>
    </w:p>
    <w:p w14:paraId="5367E732" w14:textId="77777777" w:rsidR="00810F87" w:rsidRPr="00603F8B" w:rsidRDefault="00810F87" w:rsidP="00810F87">
      <w:pPr>
        <w:rPr>
          <w:rFonts w:ascii="Calibri" w:hAnsi="Calibri" w:cs="Calibri"/>
          <w:color w:val="000000"/>
        </w:rPr>
      </w:pPr>
    </w:p>
    <w:p w14:paraId="541D4AB8" w14:textId="77777777" w:rsidR="00810F87" w:rsidRPr="00603F8B" w:rsidRDefault="00810F87" w:rsidP="00810F87">
      <w:pPr>
        <w:rPr>
          <w:rFonts w:eastAsia="Calibri"/>
          <w:color w:val="000000"/>
          <w:bdr w:val="none" w:sz="0" w:space="0" w:color="auto" w:frame="1"/>
          <w:shd w:val="clear" w:color="auto" w:fill="FFFFFF"/>
        </w:rPr>
      </w:pPr>
      <w:r w:rsidRPr="00603F8B">
        <w:rPr>
          <w:rFonts w:eastAsia="Calibri"/>
          <w:color w:val="000000"/>
          <w:bdr w:val="none" w:sz="0" w:space="0" w:color="auto" w:frame="1"/>
          <w:shd w:val="clear" w:color="auto" w:fill="FFFFFF"/>
        </w:rPr>
        <w:t>Ar cieņu,</w:t>
      </w:r>
    </w:p>
    <w:p w14:paraId="02C861B8" w14:textId="77777777" w:rsidR="00810F87" w:rsidRPr="00603F8B" w:rsidRDefault="00810F87" w:rsidP="00810F87">
      <w:pPr>
        <w:rPr>
          <w:rFonts w:ascii="Calibri" w:eastAsia="Calibri" w:hAnsi="Calibri" w:cs="Calibri"/>
          <w:color w:val="000000"/>
          <w:sz w:val="22"/>
          <w:szCs w:val="22"/>
          <w:bdr w:val="none" w:sz="0" w:space="0" w:color="auto" w:frame="1"/>
          <w:shd w:val="clear" w:color="auto" w:fill="FFFFFF"/>
        </w:rPr>
      </w:pPr>
      <w:r w:rsidRPr="00603F8B">
        <w:rPr>
          <w:rFonts w:ascii="Calibri" w:eastAsia="Calibri" w:hAnsi="Calibri" w:cs="Calibri"/>
          <w:color w:val="000000"/>
          <w:sz w:val="22"/>
          <w:szCs w:val="22"/>
          <w:bdr w:val="none" w:sz="0" w:space="0" w:color="auto" w:frame="1"/>
          <w:shd w:val="clear" w:color="auto" w:fill="FFFFFF"/>
        </w:rPr>
        <w:t> </w:t>
      </w:r>
    </w:p>
    <w:tbl>
      <w:tblPr>
        <w:tblW w:w="0" w:type="auto"/>
        <w:tblLook w:val="04A0" w:firstRow="1" w:lastRow="0" w:firstColumn="1" w:lastColumn="0" w:noHBand="0" w:noVBand="1"/>
      </w:tblPr>
      <w:tblGrid>
        <w:gridCol w:w="2263"/>
        <w:gridCol w:w="5529"/>
      </w:tblGrid>
      <w:tr w:rsidR="00810F87" w:rsidRPr="00810F87" w14:paraId="41ADFCC7" w14:textId="77777777" w:rsidTr="00810F87">
        <w:tc>
          <w:tcPr>
            <w:tcW w:w="2263" w:type="dxa"/>
            <w:vAlign w:val="center"/>
            <w:hideMark/>
          </w:tcPr>
          <w:p w14:paraId="5C598065" w14:textId="57864510" w:rsidR="00810F87" w:rsidRPr="00603F8B" w:rsidRDefault="0012180E" w:rsidP="00810F87">
            <w:pPr>
              <w:rPr>
                <w:rFonts w:ascii="Calibri" w:eastAsia="Calibri" w:hAnsi="Calibri" w:cs="Calibri"/>
                <w:sz w:val="22"/>
                <w:szCs w:val="22"/>
              </w:rPr>
            </w:pPr>
            <w:r w:rsidRPr="00603F8B">
              <w:rPr>
                <w:rFonts w:ascii="Calibri" w:eastAsia="Calibri" w:hAnsi="Calibri" w:cs="Calibri"/>
                <w:noProof/>
                <w:sz w:val="22"/>
                <w:szCs w:val="22"/>
              </w:rPr>
              <w:drawing>
                <wp:inline distT="0" distB="0" distL="0" distR="0" wp14:anchorId="0A326B01" wp14:editId="40D21BEE">
                  <wp:extent cx="1250950" cy="98425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984250"/>
                          </a:xfrm>
                          <a:prstGeom prst="rect">
                            <a:avLst/>
                          </a:prstGeom>
                          <a:noFill/>
                          <a:ln>
                            <a:noFill/>
                          </a:ln>
                        </pic:spPr>
                      </pic:pic>
                    </a:graphicData>
                  </a:graphic>
                </wp:inline>
              </w:drawing>
            </w:r>
          </w:p>
        </w:tc>
        <w:tc>
          <w:tcPr>
            <w:tcW w:w="5529" w:type="dxa"/>
            <w:vAlign w:val="center"/>
            <w:hideMark/>
          </w:tcPr>
          <w:p w14:paraId="709F9781" w14:textId="77777777" w:rsidR="00810F87" w:rsidRPr="00603F8B" w:rsidRDefault="00810F87" w:rsidP="00810F87">
            <w:pPr>
              <w:rPr>
                <w:rFonts w:eastAsia="Calibri"/>
                <w:b/>
                <w:bCs/>
              </w:rPr>
            </w:pPr>
            <w:r w:rsidRPr="00603F8B">
              <w:rPr>
                <w:rFonts w:eastAsia="Calibri"/>
                <w:b/>
                <w:bCs/>
                <w:color w:val="000000"/>
                <w:sz w:val="22"/>
                <w:szCs w:val="22"/>
                <w:bdr w:val="none" w:sz="0" w:space="0" w:color="auto" w:frame="1"/>
                <w:shd w:val="clear" w:color="auto" w:fill="FFFFFF"/>
              </w:rPr>
              <w:t>Uldis Rudziks</w:t>
            </w:r>
          </w:p>
          <w:p w14:paraId="35842786" w14:textId="77777777" w:rsidR="00810F87" w:rsidRPr="00603F8B" w:rsidRDefault="00810F87" w:rsidP="00810F87">
            <w:pPr>
              <w:rPr>
                <w:rFonts w:eastAsia="Calibri"/>
              </w:rPr>
            </w:pPr>
            <w:r w:rsidRPr="00603F8B">
              <w:rPr>
                <w:rFonts w:eastAsia="Calibri"/>
                <w:color w:val="000000"/>
                <w:sz w:val="22"/>
                <w:szCs w:val="22"/>
                <w:bdr w:val="none" w:sz="0" w:space="0" w:color="auto" w:frame="1"/>
                <w:shd w:val="clear" w:color="auto" w:fill="FFFFFF"/>
              </w:rPr>
              <w:t>Tieslietu ministrijas</w:t>
            </w:r>
          </w:p>
          <w:p w14:paraId="29ED1CAB" w14:textId="77777777" w:rsidR="00810F87" w:rsidRPr="00603F8B" w:rsidRDefault="00810F87" w:rsidP="00810F87">
            <w:pPr>
              <w:rPr>
                <w:rFonts w:eastAsia="Calibri"/>
              </w:rPr>
            </w:pPr>
            <w:r w:rsidRPr="00603F8B">
              <w:rPr>
                <w:rFonts w:eastAsia="Calibri"/>
                <w:color w:val="000000"/>
                <w:sz w:val="22"/>
                <w:szCs w:val="22"/>
                <w:bdr w:val="none" w:sz="0" w:space="0" w:color="auto" w:frame="1"/>
                <w:shd w:val="clear" w:color="auto" w:fill="FFFFFF"/>
              </w:rPr>
              <w:t>Valststiesību departamenta</w:t>
            </w:r>
          </w:p>
          <w:p w14:paraId="08718F8F" w14:textId="77777777" w:rsidR="00810F87" w:rsidRPr="00603F8B" w:rsidRDefault="00810F87" w:rsidP="00810F87">
            <w:pPr>
              <w:rPr>
                <w:rFonts w:eastAsia="Calibri"/>
              </w:rPr>
            </w:pPr>
            <w:r w:rsidRPr="00603F8B">
              <w:rPr>
                <w:rFonts w:eastAsia="Calibri"/>
                <w:color w:val="000000"/>
                <w:sz w:val="22"/>
                <w:szCs w:val="22"/>
                <w:bdr w:val="none" w:sz="0" w:space="0" w:color="auto" w:frame="1"/>
                <w:shd w:val="clear" w:color="auto" w:fill="FFFFFF"/>
              </w:rPr>
              <w:t>Administratīvo tiesību nodaļas jurists</w:t>
            </w:r>
          </w:p>
          <w:p w14:paraId="079D26B6" w14:textId="77777777" w:rsidR="00810F87" w:rsidRPr="00603F8B" w:rsidRDefault="00810F87" w:rsidP="00810F87">
            <w:pPr>
              <w:rPr>
                <w:rFonts w:eastAsia="Calibri"/>
              </w:rPr>
            </w:pPr>
            <w:r w:rsidRPr="00603F8B">
              <w:rPr>
                <w:rFonts w:eastAsia="Calibri"/>
                <w:color w:val="000000"/>
                <w:sz w:val="22"/>
                <w:szCs w:val="22"/>
                <w:bdr w:val="none" w:sz="0" w:space="0" w:color="auto" w:frame="1"/>
                <w:shd w:val="clear" w:color="auto" w:fill="FFFFFF"/>
              </w:rPr>
              <w:t>tālr. 67036902</w:t>
            </w:r>
          </w:p>
          <w:p w14:paraId="32E2CBB7" w14:textId="77777777" w:rsidR="00810F87" w:rsidRPr="00810F87" w:rsidRDefault="00810F87" w:rsidP="00810F87">
            <w:pPr>
              <w:rPr>
                <w:rFonts w:eastAsia="Calibri"/>
              </w:rPr>
            </w:pPr>
            <w:r w:rsidRPr="00603F8B">
              <w:rPr>
                <w:rFonts w:eastAsia="Calibri"/>
                <w:color w:val="000000"/>
                <w:sz w:val="22"/>
                <w:szCs w:val="22"/>
                <w:bdr w:val="none" w:sz="0" w:space="0" w:color="auto" w:frame="1"/>
                <w:shd w:val="clear" w:color="auto" w:fill="FFFFFF"/>
              </w:rPr>
              <w:t xml:space="preserve">E-pasts: </w:t>
            </w:r>
            <w:hyperlink r:id="rId8" w:history="1">
              <w:r w:rsidRPr="00603F8B">
                <w:rPr>
                  <w:rFonts w:eastAsia="Calibri"/>
                  <w:color w:val="0000FF"/>
                  <w:sz w:val="22"/>
                  <w:szCs w:val="22"/>
                  <w:u w:val="single"/>
                  <w:bdr w:val="none" w:sz="0" w:space="0" w:color="auto" w:frame="1"/>
                  <w:shd w:val="clear" w:color="auto" w:fill="FFFFFF"/>
                </w:rPr>
                <w:t>Uldis.Rudziks@tm.gov.lv</w:t>
              </w:r>
            </w:hyperlink>
          </w:p>
        </w:tc>
      </w:tr>
    </w:tbl>
    <w:p w14:paraId="4AC73B34" w14:textId="77777777" w:rsidR="00501B4A" w:rsidRPr="00810F87" w:rsidRDefault="00501B4A" w:rsidP="00810F87"/>
    <w:sectPr w:rsidR="00501B4A" w:rsidRPr="00810F87" w:rsidSect="00CC14C5">
      <w:footerReference w:type="default" r:id="rId9"/>
      <w:pgSz w:w="11906" w:h="16838" w:code="9"/>
      <w:pgMar w:top="1418" w:right="1134"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09BA5" w14:textId="77777777" w:rsidR="001B4929" w:rsidRDefault="001B4929">
      <w:r>
        <w:separator/>
      </w:r>
    </w:p>
  </w:endnote>
  <w:endnote w:type="continuationSeparator" w:id="0">
    <w:p w14:paraId="7F1CF80A" w14:textId="77777777" w:rsidR="001B4929" w:rsidRDefault="001B4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dy CS)">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2ACC5" w14:textId="77777777" w:rsidR="00501B4A" w:rsidRPr="00B433D9" w:rsidRDefault="0048691D">
    <w:pPr>
      <w:pStyle w:val="Kjene"/>
      <w:rPr>
        <w:sz w:val="20"/>
        <w:szCs w:val="20"/>
      </w:rPr>
    </w:pPr>
    <w:r>
      <w:rPr>
        <w:sz w:val="20"/>
        <w:szCs w:val="20"/>
      </w:rPr>
      <w:t>M</w:t>
    </w:r>
    <w:r w:rsidR="00626216">
      <w:rPr>
        <w:sz w:val="20"/>
        <w:szCs w:val="20"/>
      </w:rPr>
      <w:t>K</w:t>
    </w:r>
    <w:r w:rsidR="00D93BA0">
      <w:rPr>
        <w:sz w:val="20"/>
        <w:szCs w:val="20"/>
      </w:rPr>
      <w:t>a</w:t>
    </w:r>
    <w:r w:rsidR="003F21BE">
      <w:rPr>
        <w:sz w:val="20"/>
        <w:szCs w:val="20"/>
      </w:rPr>
      <w:t>tz</w:t>
    </w:r>
    <w:r w:rsidR="00922A16">
      <w:rPr>
        <w:sz w:val="20"/>
        <w:szCs w:val="20"/>
      </w:rPr>
      <w:t>_</w:t>
    </w:r>
    <w:r w:rsidR="005B0FF8">
      <w:rPr>
        <w:sz w:val="20"/>
        <w:szCs w:val="20"/>
      </w:rPr>
      <w:t>02</w:t>
    </w:r>
    <w:r w:rsidR="00626216">
      <w:rPr>
        <w:sz w:val="20"/>
        <w:szCs w:val="20"/>
      </w:rPr>
      <w:t>12</w:t>
    </w:r>
    <w:r>
      <w:rPr>
        <w:sz w:val="20"/>
        <w:szCs w:val="20"/>
      </w:rPr>
      <w:t>2</w:t>
    </w:r>
    <w:r w:rsidR="008F57F7">
      <w:rPr>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71CB8" w14:textId="77777777" w:rsidR="001B4929" w:rsidRDefault="001B4929">
      <w:r>
        <w:separator/>
      </w:r>
    </w:p>
  </w:footnote>
  <w:footnote w:type="continuationSeparator" w:id="0">
    <w:p w14:paraId="532ABC94" w14:textId="77777777" w:rsidR="001B4929" w:rsidRDefault="001B49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F0B32"/>
    <w:multiLevelType w:val="hybridMultilevel"/>
    <w:tmpl w:val="ADBE05EC"/>
    <w:lvl w:ilvl="0" w:tplc="3BEC60F2">
      <w:start w:val="1"/>
      <w:numFmt w:val="decimal"/>
      <w:lvlText w:val="%1."/>
      <w:lvlJc w:val="left"/>
      <w:pPr>
        <w:ind w:left="720" w:hanging="360"/>
      </w:pPr>
      <w:rPr>
        <w:rFonts w:ascii="Calibri" w:hAnsi="Calibri" w:cs="Calibri"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29C"/>
    <w:rsid w:val="00024E0A"/>
    <w:rsid w:val="00025A33"/>
    <w:rsid w:val="00027E00"/>
    <w:rsid w:val="00071568"/>
    <w:rsid w:val="0007588F"/>
    <w:rsid w:val="00091465"/>
    <w:rsid w:val="000A1B09"/>
    <w:rsid w:val="000C2BA6"/>
    <w:rsid w:val="00111DCC"/>
    <w:rsid w:val="00120280"/>
    <w:rsid w:val="0012180E"/>
    <w:rsid w:val="00123F0F"/>
    <w:rsid w:val="00144B7F"/>
    <w:rsid w:val="00166647"/>
    <w:rsid w:val="00187B21"/>
    <w:rsid w:val="001A334D"/>
    <w:rsid w:val="001B22DC"/>
    <w:rsid w:val="001B4929"/>
    <w:rsid w:val="001E4AE7"/>
    <w:rsid w:val="001E6199"/>
    <w:rsid w:val="00214B95"/>
    <w:rsid w:val="0024314E"/>
    <w:rsid w:val="00291F7C"/>
    <w:rsid w:val="002D4D30"/>
    <w:rsid w:val="0031136A"/>
    <w:rsid w:val="00317307"/>
    <w:rsid w:val="00324FB9"/>
    <w:rsid w:val="0032560A"/>
    <w:rsid w:val="0035248B"/>
    <w:rsid w:val="003746FB"/>
    <w:rsid w:val="00395E21"/>
    <w:rsid w:val="003A2263"/>
    <w:rsid w:val="003B277A"/>
    <w:rsid w:val="003B4FF6"/>
    <w:rsid w:val="003D744C"/>
    <w:rsid w:val="003F02B0"/>
    <w:rsid w:val="003F1658"/>
    <w:rsid w:val="003F21BE"/>
    <w:rsid w:val="00455B95"/>
    <w:rsid w:val="0046229C"/>
    <w:rsid w:val="00482DA0"/>
    <w:rsid w:val="0048691D"/>
    <w:rsid w:val="00492243"/>
    <w:rsid w:val="00493636"/>
    <w:rsid w:val="004A326F"/>
    <w:rsid w:val="004B01E0"/>
    <w:rsid w:val="004B73FB"/>
    <w:rsid w:val="004C7564"/>
    <w:rsid w:val="004F3D58"/>
    <w:rsid w:val="00501B4A"/>
    <w:rsid w:val="00527F47"/>
    <w:rsid w:val="00530A50"/>
    <w:rsid w:val="00542692"/>
    <w:rsid w:val="00581AE3"/>
    <w:rsid w:val="00591EB9"/>
    <w:rsid w:val="00597C3C"/>
    <w:rsid w:val="005B0FF8"/>
    <w:rsid w:val="005B7A98"/>
    <w:rsid w:val="005E0C55"/>
    <w:rsid w:val="00603F8B"/>
    <w:rsid w:val="00615D28"/>
    <w:rsid w:val="00626216"/>
    <w:rsid w:val="00630548"/>
    <w:rsid w:val="006A5668"/>
    <w:rsid w:val="00707AF5"/>
    <w:rsid w:val="00710675"/>
    <w:rsid w:val="00730B38"/>
    <w:rsid w:val="007336B1"/>
    <w:rsid w:val="00733BEE"/>
    <w:rsid w:val="00750187"/>
    <w:rsid w:val="00761EF4"/>
    <w:rsid w:val="007A7495"/>
    <w:rsid w:val="00810F87"/>
    <w:rsid w:val="00835BF3"/>
    <w:rsid w:val="00855ABD"/>
    <w:rsid w:val="008765B1"/>
    <w:rsid w:val="008B4A11"/>
    <w:rsid w:val="008E4A59"/>
    <w:rsid w:val="008E6EB3"/>
    <w:rsid w:val="008F57F7"/>
    <w:rsid w:val="00922A16"/>
    <w:rsid w:val="00955CFF"/>
    <w:rsid w:val="00957877"/>
    <w:rsid w:val="009643FA"/>
    <w:rsid w:val="00982E40"/>
    <w:rsid w:val="0099087D"/>
    <w:rsid w:val="009A7908"/>
    <w:rsid w:val="009C36DA"/>
    <w:rsid w:val="00A161AB"/>
    <w:rsid w:val="00A305E5"/>
    <w:rsid w:val="00A62B92"/>
    <w:rsid w:val="00AA7355"/>
    <w:rsid w:val="00AC7C40"/>
    <w:rsid w:val="00AF5AF2"/>
    <w:rsid w:val="00AF7BAC"/>
    <w:rsid w:val="00B409AE"/>
    <w:rsid w:val="00B433D9"/>
    <w:rsid w:val="00B50F40"/>
    <w:rsid w:val="00B6536A"/>
    <w:rsid w:val="00B6648F"/>
    <w:rsid w:val="00BD7C21"/>
    <w:rsid w:val="00BE6929"/>
    <w:rsid w:val="00C116E7"/>
    <w:rsid w:val="00C7274C"/>
    <w:rsid w:val="00C746A9"/>
    <w:rsid w:val="00CA0C84"/>
    <w:rsid w:val="00CC0B02"/>
    <w:rsid w:val="00CC14C5"/>
    <w:rsid w:val="00CC6492"/>
    <w:rsid w:val="00CD11FA"/>
    <w:rsid w:val="00CE009D"/>
    <w:rsid w:val="00CF5FCB"/>
    <w:rsid w:val="00D51C40"/>
    <w:rsid w:val="00D74776"/>
    <w:rsid w:val="00D93BA0"/>
    <w:rsid w:val="00DB48F3"/>
    <w:rsid w:val="00DC57CA"/>
    <w:rsid w:val="00DC73CE"/>
    <w:rsid w:val="00DE1E5D"/>
    <w:rsid w:val="00E062D6"/>
    <w:rsid w:val="00E31A52"/>
    <w:rsid w:val="00E43E32"/>
    <w:rsid w:val="00E548C7"/>
    <w:rsid w:val="00ED5E28"/>
    <w:rsid w:val="00FA6EA0"/>
    <w:rsid w:val="00FB7F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1AAB82"/>
  <w15:chartTrackingRefBased/>
  <w15:docId w15:val="{B7CE2D69-E13D-461F-89C9-B260A8303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1E6199"/>
    <w:rPr>
      <w:sz w:val="24"/>
      <w:szCs w:val="24"/>
    </w:rPr>
  </w:style>
  <w:style w:type="character" w:default="1" w:styleId="Noklusjumarindkopasfonts">
    <w:name w:val="Default Paragraph Font"/>
    <w:semiHidden/>
  </w:style>
  <w:style w:type="table" w:default="1" w:styleId="Parastatabula">
    <w:name w:val="Normal Table"/>
    <w:semiHidden/>
    <w:tblPr>
      <w:tblInd w:w="0" w:type="dxa"/>
      <w:tblCellMar>
        <w:top w:w="0" w:type="dxa"/>
        <w:left w:w="108" w:type="dxa"/>
        <w:bottom w:w="0" w:type="dxa"/>
        <w:right w:w="108" w:type="dxa"/>
      </w:tblCellMar>
    </w:tblPr>
  </w:style>
  <w:style w:type="numbering" w:default="1" w:styleId="Bezsaraksta">
    <w:name w:val="No List"/>
    <w:semiHidden/>
  </w:style>
  <w:style w:type="character" w:styleId="Izteiksmgs">
    <w:name w:val="Strong"/>
    <w:qFormat/>
    <w:rsid w:val="0046229C"/>
    <w:rPr>
      <w:b/>
      <w:bCs/>
    </w:rPr>
  </w:style>
  <w:style w:type="character" w:styleId="Hipersaite">
    <w:name w:val="Hyperlink"/>
    <w:uiPriority w:val="99"/>
    <w:rsid w:val="0046229C"/>
    <w:rPr>
      <w:color w:val="0000FF"/>
      <w:u w:val="single"/>
    </w:rPr>
  </w:style>
  <w:style w:type="paragraph" w:styleId="Paraststmeklis">
    <w:name w:val="Normal (Web)"/>
    <w:basedOn w:val="Parasts"/>
    <w:rsid w:val="0046229C"/>
    <w:pPr>
      <w:spacing w:before="100" w:beforeAutospacing="1" w:after="100" w:afterAutospacing="1"/>
    </w:pPr>
  </w:style>
  <w:style w:type="paragraph" w:styleId="Galvene">
    <w:name w:val="header"/>
    <w:basedOn w:val="Parasts"/>
    <w:rsid w:val="00455B95"/>
    <w:pPr>
      <w:tabs>
        <w:tab w:val="center" w:pos="4153"/>
        <w:tab w:val="right" w:pos="8306"/>
      </w:tabs>
    </w:pPr>
  </w:style>
  <w:style w:type="paragraph" w:styleId="Kjene">
    <w:name w:val="footer"/>
    <w:basedOn w:val="Parasts"/>
    <w:rsid w:val="00455B95"/>
    <w:pPr>
      <w:tabs>
        <w:tab w:val="center" w:pos="4153"/>
        <w:tab w:val="right" w:pos="8306"/>
      </w:tabs>
    </w:pPr>
  </w:style>
  <w:style w:type="paragraph" w:styleId="Vienkrsteksts">
    <w:name w:val="Plain Text"/>
    <w:basedOn w:val="Parasts"/>
    <w:link w:val="VienkrstekstsRakstz"/>
    <w:uiPriority w:val="99"/>
    <w:unhideWhenUsed/>
    <w:rsid w:val="00542692"/>
    <w:rPr>
      <w:rFonts w:ascii="Arial" w:eastAsia="Calibri" w:hAnsi="Arial" w:cs="Arial"/>
      <w:sz w:val="20"/>
      <w:szCs w:val="20"/>
      <w:lang w:eastAsia="en-US"/>
    </w:rPr>
  </w:style>
  <w:style w:type="character" w:customStyle="1" w:styleId="VienkrstekstsRakstz">
    <w:name w:val="Vienkāršs teksts Rakstz."/>
    <w:link w:val="Vienkrsteksts"/>
    <w:uiPriority w:val="99"/>
    <w:rsid w:val="00542692"/>
    <w:rPr>
      <w:rFonts w:ascii="Arial" w:eastAsia="Calibri" w:hAnsi="Arial" w:cs="Arial"/>
      <w:lang w:eastAsia="en-US"/>
    </w:rPr>
  </w:style>
  <w:style w:type="paragraph" w:customStyle="1" w:styleId="naiskr">
    <w:name w:val="naiskr"/>
    <w:basedOn w:val="Parasts"/>
    <w:rsid w:val="004F3D58"/>
    <w:pPr>
      <w:spacing w:before="75" w:after="75"/>
    </w:pPr>
    <w:rPr>
      <w:rFonts w:eastAsia="Calibri"/>
    </w:rPr>
  </w:style>
  <w:style w:type="character" w:styleId="Neatrisintapieminana">
    <w:name w:val="Unresolved Mention"/>
    <w:uiPriority w:val="99"/>
    <w:semiHidden/>
    <w:unhideWhenUsed/>
    <w:rsid w:val="00626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74602">
      <w:bodyDiv w:val="1"/>
      <w:marLeft w:val="0"/>
      <w:marRight w:val="0"/>
      <w:marTop w:val="0"/>
      <w:marBottom w:val="0"/>
      <w:divBdr>
        <w:top w:val="none" w:sz="0" w:space="0" w:color="auto"/>
        <w:left w:val="none" w:sz="0" w:space="0" w:color="auto"/>
        <w:bottom w:val="none" w:sz="0" w:space="0" w:color="auto"/>
        <w:right w:val="none" w:sz="0" w:space="0" w:color="auto"/>
      </w:divBdr>
    </w:div>
    <w:div w:id="36248526">
      <w:bodyDiv w:val="1"/>
      <w:marLeft w:val="0"/>
      <w:marRight w:val="0"/>
      <w:marTop w:val="0"/>
      <w:marBottom w:val="0"/>
      <w:divBdr>
        <w:top w:val="none" w:sz="0" w:space="0" w:color="auto"/>
        <w:left w:val="none" w:sz="0" w:space="0" w:color="auto"/>
        <w:bottom w:val="none" w:sz="0" w:space="0" w:color="auto"/>
        <w:right w:val="none" w:sz="0" w:space="0" w:color="auto"/>
      </w:divBdr>
    </w:div>
    <w:div w:id="72628355">
      <w:bodyDiv w:val="1"/>
      <w:marLeft w:val="0"/>
      <w:marRight w:val="0"/>
      <w:marTop w:val="0"/>
      <w:marBottom w:val="0"/>
      <w:divBdr>
        <w:top w:val="none" w:sz="0" w:space="0" w:color="auto"/>
        <w:left w:val="none" w:sz="0" w:space="0" w:color="auto"/>
        <w:bottom w:val="none" w:sz="0" w:space="0" w:color="auto"/>
        <w:right w:val="none" w:sz="0" w:space="0" w:color="auto"/>
      </w:divBdr>
    </w:div>
    <w:div w:id="218783324">
      <w:bodyDiv w:val="1"/>
      <w:marLeft w:val="0"/>
      <w:marRight w:val="0"/>
      <w:marTop w:val="0"/>
      <w:marBottom w:val="0"/>
      <w:divBdr>
        <w:top w:val="none" w:sz="0" w:space="0" w:color="auto"/>
        <w:left w:val="none" w:sz="0" w:space="0" w:color="auto"/>
        <w:bottom w:val="none" w:sz="0" w:space="0" w:color="auto"/>
        <w:right w:val="none" w:sz="0" w:space="0" w:color="auto"/>
      </w:divBdr>
    </w:div>
    <w:div w:id="348138577">
      <w:bodyDiv w:val="1"/>
      <w:marLeft w:val="0"/>
      <w:marRight w:val="0"/>
      <w:marTop w:val="0"/>
      <w:marBottom w:val="0"/>
      <w:divBdr>
        <w:top w:val="none" w:sz="0" w:space="0" w:color="auto"/>
        <w:left w:val="none" w:sz="0" w:space="0" w:color="auto"/>
        <w:bottom w:val="none" w:sz="0" w:space="0" w:color="auto"/>
        <w:right w:val="none" w:sz="0" w:space="0" w:color="auto"/>
      </w:divBdr>
    </w:div>
    <w:div w:id="513031348">
      <w:bodyDiv w:val="1"/>
      <w:marLeft w:val="0"/>
      <w:marRight w:val="0"/>
      <w:marTop w:val="0"/>
      <w:marBottom w:val="0"/>
      <w:divBdr>
        <w:top w:val="none" w:sz="0" w:space="0" w:color="auto"/>
        <w:left w:val="none" w:sz="0" w:space="0" w:color="auto"/>
        <w:bottom w:val="none" w:sz="0" w:space="0" w:color="auto"/>
        <w:right w:val="none" w:sz="0" w:space="0" w:color="auto"/>
      </w:divBdr>
    </w:div>
    <w:div w:id="558438335">
      <w:bodyDiv w:val="1"/>
      <w:marLeft w:val="0"/>
      <w:marRight w:val="0"/>
      <w:marTop w:val="0"/>
      <w:marBottom w:val="0"/>
      <w:divBdr>
        <w:top w:val="none" w:sz="0" w:space="0" w:color="auto"/>
        <w:left w:val="none" w:sz="0" w:space="0" w:color="auto"/>
        <w:bottom w:val="none" w:sz="0" w:space="0" w:color="auto"/>
        <w:right w:val="none" w:sz="0" w:space="0" w:color="auto"/>
      </w:divBdr>
    </w:div>
    <w:div w:id="562907823">
      <w:bodyDiv w:val="1"/>
      <w:marLeft w:val="0"/>
      <w:marRight w:val="0"/>
      <w:marTop w:val="0"/>
      <w:marBottom w:val="0"/>
      <w:divBdr>
        <w:top w:val="none" w:sz="0" w:space="0" w:color="auto"/>
        <w:left w:val="none" w:sz="0" w:space="0" w:color="auto"/>
        <w:bottom w:val="none" w:sz="0" w:space="0" w:color="auto"/>
        <w:right w:val="none" w:sz="0" w:space="0" w:color="auto"/>
      </w:divBdr>
    </w:div>
    <w:div w:id="654988430">
      <w:bodyDiv w:val="1"/>
      <w:marLeft w:val="0"/>
      <w:marRight w:val="0"/>
      <w:marTop w:val="0"/>
      <w:marBottom w:val="0"/>
      <w:divBdr>
        <w:top w:val="none" w:sz="0" w:space="0" w:color="auto"/>
        <w:left w:val="none" w:sz="0" w:space="0" w:color="auto"/>
        <w:bottom w:val="none" w:sz="0" w:space="0" w:color="auto"/>
        <w:right w:val="none" w:sz="0" w:space="0" w:color="auto"/>
      </w:divBdr>
      <w:divsChild>
        <w:div w:id="312224051">
          <w:marLeft w:val="0"/>
          <w:marRight w:val="0"/>
          <w:marTop w:val="0"/>
          <w:marBottom w:val="0"/>
          <w:divBdr>
            <w:top w:val="none" w:sz="0" w:space="0" w:color="auto"/>
            <w:left w:val="none" w:sz="0" w:space="0" w:color="auto"/>
            <w:bottom w:val="none" w:sz="0" w:space="0" w:color="auto"/>
            <w:right w:val="none" w:sz="0" w:space="0" w:color="auto"/>
          </w:divBdr>
        </w:div>
      </w:divsChild>
    </w:div>
    <w:div w:id="752429924">
      <w:bodyDiv w:val="1"/>
      <w:marLeft w:val="0"/>
      <w:marRight w:val="0"/>
      <w:marTop w:val="0"/>
      <w:marBottom w:val="0"/>
      <w:divBdr>
        <w:top w:val="none" w:sz="0" w:space="0" w:color="auto"/>
        <w:left w:val="none" w:sz="0" w:space="0" w:color="auto"/>
        <w:bottom w:val="none" w:sz="0" w:space="0" w:color="auto"/>
        <w:right w:val="none" w:sz="0" w:space="0" w:color="auto"/>
      </w:divBdr>
    </w:div>
    <w:div w:id="793791693">
      <w:bodyDiv w:val="1"/>
      <w:marLeft w:val="0"/>
      <w:marRight w:val="0"/>
      <w:marTop w:val="0"/>
      <w:marBottom w:val="0"/>
      <w:divBdr>
        <w:top w:val="none" w:sz="0" w:space="0" w:color="auto"/>
        <w:left w:val="none" w:sz="0" w:space="0" w:color="auto"/>
        <w:bottom w:val="none" w:sz="0" w:space="0" w:color="auto"/>
        <w:right w:val="none" w:sz="0" w:space="0" w:color="auto"/>
      </w:divBdr>
    </w:div>
    <w:div w:id="807017996">
      <w:bodyDiv w:val="1"/>
      <w:marLeft w:val="0"/>
      <w:marRight w:val="0"/>
      <w:marTop w:val="0"/>
      <w:marBottom w:val="0"/>
      <w:divBdr>
        <w:top w:val="none" w:sz="0" w:space="0" w:color="auto"/>
        <w:left w:val="none" w:sz="0" w:space="0" w:color="auto"/>
        <w:bottom w:val="none" w:sz="0" w:space="0" w:color="auto"/>
        <w:right w:val="none" w:sz="0" w:space="0" w:color="auto"/>
      </w:divBdr>
    </w:div>
    <w:div w:id="1012873227">
      <w:bodyDiv w:val="1"/>
      <w:marLeft w:val="0"/>
      <w:marRight w:val="0"/>
      <w:marTop w:val="0"/>
      <w:marBottom w:val="0"/>
      <w:divBdr>
        <w:top w:val="none" w:sz="0" w:space="0" w:color="auto"/>
        <w:left w:val="none" w:sz="0" w:space="0" w:color="auto"/>
        <w:bottom w:val="none" w:sz="0" w:space="0" w:color="auto"/>
        <w:right w:val="none" w:sz="0" w:space="0" w:color="auto"/>
      </w:divBdr>
    </w:div>
    <w:div w:id="1041172459">
      <w:bodyDiv w:val="1"/>
      <w:marLeft w:val="0"/>
      <w:marRight w:val="0"/>
      <w:marTop w:val="0"/>
      <w:marBottom w:val="0"/>
      <w:divBdr>
        <w:top w:val="none" w:sz="0" w:space="0" w:color="auto"/>
        <w:left w:val="none" w:sz="0" w:space="0" w:color="auto"/>
        <w:bottom w:val="none" w:sz="0" w:space="0" w:color="auto"/>
        <w:right w:val="none" w:sz="0" w:space="0" w:color="auto"/>
      </w:divBdr>
    </w:div>
    <w:div w:id="1055541767">
      <w:bodyDiv w:val="1"/>
      <w:marLeft w:val="0"/>
      <w:marRight w:val="0"/>
      <w:marTop w:val="0"/>
      <w:marBottom w:val="0"/>
      <w:divBdr>
        <w:top w:val="none" w:sz="0" w:space="0" w:color="auto"/>
        <w:left w:val="none" w:sz="0" w:space="0" w:color="auto"/>
        <w:bottom w:val="none" w:sz="0" w:space="0" w:color="auto"/>
        <w:right w:val="none" w:sz="0" w:space="0" w:color="auto"/>
      </w:divBdr>
    </w:div>
    <w:div w:id="1185747498">
      <w:bodyDiv w:val="1"/>
      <w:marLeft w:val="0"/>
      <w:marRight w:val="0"/>
      <w:marTop w:val="0"/>
      <w:marBottom w:val="0"/>
      <w:divBdr>
        <w:top w:val="none" w:sz="0" w:space="0" w:color="auto"/>
        <w:left w:val="none" w:sz="0" w:space="0" w:color="auto"/>
        <w:bottom w:val="none" w:sz="0" w:space="0" w:color="auto"/>
        <w:right w:val="none" w:sz="0" w:space="0" w:color="auto"/>
      </w:divBdr>
    </w:div>
    <w:div w:id="1263416288">
      <w:bodyDiv w:val="1"/>
      <w:marLeft w:val="0"/>
      <w:marRight w:val="0"/>
      <w:marTop w:val="0"/>
      <w:marBottom w:val="0"/>
      <w:divBdr>
        <w:top w:val="none" w:sz="0" w:space="0" w:color="auto"/>
        <w:left w:val="none" w:sz="0" w:space="0" w:color="auto"/>
        <w:bottom w:val="none" w:sz="0" w:space="0" w:color="auto"/>
        <w:right w:val="none" w:sz="0" w:space="0" w:color="auto"/>
      </w:divBdr>
    </w:div>
    <w:div w:id="1305311624">
      <w:bodyDiv w:val="1"/>
      <w:marLeft w:val="0"/>
      <w:marRight w:val="0"/>
      <w:marTop w:val="0"/>
      <w:marBottom w:val="0"/>
      <w:divBdr>
        <w:top w:val="none" w:sz="0" w:space="0" w:color="auto"/>
        <w:left w:val="none" w:sz="0" w:space="0" w:color="auto"/>
        <w:bottom w:val="none" w:sz="0" w:space="0" w:color="auto"/>
        <w:right w:val="none" w:sz="0" w:space="0" w:color="auto"/>
      </w:divBdr>
    </w:div>
    <w:div w:id="1350182572">
      <w:bodyDiv w:val="1"/>
      <w:marLeft w:val="0"/>
      <w:marRight w:val="0"/>
      <w:marTop w:val="0"/>
      <w:marBottom w:val="0"/>
      <w:divBdr>
        <w:top w:val="none" w:sz="0" w:space="0" w:color="auto"/>
        <w:left w:val="none" w:sz="0" w:space="0" w:color="auto"/>
        <w:bottom w:val="none" w:sz="0" w:space="0" w:color="auto"/>
        <w:right w:val="none" w:sz="0" w:space="0" w:color="auto"/>
      </w:divBdr>
    </w:div>
    <w:div w:id="1403334193">
      <w:bodyDiv w:val="1"/>
      <w:marLeft w:val="0"/>
      <w:marRight w:val="0"/>
      <w:marTop w:val="0"/>
      <w:marBottom w:val="0"/>
      <w:divBdr>
        <w:top w:val="none" w:sz="0" w:space="0" w:color="auto"/>
        <w:left w:val="none" w:sz="0" w:space="0" w:color="auto"/>
        <w:bottom w:val="none" w:sz="0" w:space="0" w:color="auto"/>
        <w:right w:val="none" w:sz="0" w:space="0" w:color="auto"/>
      </w:divBdr>
    </w:div>
    <w:div w:id="1463840296">
      <w:bodyDiv w:val="1"/>
      <w:marLeft w:val="0"/>
      <w:marRight w:val="0"/>
      <w:marTop w:val="0"/>
      <w:marBottom w:val="0"/>
      <w:divBdr>
        <w:top w:val="none" w:sz="0" w:space="0" w:color="auto"/>
        <w:left w:val="none" w:sz="0" w:space="0" w:color="auto"/>
        <w:bottom w:val="none" w:sz="0" w:space="0" w:color="auto"/>
        <w:right w:val="none" w:sz="0" w:space="0" w:color="auto"/>
      </w:divBdr>
    </w:div>
    <w:div w:id="1527135875">
      <w:bodyDiv w:val="1"/>
      <w:marLeft w:val="0"/>
      <w:marRight w:val="0"/>
      <w:marTop w:val="0"/>
      <w:marBottom w:val="0"/>
      <w:divBdr>
        <w:top w:val="none" w:sz="0" w:space="0" w:color="auto"/>
        <w:left w:val="none" w:sz="0" w:space="0" w:color="auto"/>
        <w:bottom w:val="none" w:sz="0" w:space="0" w:color="auto"/>
        <w:right w:val="none" w:sz="0" w:space="0" w:color="auto"/>
      </w:divBdr>
    </w:div>
    <w:div w:id="1539392787">
      <w:bodyDiv w:val="1"/>
      <w:marLeft w:val="0"/>
      <w:marRight w:val="0"/>
      <w:marTop w:val="0"/>
      <w:marBottom w:val="0"/>
      <w:divBdr>
        <w:top w:val="none" w:sz="0" w:space="0" w:color="auto"/>
        <w:left w:val="none" w:sz="0" w:space="0" w:color="auto"/>
        <w:bottom w:val="none" w:sz="0" w:space="0" w:color="auto"/>
        <w:right w:val="none" w:sz="0" w:space="0" w:color="auto"/>
      </w:divBdr>
    </w:div>
    <w:div w:id="1543863318">
      <w:bodyDiv w:val="1"/>
      <w:marLeft w:val="0"/>
      <w:marRight w:val="0"/>
      <w:marTop w:val="0"/>
      <w:marBottom w:val="0"/>
      <w:divBdr>
        <w:top w:val="none" w:sz="0" w:space="0" w:color="auto"/>
        <w:left w:val="none" w:sz="0" w:space="0" w:color="auto"/>
        <w:bottom w:val="none" w:sz="0" w:space="0" w:color="auto"/>
        <w:right w:val="none" w:sz="0" w:space="0" w:color="auto"/>
      </w:divBdr>
    </w:div>
    <w:div w:id="1668629117">
      <w:bodyDiv w:val="1"/>
      <w:marLeft w:val="0"/>
      <w:marRight w:val="0"/>
      <w:marTop w:val="0"/>
      <w:marBottom w:val="0"/>
      <w:divBdr>
        <w:top w:val="none" w:sz="0" w:space="0" w:color="auto"/>
        <w:left w:val="none" w:sz="0" w:space="0" w:color="auto"/>
        <w:bottom w:val="none" w:sz="0" w:space="0" w:color="auto"/>
        <w:right w:val="none" w:sz="0" w:space="0" w:color="auto"/>
      </w:divBdr>
      <w:divsChild>
        <w:div w:id="362754908">
          <w:marLeft w:val="0"/>
          <w:marRight w:val="0"/>
          <w:marTop w:val="0"/>
          <w:marBottom w:val="0"/>
          <w:divBdr>
            <w:top w:val="single" w:sz="8" w:space="3" w:color="B5C4DF"/>
            <w:left w:val="none" w:sz="0" w:space="0" w:color="auto"/>
            <w:bottom w:val="none" w:sz="0" w:space="0" w:color="auto"/>
            <w:right w:val="none" w:sz="0" w:space="0" w:color="auto"/>
          </w:divBdr>
        </w:div>
      </w:divsChild>
    </w:div>
    <w:div w:id="1897355499">
      <w:bodyDiv w:val="1"/>
      <w:marLeft w:val="0"/>
      <w:marRight w:val="0"/>
      <w:marTop w:val="0"/>
      <w:marBottom w:val="0"/>
      <w:divBdr>
        <w:top w:val="none" w:sz="0" w:space="0" w:color="auto"/>
        <w:left w:val="none" w:sz="0" w:space="0" w:color="auto"/>
        <w:bottom w:val="none" w:sz="0" w:space="0" w:color="auto"/>
        <w:right w:val="none" w:sz="0" w:space="0" w:color="auto"/>
      </w:divBdr>
    </w:div>
    <w:div w:id="1998998364">
      <w:bodyDiv w:val="1"/>
      <w:marLeft w:val="0"/>
      <w:marRight w:val="0"/>
      <w:marTop w:val="0"/>
      <w:marBottom w:val="0"/>
      <w:divBdr>
        <w:top w:val="none" w:sz="0" w:space="0" w:color="auto"/>
        <w:left w:val="none" w:sz="0" w:space="0" w:color="auto"/>
        <w:bottom w:val="none" w:sz="0" w:space="0" w:color="auto"/>
        <w:right w:val="none" w:sz="0" w:space="0" w:color="auto"/>
      </w:divBdr>
    </w:div>
    <w:div w:id="211054547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Uldis.Rudziks@tm.gov.lv"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3222</Words>
  <Characters>1837</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FW: FM_VSS-1162</vt:lpstr>
      <vt:lpstr>FW: FM_VSS-1162</vt:lpstr>
    </vt:vector>
  </TitlesOfParts>
  <Company>zm</Company>
  <LinksUpToDate>false</LinksUpToDate>
  <CharactersWithSpaces>5049</CharactersWithSpaces>
  <SharedDoc>false</SharedDoc>
  <HLinks>
    <vt:vector size="6" baseType="variant">
      <vt:variant>
        <vt:i4>6357077</vt:i4>
      </vt:variant>
      <vt:variant>
        <vt:i4>0</vt:i4>
      </vt:variant>
      <vt:variant>
        <vt:i4>0</vt:i4>
      </vt:variant>
      <vt:variant>
        <vt:i4>5</vt:i4>
      </vt:variant>
      <vt:variant>
        <vt:lpwstr>mailto:Uldis.Rudziks@tm.gov.lv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 FM_VSS-1162</dc:title>
  <dc:subject>Atzinums</dc:subject>
  <dc:creator>Adris Bumbuls</dc:creator>
  <cp:keywords/>
  <dc:description>Adris.Bumbuls@zm.gov.lv</dc:description>
  <cp:lastModifiedBy>Adris Bumbuls</cp:lastModifiedBy>
  <cp:revision>2</cp:revision>
  <cp:lastPrinted>2009-03-09T09:02:00Z</cp:lastPrinted>
  <dcterms:created xsi:type="dcterms:W3CDTF">2022-02-05T06:43:00Z</dcterms:created>
  <dcterms:modified xsi:type="dcterms:W3CDTF">2022-02-05T06:43:00Z</dcterms:modified>
</cp:coreProperties>
</file>