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26-TA-1202: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21. marta noteikumos Nr. 164 "Noteikumi par arhitekta profesionāliem nosaukumiem un izglītību un profesionālo kvalifikāciju apliecinošiem dokumentiem, kurus atzīst, piemērojot speciālo profesionālās kvalifikācijas atzīšanas sistēmu"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(13.02.2026.)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01.07.2026. 18:11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 vismaz 12 gadu ilgu izglītību un profesionālo pieredzi apliecinoši arhitekta kvalifikācijas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izsaka iebildumu, par  Noteikumu projekta 8.1 punktā noteiktajām prasībām, kas tiek piemērotas Kanādā izsniegtajiem arhitekta kvalifikāciju apliecinošajiem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169 “Būvspeciālistu kompetences novērtēšanas un patstāvīgās prakses uzraudzības noteikumi” (turpmāk - Noteikumi Nr.169) 12.punktā ir noteiktas prasības arhitekta sertifikāta iegūšanai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 var iegūt patstāvīgas prakses tiesības arhitektūras jomā reglamentētās profesijās, ja  ieguvusi otrā līmeņa profesionālo augstāko izglītību arhitektūras studiju programmā (Latvijā tie ir 5 gadi), apguvusi patstāvīgai praksei nepieciešamās zināšanas un prasmes ne mazāk kā divus gadus būvspeciālista uzraudzībā un saņēmusi arhitekta prakses sertifikātu. Vēl persona nedrīkst būt sodīta vai saukta pie kriminālatbildības par noziedzīga nodarījuma izdarīšanu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prasību vai skaidrot Anotācijā, kāpēc arhitektam tiek prasīta vismaz 12 gadu ilga izglītība. Papildus tiek prasīti dokumenti, kas apliecina personas tiesības lietot arhitekta profesionālo nosaukumu un veikt patstāvīgu profesionālo darbību arhitekta profesijā. Šāds dokuments norāda, ka Kanāda kompetentā iestāde jau izvērtējusi arhitekta kompetences atbilstību un izsniegusi spēkā esoša arhitekta profesionālā reģistrācijas apliecību, sertifikātu vai licenci, kas dod tiesības arhitektam patstāvīgās prakses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prasība Kanādas arhitektiem apliecināt 12 gadus ilgu izglītību ir atbilstoša Profesionālo kvalifikāciju savstarpējās atzīšanas apvienotās komitejas lēmuma nr. 1/2024, kurā izklāstīts nolīgums par arhitektu profesionālo kvalifikāciju savstarpēju atzīšanu [2024/2873], 4.panta a) apakšpunkta pirmajā daļā noteiktajam.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 vismaz 12 gadu ilgu izglītību un profesionālo pieredzi apliecinoši arhitekta kvalifikācijas dokumenti: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1.2. vismaz četru gadu profesionālo pieredzi Kanādā, kas iegūta pēc reģistrācijas vai licencēšanas, apliecinošie dokumenti;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skaidrot Anotācijā prasību: iesniegt dokumentus, kas apliecinātu vismaz četru gadu profesionālo pieredzi Kanādā, kas iegūta pēc reģistrācijas vai licencēšanas. Šādā gadījumā pieredze, kas tiktu uzkrāta  citās valstīs netiktu ņemta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prasība Kanādas arhitektiem apliecināt 12 gadus ilgu izglītību ir atbilstoša Profesionālo kvalifikāciju savstarpējās atzīšanas apvienotās komitejas lēmuma nr. 1/2024, kurā izklāstīts nolīgums par arhitektu profesionālo kvalifikāciju savstarpēju atzīšanu [2024/2873], 4.panta a) apakšpunkta otrajā daļā noteiktajam.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1.2. vismaz četru gadu profesionālo pieredzi Kanādā, kas iegūta pēc reģistrācijas vai licencēšanas, apliecinošie dokumenti;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3. labu reputāciju apliecinošs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ir labu reputāciju apliecinošs dokuments, kas to izdos? Tāpēc atbilstoši Noteikumu Nr.169 12.punktā noteiktajām prasībām, ierosinām šo punktu aizvietot, prasot iesniegt dokumentus kas apliecina, ka arhitekts nav sodīts par profesionāliem pārkāpumiem saistībā ar  profesionālu vai noziedzīga nodarījuma izdarīšanu būvniecības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skaidrots Profesionālo kvalifikāciju savstarpējās atzīšanas apvienotās komitejas lēmuma nr. 1/2024, kurā izklāstīts nolīgums par arhitektu profesionālo kvalifikāciju savstarpēju atzīšanu [2024/2873], III papildinājuma 4. punktā minētais, ka  apliecinājumu par labu reputāciju ir jāizdod tās jurisdikcijas kompetentajai iestādei, kurā arhitekts ir kvalificēts.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3. labu reputāciju apliecinošs dokuments.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precīzu nolīguma nosaukumu “Visaptverošs ekonomikas un tirdzniecības nolīgums (CETA) starp Kanādu, no vienas puses, un Eiropas Savienību un tās dalībvalstīm, no otras puses” un tā provizoriskās piemērošanas datumu (sk. https://likumi.lv/ta/lv/starptautiskie-ligumi/id/1737).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sākotnējās ietekmes (ex-ante) novērtējuma ziņojumā (anotācija) tekstā pārskatīt saīsinājumus un, ja tie ir atrunāti, vienotai pieejai tos tālāk lietot viscaur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atsauci uz Direktīvu 2005/36/EK kopsakarā ar Ministru kabineta 2017. gada 21. marta noteikumiem Nr. 164 „Noteikumi par arhitekta profesionālajiem nosaukumiem un izglītību un profesionālo kvalifikāciju apliecinošiem dokumentiem, kurus atzīst, piemērojot speciālo profesionālās kvalifikācijas atzīšanas sistēmu”, kuros ietverta informatīva atsauce gan uz Direktīvu 2005/36/EK, gan uz Direktīvu 2013/55/ES, ar kuru grozīta Direktīva 2005/36/EK, ierosinām tekstā atsaukties uz abām direktīvām.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2013. gada 20. novembra Direktīvā 2013/55/ES, ar ko groza Direktīvu 2005/36/EK par profesionālo kvalifikāciju atzīšanu un Regulu (ES) Nr. 1024/2012 par administratīvo sadarbību, izmantojot Iekšējā tirgus informācijas sistēmu (IMI regulu) (turpmāk - direktīva 2013/55/ES) noteiktās tiesību normas ir iekļautas direktīvā 2005/36/EK, līdz ar to šī dokumenta nosaukšanai nav juridiskas nozīmes. Tiek ņemts vērā, ka arī Visaptverošajā ekonomikas un tirdzniecības nolīgumā (CETA) starp Kanādu, no vienas puses, un Eiropas Savienību un tās dalībvalstīm, no otras puses, kā arī 2024.gada 10.oktobrī tika noslēgtajā Profesionālo kvalifikāciju savstarpējās atzīšanas apvienotās komitejas lēmumā nr. 1/2024, kurā izklāstīts nolīgums par arhitektu profesionālo kvalifikāciju savstarpēju atzīšanu [2024/2873], direktīva 2013/55/ES nav pieminēta.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atsauces veidot atbilstoši normatīvo aktu juridiskā spēka hierarhijai, kā arī precizēt frāzi "Latvijai saistošajiem noteikumiem”, lai izvairītos no iespējamiem pārpratumiem, piemēram, vai te ir domāti saistošie noteikumi, kas izriet no citiem nacionālajiem regulējumiem, vai uz Latviju attiecināmie Eiropas Savienības tiesību akti, ievērojot attiecīgi arī lēmumā 2024/2873 norādīto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apakšpunkta formulējums ir “5.7.1. Arhitekta kvalifikāciju apliecinošie dokumenti, ko atzīst saskaņā ar 46. pantu”, savukārt anotācijas tekstā norādīts [..] "kuri atbilstoši" [..]. Lūdzam redakcionāli precizēt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sadaļas “Risinājuma apraksts” norādīts “</w:t>
            </w:r>
            <w:r w:rsidR="00000000" w:rsidRPr="00000000" w:rsidDel="00000000">
              <w:rPr>
                <w:i w:val="1"/>
                <w:rtl w:val="0"/>
              </w:rPr>
              <w:t xml:space="preserve">Noteikumu projekts paredz svītrot frāzi, kas var radīt neskaidrību attiecībā uz atzīšanas institūcijas pienākumiem</w:t>
            </w:r>
            <w:r w:rsidR="00000000" w:rsidRPr="00000000" w:rsidDel="00000000">
              <w:rPr>
                <w:rtl w:val="0"/>
              </w:rPr>
              <w:t xml:space="preserve">.”. Aicinām precizēt, kura frāze tiek svītrota Noteikumu Nr. 164 2. punktā, jo arī no sadaļas "Problēmas apraksts" minētais nav secināms.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tiešām saistības pret Eiropas Savienību nav attiecināmas, ievērojot, ka viscaur tekstā ir atsauces gan uz Visaptverošo ekonomikas un tirdzniecības nolīgumu (CETA) starp Kanādu, no vienas puses, un Eiropas Savienību un tās dalībvalstīm, no otras puses; gan Eiropas Savienības Direktīvu 2005/36/EK, kā arī uz Profesionālo kvalifikāciju savstarpējās atzīšanas apvienotās komitejas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minētie ir starptautiski tiesību akti, aicinām šeit ietvert atsauci uz augstāk norādītajiem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Saistības pret Eiropas Savienību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Tabulas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Lēmuma 2024/2873 4.panta 2.punkta a) apakšpunkta pirmais apakšpunkts. </w:t>
            </w:r>
            <w:r w:rsidR="00000000" w:rsidRPr="00000000" w:rsidDel="00000000">
              <w:rPr>
                <w:i w:val="1"/>
                <w:rtl w:val="0"/>
              </w:rPr>
              <w:t xml:space="preserve">Noteikumu projekta 3.punkts par noteikumu Nr. 164 pielikuma 32.punktu.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šīs atsauces atbilstību lēmuma 2024/2873 attiecīgajām normām. Vēršam uzmanību, ka lēmuma tekstā attiecīgie apakšpunkti (4.panta 2.punkta a) apakšpunkta apakšpunkti) ir savstarpēji saistīti ar saikli “un”, tādēļ tie būtu vērtējami kopsakarā. Vienlaikus norādām, ka tabulas pirmajā rindā 4. panta 2. punkts jau ir pārņemts pilnā apjomā, savukārt otrajā rindā atkārtoti tiek norādīts tas pats punkts, attiecinot pārņemšanu tikai uz vienu no tā apakšpunktiem. Lūdzam izvērtēt, vai šāds pārņemšanas veids atbilst iecerētajam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precizēta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Ailītē - Pievienotais sertifikāts, būtu nepieciešams papildināt ar tekstu: Kanādas kompetentās iestādes izsniegta spēkā esoša arhitekta profesionālā reģistrācija/ licence / arhitekta prakses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precizēts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26-TA-1202</w:t>
    </w:r>
    <w:r>
      <w:br/>
    </w:r>
    <w:r w:rsidR="00000000" w:rsidRPr="00000000" w:rsidDel="00000000">
      <w:rPr>
        <w:rtl w:val="0"/>
      </w:rPr>
      <w:t xml:space="preserve">01.09.2026. 15.57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26-TA-1202</w:t>
    </w:r>
    <w:r>
      <w:br/>
    </w:r>
    <w:r w:rsidR="00000000" w:rsidRPr="00000000" w:rsidDel="00000000">
      <w:rPr>
        <w:rtl w:val="0"/>
      </w:rPr>
      <w:t xml:space="preserve">01.09.2026. 15.57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Izziņa_26-TA-1202.docx</dc:title>
</cp:coreProperties>
</file>

<file path=docProps/custom.xml><?xml version="1.0" encoding="utf-8"?>
<Properties xmlns="http://schemas.openxmlformats.org/officeDocument/2006/custom-properties" xmlns:vt="http://schemas.openxmlformats.org/officeDocument/2006/docPropsVTypes"/>
</file>