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D763" w14:textId="77777777" w:rsidR="00786DAF" w:rsidRDefault="00786DAF" w:rsidP="002C22B9">
      <w:pPr>
        <w:jc w:val="center"/>
        <w:rPr>
          <w:sz w:val="20"/>
        </w:rPr>
      </w:pPr>
    </w:p>
    <w:p w14:paraId="71FCC45B" w14:textId="77777777" w:rsidR="002C22B9" w:rsidRDefault="002C22B9" w:rsidP="002C22B9">
      <w:pPr>
        <w:jc w:val="center"/>
        <w:rPr>
          <w:sz w:val="20"/>
        </w:rPr>
      </w:pPr>
      <w:r w:rsidRPr="00914649">
        <w:rPr>
          <w:sz w:val="20"/>
        </w:rPr>
        <w:t>Rīgā</w:t>
      </w:r>
    </w:p>
    <w:p w14:paraId="0905DDA2"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5E57A914" w14:textId="77777777" w:rsidTr="009F77B9">
        <w:tc>
          <w:tcPr>
            <w:tcW w:w="450" w:type="dxa"/>
            <w:tcBorders>
              <w:top w:val="nil"/>
              <w:left w:val="nil"/>
              <w:bottom w:val="nil"/>
              <w:right w:val="nil"/>
            </w:tcBorders>
          </w:tcPr>
          <w:p w14:paraId="41144C05" w14:textId="77777777"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42B53030" w14:textId="333C1007"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D740D3">
              <w:rPr>
                <w:szCs w:val="24"/>
              </w:rPr>
              <w:t>30.08.2021</w:t>
            </w:r>
            <w:r w:rsidRPr="00615936">
              <w:rPr>
                <w:szCs w:val="24"/>
              </w:rPr>
              <w:fldChar w:fldCharType="end"/>
            </w:r>
            <w:bookmarkEnd w:id="0"/>
          </w:p>
        </w:tc>
        <w:tc>
          <w:tcPr>
            <w:tcW w:w="708" w:type="dxa"/>
            <w:tcBorders>
              <w:top w:val="nil"/>
              <w:left w:val="nil"/>
              <w:bottom w:val="nil"/>
              <w:right w:val="nil"/>
            </w:tcBorders>
          </w:tcPr>
          <w:p w14:paraId="3C066925" w14:textId="77777777"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14:paraId="5CFC83C3" w14:textId="57DF1421"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620DE">
              <w:rPr>
                <w:szCs w:val="24"/>
              </w:rPr>
              <w:t>12/A-2</w:t>
            </w:r>
            <w:r w:rsidRPr="00615936">
              <w:rPr>
                <w:szCs w:val="24"/>
              </w:rPr>
              <w:fldChar w:fldCharType="end"/>
            </w:r>
            <w:bookmarkEnd w:id="1"/>
            <w:r w:rsidRPr="00615936">
              <w:rPr>
                <w:szCs w:val="24"/>
              </w:rPr>
              <w:t>/</w:t>
            </w:r>
            <w:bookmarkStart w:id="2"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D740D3">
              <w:rPr>
                <w:szCs w:val="24"/>
              </w:rPr>
              <w:t>4782</w:t>
            </w:r>
            <w:r w:rsidRPr="00615936">
              <w:rPr>
                <w:szCs w:val="24"/>
              </w:rPr>
              <w:fldChar w:fldCharType="end"/>
            </w:r>
            <w:bookmarkEnd w:id="2"/>
          </w:p>
        </w:tc>
      </w:tr>
      <w:tr w:rsidR="002C22B9" w:rsidRPr="00615936" w14:paraId="5431BBD7" w14:textId="77777777" w:rsidTr="009F77B9">
        <w:trPr>
          <w:trHeight w:val="188"/>
        </w:trPr>
        <w:tc>
          <w:tcPr>
            <w:tcW w:w="450" w:type="dxa"/>
            <w:tcBorders>
              <w:top w:val="nil"/>
              <w:left w:val="nil"/>
              <w:bottom w:val="nil"/>
              <w:right w:val="nil"/>
            </w:tcBorders>
          </w:tcPr>
          <w:p w14:paraId="63FE4AEA"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2D8CED5E"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127AFA61"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12E41CCE" w14:textId="77777777" w:rsidR="002C22B9" w:rsidRPr="00615936" w:rsidRDefault="002C22B9" w:rsidP="002C22B9">
            <w:pPr>
              <w:tabs>
                <w:tab w:val="left" w:pos="360"/>
                <w:tab w:val="left" w:pos="3960"/>
              </w:tabs>
              <w:rPr>
                <w:sz w:val="20"/>
              </w:rPr>
            </w:pPr>
          </w:p>
        </w:tc>
      </w:tr>
      <w:tr w:rsidR="002C22B9" w:rsidRPr="00615936" w14:paraId="2C5D50A8" w14:textId="77777777" w:rsidTr="009F77B9">
        <w:tc>
          <w:tcPr>
            <w:tcW w:w="450" w:type="dxa"/>
            <w:tcBorders>
              <w:top w:val="nil"/>
              <w:left w:val="nil"/>
              <w:bottom w:val="nil"/>
              <w:right w:val="nil"/>
            </w:tcBorders>
          </w:tcPr>
          <w:p w14:paraId="12FFF901" w14:textId="77777777"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14:paraId="325A3E43" w14:textId="77777777" w:rsidR="002C22B9"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620DE">
              <w:rPr>
                <w:szCs w:val="24"/>
              </w:rPr>
              <w:t>23.08.2021</w:t>
            </w:r>
            <w:r w:rsidRPr="00615936">
              <w:rPr>
                <w:szCs w:val="24"/>
              </w:rPr>
              <w:fldChar w:fldCharType="end"/>
            </w:r>
            <w:bookmarkEnd w:id="3"/>
          </w:p>
          <w:p w14:paraId="0100634C" w14:textId="1792B791" w:rsidR="00146F36" w:rsidRPr="00615936" w:rsidRDefault="00146F36" w:rsidP="002C22B9">
            <w:pPr>
              <w:tabs>
                <w:tab w:val="left" w:pos="360"/>
                <w:tab w:val="left" w:pos="3960"/>
              </w:tabs>
              <w:rPr>
                <w:szCs w:val="24"/>
              </w:rPr>
            </w:pPr>
            <w:r>
              <w:rPr>
                <w:szCs w:val="24"/>
              </w:rPr>
              <w:t>24.08.2021</w:t>
            </w:r>
          </w:p>
        </w:tc>
        <w:tc>
          <w:tcPr>
            <w:tcW w:w="708" w:type="dxa"/>
            <w:tcBorders>
              <w:top w:val="nil"/>
              <w:left w:val="nil"/>
              <w:bottom w:val="nil"/>
              <w:right w:val="nil"/>
            </w:tcBorders>
          </w:tcPr>
          <w:p w14:paraId="06EE1C7A" w14:textId="77777777"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14:paraId="6FB988E3" w14:textId="77777777" w:rsidR="002C22B9"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620DE">
              <w:rPr>
                <w:szCs w:val="24"/>
              </w:rPr>
              <w:t>09-02/3353</w:t>
            </w:r>
            <w:r w:rsidRPr="00615936">
              <w:rPr>
                <w:szCs w:val="24"/>
              </w:rPr>
              <w:fldChar w:fldCharType="end"/>
            </w:r>
            <w:bookmarkEnd w:id="4"/>
          </w:p>
          <w:p w14:paraId="77C71AD5" w14:textId="4CED0D53" w:rsidR="00146F36" w:rsidRPr="00615936" w:rsidRDefault="00146F36" w:rsidP="002C22B9">
            <w:pPr>
              <w:tabs>
                <w:tab w:val="left" w:pos="360"/>
                <w:tab w:val="left" w:pos="3960"/>
              </w:tabs>
              <w:rPr>
                <w:szCs w:val="24"/>
              </w:rPr>
            </w:pPr>
            <w:r>
              <w:rPr>
                <w:szCs w:val="24"/>
              </w:rPr>
              <w:t>09-02/3360</w:t>
            </w:r>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RPr="00146F36" w14:paraId="05F6FD88" w14:textId="77777777" w:rsidTr="000C0DD4">
        <w:trPr>
          <w:jc w:val="right"/>
        </w:trPr>
        <w:tc>
          <w:tcPr>
            <w:tcW w:w="4644" w:type="dxa"/>
          </w:tcPr>
          <w:p w14:paraId="6D4F2635" w14:textId="77777777" w:rsidR="00146F36" w:rsidRPr="00146F36" w:rsidRDefault="00146F36" w:rsidP="000C0DD4">
            <w:pPr>
              <w:jc w:val="right"/>
              <w:rPr>
                <w:b/>
                <w:bCs/>
                <w:sz w:val="26"/>
                <w:szCs w:val="26"/>
                <w:lang w:eastAsia="lv-LV"/>
              </w:rPr>
            </w:pPr>
            <w:bookmarkStart w:id="5" w:name="org_nos"/>
          </w:p>
          <w:p w14:paraId="2A2E57C4" w14:textId="77777777" w:rsidR="00146F36" w:rsidRPr="00146F36" w:rsidRDefault="00146F36" w:rsidP="000C0DD4">
            <w:pPr>
              <w:jc w:val="right"/>
              <w:rPr>
                <w:b/>
                <w:bCs/>
                <w:sz w:val="26"/>
                <w:szCs w:val="26"/>
                <w:lang w:eastAsia="lv-LV"/>
              </w:rPr>
            </w:pPr>
          </w:p>
          <w:p w14:paraId="12EC153A" w14:textId="1079C2AE" w:rsidR="000C0DD4" w:rsidRPr="00146F36" w:rsidRDefault="005620DE" w:rsidP="000C0DD4">
            <w:pPr>
              <w:jc w:val="right"/>
              <w:rPr>
                <w:b/>
                <w:bCs/>
                <w:sz w:val="26"/>
                <w:szCs w:val="26"/>
                <w:lang w:eastAsia="lv-LV"/>
              </w:rPr>
            </w:pPr>
            <w:r w:rsidRPr="00146F36">
              <w:rPr>
                <w:b/>
                <w:bCs/>
                <w:sz w:val="26"/>
                <w:szCs w:val="26"/>
                <w:lang w:eastAsia="lv-LV"/>
              </w:rPr>
              <w:t>Satiksmes ministrija</w:t>
            </w:r>
            <w:r w:rsidR="00146F36" w:rsidRPr="00146F36">
              <w:rPr>
                <w:b/>
                <w:bCs/>
                <w:sz w:val="26"/>
                <w:szCs w:val="26"/>
                <w:lang w:eastAsia="lv-LV"/>
              </w:rPr>
              <w:t>i</w:t>
            </w:r>
          </w:p>
        </w:tc>
      </w:tr>
      <w:bookmarkEnd w:id="5"/>
    </w:tbl>
    <w:p w14:paraId="6F690B5E" w14:textId="77777777" w:rsidR="001F53D9" w:rsidRPr="00146F36" w:rsidRDefault="001F53D9" w:rsidP="004F32A1">
      <w:pPr>
        <w:rPr>
          <w:spacing w:val="4"/>
          <w:sz w:val="26"/>
          <w:szCs w:val="26"/>
        </w:rPr>
      </w:pPr>
    </w:p>
    <w:tbl>
      <w:tblPr>
        <w:tblStyle w:val="TableGrid"/>
        <w:tblW w:w="0" w:type="auto"/>
        <w:tblLook w:val="04A0" w:firstRow="1" w:lastRow="0" w:firstColumn="1" w:lastColumn="0" w:noHBand="0" w:noVBand="1"/>
      </w:tblPr>
      <w:tblGrid>
        <w:gridCol w:w="6267"/>
      </w:tblGrid>
      <w:tr w:rsidR="000C0DD4" w:rsidRPr="00146F36" w14:paraId="31D431CA" w14:textId="77777777" w:rsidTr="00146F36">
        <w:trPr>
          <w:trHeight w:val="264"/>
        </w:trPr>
        <w:tc>
          <w:tcPr>
            <w:tcW w:w="6267" w:type="dxa"/>
            <w:tcBorders>
              <w:top w:val="nil"/>
              <w:left w:val="nil"/>
              <w:bottom w:val="nil"/>
              <w:right w:val="nil"/>
            </w:tcBorders>
          </w:tcPr>
          <w:p w14:paraId="50D10C33" w14:textId="77777777" w:rsidR="00146F36" w:rsidRDefault="00146F36" w:rsidP="00C04DED">
            <w:pPr>
              <w:jc w:val="left"/>
              <w:rPr>
                <w:i/>
                <w:iCs/>
                <w:sz w:val="26"/>
                <w:szCs w:val="26"/>
                <w:lang w:eastAsia="lv-LV"/>
              </w:rPr>
            </w:pPr>
          </w:p>
          <w:p w14:paraId="2BE6017F" w14:textId="016D1526" w:rsidR="000C0DD4" w:rsidRPr="00146F36" w:rsidRDefault="005620DE" w:rsidP="00C04DED">
            <w:pPr>
              <w:jc w:val="left"/>
              <w:rPr>
                <w:i/>
                <w:iCs/>
                <w:sz w:val="26"/>
                <w:szCs w:val="26"/>
                <w:lang w:eastAsia="lv-LV"/>
              </w:rPr>
            </w:pPr>
            <w:r w:rsidRPr="00146F36">
              <w:rPr>
                <w:i/>
                <w:iCs/>
                <w:sz w:val="26"/>
                <w:szCs w:val="26"/>
                <w:lang w:eastAsia="lv-LV"/>
              </w:rPr>
              <w:t>Par precizētajiem Ministru kabineta rīkojuma projektiem</w:t>
            </w:r>
          </w:p>
        </w:tc>
      </w:tr>
    </w:tbl>
    <w:p w14:paraId="3486E541" w14:textId="77777777" w:rsidR="00E04F00" w:rsidRPr="00146F36" w:rsidRDefault="00E04F00" w:rsidP="00C04DED">
      <w:pPr>
        <w:jc w:val="left"/>
        <w:rPr>
          <w:sz w:val="26"/>
          <w:szCs w:val="26"/>
        </w:rPr>
      </w:pPr>
    </w:p>
    <w:p w14:paraId="3B085C3B" w14:textId="77777777" w:rsidR="00146F36" w:rsidRDefault="00146F36" w:rsidP="00146F36">
      <w:pPr>
        <w:ind w:firstLine="720"/>
        <w:rPr>
          <w:sz w:val="26"/>
          <w:szCs w:val="26"/>
        </w:rPr>
      </w:pPr>
    </w:p>
    <w:p w14:paraId="3FBF2052" w14:textId="7ECDDF9C" w:rsidR="00146F36" w:rsidRPr="00146F36" w:rsidRDefault="00146F36" w:rsidP="00146F36">
      <w:pPr>
        <w:ind w:firstLine="720"/>
        <w:rPr>
          <w:sz w:val="26"/>
          <w:szCs w:val="26"/>
        </w:rPr>
      </w:pPr>
      <w:r w:rsidRPr="00146F36">
        <w:rPr>
          <w:sz w:val="26"/>
          <w:szCs w:val="26"/>
        </w:rPr>
        <w:t xml:space="preserve">Finanšu ministrija atbilstoši kompetencei ir izskatījusi Satiksmes ministrijas precizēto Ministru kabineta rīkojuma projektu “Par finanšu līdzekļu piešķiršanu no valsts budžeta programmas 02.00.00 „Līdzekļi neparedzētiem gadījumiem””, kas paredz piešķirt Satiksmes ministrijai finansējumu 14 225 226 </w:t>
      </w:r>
      <w:proofErr w:type="spellStart"/>
      <w:r w:rsidRPr="00146F36">
        <w:rPr>
          <w:i/>
          <w:sz w:val="26"/>
          <w:szCs w:val="26"/>
        </w:rPr>
        <w:t>euro</w:t>
      </w:r>
      <w:proofErr w:type="spellEnd"/>
      <w:r w:rsidRPr="00146F36">
        <w:rPr>
          <w:sz w:val="26"/>
          <w:szCs w:val="26"/>
        </w:rPr>
        <w:t xml:space="preserve"> apmērā, lai nodrošinātu normatīvajos aktos noteikto izdevumu kompensēšanu par valsts publiskās lietošanas dzelzceļa infrastruktūras izmantošanu dzelzceļa pasažieru pārvadājumiem, ko sniedz saistībā ar sabiedrisko pakalpojumu līgumu (turpmāk – infrastruktūras rīkojuma projekts), un Ministru kabineta rīkojuma projektu “Par finanšu līdzekļu piešķiršanu no valsts budžeta programmas 02.00.00 „Līdzekļi neparedzētiem gadījumiem””, kas paredz piešķirt Satiksmes ministrijai finansējumu 9 503 295 </w:t>
      </w:r>
      <w:proofErr w:type="spellStart"/>
      <w:r w:rsidRPr="00146F36">
        <w:rPr>
          <w:i/>
          <w:sz w:val="26"/>
          <w:szCs w:val="26"/>
        </w:rPr>
        <w:t>euro</w:t>
      </w:r>
      <w:proofErr w:type="spellEnd"/>
      <w:r w:rsidRPr="00146F36">
        <w:rPr>
          <w:sz w:val="26"/>
          <w:szCs w:val="26"/>
        </w:rPr>
        <w:t xml:space="preserve"> apmērā, lai nodrošinātu valsts publiskās lietošanas dzelzceļa infrastruktūras pārvaldītāja (valsts akciju sabiedrība “Latvijas dzelzceļš”) finanšu līdzsvara par 2020.gadu maksājumu (turpmāk – līdzsvara rīkojuma projekts), tiem pievienotos sākotnējās ietekmes novērtējuma ziņojumus (anotācijas), izziņas par atzinumos sniegtajiem iebildumiem un sniedz šādu viedokli.</w:t>
      </w:r>
    </w:p>
    <w:p w14:paraId="2247B17F" w14:textId="77777777" w:rsidR="00146F36" w:rsidRPr="00146F36" w:rsidRDefault="00146F36" w:rsidP="00146F36">
      <w:pPr>
        <w:rPr>
          <w:sz w:val="26"/>
          <w:szCs w:val="26"/>
        </w:rPr>
      </w:pPr>
      <w:r w:rsidRPr="00146F36">
        <w:rPr>
          <w:sz w:val="26"/>
          <w:szCs w:val="26"/>
        </w:rPr>
        <w:tab/>
        <w:t>Atkārtoti vēršam uzmanību, ka jautājumiem, kas nav saistīti ar Covid-19 infekcijas izplatības radītajām sekām, finansējums budžeta programmā “Līdzekļi neparedzētiem gadījumiem” ir ierobežotā apmērā, proti, šobrīd finansējuma atlikums tajā nav pietiekams, lai nodrošinātu finansējumu Satiksmes ministrijas sagatavotajiem rīkojuma projektiem. Ņemot vērā minēto, rīkojumu projektu tālāka virzība šobrīd nav atbalstāma.</w:t>
      </w:r>
    </w:p>
    <w:p w14:paraId="33712875" w14:textId="77777777" w:rsidR="00146F36" w:rsidRPr="00146F36" w:rsidRDefault="00146F36" w:rsidP="00146F36">
      <w:pPr>
        <w:ind w:firstLine="720"/>
        <w:rPr>
          <w:sz w:val="26"/>
          <w:szCs w:val="26"/>
        </w:rPr>
      </w:pPr>
      <w:r w:rsidRPr="00146F36">
        <w:rPr>
          <w:sz w:val="26"/>
          <w:szCs w:val="26"/>
        </w:rPr>
        <w:t>Uzskatām, ka jautājums par papildu finansējuma piešķiršanu, kas minēts infrastruktūras rīkojuma projekta un līdzsvara rīkojuma projekta 1.punktā, ir risināms vienlaikus ar apkopoto informāciju par prognozēto budžeta izpildi ministrijās, novērtējot potenciālo valsts budžeta līdzekļu neapguvi un valsts budžeta iespējas kārtējā gada ietvaros.</w:t>
      </w:r>
    </w:p>
    <w:p w14:paraId="1729E9BF" w14:textId="77777777" w:rsidR="00146F36" w:rsidRPr="00146F36" w:rsidRDefault="00146F36" w:rsidP="00146F36">
      <w:pPr>
        <w:ind w:firstLine="720"/>
        <w:rPr>
          <w:sz w:val="26"/>
          <w:szCs w:val="26"/>
        </w:rPr>
      </w:pPr>
      <w:r w:rsidRPr="00146F36">
        <w:rPr>
          <w:sz w:val="26"/>
          <w:szCs w:val="26"/>
        </w:rPr>
        <w:t xml:space="preserve">Vienlaikus lūdzam līdzsvara rīkojuma projekta anotācijā svītrot norādi, ka pieprasītais finansējums ir pirmais maksājums par finanšu līdzsvara nodrošināšanu, ņemot </w:t>
      </w:r>
      <w:r w:rsidRPr="00146F36">
        <w:rPr>
          <w:sz w:val="26"/>
          <w:szCs w:val="26"/>
        </w:rPr>
        <w:lastRenderedPageBreak/>
        <w:t xml:space="preserve">vērā, ka 2020.gadā ar Ministru kabineta 2020.gada 15.jūlija rīkojumu Nr.391 “Par finanšu līdzekļu piešķiršanu no valsts budžeta programmas “Līdzekļi neparedzētiem gadījumiem”” Satiksmes ministrijai jau tika piešķirts finansējums 13 011 000 </w:t>
      </w:r>
      <w:proofErr w:type="spellStart"/>
      <w:r w:rsidRPr="00146F36">
        <w:rPr>
          <w:i/>
          <w:sz w:val="26"/>
          <w:szCs w:val="26"/>
        </w:rPr>
        <w:t>euro</w:t>
      </w:r>
      <w:proofErr w:type="spellEnd"/>
      <w:r w:rsidRPr="00146F36">
        <w:rPr>
          <w:sz w:val="26"/>
          <w:szCs w:val="26"/>
        </w:rPr>
        <w:t xml:space="preserve">, lai veiktu avansa maksājumu normatīvajos aktos noteiktā valsts publiskās lietošanas dzelzceļa infrastruktūras pārvaldītāja finanšu līdzsvara nodrošināšanai. </w:t>
      </w:r>
    </w:p>
    <w:p w14:paraId="3DF904AD" w14:textId="018A4474" w:rsidR="00146F36" w:rsidRPr="00146F36" w:rsidRDefault="00146F36" w:rsidP="00146F36">
      <w:pPr>
        <w:ind w:firstLine="720"/>
        <w:rPr>
          <w:sz w:val="26"/>
          <w:szCs w:val="26"/>
        </w:rPr>
      </w:pPr>
      <w:r w:rsidRPr="00146F36">
        <w:rPr>
          <w:sz w:val="26"/>
          <w:szCs w:val="26"/>
        </w:rPr>
        <w:t xml:space="preserve">Papildus lūdzam Satiksmes ministriju sadarbībā ar </w:t>
      </w:r>
      <w:r w:rsidR="00855F05">
        <w:rPr>
          <w:sz w:val="26"/>
          <w:szCs w:val="26"/>
        </w:rPr>
        <w:t xml:space="preserve">valsts </w:t>
      </w:r>
      <w:r w:rsidRPr="00146F36">
        <w:rPr>
          <w:sz w:val="26"/>
          <w:szCs w:val="26"/>
        </w:rPr>
        <w:t>akciju sabiedrību “Latvijas dzelzceļš” izvērtēt un piedāvāt turpmāku</w:t>
      </w:r>
      <w:r w:rsidR="00E921D1">
        <w:rPr>
          <w:sz w:val="26"/>
          <w:szCs w:val="26"/>
        </w:rPr>
        <w:t xml:space="preserve"> ilgtspējīgu </w:t>
      </w:r>
      <w:r w:rsidRPr="00146F36">
        <w:rPr>
          <w:sz w:val="26"/>
          <w:szCs w:val="26"/>
        </w:rPr>
        <w:t xml:space="preserve">risinājumu, kā nodrošināt uzņēmuma darbību bez papildu </w:t>
      </w:r>
      <w:r w:rsidR="00E921D1">
        <w:rPr>
          <w:sz w:val="26"/>
          <w:szCs w:val="26"/>
        </w:rPr>
        <w:t xml:space="preserve">vai daļēju </w:t>
      </w:r>
      <w:r w:rsidRPr="00146F36">
        <w:rPr>
          <w:sz w:val="26"/>
          <w:szCs w:val="26"/>
        </w:rPr>
        <w:t>valsts budžeta līdzekļu piesaist</w:t>
      </w:r>
      <w:r w:rsidR="00E921D1">
        <w:rPr>
          <w:sz w:val="26"/>
          <w:szCs w:val="26"/>
        </w:rPr>
        <w:t>i</w:t>
      </w:r>
      <w:r w:rsidRPr="00146F36">
        <w:rPr>
          <w:sz w:val="26"/>
          <w:szCs w:val="26"/>
        </w:rPr>
        <w:t xml:space="preserve"> finanšu līdzsvara nodrošināšanai.</w:t>
      </w:r>
    </w:p>
    <w:p w14:paraId="3615C468" w14:textId="77777777" w:rsidR="006D6710" w:rsidRPr="00146F36" w:rsidRDefault="006D6710" w:rsidP="007F3771">
      <w:pPr>
        <w:rPr>
          <w:sz w:val="26"/>
          <w:szCs w:val="26"/>
        </w:rPr>
      </w:pPr>
    </w:p>
    <w:p w14:paraId="7C1CA2CB" w14:textId="77777777" w:rsidR="006D6710" w:rsidRPr="00146F36" w:rsidRDefault="006D6710" w:rsidP="00615936">
      <w:pPr>
        <w:ind w:firstLine="709"/>
        <w:rPr>
          <w:sz w:val="26"/>
          <w:szCs w:val="26"/>
        </w:rPr>
      </w:pPr>
    </w:p>
    <w:p w14:paraId="719E3DDA" w14:textId="6E7B854C" w:rsidR="006D6710" w:rsidRPr="00146F36" w:rsidRDefault="00146F36" w:rsidP="007F3771">
      <w:pPr>
        <w:rPr>
          <w:sz w:val="26"/>
          <w:szCs w:val="26"/>
        </w:rPr>
      </w:pPr>
      <w:r>
        <w:rPr>
          <w:sz w:val="26"/>
          <w:szCs w:val="26"/>
        </w:rPr>
        <w:tab/>
        <w:t>Ar cieņu</w:t>
      </w:r>
    </w:p>
    <w:p w14:paraId="5EB7DAFD" w14:textId="77777777" w:rsidR="006D6710" w:rsidRPr="00146F36" w:rsidRDefault="006D6710" w:rsidP="007F3771">
      <w:pPr>
        <w:rPr>
          <w:sz w:val="26"/>
          <w:szCs w:val="26"/>
        </w:rPr>
      </w:pPr>
    </w:p>
    <w:p w14:paraId="5D0FD30A" w14:textId="77777777" w:rsidR="003F2252" w:rsidRPr="00146F36" w:rsidRDefault="003F2252" w:rsidP="007F3771">
      <w:pPr>
        <w:rPr>
          <w:sz w:val="26"/>
          <w:szCs w:val="26"/>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146F36" w14:paraId="780A2D05" w14:textId="77777777" w:rsidTr="00AA6DC1">
        <w:tc>
          <w:tcPr>
            <w:tcW w:w="4395" w:type="dxa"/>
          </w:tcPr>
          <w:p w14:paraId="432017B3" w14:textId="381818A9" w:rsidR="005620DE" w:rsidRPr="00146F36" w:rsidRDefault="00146F36" w:rsidP="007F3771">
            <w:pPr>
              <w:rPr>
                <w:sz w:val="26"/>
                <w:szCs w:val="26"/>
              </w:rPr>
            </w:pPr>
            <w:r>
              <w:rPr>
                <w:sz w:val="26"/>
                <w:szCs w:val="26"/>
              </w:rPr>
              <w:t>v</w:t>
            </w:r>
            <w:r w:rsidR="005620DE" w:rsidRPr="00146F36">
              <w:rPr>
                <w:sz w:val="26"/>
                <w:szCs w:val="26"/>
              </w:rPr>
              <w:t xml:space="preserve">alsts sekretāres vietniece </w:t>
            </w:r>
          </w:p>
          <w:p w14:paraId="413A0B8A" w14:textId="77777777" w:rsidR="00AA6DC1" w:rsidRPr="00146F36" w:rsidRDefault="005620DE" w:rsidP="007F3771">
            <w:pPr>
              <w:rPr>
                <w:sz w:val="26"/>
                <w:szCs w:val="26"/>
              </w:rPr>
            </w:pPr>
            <w:r w:rsidRPr="00146F36">
              <w:rPr>
                <w:sz w:val="26"/>
                <w:szCs w:val="26"/>
              </w:rPr>
              <w:t>budžeta jautājumos</w:t>
            </w:r>
          </w:p>
        </w:tc>
        <w:tc>
          <w:tcPr>
            <w:tcW w:w="1984" w:type="dxa"/>
          </w:tcPr>
          <w:p w14:paraId="6AD97AFB" w14:textId="77777777" w:rsidR="00AA6DC1" w:rsidRPr="00146F36" w:rsidRDefault="00AA6DC1" w:rsidP="00AA6DC1">
            <w:pPr>
              <w:jc w:val="center"/>
              <w:rPr>
                <w:sz w:val="26"/>
                <w:szCs w:val="26"/>
              </w:rPr>
            </w:pPr>
            <w:bookmarkStart w:id="6" w:name="edoc_info2"/>
            <w:r w:rsidRPr="00146F36">
              <w:rPr>
                <w:sz w:val="26"/>
                <w:szCs w:val="26"/>
              </w:rPr>
              <w:t>(paraksts*)</w:t>
            </w:r>
            <w:bookmarkEnd w:id="6"/>
          </w:p>
        </w:tc>
        <w:tc>
          <w:tcPr>
            <w:tcW w:w="2977" w:type="dxa"/>
            <w:vAlign w:val="bottom"/>
          </w:tcPr>
          <w:p w14:paraId="344FE4D2" w14:textId="77777777" w:rsidR="00AA6DC1" w:rsidRPr="00146F36" w:rsidRDefault="005620DE" w:rsidP="00483407">
            <w:pPr>
              <w:jc w:val="right"/>
              <w:rPr>
                <w:sz w:val="26"/>
                <w:szCs w:val="26"/>
              </w:rPr>
            </w:pPr>
            <w:proofErr w:type="spellStart"/>
            <w:r w:rsidRPr="00146F36">
              <w:rPr>
                <w:sz w:val="26"/>
                <w:szCs w:val="26"/>
              </w:rPr>
              <w:t>J.Plūme</w:t>
            </w:r>
            <w:proofErr w:type="spellEnd"/>
          </w:p>
        </w:tc>
      </w:tr>
      <w:tr w:rsidR="00AA6DC1" w:rsidRPr="00146F36" w14:paraId="60EEF05E" w14:textId="77777777" w:rsidTr="00AA6DC1">
        <w:tc>
          <w:tcPr>
            <w:tcW w:w="4395" w:type="dxa"/>
          </w:tcPr>
          <w:p w14:paraId="396E05C3" w14:textId="77777777" w:rsidR="00AA6DC1" w:rsidRPr="00146F36" w:rsidRDefault="00AA6DC1" w:rsidP="007F3771">
            <w:pPr>
              <w:rPr>
                <w:sz w:val="28"/>
                <w:szCs w:val="28"/>
              </w:rPr>
            </w:pPr>
          </w:p>
        </w:tc>
        <w:tc>
          <w:tcPr>
            <w:tcW w:w="1984" w:type="dxa"/>
          </w:tcPr>
          <w:p w14:paraId="4CDFE7E0" w14:textId="77777777" w:rsidR="00AA6DC1" w:rsidRPr="00146F36" w:rsidRDefault="00AA6DC1" w:rsidP="000C0DD4">
            <w:pPr>
              <w:jc w:val="right"/>
              <w:rPr>
                <w:sz w:val="28"/>
                <w:szCs w:val="28"/>
              </w:rPr>
            </w:pPr>
          </w:p>
        </w:tc>
        <w:tc>
          <w:tcPr>
            <w:tcW w:w="2977" w:type="dxa"/>
            <w:vAlign w:val="bottom"/>
          </w:tcPr>
          <w:p w14:paraId="44CF54A4" w14:textId="77777777" w:rsidR="00AA6DC1" w:rsidRPr="00146F36" w:rsidRDefault="00AA6DC1" w:rsidP="000C0DD4">
            <w:pPr>
              <w:jc w:val="right"/>
              <w:rPr>
                <w:sz w:val="28"/>
                <w:szCs w:val="28"/>
              </w:rPr>
            </w:pPr>
          </w:p>
        </w:tc>
      </w:tr>
    </w:tbl>
    <w:tbl>
      <w:tblPr>
        <w:tblW w:w="8647" w:type="dxa"/>
        <w:tblLook w:val="04A0" w:firstRow="1" w:lastRow="0" w:firstColumn="1" w:lastColumn="0" w:noHBand="0" w:noVBand="1"/>
      </w:tblPr>
      <w:tblGrid>
        <w:gridCol w:w="8647"/>
      </w:tblGrid>
      <w:tr w:rsidR="002D6CB4" w14:paraId="07A74E6C" w14:textId="77777777" w:rsidTr="00AA6DC1">
        <w:trPr>
          <w:cantSplit/>
          <w:trHeight w:val="615"/>
        </w:trPr>
        <w:tc>
          <w:tcPr>
            <w:tcW w:w="8647" w:type="dxa"/>
          </w:tcPr>
          <w:p w14:paraId="4988295A" w14:textId="77777777" w:rsidR="002D6CB4" w:rsidRPr="00AA6DC1" w:rsidRDefault="00AA6DC1" w:rsidP="00AA6DC1">
            <w:pPr>
              <w:pStyle w:val="BodyTextIndent"/>
              <w:tabs>
                <w:tab w:val="left" w:pos="8397"/>
              </w:tabs>
              <w:ind w:left="0"/>
              <w:rPr>
                <w:sz w:val="24"/>
                <w:szCs w:val="24"/>
              </w:rPr>
            </w:pPr>
            <w:bookmarkStart w:id="7" w:name="edoc_info" w:colFirst="0" w:colLast="0"/>
            <w:r w:rsidRPr="00AA6DC1">
              <w:rPr>
                <w:sz w:val="24"/>
                <w:szCs w:val="24"/>
              </w:rPr>
              <w:t>*Dokuments ir parakstīts ar drošu elektronisko parakstu</w:t>
            </w:r>
          </w:p>
        </w:tc>
      </w:tr>
      <w:bookmarkEnd w:id="7"/>
    </w:tbl>
    <w:p w14:paraId="387827DA" w14:textId="339DBBEF" w:rsidR="00826D51" w:rsidRDefault="00826D51" w:rsidP="007F3771">
      <w:pPr>
        <w:rPr>
          <w:sz w:val="20"/>
        </w:rPr>
      </w:pPr>
    </w:p>
    <w:p w14:paraId="453F7CAA" w14:textId="570DCA78" w:rsidR="00855F05" w:rsidRDefault="00855F05" w:rsidP="007F3771">
      <w:pPr>
        <w:rPr>
          <w:sz w:val="20"/>
        </w:rPr>
      </w:pPr>
    </w:p>
    <w:p w14:paraId="471D2EF7" w14:textId="0F6C427E" w:rsidR="00855F05" w:rsidRDefault="00855F05" w:rsidP="007F3771">
      <w:pPr>
        <w:rPr>
          <w:sz w:val="20"/>
        </w:rPr>
      </w:pPr>
    </w:p>
    <w:p w14:paraId="473F905F" w14:textId="5BE47EDA" w:rsidR="00855F05" w:rsidRDefault="00855F05" w:rsidP="007F3771">
      <w:pPr>
        <w:rPr>
          <w:sz w:val="20"/>
        </w:rPr>
      </w:pPr>
    </w:p>
    <w:p w14:paraId="67E347CF" w14:textId="77777777" w:rsidR="00855F05" w:rsidRDefault="00855F05" w:rsidP="007F3771">
      <w:pPr>
        <w:rPr>
          <w:sz w:val="20"/>
        </w:rPr>
      </w:pPr>
    </w:p>
    <w:p w14:paraId="749DACE2" w14:textId="77777777" w:rsidR="005620DE" w:rsidRDefault="005620DE" w:rsidP="00550BA5">
      <w:pPr>
        <w:ind w:firstLine="142"/>
        <w:rPr>
          <w:sz w:val="20"/>
        </w:rPr>
      </w:pPr>
      <w:proofErr w:type="spellStart"/>
      <w:r>
        <w:rPr>
          <w:sz w:val="20"/>
        </w:rPr>
        <w:t>Kote</w:t>
      </w:r>
      <w:proofErr w:type="spellEnd"/>
      <w:r>
        <w:rPr>
          <w:sz w:val="20"/>
        </w:rPr>
        <w:t xml:space="preserve"> 67 095 452 </w:t>
      </w:r>
    </w:p>
    <w:p w14:paraId="5FFE605F" w14:textId="77777777" w:rsidR="000C0DD4" w:rsidRDefault="005620DE" w:rsidP="00550BA5">
      <w:pPr>
        <w:ind w:firstLine="142"/>
        <w:rPr>
          <w:sz w:val="20"/>
        </w:rPr>
      </w:pPr>
      <w:r>
        <w:rPr>
          <w:sz w:val="20"/>
        </w:rPr>
        <w:t>Ilze.Kote@fm.gov.lv</w:t>
      </w:r>
    </w:p>
    <w:p w14:paraId="3CC40988" w14:textId="77777777" w:rsidR="000C0DD4" w:rsidRPr="006D6710" w:rsidRDefault="000C0DD4" w:rsidP="007F3771">
      <w:pPr>
        <w:rPr>
          <w:sz w:val="20"/>
        </w:rPr>
      </w:pPr>
    </w:p>
    <w:sectPr w:rsidR="000C0DD4" w:rsidRPr="006D6710" w:rsidSect="002C22B9">
      <w:headerReference w:type="even" r:id="rId7"/>
      <w:headerReference w:type="default" r:id="rId8"/>
      <w:footerReference w:type="even" r:id="rId9"/>
      <w:footerReference w:type="default" r:id="rId10"/>
      <w:headerReference w:type="first" r:id="rId11"/>
      <w:footerReference w:type="first" r:id="rId12"/>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2F48" w14:textId="77777777" w:rsidR="003E3F83" w:rsidRDefault="003E3F83">
      <w:r>
        <w:separator/>
      </w:r>
    </w:p>
  </w:endnote>
  <w:endnote w:type="continuationSeparator" w:id="0">
    <w:p w14:paraId="5E04F363" w14:textId="77777777" w:rsidR="003E3F83" w:rsidRDefault="003E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C194"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EndPr/>
    <w:sdtContent>
      <w:p w14:paraId="0E29A4A4" w14:textId="05042ECE"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855F05">
          <w:rPr>
            <w:noProof/>
            <w:sz w:val="24"/>
            <w:szCs w:val="24"/>
          </w:rPr>
          <w:t>2</w:t>
        </w:r>
        <w:r w:rsidRPr="00557B49">
          <w:rPr>
            <w:sz w:val="24"/>
            <w:szCs w:val="24"/>
          </w:rPr>
          <w:fldChar w:fldCharType="end"/>
        </w:r>
      </w:p>
    </w:sdtContent>
  </w:sdt>
  <w:p w14:paraId="6E9DD582"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044" w14:textId="77777777" w:rsidR="0015384D" w:rsidRDefault="0015384D">
    <w:pPr>
      <w:pStyle w:val="Footer"/>
      <w:jc w:val="center"/>
    </w:pPr>
  </w:p>
  <w:p w14:paraId="7103D2EE"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76C4" w14:textId="77777777" w:rsidR="003E3F83" w:rsidRDefault="003E3F83">
      <w:r>
        <w:separator/>
      </w:r>
    </w:p>
  </w:footnote>
  <w:footnote w:type="continuationSeparator" w:id="0">
    <w:p w14:paraId="00954BE4" w14:textId="77777777" w:rsidR="003E3F83" w:rsidRDefault="003E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8866"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1AA6A532"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9B0B"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44F6" w14:textId="77777777" w:rsidR="002C22B9" w:rsidRDefault="002C22B9">
    <w:pPr>
      <w:pStyle w:val="Header"/>
    </w:pPr>
  </w:p>
  <w:p w14:paraId="12E043DF" w14:textId="77777777" w:rsidR="002C22B9" w:rsidRDefault="002C22B9">
    <w:pPr>
      <w:pStyle w:val="Header"/>
    </w:pPr>
  </w:p>
  <w:p w14:paraId="409885D2" w14:textId="77777777" w:rsidR="002C22B9" w:rsidRDefault="002C22B9">
    <w:pPr>
      <w:pStyle w:val="Header"/>
    </w:pPr>
  </w:p>
  <w:p w14:paraId="3652B1E4"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67769EC4" wp14:editId="4CB5A470">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F8157"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9EC4"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71CF8157"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6F72315B" wp14:editId="0ADC53A4">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7F412F" w14:textId="77777777" w:rsidR="002C22B9" w:rsidRDefault="002C22B9">
    <w:pPr>
      <w:pStyle w:val="Header"/>
    </w:pPr>
  </w:p>
  <w:p w14:paraId="35F47B3F" w14:textId="77777777" w:rsidR="002C22B9" w:rsidRDefault="002C22B9">
    <w:pPr>
      <w:pStyle w:val="Header"/>
    </w:pPr>
  </w:p>
  <w:p w14:paraId="7F28EB30" w14:textId="77777777" w:rsidR="002C22B9" w:rsidRDefault="002C22B9">
    <w:pPr>
      <w:pStyle w:val="Header"/>
    </w:pPr>
  </w:p>
  <w:p w14:paraId="5FD37F54" w14:textId="77777777" w:rsidR="002C22B9" w:rsidRDefault="002C22B9">
    <w:pPr>
      <w:pStyle w:val="Header"/>
    </w:pPr>
  </w:p>
  <w:p w14:paraId="4FC8B320" w14:textId="77777777" w:rsidR="002C22B9" w:rsidRDefault="002C22B9">
    <w:pPr>
      <w:pStyle w:val="Header"/>
    </w:pPr>
  </w:p>
  <w:p w14:paraId="618CA4E5" w14:textId="77777777" w:rsidR="002C22B9" w:rsidRDefault="002C22B9">
    <w:pPr>
      <w:pStyle w:val="Header"/>
    </w:pPr>
  </w:p>
  <w:p w14:paraId="6B9ECFF6"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41817D7D" wp14:editId="1FB8061E">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469D0A5A" w14:textId="77777777" w:rsidR="002C22B9" w:rsidRDefault="002C22B9">
    <w:pPr>
      <w:pStyle w:val="Header"/>
    </w:pPr>
  </w:p>
  <w:p w14:paraId="11A2ED73" w14:textId="77777777" w:rsidR="002C22B9" w:rsidRDefault="002C22B9">
    <w:pPr>
      <w:pStyle w:val="Header"/>
    </w:pPr>
  </w:p>
  <w:p w14:paraId="327C0495" w14:textId="77777777"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36"/>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E3F83"/>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20DE"/>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55F05"/>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1415"/>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740D3"/>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21D1"/>
    <w:rsid w:val="00E95294"/>
    <w:rsid w:val="00EA461A"/>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679B36"/>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4ED8B-D060-4C42-962E-35F46212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precizētajiem Ministru kabineta rīkojuma proje</dc:subject>
  <dc:creator>Kote I.</dc:creator>
  <dc:description>Sagatavots ALS E-aprites vidē.</dc:description>
  <cp:lastModifiedBy>Kristīne Grīnvalde</cp:lastModifiedBy>
  <cp:revision>2</cp:revision>
  <cp:lastPrinted>2007-06-25T10:49:00Z</cp:lastPrinted>
  <dcterms:created xsi:type="dcterms:W3CDTF">2021-09-06T07:01:00Z</dcterms:created>
  <dcterms:modified xsi:type="dcterms:W3CDTF">2021-09-06T07:01:00Z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